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20,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Ireland</w:t>
            </w:r>
          </w:p>
        </w:tc>
        <w:tc>
          <w:tcPr>
            <w:tcW w:w="4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001-36504</w:t>
            </w:r>
          </w:p>
        </w:tc>
        <w:tc>
          <w:tcPr>
            <w:tcW w:w="34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tcPr>
          <w:p>
            <w:pPr>
              <w:jc w:val="center"/>
              <w:ind w:right="52"/>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ind w:right="27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362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2000 St. James Place,</w:t>
            </w:r>
          </w:p>
        </w:tc>
        <w:tc>
          <w:tcPr>
            <w:tcW w:w="41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Houston, Texas</w:t>
            </w:r>
          </w:p>
        </w:tc>
        <w:tc>
          <w:tcPr>
            <w:tcW w:w="4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77056</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382"/>
        </w:trPr>
        <w:tc>
          <w:tcPr>
            <w:tcW w:w="3620" w:type="dxa"/>
            <w:vAlign w:val="bottom"/>
          </w:tcPr>
          <w:p>
            <w:pPr>
              <w:spacing w:after="0"/>
              <w:rPr>
                <w:sz w:val="24"/>
                <w:szCs w:val="24"/>
                <w:color w:val="auto"/>
              </w:rPr>
            </w:pPr>
          </w:p>
        </w:tc>
        <w:tc>
          <w:tcPr>
            <w:tcW w:w="4160" w:type="dxa"/>
            <w:vAlign w:val="bottom"/>
          </w:tcPr>
          <w:p>
            <w:pPr>
              <w:jc w:val="center"/>
              <w:ind w:right="72"/>
              <w:spacing w:after="0"/>
              <w:rPr>
                <w:sz w:val="20"/>
                <w:szCs w:val="20"/>
                <w:color w:val="auto"/>
              </w:rPr>
            </w:pPr>
            <w:r>
              <w:rPr>
                <w:rFonts w:ascii="Arial" w:cs="Arial" w:eastAsia="Arial" w:hAnsi="Arial"/>
                <w:sz w:val="17"/>
                <w:szCs w:val="17"/>
                <w:b w:val="1"/>
                <w:bCs w:val="1"/>
                <w:color w:val="auto"/>
                <w:w w:val="89"/>
              </w:rPr>
              <w:t>Registrant’s telephone number, including area code:</w:t>
            </w:r>
          </w:p>
        </w:tc>
        <w:tc>
          <w:tcPr>
            <w:tcW w:w="346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4160" w:type="dxa"/>
            <w:vAlign w:val="bottom"/>
          </w:tcPr>
          <w:p>
            <w:pPr>
              <w:jc w:val="center"/>
              <w:ind w:right="52"/>
              <w:spacing w:after="0"/>
              <w:rPr>
                <w:sz w:val="20"/>
                <w:szCs w:val="20"/>
                <w:color w:val="auto"/>
              </w:rPr>
            </w:pPr>
            <w:r>
              <w:rPr>
                <w:rFonts w:ascii="Arial" w:cs="Arial" w:eastAsia="Arial" w:hAnsi="Arial"/>
                <w:sz w:val="17"/>
                <w:szCs w:val="17"/>
                <w:b w:val="1"/>
                <w:bCs w:val="1"/>
                <w:color w:val="auto"/>
                <w:w w:val="90"/>
              </w:rPr>
              <w:t>713.836.4000</w:t>
            </w:r>
          </w:p>
        </w:tc>
        <w:tc>
          <w:tcPr>
            <w:tcW w:w="3460" w:type="dxa"/>
            <w:vAlign w:val="bottom"/>
          </w:tcPr>
          <w:p>
            <w:pPr>
              <w:spacing w:after="0"/>
              <w:rPr>
                <w:sz w:val="19"/>
                <w:szCs w:val="19"/>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$0.001 par value per share</w:t>
            </w: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6"/>
              </w:rPr>
              <w:t>WFRD</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20, 2021, Weatherford International Ltd. (the “Issuer”) and Weatherford International, LLC (together with the Issuer, the “Borrowers”), as borrowers, Weatherford International plc (the “Company”), as a guarantor, and the subsidiary guarantors party thereto, entered into an amendment (the “LC Amendment”) to the Company’s existing senior secured LC credit agreement (as so amended, the “LC Credit Agreement”) with the lenders party thereto and Deutsche Bank Trust Company Americas as administrative agent.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Among other things, the LC Amendment amended the LC Credit Agreement to permit the Borrowers to incur an additional $400 million of secured indebtedness under an asset-based lending facility or a revolving credit facility, subject to the requirements with respect to such facility set forth in the LC Amendment. In addition, the minimum secured liquidity covenant was removed, the minimum aggregate liquidity requirement was increased to $300 million, the minimum aggregate book value of assets requirement was decreased to $1 billion, and the basket for debt repayments and redemptions was increased to $500 million subject to having aggregate liquidity of at least $400 million. Certain other changes were made to the covenants under the LC Credit Agreement to make such covenants more favorable to the Borrowers.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LC Credit Agreement is and will continue to be used for the issuance of bid and performance letters of credit of the Borrowers and certain of their subsidiaries. As of June 30, 2021, there were approximately $160 million in outstanding letters of credit under the LC Credit Agreement.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LC Amendment and the LC Credit Agreement does not purport to be complete and is qualified in its entirety by reference to the full text of those documents, which LC Amendment is attached as Exhibit 10.1 to this Form 8-K, and documents are incorporated herein by reference.</w:t>
      </w:r>
    </w:p>
    <w:p>
      <w:pPr>
        <w:spacing w:after="0" w:line="3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Offering</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September 20, 2021, the Company issued a press release announcing the commencement of the offering (the “Offering”) of $500.0 million in aggregate principal amount of senior secured first lien notes due 2028 (the “Secured Notes”) by the Issuer, a wholly owned subsidiary of the Company. The Issuer intends to use the net proceeds from the offering and cash on hand to redeem all of its outstanding 8.75% Senior Secured Notes due 2024 (the “2024 Secured Notes”). Subject to certain terms and conditions, affiliates of a large stockholder of the Company have agreed to purchase Secured Notes that remain unsold following the Offering. A copy of the press release is attached hereto as Exhibit 99.1 and is incorporated by reference herein.</w:t>
      </w:r>
    </w:p>
    <w:p>
      <w:pPr>
        <w:spacing w:after="0" w:line="16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Secured Notes will be offered and sold to persons reasonably believed to be qualified institutional buyers in the United States pursuant to Rule 144A and outside the United States pursuant to Regulation S under the Securities Act.</w:t>
      </w:r>
    </w:p>
    <w:p>
      <w:pPr>
        <w:spacing w:after="0" w:line="170"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Secured Notes have not been registered under the Securities Act or any state securities laws and may not be offered or sold in the United States absent registration or an applicable exemption from the registration requirements of the Securities Act and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ind w:right="320" w:firstLine="648"/>
        <w:spacing w:after="0" w:line="342" w:lineRule="auto"/>
        <w:rPr>
          <w:sz w:val="20"/>
          <w:szCs w:val="20"/>
          <w:color w:val="auto"/>
        </w:rPr>
      </w:pPr>
      <w:r>
        <w:rPr>
          <w:rFonts w:ascii="Arial" w:cs="Arial" w:eastAsia="Arial" w:hAnsi="Arial"/>
          <w:sz w:val="16"/>
          <w:szCs w:val="16"/>
          <w:color w:val="auto"/>
        </w:rPr>
        <w:t>This Current Report on Form 8–K shall not constitute an offer to sell or a solicitation of an offer to purchase the Secured Notes, or any other securities, and shall not constitute an offer, solicitation or sale in any state or jurisdiction in which such an offer, solicitation or sale would be unlawful.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Existing Notes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September 20, 2021, the Issuer issued a conditional notice of optional redemption to the holders of its 2024 Secured Notes stating that it has elected to redeem all of its outstanding 2024 Secured Notes on September 30, 2021, at a redemption price of 104.375% of the principal amount thereof, plus accrued and unpaid interest thereon, if any, to, but not including, the redemption date. The Issuer intends to use the net proceeds of the Offering and cash on hand to fund the redemption of the 2024 Notes. The redemption of the 2024 Secured Notes is conditional upon the closing of the Offering and the issuance of $500 million principal amount of the Notes.</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On September 20, 2021, the Issuer issued a conditional notice of partial optional redemption to the holders of its 11.0% senior notes due December 1, 2024 (the “Unsecured Notes”), stating that it has elected to redeem $200 million principal amount of the Unsecured Notes on October 20, 2021, at a redemption price of 103% of the principal amount thereof, plus accrued and unpaid interest thereon, if any, to, but not including, the redemption date. The Issuer intends to use cash on hand to fund the partial redemption of the Unsecured Notes. The redemption of the Unsecured Notes is conditional upon the closing of the Offering and the issuance of $500 million principal amount of the Secured Notes.</w:t>
      </w:r>
    </w:p>
    <w:p>
      <w:pPr>
        <w:spacing w:after="0" w:line="17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indenture governing the Unsecured Notes, the Issuer has the right to redeem up to $500 million principal amount of the Unsecured Notes at a redemption price of 103% of the principal amount thereof, plus accrued and unpaid interest thereon, if any, to, but not including, the redemption date, at any time prior to December 1, 2022. Following the completion of the redemption of the $200 million principal amount of the Unsecured Notes described above, the Issuer will have the ability to redeem a further $300 million principal amount of the Unsecured Notes at the redemption price described above. The Issuer may consider redeeming additional principal amounts of the Unsecured Notes in the future depending on generated cash flow and incremental available liquidity under any future asset-based lending facility or revolving credit facility, subject to its liquidity needs and other considerations. There can be no assurance that the Company will be able to enter a new asset-based lending facility or revolving credit facility or that the Issuer will redeem any additional Unsecured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Current Report on Form 8-K contains forward-looking statements concerning, among other things, the Company’s strategy and financing plans and goals. These forward-looking statements are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7"/>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w w:val="93"/>
              </w:rPr>
              <w:t>(d) Exhibits.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Document Description</w:t>
            </w: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Amendment No. 2 to LC Credit Agreement dated September 20, 2021, by and among Weatherford International Ltd., Weatherford</w:t>
              </w:r>
            </w:hyperlink>
          </w:p>
        </w:tc>
        <w:tc>
          <w:tcPr>
            <w:tcW w:w="48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5"/>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International plc, Weatherford International LLC, the other guarantors party thereto, Deutsche Bank Trust Company Americas, BTA</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Institutional Services Australia Limited and the lenders under the LC Credit Agreement.</w:t>
              </w:r>
            </w:hyperlink>
          </w:p>
        </w:tc>
        <w:tc>
          <w:tcPr>
            <w:tcW w:w="3160" w:type="dxa"/>
            <w:vAlign w:val="bottom"/>
            <w:tcBorders>
              <w:top w:val="single" w:sz="8" w:color="0000EE"/>
            </w:tcBorders>
            <w:gridSpan w:val="2"/>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Press Release of Weatherford International plc announcing the commencement of the offering of the Notes, dated September 20, 2021.</w:t>
              </w:r>
            </w:hyperlink>
          </w:p>
        </w:tc>
        <w:tc>
          <w:tcPr>
            <w:tcW w:w="18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5"/>
        </w:trPr>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r>
      <w:tr>
        <w:trPr>
          <w:trHeight w:val="216"/>
        </w:trPr>
        <w:tc>
          <w:tcPr>
            <w:tcW w:w="5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Executive Vice President, General</w:t>
            </w:r>
          </w:p>
        </w:tc>
      </w:tr>
      <w:tr>
        <w:trPr>
          <w:trHeight w:val="216"/>
        </w:trPr>
        <w:tc>
          <w:tcPr>
            <w:tcW w:w="560" w:type="dxa"/>
            <w:vAlign w:val="bottom"/>
          </w:tcPr>
          <w:p>
            <w:pPr>
              <w:spacing w:after="0"/>
              <w:rPr>
                <w:sz w:val="18"/>
                <w:szCs w:val="18"/>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Counsel and Chief Compliance</w:t>
            </w:r>
          </w:p>
        </w:tc>
      </w:tr>
      <w:tr>
        <w:trPr>
          <w:trHeight w:val="230"/>
        </w:trPr>
        <w:tc>
          <w:tcPr>
            <w:tcW w:w="560" w:type="dxa"/>
            <w:vAlign w:val="bottom"/>
          </w:tcPr>
          <w:p>
            <w:pPr>
              <w:spacing w:after="0"/>
              <w:rPr>
                <w:sz w:val="20"/>
                <w:szCs w:val="20"/>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796" w:right="1239" w:bottom="1440" w:gutter="0" w:footer="0" w:header="0"/>
        </w:sectPr>
      </w:pPr>
    </w:p>
    <w:bookmarkStart w:id="5" w:name="page6"/>
    <w:bookmarkEnd w:id="5"/>
    <w:p>
      <w:pPr>
        <w:ind w:left="9880"/>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LC CREDIT AGREEMENT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AMENDMENT NO. 2 TO LC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September 20, 2021 by and among Weatherford International Ltd., a Bermuda exempted company (“</w:t>
      </w:r>
      <w:r>
        <w:rPr>
          <w:rFonts w:ascii="Arial" w:cs="Arial" w:eastAsia="Arial" w:hAnsi="Arial"/>
          <w:sz w:val="16"/>
          <w:szCs w:val="16"/>
          <w:u w:val="single" w:color="auto"/>
          <w:color w:val="auto"/>
        </w:rPr>
        <w:t>WIL-Bermuda</w:t>
      </w:r>
      <w:r>
        <w:rPr>
          <w:rFonts w:ascii="Arial" w:cs="Arial" w:eastAsia="Arial" w:hAnsi="Arial"/>
          <w:sz w:val="16"/>
          <w:szCs w:val="16"/>
          <w:color w:val="auto"/>
        </w:rPr>
        <w:t>”), Weatherford International, LLC, a Delaware limited liability company (“</w:t>
      </w:r>
      <w:r>
        <w:rPr>
          <w:rFonts w:ascii="Arial" w:cs="Arial" w:eastAsia="Arial" w:hAnsi="Arial"/>
          <w:sz w:val="16"/>
          <w:szCs w:val="16"/>
          <w:u w:val="single" w:color="auto"/>
          <w:color w:val="auto"/>
        </w:rPr>
        <w:t>WIL-Delaware</w:t>
      </w:r>
      <w:r>
        <w:rPr>
          <w:rFonts w:ascii="Arial" w:cs="Arial" w:eastAsia="Arial" w:hAnsi="Arial"/>
          <w:sz w:val="16"/>
          <w:szCs w:val="16"/>
          <w:color w:val="auto"/>
        </w:rPr>
        <w:t>” and, together with WIL-Bermuda, the “</w:t>
      </w:r>
      <w:r>
        <w:rPr>
          <w:rFonts w:ascii="Arial" w:cs="Arial" w:eastAsia="Arial" w:hAnsi="Arial"/>
          <w:sz w:val="16"/>
          <w:szCs w:val="16"/>
          <w:u w:val="single" w:color="auto"/>
          <w:color w:val="auto"/>
        </w:rPr>
        <w:t>Borrowers</w:t>
      </w:r>
      <w:r>
        <w:rPr>
          <w:rFonts w:ascii="Arial" w:cs="Arial" w:eastAsia="Arial" w:hAnsi="Arial"/>
          <w:sz w:val="16"/>
          <w:szCs w:val="16"/>
          <w:color w:val="auto"/>
        </w:rPr>
        <w:t>”), Weatherford International plc (“</w:t>
      </w:r>
      <w:r>
        <w:rPr>
          <w:rFonts w:ascii="Arial" w:cs="Arial" w:eastAsia="Arial" w:hAnsi="Arial"/>
          <w:sz w:val="16"/>
          <w:szCs w:val="16"/>
          <w:u w:val="single" w:color="auto"/>
          <w:color w:val="auto"/>
        </w:rPr>
        <w:t>Parent</w:t>
      </w:r>
      <w:r>
        <w:rPr>
          <w:rFonts w:ascii="Arial" w:cs="Arial" w:eastAsia="Arial" w:hAnsi="Arial"/>
          <w:sz w:val="16"/>
          <w:szCs w:val="16"/>
          <w:color w:val="auto"/>
        </w:rPr>
        <w:t>” and, together with the Borrowers, each an “</w:t>
      </w:r>
      <w:r>
        <w:rPr>
          <w:rFonts w:ascii="Arial" w:cs="Arial" w:eastAsia="Arial" w:hAnsi="Arial"/>
          <w:sz w:val="16"/>
          <w:szCs w:val="16"/>
          <w:u w:val="single" w:color="auto"/>
          <w:color w:val="auto"/>
        </w:rPr>
        <w:t>Obligor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Obligor Parties</w:t>
      </w:r>
      <w:r>
        <w:rPr>
          <w:rFonts w:ascii="Arial" w:cs="Arial" w:eastAsia="Arial" w:hAnsi="Arial"/>
          <w:sz w:val="16"/>
          <w:szCs w:val="16"/>
          <w:color w:val="auto"/>
        </w:rPr>
        <w:t>”), the other Guarantors (together with the Obligor Parties, the “</w:t>
      </w:r>
      <w:r>
        <w:rPr>
          <w:rFonts w:ascii="Arial" w:cs="Arial" w:eastAsia="Arial" w:hAnsi="Arial"/>
          <w:sz w:val="16"/>
          <w:szCs w:val="16"/>
          <w:u w:val="single" w:color="auto"/>
          <w:color w:val="auto"/>
        </w:rPr>
        <w:t>Obligors</w:t>
      </w:r>
      <w:r>
        <w:rPr>
          <w:rFonts w:ascii="Arial" w:cs="Arial" w:eastAsia="Arial" w:hAnsi="Arial"/>
          <w:sz w:val="16"/>
          <w:szCs w:val="16"/>
          <w:color w:val="auto"/>
        </w:rPr>
        <w:t>”) the Lenders party hereto (constituting all the Lenders), Deutsche Bank Trust Company Americas, as administrative agent for the Lenders (in such capacity,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BTA Institutional Services Australia Limited ABN 48 002 916 396 as LC Australian Collateral Agent (“</w:t>
      </w:r>
      <w:r>
        <w:rPr>
          <w:rFonts w:ascii="Arial" w:cs="Arial" w:eastAsia="Arial" w:hAnsi="Arial"/>
          <w:sz w:val="16"/>
          <w:szCs w:val="16"/>
          <w:u w:val="single" w:color="auto"/>
          <w:color w:val="auto"/>
        </w:rPr>
        <w:t>LC Australian Collateral Agent</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reference is made to that certain LC Credit Agreement dated as of December 13, 2019, by and among the Obligor Parties, the Lenders named therein and the Administrative Agent (as amended by that certain Amendment No. 1 to LC Credit Agreement and Amendment No. 1 to U.S. Security Agreement, entered into as of August 28, 2020 and as further amended, supplemented or otherwise modified from time to time prior to, but not including, the date hereof, the “</w:t>
      </w:r>
      <w:r>
        <w:rPr>
          <w:rFonts w:ascii="Arial" w:cs="Arial" w:eastAsia="Arial" w:hAnsi="Arial"/>
          <w:sz w:val="17"/>
          <w:szCs w:val="17"/>
          <w:u w:val="single" w:color="auto"/>
          <w:color w:val="auto"/>
        </w:rPr>
        <w:t>LC Credit Agreement</w:t>
      </w:r>
      <w:r>
        <w:rPr>
          <w:rFonts w:ascii="Arial" w:cs="Arial" w:eastAsia="Arial" w:hAnsi="Arial"/>
          <w:sz w:val="17"/>
          <w:szCs w:val="17"/>
          <w:color w:val="auto"/>
        </w:rPr>
        <w:t>” and as amended by the Amendment, the “</w:t>
      </w:r>
      <w:r>
        <w:rPr>
          <w:rFonts w:ascii="Arial" w:cs="Arial" w:eastAsia="Arial" w:hAnsi="Arial"/>
          <w:sz w:val="17"/>
          <w:szCs w:val="17"/>
          <w:u w:val="single" w:color="auto"/>
          <w:color w:val="auto"/>
        </w:rPr>
        <w:t>Amended LC Credit Agreement</w:t>
      </w:r>
      <w:r>
        <w:rPr>
          <w:rFonts w:ascii="Arial" w:cs="Arial" w:eastAsia="Arial" w:hAnsi="Arial"/>
          <w:sz w:val="17"/>
          <w:szCs w:val="17"/>
          <w:color w:val="auto"/>
        </w:rPr>
        <w:t>”); and</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Obligor Parties have requested that the Administrative Agent and the Lenders agree to amend certain provisions of the LC Credit Agreement, and the Administrative Agent and the Lenders have agreed to amend the LC Credit Agreement as hereinafter set forth;</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but not otherwise defined herein shall have the meanings assigned to them in the LC Credit Agreement.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Subject to the occurrence of the Amendment No. 2 Effective Date, as of the Amendment No. 2 Effective Date, the LC Credit Agreement is hereby amended to delete the stricken text (indicated textually in the same manner as the following example: </w:t>
      </w:r>
      <w:r>
        <w:rPr>
          <w:rFonts w:ascii="Arial" w:cs="Arial" w:eastAsia="Arial" w:hAnsi="Arial"/>
          <w:sz w:val="16"/>
          <w:szCs w:val="16"/>
          <w:color w:val="FF0000"/>
          <w:strike w:val="1"/>
        </w:rPr>
        <w:t>stricken text</w:t>
      </w:r>
      <w:r>
        <w:rPr>
          <w:rFonts w:ascii="Arial" w:cs="Arial" w:eastAsia="Arial" w:hAnsi="Arial"/>
          <w:sz w:val="16"/>
          <w:szCs w:val="16"/>
          <w:color w:val="auto"/>
        </w:rPr>
        <w:t xml:space="preserve">) and to add the underlined text (indicated textually in the same manner as the following example: </w:t>
      </w:r>
      <w:r>
        <w:rPr>
          <w:rFonts w:ascii="Arial" w:cs="Arial" w:eastAsia="Arial" w:hAnsi="Arial"/>
          <w:sz w:val="16"/>
          <w:szCs w:val="16"/>
          <w:u w:val="single" w:color="auto"/>
          <w:color w:val="0000FF"/>
        </w:rPr>
        <w:t>underlined text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Amendment No. 2 Effective Date; Conditions Precedent</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2 Effective Date</w:t>
      </w:r>
      <w:r>
        <w:rPr>
          <w:rFonts w:ascii="Arial" w:cs="Arial" w:eastAsia="Arial" w:hAnsi="Arial"/>
          <w:sz w:val="18"/>
          <w:szCs w:val="18"/>
          <w:color w:val="auto"/>
        </w:rPr>
        <w:t>”) on which the following conditions have been satisfied:</w:t>
      </w:r>
    </w:p>
    <w:p>
      <w:pPr>
        <w:spacing w:after="0" w:line="170" w:lineRule="exact"/>
        <w:rPr>
          <w:sz w:val="20"/>
          <w:szCs w:val="20"/>
          <w:color w:val="auto"/>
        </w:rPr>
      </w:pPr>
    </w:p>
    <w:p>
      <w:pPr>
        <w:ind w:firstLine="656"/>
        <w:spacing w:after="0" w:line="277" w:lineRule="auto"/>
        <w:tabs>
          <w:tab w:leader="none" w:pos="141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reasonably satisfactory to the Administrative Agent, counterparts of this Amendment executed by the Obligors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ind w:firstLine="656"/>
        <w:spacing w:after="0" w:line="263" w:lineRule="auto"/>
        <w:tabs>
          <w:tab w:leader="none" w:pos="143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shall be true and correct and no Default or Event of Default shall exist before or after giving effect to the Amendment (and the Administrative Agent shall have received a certification by a Responsible Officer of Parent that the conditions specified in this clause (b) have been satisfied);</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42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Administrative Agent shall have received such customary certificates of resolutions or other action, incumbency certificates and/or other certificates of Responsible Officers of each Obligor as the Administrative Agent may reasonably require evidencing the identity, authority and capacity of each Responsible Officer thereof authorized to act as a Responsible Officer in connection with this Amendment;</w:t>
      </w:r>
    </w:p>
    <w:p>
      <w:pPr>
        <w:spacing w:after="0" w:line="165" w:lineRule="exact"/>
        <w:rPr>
          <w:rFonts w:ascii="Arial" w:cs="Arial" w:eastAsia="Arial" w:hAnsi="Arial"/>
          <w:sz w:val="17"/>
          <w:szCs w:val="17"/>
          <w:color w:val="auto"/>
        </w:rPr>
      </w:pPr>
    </w:p>
    <w:p>
      <w:pPr>
        <w:jc w:val="both"/>
        <w:ind w:firstLine="656"/>
        <w:spacing w:after="0" w:line="257" w:lineRule="auto"/>
        <w:tabs>
          <w:tab w:leader="none" w:pos="15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certifications required to be delivered under Sections 5.01(a)(v), 5.01(a)(vi) and 5.01(a)(ix) of the LC Credit Agreement (or, where applicable, certifications of a Responsible Officer that there have been no changes to such documents as previously delivered to the Administrative Agent since the Effective Date or the Amendment No. 1 Effective Date, as applicable) and, to the extent available under applicable local law, good standing certificates, as the Administrative Agent may reasonably require with respect to each Obligor;</w:t>
      </w:r>
    </w:p>
    <w:p>
      <w:pPr>
        <w:spacing w:after="0" w:line="187" w:lineRule="exact"/>
        <w:rPr>
          <w:rFonts w:ascii="Arial" w:cs="Arial" w:eastAsia="Arial" w:hAnsi="Arial"/>
          <w:sz w:val="18"/>
          <w:szCs w:val="18"/>
          <w:color w:val="auto"/>
        </w:rPr>
      </w:pPr>
    </w:p>
    <w:p>
      <w:pPr>
        <w:ind w:right="20" w:firstLine="656"/>
        <w:spacing w:after="0" w:line="277" w:lineRule="auto"/>
        <w:tabs>
          <w:tab w:leader="none" w:pos="1653"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certificate of a Principal Financial Officer of Parent certifying that, after giving effect to the Amendment, the Parent and its Subsidiaries, on a consolidated basis, are Solvent as of the Amendment No. 2 Effective Date;</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39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the extent available in the applicable jurisdiction(s), (I) 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Liens permitted under the LC Credit Agreement (as amended hereby) and (II) clear searches against Parent in the Companies Registration Office, Dublin, the High Court Central Office and all other relevant registries; and</w:t>
      </w:r>
    </w:p>
    <w:p>
      <w:pPr>
        <w:spacing w:after="0" w:line="171" w:lineRule="exact"/>
        <w:rPr>
          <w:rFonts w:ascii="Arial" w:cs="Arial" w:eastAsia="Arial" w:hAnsi="Arial"/>
          <w:sz w:val="17"/>
          <w:szCs w:val="17"/>
          <w:color w:val="auto"/>
        </w:rPr>
      </w:pPr>
    </w:p>
    <w:p>
      <w:pPr>
        <w:jc w:val="both"/>
        <w:ind w:firstLine="656"/>
        <w:spacing w:after="0" w:line="254" w:lineRule="auto"/>
        <w:tabs>
          <w:tab w:leader="none" w:pos="1541" w:val="left"/>
        </w:tabs>
        <w:numPr>
          <w:ilvl w:val="0"/>
          <w:numId w:val="3"/>
        </w:numPr>
        <w:rPr>
          <w:rFonts w:ascii="Arial" w:cs="Arial" w:eastAsia="Arial" w:hAnsi="Arial"/>
          <w:sz w:val="18"/>
          <w:szCs w:val="18"/>
          <w:color w:val="auto"/>
        </w:rPr>
      </w:pPr>
      <w:r>
        <w:rPr>
          <w:rFonts w:ascii="Arial" w:cs="Arial" w:eastAsia="Arial" w:hAnsi="Arial"/>
          <w:sz w:val="18"/>
          <w:szCs w:val="18"/>
          <w:color w:val="auto"/>
        </w:rPr>
        <w:t>Borrowers shall have paid (i) as consideration for the agreements of the Lenders in respect of this Amendment, to each applicable Lender party hereto a fee equal to 0.75% of the aggregate principal amount of such Lender’s Commitments on the Amendment No. 2 Effective Date, (ii) the fees set forth in the fee letter, dated the date hereof, between the Borrowers and the Administrative Agent, (iii) fees of legal counsel for the Administrative Agent, to the extent invoiced at or before 1:00 p.m., New York City time, on the Business Day immediately prior to the Amendment No. 2 Effective Date and (iv) to the extent invoiced at or before 1:00 p.m., New York City time, on the Business Day immediately prior to the Amendment No. 2 Effective Date, all out-of-pocket expenses required to be reimbursed or paid by the Borrowers pursuant to Section 11.03 of the Amended LC Credit Agreement or any other Loan Document.</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Post-Closing Deliverables</w:t>
      </w:r>
      <w:r>
        <w:rPr>
          <w:rFonts w:ascii="Arial" w:cs="Arial" w:eastAsia="Arial" w:hAnsi="Arial"/>
          <w:sz w:val="17"/>
          <w:szCs w:val="17"/>
          <w:color w:val="auto"/>
        </w:rPr>
        <w:t>. All actions or documents reasonably requested by the Administrative Agent that are necessary to establish or reaffirm that the Lenders will have a perfected first priority security interest (subject to Liens permitted under Section 8.04 of the LC Credit Agreement (as amended hereby)) in the LC Priority Collateral securing the Secured Obligations, shall have been taken or executed and delivered (including, if so requested, deeds of confirmation, amendments and/or supplements to Collateral Documents) by no later than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the dates set forth on Exhibit B</w:t>
      </w:r>
      <w:r>
        <w:rPr>
          <w:rFonts w:ascii="Arial" w:cs="Arial" w:eastAsia="Arial" w:hAnsi="Arial"/>
          <w:sz w:val="18"/>
          <w:szCs w:val="18"/>
          <w:color w:val="auto"/>
        </w:rPr>
        <w:t xml:space="preserve"> hereto (or such later dates as the Administrative Agent may agree in its sole discretion).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other parties hereto to enter into this Amendment, each of the Obligors represents and warrants that, on the date hereof and as of the Amendment No. 2 Effective Date (both before and after giving effect to the amendments set forth in this Amendment):</w:t>
      </w:r>
    </w:p>
    <w:p>
      <w:pPr>
        <w:spacing w:after="0" w:line="184" w:lineRule="exact"/>
        <w:rPr>
          <w:sz w:val="20"/>
          <w:szCs w:val="20"/>
          <w:color w:val="auto"/>
        </w:rPr>
      </w:pPr>
    </w:p>
    <w:p>
      <w:pPr>
        <w:jc w:val="both"/>
        <w:ind w:firstLine="656"/>
        <w:spacing w:after="0" w:line="273" w:lineRule="auto"/>
        <w:tabs>
          <w:tab w:leader="none" w:pos="147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VI of the LC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Amendment No. 2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7" w:lineRule="exact"/>
        <w:rPr>
          <w:rFonts w:ascii="Arial" w:cs="Arial" w:eastAsia="Arial" w:hAnsi="Arial"/>
          <w:sz w:val="17"/>
          <w:szCs w:val="17"/>
          <w:color w:val="auto"/>
        </w:rPr>
      </w:pPr>
    </w:p>
    <w:p>
      <w:pPr>
        <w:ind w:right="20" w:firstLine="656"/>
        <w:spacing w:after="0" w:line="277" w:lineRule="auto"/>
        <w:tabs>
          <w:tab w:leader="none" w:pos="15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the Amendment No. 2 Effective Date, after giving effect to all of the transactions contemplated hereby, the Obligors and their Subsidiaries, on a consolidated basis, are Solvent;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Amendment No. 2 Effective Date; and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Amendment constitutes the legal, valid and binding obligation of each of the Obligors, enforceable against each of the Obligors in accordance with its terms, except as enforceability may be limited by applicable bankruptcy, insolvency, or similar laws affecting the enforcement of creditors’ rights generally or by equitable principles of general applicability.</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Confirmation of Loan Documents</w:t>
      </w:r>
      <w:r>
        <w:rPr>
          <w:rFonts w:ascii="Arial" w:cs="Arial" w:eastAsia="Arial" w:hAnsi="Arial"/>
          <w:sz w:val="16"/>
          <w:szCs w:val="16"/>
          <w:color w:val="auto"/>
        </w:rPr>
        <w:t>. Except as expressly contemplated hereby, the terms, provisions, conditions and covenants of the Amended LC Credit Agreement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LC Credit Agreement or any other Loan Document; (b) to prejudice any right or remedy that the Administrative Agent or any Lender may now have or may have in the future under or in connection with the LC Credit Agreement or any other Loan Document; or (c) to constitute a waiver of compliance or consent to noncompliance by any Obligor with respect to the terms, provisions, conditions and covenants of the LC Credit Agreement and the other Loan Documents made the subject hereof. Each Obligor represents and acknowledges that it has no claims, counterclaims, offsets, credits or defenses to the Loan Documents or the performance of its obligations thereunder.</w:t>
      </w:r>
    </w:p>
    <w:p>
      <w:pPr>
        <w:spacing w:after="0" w:line="16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Ratification</w:t>
      </w:r>
      <w:r>
        <w:rPr>
          <w:rFonts w:ascii="Arial" w:cs="Arial" w:eastAsia="Arial" w:hAnsi="Arial"/>
          <w:sz w:val="16"/>
          <w:szCs w:val="16"/>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both"/>
        <w:ind w:firstLine="656"/>
        <w:spacing w:after="0" w:line="287" w:lineRule="auto"/>
        <w:tabs>
          <w:tab w:leader="none" w:pos="134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Affiliate Guaranty</w:t>
      </w:r>
      <w:r>
        <w:rPr>
          <w:rFonts w:ascii="Arial" w:cs="Arial" w:eastAsia="Arial" w:hAnsi="Arial"/>
          <w:sz w:val="16"/>
          <w:szCs w:val="16"/>
          <w:color w:val="auto"/>
        </w:rPr>
        <w:t xml:space="preserve">. Each of the Obligor Parties hereby ratifies and confirms, on behalf of itself and each other Guarantor, the Guarantors’ obligations under the Affiliate Guaranty (subject to any limitations on a Guarantor’s liability contained in the Affiliate Guaranty) and hereby represents and acknowledges, on behalf of itself and each other Guarantor, that the Guarantors have no claims, counterclaims, offsets, credits or defenses to the Loan Documents or the performance of their obligations thereunder. Furthermore, each Obligor agrees that nothing contained in this Amendment shall adversely affect any right or remedy of the Administrative Agent or the Lenders under the Affiliate Guaranty or any of the other Loan Documents. Each Obligor agrees that all references in the Affiliate Guaranty to the “Guaranteed Obligations” shall include, without limitation, all of the obligations of WIL-Bermuda and WIL-Delaware to the Administrative Agent and the Lenders under the Amended LC Credit Agreement. Finally, each Obligor hereby represents and warrants that the execution and delivery of this Amendment and the other documents executed in connection herewith shall in no way change or modify its or any other Guarantor’s obligations as a guarantor, debtor, pledgor, assignor, obligor and/or grantor under the Affiliate Guaranty and the other Loan Documents (other than as set out below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in relation to the definition of the Secured Obligations) and shall not constitute a waiver by the Administrative Agent or the Lenders of any of their rights against any Guarantor.</w:t>
      </w:r>
    </w:p>
    <w:p>
      <w:pPr>
        <w:spacing w:after="0" w:line="171" w:lineRule="exact"/>
        <w:rPr>
          <w:rFonts w:ascii="Arial" w:cs="Arial" w:eastAsia="Arial" w:hAnsi="Arial"/>
          <w:sz w:val="16"/>
          <w:szCs w:val="16"/>
          <w:color w:val="auto"/>
        </w:rPr>
      </w:pPr>
    </w:p>
    <w:p>
      <w:pPr>
        <w:jc w:val="both"/>
        <w:ind w:firstLine="656"/>
        <w:spacing w:after="0" w:line="268" w:lineRule="auto"/>
        <w:tabs>
          <w:tab w:leader="none" w:pos="139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Collateral Documents</w:t>
      </w:r>
      <w:r>
        <w:rPr>
          <w:rFonts w:ascii="Arial" w:cs="Arial" w:eastAsia="Arial" w:hAnsi="Arial"/>
          <w:sz w:val="17"/>
          <w:szCs w:val="17"/>
          <w:color w:val="auto"/>
        </w:rPr>
        <w:t>. Each Obligor hereby acknowledges and ratifies the existence and priority of the Liens granted by it in and to the Collateral in favor of the Secured Parties and represents and warrants that such Liens and security interests are valid, existing and in full force and effect, and with respect to all security interest purported to be created under the Loan Documents expressed to be governed by the laws of the Netherlands (the “</w:t>
      </w:r>
      <w:r>
        <w:rPr>
          <w:rFonts w:ascii="Arial" w:cs="Arial" w:eastAsia="Arial" w:hAnsi="Arial"/>
          <w:sz w:val="17"/>
          <w:szCs w:val="17"/>
          <w:u w:val="single" w:color="auto"/>
          <w:color w:val="auto"/>
        </w:rPr>
        <w:t>Dutch Security Documents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each Obligor party thereto reaffirms and confirms that it was such party's intent at the moment of entering into the relevant Dutch Security Document to secure the Secured Obligations as amended from time to time, including by the amendments as included in this Amendment. Each of the Obligor Parties hereby ratifies and confirms each Obligor’s obligations under the Collateral Documents to which such Obligor is a party and hereby represents and acknowledges that the Obligors have no claims, counterclaims, offsets, credits or defenses to the Loan Documents or the performance of their obligations thereunder. Furthermore, each Obligor agrees that nothing contained in this Amendment shall adversely affect any right or remedy of the Administrative Agent or the Lenders under the Collateral Documents or any of the other Loan Documents. Each Obligor declares and agrees that all references in any Collateral Document to the “Secured Obligations” or “Secured Money” shall extend to and include, without limitation, all of the obligations of WIL-Bermuda and WIL-Delaware to the Administrative Agent and the Lenders under the Amended LC Credit Agreement. Finally, each Obligor hereby represents and warrants that the execution and delivery of this Amendment and the other documents executed in connection herewith shall in no way change or modify its or any other Obligor’s obligations as a debtor, pledgor, assignor, obligor, grantor, mortgagor and/or chargor under any Collateral Document and the other Loan Documents and shall not constitute a waiver by the Administrative Agent or the Lenders of any of their rights against any Obligor.</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From and after the Amendment No. 2 Effective Date, each reference in the LC Credit Agreement to “this Agreement”, “hereof”, or “hereunder” or words of like import, and all references to the LC Credit Agreement in any and all agreements, instruments, documents, notes, certificates, guaranties and other writings of every kind and nature shall be deemed to mean the LC Credit Agreement as modified by this Amendment. This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Amendment shall constitute a Loan Document for all purposes of the LC Credit Agreement and the other Loan Documents.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Costs and Expenses</w:t>
      </w:r>
      <w:r>
        <w:rPr>
          <w:rFonts w:ascii="Arial" w:cs="Arial" w:eastAsia="Arial" w:hAnsi="Arial"/>
          <w:sz w:val="16"/>
          <w:szCs w:val="16"/>
          <w:color w:val="auto"/>
        </w:rPr>
        <w:t>. Pursuant to the terms of Section 11.03 of the LC Credit Agreement, the Borrowers agree to pay all reasonable and documented out-of-pocket expenses incurred by the Administrative Agent, its Affiliates and the LC Australian Collateral Agent including the reasonable and documented or invoiced fees, charges and disbursements of counsel for the Administrative Agent (or any sub-agent thereof) (including one local counsel in each applicable jurisdiction) in connection with the preparation, execution and enforcement of this Amendment.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Amendment and all other documents executed in connection herewith and the rights and obligations of the parties hereto and thereto, shall be construed in accordance with and governed by the law of the State of New York.</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Submission to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3" w:lineRule="auto"/>
        <w:tabs>
          <w:tab w:leader="none" w:pos="1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(i) agrees that all claims in respect of any such action or proceeding may be heard and determined in such New York State court or, to the extent permitted by law, in such Federal court and (ii) waives its rights to any other jurisdiction that it may be entitled to by virtue of its present or any other future domicile or for any other reason. Each of the parties hereto agrees that a final, non-appealable judgment in any such action or proceeding shall be conclusive and may be enforced in other jurisdictions by suit on the judgment or in any other manner provided by law. Nothing in this Amendment (including this Section 10)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191" w:lineRule="exact"/>
        <w:rPr>
          <w:rFonts w:ascii="Arial" w:cs="Arial" w:eastAsia="Arial" w:hAnsi="Arial"/>
          <w:sz w:val="18"/>
          <w:szCs w:val="18"/>
          <w:color w:val="auto"/>
        </w:rPr>
      </w:pPr>
    </w:p>
    <w:p>
      <w:pPr>
        <w:jc w:val="both"/>
        <w:ind w:firstLine="656"/>
        <w:spacing w:after="0" w:line="259" w:lineRule="auto"/>
        <w:tabs>
          <w:tab w:leader="none" w:pos="1487"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Obligor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Obligor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jc w:val="both"/>
        <w:ind w:firstLine="656"/>
        <w:spacing w:after="0" w:line="301" w:lineRule="auto"/>
        <w:tabs>
          <w:tab w:leader="none" w:pos="1396"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party to this Amendment irrevocably consents to service of process in the manner provided for notices in Section 11.02 of the LC Credit Agreement other than by facsimile. Nothing in this Amendment or any other Loan Document will affect the right of any party to this Amendment or any other Loan Document to serve process in any other manner permitted by law. Notwithstanding any other provision of this Amendment, each foreign Obligor hereby irrevocably designates CT Corporation System, 111 8th Avenue, New York, New York 10011, as the designee,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appointee and agent of such Obligor to receive, for and on behalf of such Obligor, service of process in the State of New York in any suit, action or proceeding arising out of or relating to this Amendment or any other Loan Document. For such purpose, each Obligor organized under the laws of Mexico shall deliver to the Administrative Agent a copy of the public deed that contains an irrevocable special power of attorney for lawsuits and collections (</w:t>
      </w:r>
      <w:r>
        <w:rPr>
          <w:rFonts w:ascii="Arial" w:cs="Arial" w:eastAsia="Arial" w:hAnsi="Arial"/>
          <w:sz w:val="18"/>
          <w:szCs w:val="18"/>
          <w:i w:val="1"/>
          <w:iCs w:val="1"/>
          <w:color w:val="auto"/>
        </w:rPr>
        <w:t>poder</w:t>
      </w:r>
      <w:r>
        <w:rPr>
          <w:rFonts w:ascii="Arial" w:cs="Arial" w:eastAsia="Arial" w:hAnsi="Arial"/>
          <w:sz w:val="18"/>
          <w:szCs w:val="18"/>
          <w:color w:val="auto"/>
        </w:rPr>
        <w:t xml:space="preserve"> </w:t>
      </w:r>
      <w:r>
        <w:rPr>
          <w:rFonts w:ascii="Arial" w:cs="Arial" w:eastAsia="Arial" w:hAnsi="Arial"/>
          <w:sz w:val="18"/>
          <w:szCs w:val="18"/>
          <w:i w:val="1"/>
          <w:iCs w:val="1"/>
          <w:color w:val="auto"/>
        </w:rPr>
        <w:t>para pleitos y cobranzas</w:t>
      </w:r>
      <w:r>
        <w:rPr>
          <w:rFonts w:ascii="Arial" w:cs="Arial" w:eastAsia="Arial" w:hAnsi="Arial"/>
          <w:sz w:val="18"/>
          <w:szCs w:val="18"/>
          <w:color w:val="auto"/>
        </w:rPr>
        <w:t>) in terms of the first and fourth paragraphs of Article 2554 of the Federal Civil Code (</w:t>
      </w:r>
      <w:r>
        <w:rPr>
          <w:rFonts w:ascii="Arial" w:cs="Arial" w:eastAsia="Arial" w:hAnsi="Arial"/>
          <w:sz w:val="18"/>
          <w:szCs w:val="18"/>
          <w:i w:val="1"/>
          <w:iCs w:val="1"/>
          <w:color w:val="auto"/>
        </w:rPr>
        <w:t>Código Civil Federal</w:t>
      </w:r>
      <w:r>
        <w:rPr>
          <w:rFonts w:ascii="Arial" w:cs="Arial" w:eastAsia="Arial" w:hAnsi="Arial"/>
          <w:sz w:val="18"/>
          <w:szCs w:val="18"/>
          <w:color w:val="auto"/>
        </w:rPr>
        <w:t>) of Mexico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provisions of the Civil Codes of the States of Mexico (or any successor provisions) granted before a Mexican notary public, in form and substance reasonably satisfactory to the Administrative Agent.</w:t>
      </w:r>
    </w:p>
    <w:p>
      <w:pPr>
        <w:spacing w:after="0" w:line="192" w:lineRule="exact"/>
        <w:rPr>
          <w:sz w:val="20"/>
          <w:szCs w:val="20"/>
          <w:color w:val="auto"/>
        </w:rPr>
      </w:pPr>
    </w:p>
    <w:p>
      <w:pPr>
        <w:jc w:val="both"/>
        <w:ind w:firstLine="656"/>
        <w:spacing w:after="0" w:line="25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Obligor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7" w:lineRule="exact"/>
        <w:rPr>
          <w:rFonts w:ascii="Arial" w:cs="Arial" w:eastAsia="Arial" w:hAnsi="Arial"/>
          <w:sz w:val="18"/>
          <w:szCs w:val="18"/>
          <w:color w:val="auto"/>
        </w:rPr>
      </w:pPr>
    </w:p>
    <w:p>
      <w:pPr>
        <w:jc w:val="both"/>
        <w:ind w:firstLine="656"/>
        <w:spacing w:after="0" w:line="291" w:lineRule="auto"/>
        <w:tabs>
          <w:tab w:leader="none" w:pos="141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Administrative Agent and each Lender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52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Administrative Agent and each Lender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(e) of this Section. Each of the Administrative Agent and each Lender hereby irrevocably waives, to the fullest extent permitted by law, the defense of an inconvenient forum to the maintenance of such action or proceeding in any such court.</w:t>
      </w:r>
    </w:p>
    <w:p>
      <w:pPr>
        <w:spacing w:after="0" w:line="187" w:lineRule="exact"/>
        <w:rPr>
          <w:rFonts w:ascii="Arial" w:cs="Arial" w:eastAsia="Arial" w:hAnsi="Arial"/>
          <w:sz w:val="18"/>
          <w:szCs w:val="18"/>
          <w:color w:val="auto"/>
        </w:rPr>
      </w:pPr>
    </w:p>
    <w:p>
      <w:pPr>
        <w:jc w:val="both"/>
        <w:ind w:firstLine="656"/>
        <w:spacing w:after="0" w:line="286" w:lineRule="auto"/>
        <w:tabs>
          <w:tab w:leader="none" w:pos="1474"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spacing w:after="0" w:line="274" w:lineRule="auto"/>
        <w:rPr>
          <w:sz w:val="20"/>
          <w:szCs w:val="20"/>
          <w:color w:val="auto"/>
        </w:rPr>
      </w:pPr>
      <w:r>
        <w:rPr>
          <w:rFonts w:ascii="Arial" w:cs="Arial" w:eastAsia="Arial" w:hAnsi="Arial"/>
          <w:sz w:val="17"/>
          <w:szCs w:val="17"/>
          <w:color w:val="auto"/>
        </w:rPr>
        <w:t>INDIRECTLY ARISING OUT OF OR RELATING TO THIS AMENDMENT, THE OTHER LOAN DOCUMENTS OR THE TRANSACTIONS CONTEMPLATED HEREBY AND THEREBY (WHETHER BASED ON CONTRACT, TORT OR ANY OTHER THEORY). EACH PARTY HERETO</w:t>
      </w:r>
    </w:p>
    <w:p>
      <w:pPr>
        <w:jc w:val="both"/>
        <w:ind w:firstLine="8"/>
        <w:spacing w:after="0" w:line="273" w:lineRule="auto"/>
        <w:tabs>
          <w:tab w:leader="none" w:pos="339" w:val="left"/>
        </w:tabs>
        <w:numPr>
          <w:ilvl w:val="0"/>
          <w:numId w:val="8"/>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AND THE OTHER LOAN DOCUMENTS BY, AMONG OTHER THINGS, THE MUTUAL WAIVERS AND CERTIFICATIONS IN THIS SECTION.</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Release</w:t>
      </w:r>
      <w:r>
        <w:rPr>
          <w:rFonts w:ascii="Arial" w:cs="Arial" w:eastAsia="Arial" w:hAnsi="Arial"/>
          <w:sz w:val="16"/>
          <w:szCs w:val="16"/>
          <w:color w:val="auto"/>
        </w:rPr>
        <w:t>. On and as of the Amendment No. 2 Effective Date, each of the Obligors (on behalf of itself and its Affiliates) and its successors-in-title, legal representatives and assignees and, to the extent the same is claimed by right of, through or under any of the Obligors, for its past, present and future employees, agents, representatives, officers, directors, shareholders, and trustees (each, a “</w:t>
      </w:r>
      <w:r>
        <w:rPr>
          <w:rFonts w:ascii="Arial" w:cs="Arial" w:eastAsia="Arial" w:hAnsi="Arial"/>
          <w:sz w:val="16"/>
          <w:szCs w:val="16"/>
          <w:u w:val="single" w:color="auto"/>
          <w:color w:val="auto"/>
        </w:rPr>
        <w:t>Releasing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Releasing Parties</w:t>
      </w:r>
      <w:r>
        <w:rPr>
          <w:rFonts w:ascii="Arial" w:cs="Arial" w:eastAsia="Arial" w:hAnsi="Arial"/>
          <w:sz w:val="16"/>
          <w:szCs w:val="16"/>
          <w:color w:val="auto"/>
        </w:rPr>
        <w:t>”), does hereby release and discharge, and shall be deemed to have forever released and discharged, the Credit Parties and the Credit Parties’ respective successors-in-title, legal representatives and assignees, past, present and future officers, directors, affiliates, shareholders, trustees, agents, employees, consultants, experts, advisors, attorneys and other professionals and all other persons and entities to whom any of the foregoing would be liable if such persons or entities were found to be liable to any Releasing Party, or any of them, in each case in their capacity as such (collectively hereinafter the “</w:t>
      </w:r>
      <w:r>
        <w:rPr>
          <w:rFonts w:ascii="Arial" w:cs="Arial" w:eastAsia="Arial" w:hAnsi="Arial"/>
          <w:sz w:val="16"/>
          <w:szCs w:val="16"/>
          <w:u w:val="single" w:color="auto"/>
          <w:color w:val="auto"/>
        </w:rPr>
        <w:t>Lender Parties</w:t>
      </w:r>
      <w:r>
        <w:rPr>
          <w:rFonts w:ascii="Arial" w:cs="Arial" w:eastAsia="Arial" w:hAnsi="Arial"/>
          <w:sz w:val="16"/>
          <w:szCs w:val="16"/>
          <w:color w:val="auto"/>
        </w:rPr>
        <w:t>”),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so called “lender liability” claims, interest or other carrying costs, penalties, legal, accounting and other professional fees and expenses and incidental, consequential and punitive damages payable to third parties, or any claims arising under 11 U.S.C. §§ 541-550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Lender Parties in their capacities as such under any of the Loan Documents, whether held in a personal or representative capacity, solely to the extent based on any act, fact, event or omission or other matter, cause or thing occurring at or from any time prior to and including (but not after) the date hereof in any way, directly or indirectly arising out of, connected with or relating to any of this Amendment, the Loan Documents and the transactions contemplated hereby or thereby, or any other agreements, certificates, instruments and other documents and statements (whether written or oral) related to any of the foregoing (each, a “</w:t>
      </w:r>
      <w:r>
        <w:rPr>
          <w:rFonts w:ascii="Arial" w:cs="Arial" w:eastAsia="Arial" w:hAnsi="Arial"/>
          <w:sz w:val="16"/>
          <w:szCs w:val="16"/>
          <w:u w:val="single" w:color="auto"/>
          <w:color w:val="auto"/>
        </w:rPr>
        <w:t>Claim</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12.</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This Amendment, the LC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No. 2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right="20" w:firstLine="648"/>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Lender Authorization</w:t>
      </w:r>
      <w:r>
        <w:rPr>
          <w:rFonts w:ascii="Arial" w:cs="Arial" w:eastAsia="Arial" w:hAnsi="Arial"/>
          <w:sz w:val="18"/>
          <w:szCs w:val="18"/>
          <w:color w:val="auto"/>
        </w:rPr>
        <w:t>. The Lenders hereby authorize and direct the Administrative Agent to execute, deliver and perform this Amendment.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Guarantor Signatures</w:t>
      </w:r>
      <w:r>
        <w:rPr>
          <w:rFonts w:ascii="Arial" w:cs="Arial" w:eastAsia="Arial" w:hAnsi="Arial"/>
          <w:sz w:val="18"/>
          <w:szCs w:val="18"/>
          <w:color w:val="auto"/>
        </w:rPr>
        <w:t>. Each Guarantor, in its capacity as such, agrees that it is executing this Amendment in order to, and hereby does, ratify and reaffirm its obligations under the Affiliate Guaranty.</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Designation</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4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Borrowers and the LC Australian Collateral Agent (acting on the instructions of the LC Administrative Agent), hereby agree and acknowledge that this Amendment is a “Secured Document” for the purposes of the Security Trust Deed.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7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LC Australian Collateral Agent in its capacity as trustee of the Weatherford Security Trust and each Obligor expressed to be a party to a Transaction Security Interest (as defined in the Security Trust Deed) hereby agree and acknowledge that this Amendment is a “Finance Document” for the purposes of each such Transaction Security Interest.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Limitation of Liability of LC Australian Collateral Agent</w:t>
      </w:r>
      <w:r>
        <w:rPr>
          <w:rFonts w:ascii="Arial" w:cs="Arial" w:eastAsia="Arial" w:hAnsi="Arial"/>
          <w:sz w:val="18"/>
          <w:szCs w:val="18"/>
          <w:color w:val="auto"/>
        </w:rPr>
        <w:t xml:space="preserve">. Clause 3.14 (Limitations of liability of LC Australian Collateral Agent) of the Security Trust Deed is incorporated by reference in this Amendment as if set out in full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BORROWERS: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c>
          <w:tcPr>
            <w:tcW w:w="112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c>
          <w:tcPr>
            <w:tcW w:w="112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c>
          <w:tcPr>
            <w:tcW w:w="1120" w:type="dxa"/>
            <w:vAlign w:val="bottom"/>
          </w:tcPr>
          <w:p>
            <w:pPr>
              <w:spacing w:after="0"/>
              <w:rPr>
                <w:sz w:val="20"/>
                <w:szCs w:val="20"/>
                <w:color w:val="auto"/>
              </w:rPr>
            </w:pP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WEATHERFORD INTERNATIONAL, LLC</w:t>
            </w:r>
          </w:p>
        </w:tc>
        <w:tc>
          <w:tcPr>
            <w:tcW w:w="112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c>
          <w:tcPr>
            <w:tcW w:w="1120" w:type="dxa"/>
            <w:vAlign w:val="bottom"/>
            <w:tcBorders>
              <w:bottom w:val="single" w:sz="8" w:color="auto"/>
            </w:tcBorders>
          </w:tcPr>
          <w:p>
            <w:pPr>
              <w:spacing w:after="0"/>
              <w:rPr>
                <w:sz w:val="24"/>
                <w:szCs w:val="24"/>
                <w:color w:val="auto"/>
              </w:rPr>
            </w:pP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c>
          <w:tcPr>
            <w:tcW w:w="112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Vice President and Secretary</w:t>
            </w: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Title:  Executive Vice President, General Counsel</w:t>
            </w:r>
          </w:p>
        </w:tc>
      </w:tr>
      <w:tr>
        <w:trPr>
          <w:trHeight w:val="230"/>
        </w:trPr>
        <w:tc>
          <w:tcPr>
            <w:tcW w:w="56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and 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ind w:left="4500"/>
        <w:spacing w:after="0"/>
        <w:rPr>
          <w:sz w:val="20"/>
          <w:szCs w:val="20"/>
          <w:color w:val="auto"/>
        </w:rPr>
      </w:pPr>
      <w:r>
        <w:rPr>
          <w:rFonts w:ascii="Arial" w:cs="Arial" w:eastAsia="Arial" w:hAnsi="Arial"/>
          <w:sz w:val="18"/>
          <w:szCs w:val="18"/>
          <w:b w:val="1"/>
          <w:bCs w:val="1"/>
          <w:color w:val="auto"/>
        </w:rPr>
        <w:t>GUARANTORS:</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VISUAL SYSTEMS,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INTERNATIONAL LOGGING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INTERNATIONAL LOGGING S.A.,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COLUMBIA OILFIELD SUPPLY,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ADVANTAGE R &amp; D,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DATALOG ACQUISITION,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TECHNOLOGY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MANAGEMENT,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(PTWI),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LATIN AMERICA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WUS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COLOMBIA PETROLEUM SERVICES CORP.</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PRECISION DRILLING GP,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URS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WARRIOR WELL SERVICES,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GLOBAL SERVICES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HIGH PRESSURE INTEGRITY,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DISC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EPRODUCTION SOLUTIONS,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DISCOVERY LOGGING,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IN-DEPTH SYSTEMS,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BENMORE IN-DEPTH CORP.</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VISEAN INFORMATION SERVICES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TOOKE ROCKIES, INC.</w:t>
      </w:r>
    </w:p>
    <w:p>
      <w:pPr>
        <w:spacing w:after="0" w:line="200" w:lineRule="exact"/>
        <w:rPr>
          <w:sz w:val="20"/>
          <w:szCs w:val="20"/>
          <w:color w:val="auto"/>
        </w:rPr>
      </w:pPr>
    </w:p>
    <w:p>
      <w:pPr>
        <w:spacing w:after="0" w:line="254"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Vice President &amp; Secretary</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color w:val="auto"/>
        </w:rPr>
        <w:t>WEATHERFORD CANADA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COLOMBIA LTD.</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Pamela M. Webb</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Pamela M. Webb</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HOLDING (BERMUDA) LTD.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color w:val="auto"/>
              </w:rPr>
              <w:t>WEATHERFORD SERVICES, LTD.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(BERMUDA) LTD.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color w:val="auto"/>
              </w:rPr>
              <w:t>HELIX EQUIPMENT LEASING LIMITED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00"/>
          </w:cols>
          <w:pgMar w:left="1440" w:top="800" w:right="75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color w:val="auto"/>
        </w:rPr>
        <w:t>KEY INTERNATIONAL DRILLING COMPANY LIMITED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M. Rothleitner</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Mark M. Rothleitner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 Treasurer</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HOLDINGS (BVI) LTD.</w:t>
      </w:r>
    </w:p>
    <w:p>
      <w:pPr>
        <w:spacing w:after="0" w:line="2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MIDDLE EAST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 (BVI)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0" w:right="35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Strachan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Strachan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EURASIA LIMITED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Strachan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Strachan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MANAGEMENT COMPANY SWITZERLAND SÀRL</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00" w:lineRule="exact"/>
        <w:rPr>
          <w:sz w:val="20"/>
          <w:szCs w:val="20"/>
          <w:color w:val="auto"/>
        </w:rPr>
      </w:pPr>
    </w:p>
    <w:p>
      <w:pPr>
        <w:spacing w:after="0" w:line="227" w:lineRule="exact"/>
        <w:rPr>
          <w:sz w:val="20"/>
          <w:szCs w:val="20"/>
          <w:color w:val="auto"/>
        </w:rPr>
      </w:pPr>
    </w:p>
    <w:p>
      <w:pPr>
        <w:ind w:left="4520" w:right="12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17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WORLDWIDE HOLDINGS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800" w:right="499"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C. Weatherholt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Kurt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Kurt Meyer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NETHERLANDS B.V.</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 Willem Versteeg</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August Willem Versteeg</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color w:val="auto"/>
              </w:rPr>
              <w:t>WEATHERFORD NORGE AS</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Geir Egil Olsen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Geir Egil Olsen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of the Board</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S. DE R.L.</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Administrator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0" w:name="page21"/>
    <w:bookmarkEnd w:id="20"/>
    <w:p>
      <w:pPr>
        <w:ind w:left="4520"/>
        <w:spacing w:after="0" w:line="258" w:lineRule="auto"/>
        <w:rPr>
          <w:sz w:val="20"/>
          <w:szCs w:val="20"/>
          <w:color w:val="auto"/>
        </w:rPr>
      </w:pPr>
      <w:r>
        <w:rPr>
          <w:rFonts w:ascii="Arial" w:cs="Arial" w:eastAsia="Arial" w:hAnsi="Arial"/>
          <w:sz w:val="18"/>
          <w:szCs w:val="18"/>
          <w:color w:val="auto"/>
        </w:rPr>
        <w:t>WEATHERFORD INTERNATIONAL (LUXEMBOURG) HOLDINGS S.À R.L.</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R.C.S. Luxembourg B146.622</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jc w:val="center"/>
        <w:ind w:left="3600"/>
        <w:spacing w:after="0"/>
        <w:tabs>
          <w:tab w:leader="none" w:pos="160" w:val="left"/>
        </w:tabs>
        <w:rPr>
          <w:sz w:val="20"/>
          <w:szCs w:val="20"/>
          <w:color w:val="auto"/>
        </w:rPr>
      </w:pPr>
      <w:r>
        <w:rPr>
          <w:rFonts w:ascii="Arial" w:cs="Arial" w:eastAsia="Arial" w:hAnsi="Arial"/>
          <w:sz w:val="18"/>
          <w:szCs w:val="18"/>
          <w:color w:val="auto"/>
        </w:rPr>
        <w:t>Title:</w:t>
        <w:tab/>
        <w:t>Manager A</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Sebastien Francois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Sebastien Francois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 A</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800"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WEATHERFORD IRISH HOLDINGS LIMITED by its lawfully appointed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Pam Davis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-130175</wp:posOffset>
            </wp:positionV>
            <wp:extent cx="2828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Pam Davis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Print 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-130175</wp:posOffset>
            </wp:positionV>
            <wp:extent cx="28289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2000 St. James Place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Houston, TX 77056</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5715</wp:posOffset>
            </wp:positionV>
            <wp:extent cx="2828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Address of Witness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8289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Occupation of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2820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Signature of Attorney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2820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Print Name of Attorney</w:t>
      </w:r>
    </w:p>
    <w:p>
      <w:pPr>
        <w:spacing w:after="0" w:line="2184" w:lineRule="exact"/>
        <w:rPr>
          <w:sz w:val="20"/>
          <w:szCs w:val="20"/>
          <w:color w:val="auto"/>
        </w:rPr>
      </w:pPr>
    </w:p>
    <w:p>
      <w:pPr>
        <w:sectPr>
          <w:pgSz w:w="11900" w:h="16838" w:orient="portrait"/>
          <w:cols w:equalWidth="0" w:num="2">
            <w:col w:w="4180" w:space="720"/>
            <w:col w:w="4579"/>
          </w:cols>
          <w:pgMar w:left="980" w:top="800" w:right="1440" w:bottom="1440" w:gutter="0" w:footer="0" w:header="0"/>
        </w:sectPr>
      </w:pPr>
    </w:p>
    <w:p>
      <w:pPr>
        <w:spacing w:after="0" w:line="240" w:lineRule="exact"/>
        <w:rPr>
          <w:sz w:val="20"/>
          <w:szCs w:val="20"/>
          <w:color w:val="auto"/>
        </w:rPr>
      </w:pPr>
    </w:p>
    <w:p>
      <w:pPr>
        <w:ind w:left="2780"/>
        <w:spacing w:after="0"/>
        <w:rPr>
          <w:sz w:val="20"/>
          <w:szCs w:val="20"/>
          <w:color w:val="auto"/>
        </w:rPr>
      </w:pPr>
      <w:r>
        <w:rPr>
          <w:rFonts w:ascii="Arial" w:cs="Arial" w:eastAsia="Arial" w:hAnsi="Arial"/>
          <w:sz w:val="16"/>
          <w:szCs w:val="16"/>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252095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800" w:right="1440" w:bottom="1440" w:gutter="0" w:footer="0" w:header="0"/>
          <w:type w:val="continuous"/>
        </w:sectPr>
      </w:pPr>
    </w:p>
    <w:bookmarkStart w:id="22" w:name="page23"/>
    <w:bookmarkEnd w:id="22"/>
    <w:p>
      <w:pPr>
        <w:ind w:left="4520"/>
        <w:spacing w:after="0" w:line="308" w:lineRule="auto"/>
        <w:rPr>
          <w:sz w:val="20"/>
          <w:szCs w:val="20"/>
          <w:color w:val="auto"/>
        </w:rPr>
      </w:pPr>
      <w:r>
        <w:rPr>
          <w:rFonts w:ascii="Arial" w:cs="Arial" w:eastAsia="Arial" w:hAnsi="Arial"/>
          <w:sz w:val="17"/>
          <w:szCs w:val="17"/>
          <w:color w:val="auto"/>
        </w:rPr>
        <w:t>WEATHERFORD AUSTRALIA PTY LIMITED ACN 008 947 395 in accordance with section 127 of the Corporations Act 2001(Cth)</w:t>
      </w:r>
    </w:p>
    <w:p>
      <w:pPr>
        <w:spacing w:after="0" w:line="14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Bruno Teixeira Bezerra</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Bruno Teixeira Bezerra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Antonio DeGasperis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Robert Antonio DeGasperis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1440" w:top="800" w:right="81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color w:val="auto"/>
        </w:rPr>
        <w:t>WEATHERFORD INDUSTRIA E COMERCIO LTDA.</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Alexandre Junior da Silva Nogueira</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Alexandre Junior da Silva Nogueira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4" w:name="page25"/>
    <w:bookmarkEnd w:id="24"/>
    <w:p>
      <w:pPr>
        <w:ind w:left="4520"/>
        <w:spacing w:after="0"/>
        <w:rPr>
          <w:sz w:val="20"/>
          <w:szCs w:val="20"/>
          <w:color w:val="auto"/>
        </w:rPr>
      </w:pPr>
      <w:r>
        <w:rPr>
          <w:rFonts w:ascii="Arial" w:cs="Arial" w:eastAsia="Arial" w:hAnsi="Arial"/>
          <w:sz w:val="17"/>
          <w:szCs w:val="17"/>
          <w:color w:val="auto"/>
        </w:rPr>
        <w:t>WEATHERFORD INTERNATIONAL DE ARGENTINA S.A.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Paula Samperio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Paula Samperio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80"/>
          </w:cols>
          <w:pgMar w:left="1440" w:top="800" w:right="1379"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color w:val="auto"/>
        </w:rPr>
        <w:t>WEATHERFORD DE MÉXICO, S. DE R.L. DE C.V.</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Jose Angeli Arab</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Rafael Jose Angeli Arab</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PD OILFIELD SERVICES MEXICANA, S. DE R.L. DE C.V.</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Jose Angeli Arab</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Rafael Jose Angeli Arab</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20"/>
          </w:cols>
          <w:pgMar w:left="1440" w:top="800" w:right="1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Coseo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Mary Coseo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Briggs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LC AUSTRALIAN COLLATERAL AGENT</w:t>
      </w:r>
      <w:r>
        <w:rPr>
          <w:rFonts w:ascii="Arial" w:cs="Arial" w:eastAsia="Arial" w:hAnsi="Arial"/>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BTA Institutional Services Australia Limited (ABN 48 002 916 396) as LC</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Australian Collateral Agent:</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 attorney: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Ruver</w:t>
            </w:r>
          </w:p>
        </w:tc>
      </w:tr>
      <w:tr>
        <w:trPr>
          <w:trHeight w:val="195"/>
        </w:trPr>
        <w:tc>
          <w:tcPr>
            <w:tcW w:w="11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Andrea Ruver</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under power of attorney dated 1 September 2007 in the presence of:</w:t>
      </w:r>
    </w:p>
    <w:p>
      <w:pPr>
        <w:spacing w:after="0" w:line="2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Witness:</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Nadia Nicolai</w:t>
            </w:r>
          </w:p>
        </w:tc>
      </w:tr>
      <w:tr>
        <w:trPr>
          <w:trHeight w:val="224"/>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tcPr>
          <w:p>
            <w:pPr>
              <w:spacing w:after="0"/>
              <w:rPr>
                <w:sz w:val="20"/>
                <w:szCs w:val="20"/>
                <w:color w:val="auto"/>
              </w:rPr>
            </w:pPr>
            <w:r>
              <w:rPr>
                <w:rFonts w:ascii="Arial" w:cs="Arial" w:eastAsia="Arial" w:hAnsi="Arial"/>
                <w:sz w:val="18"/>
                <w:szCs w:val="18"/>
                <w:color w:val="auto"/>
              </w:rPr>
              <w:t>Nadia Nicolai</w:t>
            </w: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00"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Deutsche Bank, New York,</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Jacopo Dominissini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Jacopo Dominissini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AVP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Deutsche Bank, New York,</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Cedric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Cedric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0" w:lineRule="exact"/>
        <w:rPr>
          <w:sz w:val="20"/>
          <w:szCs w:val="20"/>
          <w:color w:val="auto"/>
        </w:rPr>
      </w:pPr>
    </w:p>
    <w:p>
      <w:pPr>
        <w:jc w:val="right"/>
        <w:ind w:right="1879"/>
        <w:spacing w:after="0"/>
        <w:rPr>
          <w:sz w:val="20"/>
          <w:szCs w:val="20"/>
          <w:color w:val="auto"/>
        </w:rPr>
      </w:pPr>
      <w:r>
        <w:rPr>
          <w:rFonts w:ascii="Arial" w:cs="Arial" w:eastAsia="Arial" w:hAnsi="Arial"/>
          <w:sz w:val="22"/>
          <w:szCs w:val="22"/>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Louise Brechin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Louise Brechin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Executed in Aberdeen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color w:val="auto"/>
        </w:rPr>
        <w:t>Standard Chartered Bank,</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Kristopher Tracy</w:t>
      </w:r>
    </w:p>
    <w:p>
      <w:pPr>
        <w:spacing w:after="0" w:line="23" w:lineRule="exact"/>
        <w:rPr>
          <w:sz w:val="20"/>
          <w:szCs w:val="20"/>
          <w:color w:val="auto"/>
        </w:rPr>
      </w:pPr>
    </w:p>
    <w:p>
      <w:pPr>
        <w:jc w:val="right"/>
        <w:ind w:right="1819"/>
        <w:spacing w:after="0"/>
        <w:tabs>
          <w:tab w:leader="none" w:pos="2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Financing Solutions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1" w:name="page32"/>
    <w:bookmarkEnd w:id="31"/>
    <w:p>
      <w:pPr>
        <w:jc w:val="right"/>
        <w:ind w:right="1779"/>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Marisa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Marisa Moss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2 to LC Credit Agreement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2" w:name="page33"/>
    <w:bookmarkEnd w:id="32"/>
    <w:p>
      <w:pPr>
        <w:ind w:left="4520"/>
        <w:spacing w:after="0"/>
        <w:rPr>
          <w:sz w:val="20"/>
          <w:szCs w:val="20"/>
          <w:color w:val="auto"/>
        </w:rPr>
      </w:pPr>
      <w:r>
        <w:rPr>
          <w:rFonts w:ascii="Arial" w:cs="Arial" w:eastAsia="Arial" w:hAnsi="Arial"/>
          <w:sz w:val="17"/>
          <w:szCs w:val="17"/>
          <w:color w:val="auto"/>
        </w:rPr>
        <w:t>WELLS FARGO BANK, NATIONAL ASSOCIATION,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national banking association,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Janak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3" w:name="page34"/>
    <w:bookmarkEnd w:id="33"/>
    <w:p>
      <w:pPr>
        <w:ind w:left="45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Ivan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Ivan Davey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2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LC CREDIT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 AS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ECEMBER</w:t>
      </w:r>
      <w:r>
        <w:rPr>
          <w:rFonts w:ascii="Arial" w:cs="Arial" w:eastAsia="Arial" w:hAnsi="Arial"/>
          <w:sz w:val="18"/>
          <w:szCs w:val="18"/>
          <w:b w:val="1"/>
          <w:bCs w:val="1"/>
          <w:color w:val="auto"/>
        </w:rPr>
        <w:t xml:space="preserve"> 13, 2019</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as amended by Amendment No. 1 to Credit Agreement, dated as of August 28, 2020 and</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Amendment No. 2 to Credit Agreement, dated as of September 20, 2021</w:t>
      </w: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AMONG</w:t>
      </w:r>
    </w:p>
    <w:p>
      <w:pPr>
        <w:spacing w:after="0" w:line="15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 xml:space="preserve">A </w:t>
      </w:r>
      <w:r>
        <w:rPr>
          <w:rFonts w:ascii="Arial" w:cs="Arial" w:eastAsia="Arial" w:hAnsi="Arial"/>
          <w:sz w:val="17"/>
          <w:szCs w:val="17"/>
          <w:b w:val="1"/>
          <w:bCs w:val="1"/>
          <w:color w:val="auto"/>
        </w:rPr>
        <w:t>B</w:t>
      </w:r>
      <w:r>
        <w:rPr>
          <w:rFonts w:ascii="Arial" w:cs="Arial" w:eastAsia="Arial" w:hAnsi="Arial"/>
          <w:sz w:val="12"/>
          <w:szCs w:val="12"/>
          <w:b w:val="1"/>
          <w:bCs w:val="1"/>
          <w:color w:val="auto"/>
        </w:rPr>
        <w:t>ERMUDA EXEMPTED COMPANY</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AND</w:t>
      </w:r>
    </w:p>
    <w:p>
      <w:pPr>
        <w:spacing w:after="0" w:line="16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LLC,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 xml:space="preserve">A </w:t>
      </w:r>
      <w:r>
        <w:rPr>
          <w:rFonts w:ascii="Arial" w:cs="Arial" w:eastAsia="Arial" w:hAnsi="Arial"/>
          <w:sz w:val="17"/>
          <w:szCs w:val="17"/>
          <w:b w:val="1"/>
          <w:bCs w:val="1"/>
          <w:color w:val="auto"/>
        </w:rPr>
        <w:t>D</w:t>
      </w:r>
      <w:r>
        <w:rPr>
          <w:rFonts w:ascii="Arial" w:cs="Arial" w:eastAsia="Arial" w:hAnsi="Arial"/>
          <w:sz w:val="12"/>
          <w:szCs w:val="12"/>
          <w:b w:val="1"/>
          <w:bCs w:val="1"/>
          <w:color w:val="auto"/>
        </w:rPr>
        <w:t>ELAWARE LIMITED LIABILITY COMPANY</w:t>
      </w:r>
      <w:r>
        <w:rPr>
          <w:rFonts w:ascii="Arial" w:cs="Arial" w:eastAsia="Arial" w:hAnsi="Arial"/>
          <w:sz w:val="17"/>
          <w:szCs w:val="17"/>
          <w:b w:val="1"/>
          <w:bCs w:val="1"/>
          <w:color w:val="auto"/>
        </w:rPr>
        <w: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7"/>
          <w:szCs w:val="17"/>
          <w:b w:val="1"/>
          <w:bCs w:val="1"/>
          <w:color w:val="auto"/>
        </w:rPr>
        <w:t>B</w:t>
      </w:r>
      <w:r>
        <w:rPr>
          <w:rFonts w:ascii="Arial" w:cs="Arial" w:eastAsia="Arial" w:hAnsi="Arial"/>
          <w:sz w:val="12"/>
          <w:szCs w:val="12"/>
          <w:b w:val="1"/>
          <w:bCs w:val="1"/>
          <w:color w:val="auto"/>
        </w:rPr>
        <w:t>ORROWERS</w:t>
      </w:r>
      <w:r>
        <w:rPr>
          <w:rFonts w:ascii="Arial" w:cs="Arial" w:eastAsia="Arial" w:hAnsi="Arial"/>
          <w:sz w:val="17"/>
          <w:szCs w:val="17"/>
          <w:b w:val="1"/>
          <w:bCs w:val="1"/>
          <w:color w:val="auto"/>
        </w:rPr>
        <w:t>,</w:t>
      </w:r>
    </w:p>
    <w:p>
      <w:pPr>
        <w:spacing w:after="0" w:line="13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 PLC</w:t>
      </w:r>
      <w:r>
        <w:rPr>
          <w:rFonts w:ascii="Arial" w:cs="Arial" w:eastAsia="Arial" w:hAnsi="Arial"/>
          <w:sz w:val="18"/>
          <w:szCs w:val="18"/>
          <w:b w:val="1"/>
          <w:bCs w:val="1"/>
          <w:color w:val="auto"/>
        </w:rPr>
        <w: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7"/>
          <w:szCs w:val="17"/>
          <w:b w:val="1"/>
          <w:bCs w:val="1"/>
          <w:color w:val="auto"/>
        </w:rPr>
        <w:t>P</w:t>
      </w:r>
      <w:r>
        <w:rPr>
          <w:rFonts w:ascii="Arial" w:cs="Arial" w:eastAsia="Arial" w:hAnsi="Arial"/>
          <w:sz w:val="12"/>
          <w:szCs w:val="12"/>
          <w:b w:val="1"/>
          <w:bCs w:val="1"/>
          <w:color w:val="auto"/>
        </w:rPr>
        <w:t>ARENT</w:t>
      </w:r>
      <w:r>
        <w:rPr>
          <w:rFonts w:ascii="Arial" w:cs="Arial" w:eastAsia="Arial" w:hAnsi="Arial"/>
          <w:sz w:val="17"/>
          <w:szCs w:val="17"/>
          <w:b w:val="1"/>
          <w:bCs w:val="1"/>
          <w:color w:val="auto"/>
        </w:rPr>
        <w:t>,</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ENDERS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ERETO</w:t>
      </w:r>
      <w:r>
        <w:rPr>
          <w:rFonts w:ascii="Arial" w:cs="Arial" w:eastAsia="Arial" w:hAnsi="Arial"/>
          <w:sz w:val="18"/>
          <w:szCs w:val="18"/>
          <w:b w:val="1"/>
          <w:bCs w:val="1"/>
          <w:color w:val="auto"/>
        </w:rPr>
        <w:t>,</w:t>
      </w:r>
    </w:p>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SSUING</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AMED</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EREIN</w:t>
      </w:r>
      <w:r>
        <w:rPr>
          <w:rFonts w:ascii="Arial" w:cs="Arial" w:eastAsia="Arial" w:hAnsi="Arial"/>
          <w:sz w:val="18"/>
          <w:szCs w:val="18"/>
          <w:b w:val="1"/>
          <w:bCs w:val="1"/>
          <w:color w:val="auto"/>
        </w:rPr>
        <w:t>,</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AND</w:t>
      </w:r>
    </w:p>
    <w:p>
      <w:pPr>
        <w:spacing w:after="0" w:line="16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EUTSCHE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MERICAS</w:t>
      </w:r>
      <w:r>
        <w:rPr>
          <w:rFonts w:ascii="Arial" w:cs="Arial" w:eastAsia="Arial" w:hAnsi="Arial"/>
          <w:sz w:val="18"/>
          <w:szCs w:val="18"/>
          <w:b w:val="1"/>
          <w:bCs w:val="1"/>
          <w:color w:val="auto"/>
        </w:rPr>
        <w:t>,</w:t>
      </w:r>
    </w:p>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7"/>
          <w:szCs w:val="17"/>
          <w:b w:val="1"/>
          <w:bCs w:val="1"/>
          <w:color w:val="auto"/>
        </w:rPr>
        <w:t>A</w:t>
      </w:r>
      <w:r>
        <w:rPr>
          <w:rFonts w:ascii="Arial" w:cs="Arial" w:eastAsia="Arial" w:hAnsi="Arial"/>
          <w:sz w:val="12"/>
          <w:szCs w:val="12"/>
          <w:b w:val="1"/>
          <w:bCs w:val="1"/>
          <w:color w:val="auto"/>
        </w:rPr>
        <w:t xml:space="preserve">DMINISTRATIVE </w:t>
      </w:r>
      <w:r>
        <w:rPr>
          <w:rFonts w:ascii="Arial" w:cs="Arial" w:eastAsia="Arial" w:hAnsi="Arial"/>
          <w:sz w:val="17"/>
          <w:szCs w:val="17"/>
          <w:b w:val="1"/>
          <w:bCs w:val="1"/>
          <w:color w:val="auto"/>
        </w:rPr>
        <w:t>A</w:t>
      </w:r>
      <w:r>
        <w:rPr>
          <w:rFonts w:ascii="Arial" w:cs="Arial" w:eastAsia="Arial" w:hAnsi="Arial"/>
          <w:sz w:val="12"/>
          <w:szCs w:val="12"/>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118745</wp:posOffset>
            </wp:positionV>
            <wp:extent cx="42519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31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EUTSCHE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LLC</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AND</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ARCLAYS</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r>
        <w:rPr>
          <w:rFonts w:ascii="Arial" w:cs="Arial" w:eastAsia="Arial" w:hAnsi="Arial"/>
          <w:sz w:val="18"/>
          <w:szCs w:val="18"/>
          <w:b w:val="1"/>
          <w:bCs w:val="1"/>
          <w:color w:val="auto"/>
        </w:rPr>
        <w:t xml:space="preserve">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7"/>
          <w:szCs w:val="17"/>
          <w:b w:val="1"/>
          <w:bCs w:val="1"/>
          <w:color w:val="auto"/>
        </w:rPr>
        <w:t>J</w:t>
      </w:r>
      <w:r>
        <w:rPr>
          <w:rFonts w:ascii="Arial" w:cs="Arial" w:eastAsia="Arial" w:hAnsi="Arial"/>
          <w:sz w:val="12"/>
          <w:szCs w:val="12"/>
          <w:b w:val="1"/>
          <w:bCs w:val="1"/>
          <w:color w:val="auto"/>
        </w:rPr>
        <w:t xml:space="preserve">OINT </w:t>
      </w:r>
      <w:r>
        <w:rPr>
          <w:rFonts w:ascii="Arial" w:cs="Arial" w:eastAsia="Arial" w:hAnsi="Arial"/>
          <w:sz w:val="17"/>
          <w:szCs w:val="17"/>
          <w:b w:val="1"/>
          <w:bCs w:val="1"/>
          <w:color w:val="auto"/>
        </w:rPr>
        <w:t>L</w:t>
      </w:r>
      <w:r>
        <w:rPr>
          <w:rFonts w:ascii="Arial" w:cs="Arial" w:eastAsia="Arial" w:hAnsi="Arial"/>
          <w:sz w:val="12"/>
          <w:szCs w:val="12"/>
          <w:b w:val="1"/>
          <w:bCs w:val="1"/>
          <w:color w:val="auto"/>
        </w:rPr>
        <w:t xml:space="preserve">EAD </w:t>
      </w:r>
      <w:r>
        <w:rPr>
          <w:rFonts w:ascii="Arial" w:cs="Arial" w:eastAsia="Arial" w:hAnsi="Arial"/>
          <w:sz w:val="17"/>
          <w:szCs w:val="17"/>
          <w:b w:val="1"/>
          <w:bCs w:val="1"/>
          <w:color w:val="auto"/>
        </w:rPr>
        <w:t>A</w:t>
      </w:r>
      <w:r>
        <w:rPr>
          <w:rFonts w:ascii="Arial" w:cs="Arial" w:eastAsia="Arial" w:hAnsi="Arial"/>
          <w:sz w:val="12"/>
          <w:szCs w:val="12"/>
          <w:b w:val="1"/>
          <w:bCs w:val="1"/>
          <w:color w:val="auto"/>
        </w:rPr>
        <w:t xml:space="preserve">RRANGERS AND </w:t>
      </w:r>
      <w:r>
        <w:rPr>
          <w:rFonts w:ascii="Arial" w:cs="Arial" w:eastAsia="Arial" w:hAnsi="Arial"/>
          <w:sz w:val="17"/>
          <w:szCs w:val="17"/>
          <w:b w:val="1"/>
          <w:bCs w:val="1"/>
          <w:color w:val="auto"/>
        </w:rPr>
        <w:t>J</w:t>
      </w:r>
      <w:r>
        <w:rPr>
          <w:rFonts w:ascii="Arial" w:cs="Arial" w:eastAsia="Arial" w:hAnsi="Arial"/>
          <w:sz w:val="12"/>
          <w:szCs w:val="12"/>
          <w:b w:val="1"/>
          <w:bCs w:val="1"/>
          <w:color w:val="auto"/>
        </w:rPr>
        <w:t xml:space="preserve">OINT </w:t>
      </w:r>
      <w:r>
        <w:rPr>
          <w:rFonts w:ascii="Arial" w:cs="Arial" w:eastAsia="Arial" w:hAnsi="Arial"/>
          <w:sz w:val="17"/>
          <w:szCs w:val="17"/>
          <w:b w:val="1"/>
          <w:bCs w:val="1"/>
          <w:color w:val="auto"/>
        </w:rPr>
        <w:t>B</w:t>
      </w:r>
      <w:r>
        <w:rPr>
          <w:rFonts w:ascii="Arial" w:cs="Arial" w:eastAsia="Arial" w:hAnsi="Arial"/>
          <w:sz w:val="12"/>
          <w:szCs w:val="12"/>
          <w:b w:val="1"/>
          <w:bCs w:val="1"/>
          <w:color w:val="auto"/>
        </w:rPr>
        <w:t>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493395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82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1580" w:type="dxa"/>
            <w:vAlign w:val="bottom"/>
            <w:gridSpan w:val="3"/>
          </w:tcPr>
          <w:p>
            <w:pPr>
              <w:ind w:left="1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38"/>
        </w:trPr>
        <w:tc>
          <w:tcPr>
            <w:tcW w:w="1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gridSpan w:val="2"/>
          </w:tcPr>
          <w:p>
            <w:pPr>
              <w:jc w:val="center"/>
              <w:ind w:right="3080"/>
              <w:spacing w:after="0"/>
              <w:rPr>
                <w:sz w:val="20"/>
                <w:szCs w:val="20"/>
                <w:color w:val="auto"/>
              </w:rPr>
            </w:pPr>
            <w:r>
              <w:rPr>
                <w:rFonts w:ascii="Arial" w:cs="Arial" w:eastAsia="Arial" w:hAnsi="Arial"/>
                <w:sz w:val="18"/>
                <w:szCs w:val="18"/>
                <w:color w:val="010000"/>
                <w:w w:val="99"/>
              </w:rPr>
              <w:t>ARTICLE I</w:t>
            </w:r>
          </w:p>
        </w:tc>
        <w:tc>
          <w:tcPr>
            <w:tcW w:w="1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8260" w:type="dxa"/>
            <w:vAlign w:val="bottom"/>
            <w:gridSpan w:val="3"/>
          </w:tcPr>
          <w:p>
            <w:pPr>
              <w:jc w:val="center"/>
              <w:ind w:left="50"/>
              <w:spacing w:after="0"/>
              <w:rPr>
                <w:sz w:val="20"/>
                <w:szCs w:val="20"/>
                <w:color w:val="auto"/>
              </w:rPr>
            </w:pPr>
            <w:r>
              <w:rPr>
                <w:rFonts w:ascii="Arial" w:cs="Arial" w:eastAsia="Arial" w:hAnsi="Arial"/>
                <w:sz w:val="18"/>
                <w:szCs w:val="18"/>
                <w:color w:val="auto"/>
                <w:w w:val="96"/>
              </w:rPr>
              <w:t>DEFINITIONS; ACCOUNTING TERMS; INTERPRETATION</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1.01</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Definitions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1.02</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Accounting Terms; Changes in GAAP</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1.03</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Interpretation</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1.04</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LLC Divisions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1.05</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Luxembourg Terms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1.06</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Dutch Terms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1.07</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Centre of Main Interest</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1.08</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Quebec Terms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gridSpan w:val="2"/>
          </w:tcPr>
          <w:p>
            <w:pPr>
              <w:jc w:val="center"/>
              <w:ind w:right="3100"/>
              <w:spacing w:after="0"/>
              <w:rPr>
                <w:sz w:val="20"/>
                <w:szCs w:val="20"/>
                <w:color w:val="auto"/>
              </w:rPr>
            </w:pPr>
            <w:r>
              <w:rPr>
                <w:rFonts w:ascii="Arial" w:cs="Arial" w:eastAsia="Arial" w:hAnsi="Arial"/>
                <w:sz w:val="18"/>
                <w:szCs w:val="18"/>
                <w:color w:val="010000"/>
              </w:rPr>
              <w:t>ARTICLE II</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020" w:type="dxa"/>
            <w:vAlign w:val="bottom"/>
            <w:gridSpan w:val="2"/>
          </w:tcPr>
          <w:p>
            <w:pPr>
              <w:jc w:val="center"/>
              <w:ind w:right="3100"/>
              <w:spacing w:after="0"/>
              <w:rPr>
                <w:sz w:val="20"/>
                <w:szCs w:val="20"/>
                <w:color w:val="auto"/>
              </w:rPr>
            </w:pPr>
            <w:r>
              <w:rPr>
                <w:rFonts w:ascii="Arial" w:cs="Arial" w:eastAsia="Arial" w:hAnsi="Arial"/>
                <w:sz w:val="18"/>
                <w:szCs w:val="18"/>
                <w:color w:val="auto"/>
                <w:w w:val="99"/>
              </w:rPr>
              <w:t>COMMITMENTS</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2.01</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Termination and Reduction of Commitments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2.02</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Repayment of Obligations; Evidence of Debt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2.03</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Prepayment of Obligations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2.04</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Fees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2.05</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Interest</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2.06</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Alternate Rate of Fees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2.07</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Increased Costs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2.08</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Several Liability; Agreement to Defer Exercise of Right of Contribution, Etc.</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2.09</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Determination of Exchange Rates; Cash Collateralization as a Result of Currency Fluctuations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2.10</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Defaulting Lenders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2.11</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Increase in Commitments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2.12</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Activity Reports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gridSpan w:val="2"/>
          </w:tcPr>
          <w:p>
            <w:pPr>
              <w:jc w:val="center"/>
              <w:ind w:right="3080"/>
              <w:spacing w:after="0"/>
              <w:rPr>
                <w:sz w:val="20"/>
                <w:szCs w:val="20"/>
                <w:color w:val="auto"/>
              </w:rPr>
            </w:pPr>
            <w:r>
              <w:rPr>
                <w:rFonts w:ascii="Arial" w:cs="Arial" w:eastAsia="Arial" w:hAnsi="Arial"/>
                <w:sz w:val="18"/>
                <w:szCs w:val="18"/>
                <w:color w:val="010000"/>
              </w:rPr>
              <w:t>ARTICLE III</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020" w:type="dxa"/>
            <w:vAlign w:val="bottom"/>
            <w:gridSpan w:val="2"/>
          </w:tcPr>
          <w:p>
            <w:pPr>
              <w:jc w:val="center"/>
              <w:ind w:right="3080"/>
              <w:spacing w:after="0"/>
              <w:rPr>
                <w:sz w:val="20"/>
                <w:szCs w:val="20"/>
                <w:color w:val="auto"/>
              </w:rPr>
            </w:pPr>
            <w:r>
              <w:rPr>
                <w:rFonts w:ascii="Arial" w:cs="Arial" w:eastAsia="Arial" w:hAnsi="Arial"/>
                <w:sz w:val="18"/>
                <w:szCs w:val="18"/>
                <w:color w:val="auto"/>
                <w:w w:val="95"/>
              </w:rPr>
              <w:t>LETTERS OF CREDIT</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3.01</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Letters of Credit</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gridSpan w:val="2"/>
          </w:tcPr>
          <w:p>
            <w:pPr>
              <w:jc w:val="center"/>
              <w:ind w:right="3080"/>
              <w:spacing w:after="0"/>
              <w:rPr>
                <w:sz w:val="20"/>
                <w:szCs w:val="20"/>
                <w:color w:val="auto"/>
              </w:rPr>
            </w:pPr>
            <w:r>
              <w:rPr>
                <w:rFonts w:ascii="Arial" w:cs="Arial" w:eastAsia="Arial" w:hAnsi="Arial"/>
                <w:sz w:val="18"/>
                <w:szCs w:val="18"/>
                <w:color w:val="010000"/>
                <w:w w:val="99"/>
              </w:rPr>
              <w:t>ARTICLE IV</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826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PAYMENTS; PRO RATA TREATMENT; TAXES</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4.01</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Payments Generally; Pro Rata Treatment; Sharing of Set-offs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4.02</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Taxes/Additional Payments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4.03</w:t>
            </w:r>
          </w:p>
        </w:tc>
        <w:tc>
          <w:tcPr>
            <w:tcW w:w="8260" w:type="dxa"/>
            <w:vAlign w:val="bottom"/>
            <w:gridSpan w:val="3"/>
            <w:shd w:val="clear" w:color="auto" w:fill="C6F4F9"/>
          </w:tcPr>
          <w:p>
            <w:pPr>
              <w:ind w:left="280"/>
              <w:spacing w:after="0"/>
              <w:rPr>
                <w:sz w:val="20"/>
                <w:szCs w:val="20"/>
                <w:color w:val="auto"/>
              </w:rPr>
            </w:pPr>
            <w:r>
              <w:rPr>
                <w:rFonts w:ascii="Arial" w:cs="Arial" w:eastAsia="Arial" w:hAnsi="Arial"/>
                <w:sz w:val="18"/>
                <w:szCs w:val="18"/>
                <w:color w:val="auto"/>
              </w:rPr>
              <w:t>Mitigation Obligations; Replacement of Lenders</w:t>
            </w:r>
          </w:p>
        </w:tc>
        <w:tc>
          <w:tcPr>
            <w:tcW w:w="15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4.04</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rPr>
              <w:t>Financial Assistance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4.05</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UK Limitation</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7700" w:type="dxa"/>
            <w:vAlign w:val="bottom"/>
          </w:tcPr>
          <w:p>
            <w:pPr>
              <w:jc w:val="center"/>
              <w:ind w:left="610"/>
              <w:spacing w:after="0"/>
              <w:rPr>
                <w:sz w:val="20"/>
                <w:szCs w:val="20"/>
                <w:color w:val="auto"/>
              </w:rPr>
            </w:pPr>
            <w:r>
              <w:rPr>
                <w:rFonts w:ascii="Arial" w:cs="Arial" w:eastAsia="Arial" w:hAnsi="Arial"/>
                <w:sz w:val="18"/>
                <w:szCs w:val="18"/>
                <w:color w:val="010000"/>
                <w:w w:val="98"/>
              </w:rPr>
              <w:t>ARTICLE V</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700" w:type="dxa"/>
            <w:vAlign w:val="bottom"/>
          </w:tcPr>
          <w:p>
            <w:pPr>
              <w:jc w:val="center"/>
              <w:ind w:left="630"/>
              <w:spacing w:after="0"/>
              <w:rPr>
                <w:sz w:val="20"/>
                <w:szCs w:val="20"/>
                <w:color w:val="auto"/>
              </w:rPr>
            </w:pPr>
            <w:r>
              <w:rPr>
                <w:rFonts w:ascii="Arial" w:cs="Arial" w:eastAsia="Arial" w:hAnsi="Arial"/>
                <w:sz w:val="18"/>
                <w:szCs w:val="18"/>
                <w:color w:val="auto"/>
                <w:w w:val="95"/>
              </w:rPr>
              <w:t>CONDITIONS PRECEDENT</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5.01</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Conditions Precedent to the Effective Date</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5.02</w:t>
            </w:r>
          </w:p>
        </w:tc>
        <w:tc>
          <w:tcPr>
            <w:tcW w:w="7700" w:type="dxa"/>
            <w:vAlign w:val="bottom"/>
          </w:tcPr>
          <w:p>
            <w:pPr>
              <w:ind w:left="280"/>
              <w:spacing w:after="0"/>
              <w:rPr>
                <w:sz w:val="20"/>
                <w:szCs w:val="20"/>
                <w:color w:val="auto"/>
              </w:rPr>
            </w:pPr>
            <w:r>
              <w:rPr>
                <w:rFonts w:ascii="Arial" w:cs="Arial" w:eastAsia="Arial" w:hAnsi="Arial"/>
                <w:sz w:val="18"/>
                <w:szCs w:val="18"/>
                <w:color w:val="auto"/>
              </w:rPr>
              <w:t>Conditions Precedent to All Credit Events</w:t>
            </w:r>
          </w:p>
        </w:tc>
        <w:tc>
          <w:tcPr>
            <w:tcW w:w="21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20" w:type="dxa"/>
            <w:vAlign w:val="bottom"/>
          </w:tcPr>
          <w:p>
            <w:pPr>
              <w:spacing w:after="0"/>
              <w:rPr>
                <w:sz w:val="24"/>
                <w:szCs w:val="24"/>
                <w:color w:val="auto"/>
              </w:rPr>
            </w:pPr>
          </w:p>
        </w:tc>
        <w:tc>
          <w:tcPr>
            <w:tcW w:w="7700" w:type="dxa"/>
            <w:vAlign w:val="bottom"/>
          </w:tcPr>
          <w:p>
            <w:pPr>
              <w:jc w:val="center"/>
              <w:ind w:left="630"/>
              <w:spacing w:after="0"/>
              <w:rPr>
                <w:sz w:val="20"/>
                <w:szCs w:val="20"/>
                <w:color w:val="auto"/>
              </w:rPr>
            </w:pPr>
            <w:r>
              <w:rPr>
                <w:rFonts w:ascii="Arial" w:cs="Arial" w:eastAsia="Arial" w:hAnsi="Arial"/>
                <w:sz w:val="18"/>
                <w:szCs w:val="18"/>
                <w:color w:val="010000"/>
                <w:w w:val="99"/>
              </w:rPr>
              <w:t>ARTICLE VI</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700" w:type="dxa"/>
            <w:vAlign w:val="bottom"/>
          </w:tcPr>
          <w:p>
            <w:pPr>
              <w:jc w:val="center"/>
              <w:ind w:left="610"/>
              <w:spacing w:after="0"/>
              <w:rPr>
                <w:sz w:val="20"/>
                <w:szCs w:val="20"/>
                <w:color w:val="auto"/>
              </w:rPr>
            </w:pPr>
            <w:r>
              <w:rPr>
                <w:rFonts w:ascii="Arial" w:cs="Arial" w:eastAsia="Arial" w:hAnsi="Arial"/>
                <w:sz w:val="18"/>
                <w:szCs w:val="18"/>
                <w:color w:val="auto"/>
                <w:w w:val="95"/>
              </w:rPr>
              <w:t>REPRESENTATIONS AND WARRANTIES</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6.01</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Organization and Qualification</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6.02</w:t>
            </w:r>
          </w:p>
        </w:tc>
        <w:tc>
          <w:tcPr>
            <w:tcW w:w="7700" w:type="dxa"/>
            <w:vAlign w:val="bottom"/>
          </w:tcPr>
          <w:p>
            <w:pPr>
              <w:ind w:left="280"/>
              <w:spacing w:after="0"/>
              <w:rPr>
                <w:sz w:val="20"/>
                <w:szCs w:val="20"/>
                <w:color w:val="auto"/>
              </w:rPr>
            </w:pPr>
            <w:r>
              <w:rPr>
                <w:rFonts w:ascii="Arial" w:cs="Arial" w:eastAsia="Arial" w:hAnsi="Arial"/>
                <w:sz w:val="18"/>
                <w:szCs w:val="18"/>
                <w:color w:val="auto"/>
              </w:rPr>
              <w:t>Authorization, Validity, Etc.</w:t>
            </w:r>
          </w:p>
        </w:tc>
        <w:tc>
          <w:tcPr>
            <w:tcW w:w="21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6.03</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Governmental Consents, Etc.</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6.04</w:t>
            </w:r>
          </w:p>
        </w:tc>
        <w:tc>
          <w:tcPr>
            <w:tcW w:w="7700" w:type="dxa"/>
            <w:vAlign w:val="bottom"/>
          </w:tcPr>
          <w:p>
            <w:pPr>
              <w:ind w:left="280"/>
              <w:spacing w:after="0"/>
              <w:rPr>
                <w:sz w:val="20"/>
                <w:szCs w:val="20"/>
                <w:color w:val="auto"/>
              </w:rPr>
            </w:pPr>
            <w:r>
              <w:rPr>
                <w:rFonts w:ascii="Arial" w:cs="Arial" w:eastAsia="Arial" w:hAnsi="Arial"/>
                <w:sz w:val="18"/>
                <w:szCs w:val="18"/>
                <w:color w:val="auto"/>
              </w:rPr>
              <w:t>No Breach or Violation of Law or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6.05</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Litigation</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6.06</w:t>
            </w:r>
          </w:p>
        </w:tc>
        <w:tc>
          <w:tcPr>
            <w:tcW w:w="7700" w:type="dxa"/>
            <w:vAlign w:val="bottom"/>
          </w:tcPr>
          <w:p>
            <w:pPr>
              <w:ind w:left="280"/>
              <w:spacing w:after="0"/>
              <w:rPr>
                <w:sz w:val="20"/>
                <w:szCs w:val="20"/>
                <w:color w:val="auto"/>
              </w:rPr>
            </w:pPr>
            <w:r>
              <w:rPr>
                <w:rFonts w:ascii="Arial" w:cs="Arial" w:eastAsia="Arial" w:hAnsi="Arial"/>
                <w:sz w:val="18"/>
                <w:szCs w:val="18"/>
                <w:color w:val="auto"/>
              </w:rPr>
              <w:t>Information; No Material Adverse Change</w:t>
            </w:r>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6.07</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Investment Company Act; Margin Regulations</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6.08</w:t>
            </w:r>
          </w:p>
        </w:tc>
        <w:tc>
          <w:tcPr>
            <w:tcW w:w="7700" w:type="dxa"/>
            <w:vAlign w:val="bottom"/>
          </w:tcPr>
          <w:p>
            <w:pPr>
              <w:ind w:left="280"/>
              <w:spacing w:after="0"/>
              <w:rPr>
                <w:sz w:val="20"/>
                <w:szCs w:val="20"/>
                <w:color w:val="auto"/>
              </w:rPr>
            </w:pPr>
            <w:r>
              <w:rPr>
                <w:rFonts w:ascii="Arial" w:cs="Arial" w:eastAsia="Arial" w:hAnsi="Arial"/>
                <w:sz w:val="18"/>
                <w:szCs w:val="18"/>
                <w:color w:val="auto"/>
              </w:rPr>
              <w:t>ERISA; Canadian Defined Benefit Plans</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6.09</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Tax Returns and Payments</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6.10</w:t>
            </w:r>
          </w:p>
        </w:tc>
        <w:tc>
          <w:tcPr>
            <w:tcW w:w="7700" w:type="dxa"/>
            <w:vAlign w:val="bottom"/>
          </w:tcPr>
          <w:p>
            <w:pPr>
              <w:ind w:left="280"/>
              <w:spacing w:after="0"/>
              <w:rPr>
                <w:sz w:val="20"/>
                <w:szCs w:val="20"/>
                <w:color w:val="auto"/>
              </w:rPr>
            </w:pPr>
            <w:r>
              <w:rPr>
                <w:rFonts w:ascii="Arial" w:cs="Arial" w:eastAsia="Arial" w:hAnsi="Arial"/>
                <w:sz w:val="18"/>
                <w:szCs w:val="18"/>
                <w:color w:val="auto"/>
              </w:rPr>
              <w:t>Requirements of Law</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6.11</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No Default</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6.12</w:t>
            </w:r>
          </w:p>
        </w:tc>
        <w:tc>
          <w:tcPr>
            <w:tcW w:w="7700" w:type="dxa"/>
            <w:vAlign w:val="bottom"/>
          </w:tcPr>
          <w:p>
            <w:pPr>
              <w:ind w:left="280"/>
              <w:spacing w:after="0"/>
              <w:rPr>
                <w:sz w:val="20"/>
                <w:szCs w:val="20"/>
                <w:color w:val="auto"/>
              </w:rPr>
            </w:pPr>
            <w:r>
              <w:rPr>
                <w:rFonts w:ascii="Arial" w:cs="Arial" w:eastAsia="Arial" w:hAnsi="Arial"/>
                <w:sz w:val="18"/>
                <w:szCs w:val="18"/>
                <w:color w:val="auto"/>
              </w:rPr>
              <w:t>Anti-Corruption Laws and Sanctions</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6.13</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Properties</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6.14</w:t>
            </w:r>
          </w:p>
        </w:tc>
        <w:tc>
          <w:tcPr>
            <w:tcW w:w="7700" w:type="dxa"/>
            <w:vAlign w:val="bottom"/>
          </w:tcPr>
          <w:p>
            <w:pPr>
              <w:ind w:left="280"/>
              <w:spacing w:after="0"/>
              <w:rPr>
                <w:sz w:val="20"/>
                <w:szCs w:val="20"/>
                <w:color w:val="auto"/>
              </w:rPr>
            </w:pPr>
            <w:r>
              <w:rPr>
                <w:rFonts w:ascii="Arial" w:cs="Arial" w:eastAsia="Arial" w:hAnsi="Arial"/>
                <w:sz w:val="18"/>
                <w:szCs w:val="18"/>
                <w:color w:val="auto"/>
              </w:rPr>
              <w:t>No Restrictive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6.15</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Solvency</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6.16</w:t>
            </w:r>
          </w:p>
        </w:tc>
        <w:tc>
          <w:tcPr>
            <w:tcW w:w="770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6.17</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Rank of Obligations</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6.18</w:t>
            </w:r>
          </w:p>
        </w:tc>
        <w:tc>
          <w:tcPr>
            <w:tcW w:w="7700" w:type="dxa"/>
            <w:vAlign w:val="bottom"/>
          </w:tcPr>
          <w:p>
            <w:pPr>
              <w:ind w:left="280"/>
              <w:spacing w:after="0"/>
              <w:rPr>
                <w:sz w:val="20"/>
                <w:szCs w:val="20"/>
                <w:color w:val="auto"/>
              </w:rPr>
            </w:pPr>
            <w:r>
              <w:rPr>
                <w:rFonts w:ascii="Arial" w:cs="Arial" w:eastAsia="Arial" w:hAnsi="Arial"/>
                <w:sz w:val="18"/>
                <w:szCs w:val="18"/>
                <w:color w:val="auto"/>
              </w:rPr>
              <w:t>Liens</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6.19</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Security Interest in Collateral</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6.20</w:t>
            </w:r>
          </w:p>
        </w:tc>
        <w:tc>
          <w:tcPr>
            <w:tcW w:w="7700" w:type="dxa"/>
            <w:vAlign w:val="bottom"/>
          </w:tcPr>
          <w:p>
            <w:pPr>
              <w:ind w:left="280"/>
              <w:spacing w:after="0"/>
              <w:rPr>
                <w:sz w:val="20"/>
                <w:szCs w:val="20"/>
                <w:color w:val="auto"/>
              </w:rPr>
            </w:pPr>
            <w:r>
              <w:rPr>
                <w:rFonts w:ascii="Arial" w:cs="Arial" w:eastAsia="Arial" w:hAnsi="Arial"/>
                <w:sz w:val="18"/>
                <w:szCs w:val="18"/>
                <w:color w:val="auto"/>
              </w:rPr>
              <w:t>Capital Stock</w:t>
            </w:r>
          </w:p>
        </w:tc>
        <w:tc>
          <w:tcPr>
            <w:tcW w:w="21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6.21</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EEA Financial Institutions</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6.22</w:t>
            </w:r>
          </w:p>
        </w:tc>
        <w:tc>
          <w:tcPr>
            <w:tcW w:w="7700" w:type="dxa"/>
            <w:vAlign w:val="bottom"/>
          </w:tcPr>
          <w:p>
            <w:pPr>
              <w:ind w:left="280"/>
              <w:spacing w:after="0"/>
              <w:rPr>
                <w:sz w:val="20"/>
                <w:szCs w:val="20"/>
                <w:color w:val="auto"/>
              </w:rPr>
            </w:pPr>
            <w:r>
              <w:rPr>
                <w:rFonts w:ascii="Arial" w:cs="Arial" w:eastAsia="Arial" w:hAnsi="Arial"/>
                <w:sz w:val="18"/>
                <w:szCs w:val="18"/>
                <w:color w:val="auto"/>
              </w:rPr>
              <w:t>Compliance with the Swiss Non-Bank Rules</w:t>
            </w:r>
          </w:p>
        </w:tc>
        <w:tc>
          <w:tcPr>
            <w:tcW w:w="21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6.23</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Dutch Fiscal Unity</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6.24</w:t>
            </w:r>
          </w:p>
        </w:tc>
        <w:tc>
          <w:tcPr>
            <w:tcW w:w="7700" w:type="dxa"/>
            <w:vAlign w:val="bottom"/>
          </w:tcPr>
          <w:p>
            <w:pPr>
              <w:ind w:left="280"/>
              <w:spacing w:after="0"/>
              <w:rPr>
                <w:sz w:val="20"/>
                <w:szCs w:val="20"/>
                <w:color w:val="auto"/>
              </w:rPr>
            </w:pPr>
            <w:r>
              <w:rPr>
                <w:rFonts w:ascii="Arial" w:cs="Arial" w:eastAsia="Arial" w:hAnsi="Arial"/>
                <w:sz w:val="18"/>
                <w:szCs w:val="18"/>
                <w:color w:val="auto"/>
              </w:rPr>
              <w:t>Tax Residency</w:t>
            </w:r>
          </w:p>
        </w:tc>
        <w:tc>
          <w:tcPr>
            <w:tcW w:w="212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6.25</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Status as a Holding Company</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7700" w:type="dxa"/>
            <w:vAlign w:val="bottom"/>
          </w:tcPr>
          <w:p>
            <w:pPr>
              <w:jc w:val="center"/>
              <w:ind w:left="610"/>
              <w:spacing w:after="0"/>
              <w:rPr>
                <w:sz w:val="20"/>
                <w:szCs w:val="20"/>
                <w:color w:val="auto"/>
              </w:rPr>
            </w:pPr>
            <w:r>
              <w:rPr>
                <w:rFonts w:ascii="Arial" w:cs="Arial" w:eastAsia="Arial" w:hAnsi="Arial"/>
                <w:sz w:val="18"/>
                <w:szCs w:val="18"/>
                <w:color w:val="010000"/>
              </w:rPr>
              <w:t>ARTICLE VII</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700" w:type="dxa"/>
            <w:vAlign w:val="bottom"/>
          </w:tcPr>
          <w:p>
            <w:pPr>
              <w:jc w:val="center"/>
              <w:ind w:left="610"/>
              <w:spacing w:after="0"/>
              <w:rPr>
                <w:sz w:val="20"/>
                <w:szCs w:val="20"/>
                <w:color w:val="auto"/>
              </w:rPr>
            </w:pPr>
            <w:r>
              <w:rPr>
                <w:rFonts w:ascii="Arial" w:cs="Arial" w:eastAsia="Arial" w:hAnsi="Arial"/>
                <w:sz w:val="18"/>
                <w:szCs w:val="18"/>
                <w:color w:val="auto"/>
                <w:w w:val="98"/>
              </w:rPr>
              <w:t>AFFIRMATIVE COVENANTS</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7.01</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Information Covenants</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7.02</w:t>
            </w:r>
          </w:p>
        </w:tc>
        <w:tc>
          <w:tcPr>
            <w:tcW w:w="7700" w:type="dxa"/>
            <w:vAlign w:val="bottom"/>
          </w:tcPr>
          <w:p>
            <w:pPr>
              <w:ind w:left="280"/>
              <w:spacing w:after="0"/>
              <w:rPr>
                <w:sz w:val="20"/>
                <w:szCs w:val="20"/>
                <w:color w:val="auto"/>
              </w:rPr>
            </w:pPr>
            <w:r>
              <w:rPr>
                <w:rFonts w:ascii="Arial" w:cs="Arial" w:eastAsia="Arial" w:hAnsi="Arial"/>
                <w:sz w:val="18"/>
                <w:szCs w:val="18"/>
                <w:color w:val="auto"/>
              </w:rPr>
              <w:t>Books, Records and Inspections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7.03</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Insurance</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7.04</w:t>
            </w:r>
          </w:p>
        </w:tc>
        <w:tc>
          <w:tcPr>
            <w:tcW w:w="7700" w:type="dxa"/>
            <w:vAlign w:val="bottom"/>
          </w:tcPr>
          <w:p>
            <w:pPr>
              <w:ind w:left="280"/>
              <w:spacing w:after="0"/>
              <w:rPr>
                <w:sz w:val="20"/>
                <w:szCs w:val="20"/>
                <w:color w:val="auto"/>
              </w:rPr>
            </w:pPr>
            <w:r>
              <w:rPr>
                <w:rFonts w:ascii="Arial" w:cs="Arial" w:eastAsia="Arial" w:hAnsi="Arial"/>
                <w:sz w:val="18"/>
                <w:szCs w:val="18"/>
                <w:color w:val="auto"/>
              </w:rPr>
              <w:t>Payment of Taxes and other Claims</w:t>
            </w:r>
          </w:p>
        </w:tc>
        <w:tc>
          <w:tcPr>
            <w:tcW w:w="21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7.05</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Existence</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7.06</w:t>
            </w:r>
          </w:p>
        </w:tc>
        <w:tc>
          <w:tcPr>
            <w:tcW w:w="7700" w:type="dxa"/>
            <w:vAlign w:val="bottom"/>
          </w:tcPr>
          <w:p>
            <w:pPr>
              <w:ind w:left="280"/>
              <w:spacing w:after="0"/>
              <w:rPr>
                <w:sz w:val="20"/>
                <w:szCs w:val="20"/>
                <w:color w:val="auto"/>
              </w:rPr>
            </w:pPr>
            <w:r>
              <w:rPr>
                <w:rFonts w:ascii="Arial" w:cs="Arial" w:eastAsia="Arial" w:hAnsi="Arial"/>
                <w:sz w:val="18"/>
                <w:szCs w:val="18"/>
                <w:color w:val="auto"/>
              </w:rPr>
              <w:t>ERISA Compliance</w:t>
            </w:r>
          </w:p>
        </w:tc>
        <w:tc>
          <w:tcPr>
            <w:tcW w:w="21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7.07</w:t>
            </w:r>
          </w:p>
        </w:tc>
        <w:tc>
          <w:tcPr>
            <w:tcW w:w="770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Compliance with Laws and Material Contractual Obligations</w:t>
            </w:r>
          </w:p>
        </w:tc>
        <w:tc>
          <w:tcPr>
            <w:tcW w:w="2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7.08</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Additional Guarantors; Additional Specified Jurisdictions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7.09</w:t>
            </w:r>
          </w:p>
        </w:tc>
        <w:tc>
          <w:tcPr>
            <w:tcW w:w="8880" w:type="dxa"/>
            <w:vAlign w:val="bottom"/>
          </w:tcPr>
          <w:p>
            <w:pPr>
              <w:ind w:left="240"/>
              <w:spacing w:after="0"/>
              <w:rPr>
                <w:sz w:val="20"/>
                <w:szCs w:val="20"/>
                <w:color w:val="auto"/>
              </w:rPr>
            </w:pPr>
            <w:r>
              <w:rPr>
                <w:rFonts w:ascii="Arial" w:cs="Arial" w:eastAsia="Arial" w:hAnsi="Arial"/>
                <w:sz w:val="18"/>
                <w:szCs w:val="18"/>
                <w:color w:val="auto"/>
                <w:w w:val="97"/>
              </w:rPr>
              <w:t>Designation of Unrestricted Subsidiaries; Redesignation of Unrestricted Subsidiaries as Restricted Subsidiaries</w:t>
            </w: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7.10</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Compliance with the Swiss Non-Bank Rules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7.11</w:t>
            </w:r>
          </w:p>
        </w:tc>
        <w:tc>
          <w:tcPr>
            <w:tcW w:w="8880" w:type="dxa"/>
            <w:vAlign w:val="bottom"/>
          </w:tcPr>
          <w:p>
            <w:pPr>
              <w:ind w:left="240"/>
              <w:spacing w:after="0"/>
              <w:rPr>
                <w:sz w:val="20"/>
                <w:szCs w:val="20"/>
                <w:color w:val="auto"/>
              </w:rPr>
            </w:pPr>
            <w:r>
              <w:rPr>
                <w:rFonts w:ascii="Arial" w:cs="Arial" w:eastAsia="Arial" w:hAnsi="Arial"/>
                <w:sz w:val="18"/>
                <w:szCs w:val="18"/>
                <w:color w:val="auto"/>
              </w:rPr>
              <w:t>Post-Closing Grant and Perfection Requirements Matters</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7.12</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Status as a Holding Company</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7.13</w:t>
            </w:r>
          </w:p>
        </w:tc>
        <w:tc>
          <w:tcPr>
            <w:tcW w:w="8880" w:type="dxa"/>
            <w:vAlign w:val="bottom"/>
          </w:tcPr>
          <w:p>
            <w:pPr>
              <w:ind w:left="240"/>
              <w:spacing w:after="0"/>
              <w:rPr>
                <w:sz w:val="20"/>
                <w:szCs w:val="20"/>
                <w:color w:val="auto"/>
              </w:rPr>
            </w:pPr>
            <w:r>
              <w:rPr>
                <w:rFonts w:ascii="Arial" w:cs="Arial" w:eastAsia="Arial" w:hAnsi="Arial"/>
                <w:sz w:val="18"/>
                <w:szCs w:val="18"/>
                <w:color w:val="auto"/>
              </w:rPr>
              <w:t>Lender Meeting</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7.14</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Maintenance of Properties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7.15</w:t>
            </w:r>
          </w:p>
        </w:tc>
        <w:tc>
          <w:tcPr>
            <w:tcW w:w="8880" w:type="dxa"/>
            <w:vAlign w:val="bottom"/>
          </w:tcPr>
          <w:p>
            <w:pPr>
              <w:ind w:left="240"/>
              <w:spacing w:after="0"/>
              <w:rPr>
                <w:sz w:val="20"/>
                <w:szCs w:val="20"/>
                <w:color w:val="auto"/>
              </w:rPr>
            </w:pPr>
            <w:r>
              <w:rPr>
                <w:rFonts w:ascii="Arial" w:cs="Arial" w:eastAsia="Arial" w:hAnsi="Arial"/>
                <w:sz w:val="18"/>
                <w:szCs w:val="18"/>
                <w:color w:val="auto"/>
              </w:rPr>
              <w:t>Morgan Stanley Letters of Credit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60" w:type="dxa"/>
            <w:vAlign w:val="bottom"/>
          </w:tcPr>
          <w:p>
            <w:pPr>
              <w:spacing w:after="0"/>
              <w:rPr>
                <w:sz w:val="24"/>
                <w:szCs w:val="24"/>
                <w:color w:val="auto"/>
              </w:rPr>
            </w:pPr>
          </w:p>
        </w:tc>
        <w:tc>
          <w:tcPr>
            <w:tcW w:w="8880" w:type="dxa"/>
            <w:vAlign w:val="bottom"/>
          </w:tcPr>
          <w:p>
            <w:pPr>
              <w:jc w:val="center"/>
              <w:ind w:right="450"/>
              <w:spacing w:after="0"/>
              <w:rPr>
                <w:sz w:val="20"/>
                <w:szCs w:val="20"/>
                <w:color w:val="auto"/>
              </w:rPr>
            </w:pPr>
            <w:r>
              <w:rPr>
                <w:rFonts w:ascii="Arial" w:cs="Arial" w:eastAsia="Arial" w:hAnsi="Arial"/>
                <w:sz w:val="18"/>
                <w:szCs w:val="18"/>
                <w:color w:val="010000"/>
              </w:rPr>
              <w:t>ARTICLE VIII</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8880" w:type="dxa"/>
            <w:vAlign w:val="bottom"/>
          </w:tcPr>
          <w:p>
            <w:pPr>
              <w:jc w:val="center"/>
              <w:ind w:right="450"/>
              <w:spacing w:after="0"/>
              <w:rPr>
                <w:sz w:val="20"/>
                <w:szCs w:val="20"/>
                <w:color w:val="auto"/>
              </w:rPr>
            </w:pPr>
            <w:r>
              <w:rPr>
                <w:rFonts w:ascii="Arial" w:cs="Arial" w:eastAsia="Arial" w:hAnsi="Arial"/>
                <w:sz w:val="18"/>
                <w:szCs w:val="18"/>
                <w:color w:val="auto"/>
                <w:w w:val="97"/>
              </w:rPr>
              <w:t>NEGATIVE COVENANTS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8.01</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Indebtedness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8.02</w:t>
            </w:r>
          </w:p>
        </w:tc>
        <w:tc>
          <w:tcPr>
            <w:tcW w:w="8880" w:type="dxa"/>
            <w:vAlign w:val="bottom"/>
          </w:tcPr>
          <w:p>
            <w:pPr>
              <w:ind w:left="240"/>
              <w:spacing w:after="0"/>
              <w:rPr>
                <w:sz w:val="20"/>
                <w:szCs w:val="20"/>
                <w:color w:val="auto"/>
              </w:rPr>
            </w:pPr>
            <w:r>
              <w:rPr>
                <w:rFonts w:ascii="Arial" w:cs="Arial" w:eastAsia="Arial" w:hAnsi="Arial"/>
                <w:sz w:val="18"/>
                <w:szCs w:val="18"/>
                <w:color w:val="auto"/>
              </w:rPr>
              <w:t>Fundamental Changes</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8.03</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Material Change in Business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8.04</w:t>
            </w:r>
          </w:p>
        </w:tc>
        <w:tc>
          <w:tcPr>
            <w:tcW w:w="8880" w:type="dxa"/>
            <w:vAlign w:val="bottom"/>
          </w:tcPr>
          <w:p>
            <w:pPr>
              <w:ind w:left="240"/>
              <w:spacing w:after="0"/>
              <w:rPr>
                <w:sz w:val="20"/>
                <w:szCs w:val="20"/>
                <w:color w:val="auto"/>
              </w:rPr>
            </w:pPr>
            <w:r>
              <w:rPr>
                <w:rFonts w:ascii="Arial" w:cs="Arial" w:eastAsia="Arial" w:hAnsi="Arial"/>
                <w:sz w:val="18"/>
                <w:szCs w:val="18"/>
                <w:color w:val="auto"/>
              </w:rPr>
              <w:t>Liens</w:t>
            </w: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8.05</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Asset Dispositions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8.06</w:t>
            </w:r>
          </w:p>
        </w:tc>
        <w:tc>
          <w:tcPr>
            <w:tcW w:w="888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8.07</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Swap Agreements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8.08</w:t>
            </w:r>
          </w:p>
        </w:tc>
        <w:tc>
          <w:tcPr>
            <w:tcW w:w="8880" w:type="dxa"/>
            <w:vAlign w:val="bottom"/>
          </w:tcPr>
          <w:p>
            <w:pPr>
              <w:ind w:left="240"/>
              <w:spacing w:after="0"/>
              <w:rPr>
                <w:sz w:val="20"/>
                <w:szCs w:val="20"/>
                <w:color w:val="auto"/>
              </w:rPr>
            </w:pPr>
            <w:r>
              <w:rPr>
                <w:rFonts w:ascii="Arial" w:cs="Arial" w:eastAsia="Arial" w:hAnsi="Arial"/>
                <w:sz w:val="18"/>
                <w:szCs w:val="18"/>
                <w:color w:val="auto"/>
              </w:rPr>
              <w:t>Restricted Payments</w:t>
            </w: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8.09</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Financial Covenants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8.10</w:t>
            </w:r>
          </w:p>
        </w:tc>
        <w:tc>
          <w:tcPr>
            <w:tcW w:w="8880" w:type="dxa"/>
            <w:vAlign w:val="bottom"/>
          </w:tcPr>
          <w:p>
            <w:pPr>
              <w:ind w:left="240"/>
              <w:spacing w:after="0"/>
              <w:rPr>
                <w:sz w:val="20"/>
                <w:szCs w:val="20"/>
                <w:color w:val="auto"/>
              </w:rPr>
            </w:pPr>
            <w:r>
              <w:rPr>
                <w:rFonts w:ascii="Arial" w:cs="Arial" w:eastAsia="Arial" w:hAnsi="Arial"/>
                <w:sz w:val="18"/>
                <w:szCs w:val="18"/>
                <w:color w:val="auto"/>
              </w:rPr>
              <w:t>Limitation on Transactions with Affiliates</w:t>
            </w: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8.11</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Restrictive Agreements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8.12</w:t>
            </w:r>
          </w:p>
        </w:tc>
        <w:tc>
          <w:tcPr>
            <w:tcW w:w="888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8.13</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Changes to Fiscal Year</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8.14</w:t>
            </w:r>
          </w:p>
        </w:tc>
        <w:tc>
          <w:tcPr>
            <w:tcW w:w="8880" w:type="dxa"/>
            <w:vAlign w:val="bottom"/>
          </w:tcPr>
          <w:p>
            <w:pPr>
              <w:ind w:left="240"/>
              <w:spacing w:after="0"/>
              <w:rPr>
                <w:sz w:val="20"/>
                <w:szCs w:val="20"/>
                <w:color w:val="auto"/>
              </w:rPr>
            </w:pPr>
            <w:r>
              <w:rPr>
                <w:rFonts w:ascii="Arial" w:cs="Arial" w:eastAsia="Arial" w:hAnsi="Arial"/>
                <w:sz w:val="18"/>
                <w:szCs w:val="18"/>
                <w:color w:val="auto"/>
              </w:rPr>
              <w:t>Amendments to Documents Governing Certain Indebtedness</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8.15</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Limitation on Equity Issuances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8.16</w:t>
            </w:r>
          </w:p>
        </w:tc>
        <w:tc>
          <w:tcPr>
            <w:tcW w:w="8880" w:type="dxa"/>
            <w:vAlign w:val="bottom"/>
          </w:tcPr>
          <w:p>
            <w:pPr>
              <w:ind w:left="240"/>
              <w:spacing w:after="0"/>
              <w:rPr>
                <w:sz w:val="20"/>
                <w:szCs w:val="20"/>
                <w:color w:val="auto"/>
              </w:rPr>
            </w:pPr>
            <w:r>
              <w:rPr>
                <w:rFonts w:ascii="Arial" w:cs="Arial" w:eastAsia="Arial" w:hAnsi="Arial"/>
                <w:sz w:val="18"/>
                <w:szCs w:val="18"/>
                <w:color w:val="auto"/>
              </w:rPr>
              <w:t>Book Value of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60" w:type="dxa"/>
            <w:vAlign w:val="bottom"/>
          </w:tcPr>
          <w:p>
            <w:pPr>
              <w:spacing w:after="0"/>
              <w:rPr>
                <w:sz w:val="24"/>
                <w:szCs w:val="24"/>
                <w:color w:val="auto"/>
              </w:rPr>
            </w:pPr>
          </w:p>
        </w:tc>
        <w:tc>
          <w:tcPr>
            <w:tcW w:w="8880" w:type="dxa"/>
            <w:vAlign w:val="bottom"/>
          </w:tcPr>
          <w:p>
            <w:pPr>
              <w:jc w:val="center"/>
              <w:ind w:right="450"/>
              <w:spacing w:after="0"/>
              <w:rPr>
                <w:sz w:val="20"/>
                <w:szCs w:val="20"/>
                <w:color w:val="auto"/>
              </w:rPr>
            </w:pPr>
            <w:r>
              <w:rPr>
                <w:rFonts w:ascii="Arial" w:cs="Arial" w:eastAsia="Arial" w:hAnsi="Arial"/>
                <w:sz w:val="18"/>
                <w:szCs w:val="18"/>
                <w:color w:val="010000"/>
                <w:w w:val="99"/>
              </w:rPr>
              <w:t>ARTICLE IX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8880" w:type="dxa"/>
            <w:vAlign w:val="bottom"/>
          </w:tcPr>
          <w:p>
            <w:pPr>
              <w:jc w:val="center"/>
              <w:ind w:right="450"/>
              <w:spacing w:after="0"/>
              <w:rPr>
                <w:sz w:val="20"/>
                <w:szCs w:val="20"/>
                <w:color w:val="auto"/>
              </w:rPr>
            </w:pPr>
            <w:r>
              <w:rPr>
                <w:rFonts w:ascii="Arial" w:cs="Arial" w:eastAsia="Arial" w:hAnsi="Arial"/>
                <w:sz w:val="18"/>
                <w:szCs w:val="18"/>
                <w:color w:val="auto"/>
                <w:w w:val="96"/>
              </w:rPr>
              <w:t>EVENTS OF DEFAULT AND REMEDIES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9.01</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Events of Default and Remedies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9.02</w:t>
            </w:r>
          </w:p>
        </w:tc>
        <w:tc>
          <w:tcPr>
            <w:tcW w:w="8880" w:type="dxa"/>
            <w:vAlign w:val="bottom"/>
          </w:tcPr>
          <w:p>
            <w:pPr>
              <w:ind w:left="240"/>
              <w:spacing w:after="0"/>
              <w:rPr>
                <w:sz w:val="20"/>
                <w:szCs w:val="20"/>
                <w:color w:val="auto"/>
              </w:rPr>
            </w:pPr>
            <w:r>
              <w:rPr>
                <w:rFonts w:ascii="Arial" w:cs="Arial" w:eastAsia="Arial" w:hAnsi="Arial"/>
                <w:sz w:val="18"/>
                <w:szCs w:val="18"/>
                <w:color w:val="auto"/>
              </w:rPr>
              <w:t>Right of Setoff</w:t>
            </w: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9.03</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Other Remedies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9.04</w:t>
            </w:r>
          </w:p>
        </w:tc>
        <w:tc>
          <w:tcPr>
            <w:tcW w:w="8880" w:type="dxa"/>
            <w:vAlign w:val="bottom"/>
          </w:tcPr>
          <w:p>
            <w:pPr>
              <w:ind w:left="240"/>
              <w:spacing w:after="0"/>
              <w:rPr>
                <w:sz w:val="20"/>
                <w:szCs w:val="20"/>
                <w:color w:val="auto"/>
              </w:rPr>
            </w:pPr>
            <w:r>
              <w:rPr>
                <w:rFonts w:ascii="Arial" w:cs="Arial" w:eastAsia="Arial" w:hAnsi="Arial"/>
                <w:sz w:val="18"/>
                <w:szCs w:val="18"/>
                <w:color w:val="auto"/>
              </w:rPr>
              <w:t>Application of Moneys During Continuation of Event of Default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60" w:type="dxa"/>
            <w:vAlign w:val="bottom"/>
          </w:tcPr>
          <w:p>
            <w:pPr>
              <w:spacing w:after="0"/>
              <w:rPr>
                <w:sz w:val="24"/>
                <w:szCs w:val="24"/>
                <w:color w:val="auto"/>
              </w:rPr>
            </w:pPr>
          </w:p>
        </w:tc>
        <w:tc>
          <w:tcPr>
            <w:tcW w:w="8880" w:type="dxa"/>
            <w:vAlign w:val="bottom"/>
          </w:tcPr>
          <w:p>
            <w:pPr>
              <w:jc w:val="center"/>
              <w:ind w:right="470"/>
              <w:spacing w:after="0"/>
              <w:rPr>
                <w:sz w:val="20"/>
                <w:szCs w:val="20"/>
                <w:color w:val="auto"/>
              </w:rPr>
            </w:pPr>
            <w:r>
              <w:rPr>
                <w:rFonts w:ascii="Arial" w:cs="Arial" w:eastAsia="Arial" w:hAnsi="Arial"/>
                <w:sz w:val="18"/>
                <w:szCs w:val="18"/>
                <w:color w:val="010000"/>
                <w:w w:val="98"/>
              </w:rPr>
              <w:t>ARTICLE 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8880" w:type="dxa"/>
            <w:vAlign w:val="bottom"/>
          </w:tcPr>
          <w:p>
            <w:pPr>
              <w:jc w:val="center"/>
              <w:ind w:right="450"/>
              <w:spacing w:after="0"/>
              <w:rPr>
                <w:sz w:val="20"/>
                <w:szCs w:val="20"/>
                <w:color w:val="auto"/>
              </w:rPr>
            </w:pPr>
            <w:r>
              <w:rPr>
                <w:rFonts w:ascii="Arial" w:cs="Arial" w:eastAsia="Arial" w:hAnsi="Arial"/>
                <w:sz w:val="18"/>
                <w:szCs w:val="18"/>
                <w:color w:val="auto"/>
                <w:w w:val="99"/>
              </w:rPr>
              <w:t>ADMINISTRATIVE AGENT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10.01</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Authorization and Action</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10.02</w:t>
            </w:r>
          </w:p>
        </w:tc>
        <w:tc>
          <w:tcPr>
            <w:tcW w:w="8880" w:type="dxa"/>
            <w:vAlign w:val="bottom"/>
          </w:tcPr>
          <w:p>
            <w:pPr>
              <w:ind w:left="240"/>
              <w:spacing w:after="0"/>
              <w:rPr>
                <w:sz w:val="20"/>
                <w:szCs w:val="20"/>
                <w:color w:val="auto"/>
              </w:rPr>
            </w:pPr>
            <w:r>
              <w:rPr>
                <w:rFonts w:ascii="Arial" w:cs="Arial" w:eastAsia="Arial" w:hAnsi="Arial"/>
                <w:sz w:val="18"/>
                <w:szCs w:val="18"/>
                <w:color w:val="auto"/>
              </w:rPr>
              <w:t>Liability of Agents</w:t>
            </w: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10.03</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Reliance by Agents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10.04</w:t>
            </w:r>
          </w:p>
        </w:tc>
        <w:tc>
          <w:tcPr>
            <w:tcW w:w="8880" w:type="dxa"/>
            <w:vAlign w:val="bottom"/>
          </w:tcPr>
          <w:p>
            <w:pPr>
              <w:ind w:left="240"/>
              <w:spacing w:after="0"/>
              <w:rPr>
                <w:sz w:val="20"/>
                <w:szCs w:val="20"/>
                <w:color w:val="auto"/>
              </w:rPr>
            </w:pPr>
            <w:r>
              <w:rPr>
                <w:rFonts w:ascii="Arial" w:cs="Arial" w:eastAsia="Arial" w:hAnsi="Arial"/>
                <w:sz w:val="18"/>
                <w:szCs w:val="18"/>
                <w:color w:val="auto"/>
              </w:rPr>
              <w:t>Delegation of Duties</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10.05</w:t>
            </w:r>
          </w:p>
        </w:tc>
        <w:tc>
          <w:tcPr>
            <w:tcW w:w="888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Successor Agents</w:t>
            </w:r>
          </w:p>
        </w:tc>
        <w:tc>
          <w:tcPr>
            <w:tcW w:w="9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10.06</w:t>
            </w:r>
          </w:p>
        </w:tc>
        <w:tc>
          <w:tcPr>
            <w:tcW w:w="8880" w:type="dxa"/>
            <w:vAlign w:val="bottom"/>
          </w:tcPr>
          <w:p>
            <w:pPr>
              <w:ind w:left="240"/>
              <w:spacing w:after="0"/>
              <w:rPr>
                <w:sz w:val="20"/>
                <w:szCs w:val="20"/>
                <w:color w:val="auto"/>
              </w:rPr>
            </w:pPr>
            <w:r>
              <w:rPr>
                <w:rFonts w:ascii="Arial" w:cs="Arial" w:eastAsia="Arial" w:hAnsi="Arial"/>
                <w:sz w:val="18"/>
                <w:szCs w:val="18"/>
                <w:color w:val="auto"/>
              </w:rPr>
              <w:t>Credit Decision</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10.07</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Other Agents; Joint Lead Arrangers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10.08</w:t>
            </w:r>
          </w:p>
        </w:tc>
        <w:tc>
          <w:tcPr>
            <w:tcW w:w="7620" w:type="dxa"/>
            <w:vAlign w:val="bottom"/>
          </w:tcPr>
          <w:p>
            <w:pPr>
              <w:ind w:left="240"/>
              <w:spacing w:after="0"/>
              <w:rPr>
                <w:sz w:val="20"/>
                <w:szCs w:val="20"/>
                <w:color w:val="auto"/>
              </w:rPr>
            </w:pPr>
            <w:r>
              <w:rPr>
                <w:rFonts w:ascii="Arial" w:cs="Arial" w:eastAsia="Arial" w:hAnsi="Arial"/>
                <w:sz w:val="18"/>
                <w:szCs w:val="18"/>
                <w:color w:val="auto"/>
              </w:rPr>
              <w:t>No Joint Venture</w:t>
            </w:r>
          </w:p>
        </w:tc>
        <w:tc>
          <w:tcPr>
            <w:tcW w:w="21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10.09</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Secured Party</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10.10</w:t>
            </w:r>
          </w:p>
        </w:tc>
        <w:tc>
          <w:tcPr>
            <w:tcW w:w="7620" w:type="dxa"/>
            <w:vAlign w:val="bottom"/>
          </w:tcPr>
          <w:p>
            <w:pPr>
              <w:ind w:left="240"/>
              <w:spacing w:after="0"/>
              <w:rPr>
                <w:sz w:val="20"/>
                <w:szCs w:val="20"/>
                <w:color w:val="auto"/>
              </w:rPr>
            </w:pPr>
            <w:r>
              <w:rPr>
                <w:rFonts w:ascii="Arial" w:cs="Arial" w:eastAsia="Arial" w:hAnsi="Arial"/>
                <w:sz w:val="18"/>
                <w:szCs w:val="18"/>
                <w:color w:val="auto"/>
              </w:rPr>
              <w:t>Administrative Agent May File Proofs of Claim</w:t>
            </w:r>
          </w:p>
        </w:tc>
        <w:tc>
          <w:tcPr>
            <w:tcW w:w="21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10.11</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Foreign Collateral Matters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10.12</w:t>
            </w:r>
          </w:p>
        </w:tc>
        <w:tc>
          <w:tcPr>
            <w:tcW w:w="7620" w:type="dxa"/>
            <w:vAlign w:val="bottom"/>
          </w:tcPr>
          <w:p>
            <w:pPr>
              <w:ind w:left="240"/>
              <w:spacing w:after="0"/>
              <w:rPr>
                <w:sz w:val="20"/>
                <w:szCs w:val="20"/>
                <w:color w:val="auto"/>
              </w:rPr>
            </w:pPr>
            <w:r>
              <w:rPr>
                <w:rFonts w:ascii="Arial" w:cs="Arial" w:eastAsia="Arial" w:hAnsi="Arial"/>
                <w:sz w:val="18"/>
                <w:szCs w:val="18"/>
                <w:color w:val="auto"/>
              </w:rPr>
              <w:t>Credit Bid</w:t>
            </w:r>
          </w:p>
        </w:tc>
        <w:tc>
          <w:tcPr>
            <w:tcW w:w="21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10.13</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Certain ERISA Matters; Lender Representations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10.14</w:t>
            </w:r>
          </w:p>
        </w:tc>
        <w:tc>
          <w:tcPr>
            <w:tcW w:w="7620" w:type="dxa"/>
            <w:vAlign w:val="bottom"/>
          </w:tcPr>
          <w:p>
            <w:pPr>
              <w:ind w:left="240"/>
              <w:spacing w:after="0"/>
              <w:rPr>
                <w:sz w:val="20"/>
                <w:szCs w:val="20"/>
                <w:color w:val="auto"/>
              </w:rPr>
            </w:pPr>
            <w:r>
              <w:rPr>
                <w:rFonts w:ascii="Arial" w:cs="Arial" w:eastAsia="Arial" w:hAnsi="Arial"/>
                <w:sz w:val="18"/>
                <w:szCs w:val="18"/>
                <w:color w:val="auto"/>
              </w:rPr>
              <w:t>Intercreditor Agreement</w:t>
            </w:r>
          </w:p>
        </w:tc>
        <w:tc>
          <w:tcPr>
            <w:tcW w:w="216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10.15</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Filings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10.16</w:t>
            </w:r>
          </w:p>
        </w:tc>
        <w:tc>
          <w:tcPr>
            <w:tcW w:w="762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216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10.17</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No Risk of Funds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10.18</w:t>
            </w:r>
          </w:p>
        </w:tc>
        <w:tc>
          <w:tcPr>
            <w:tcW w:w="7620" w:type="dxa"/>
            <w:vAlign w:val="bottom"/>
          </w:tcPr>
          <w:p>
            <w:pPr>
              <w:ind w:left="240"/>
              <w:spacing w:after="0"/>
              <w:rPr>
                <w:sz w:val="20"/>
                <w:szCs w:val="20"/>
                <w:color w:val="auto"/>
              </w:rPr>
            </w:pPr>
            <w:r>
              <w:rPr>
                <w:rFonts w:ascii="Arial" w:cs="Arial" w:eastAsia="Arial" w:hAnsi="Arial"/>
                <w:sz w:val="18"/>
                <w:szCs w:val="18"/>
                <w:color w:val="auto"/>
              </w:rPr>
              <w:t>No Discretion</w:t>
            </w:r>
          </w:p>
        </w:tc>
        <w:tc>
          <w:tcPr>
            <w:tcW w:w="216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10.19</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Special, Consequential and Indirect Damages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10.20</w:t>
            </w:r>
          </w:p>
        </w:tc>
        <w:tc>
          <w:tcPr>
            <w:tcW w:w="7620" w:type="dxa"/>
            <w:vAlign w:val="bottom"/>
          </w:tcPr>
          <w:p>
            <w:pPr>
              <w:ind w:left="240"/>
              <w:spacing w:after="0"/>
              <w:rPr>
                <w:sz w:val="20"/>
                <w:szCs w:val="20"/>
                <w:color w:val="auto"/>
              </w:rPr>
            </w:pPr>
            <w:r>
              <w:rPr>
                <w:rFonts w:ascii="Arial" w:cs="Arial" w:eastAsia="Arial" w:hAnsi="Arial"/>
                <w:sz w:val="18"/>
                <w:szCs w:val="18"/>
                <w:color w:val="auto"/>
              </w:rPr>
              <w:t>No Environmental Liability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60" w:type="dxa"/>
            <w:vAlign w:val="bottom"/>
          </w:tcPr>
          <w:p>
            <w:pPr>
              <w:spacing w:after="0"/>
              <w:rPr>
                <w:sz w:val="24"/>
                <w:szCs w:val="24"/>
                <w:color w:val="auto"/>
              </w:rPr>
            </w:pPr>
          </w:p>
        </w:tc>
        <w:tc>
          <w:tcPr>
            <w:tcW w:w="7620" w:type="dxa"/>
            <w:vAlign w:val="bottom"/>
          </w:tcPr>
          <w:p>
            <w:pPr>
              <w:ind w:left="3680"/>
              <w:spacing w:after="0"/>
              <w:rPr>
                <w:sz w:val="20"/>
                <w:szCs w:val="20"/>
                <w:color w:val="auto"/>
              </w:rPr>
            </w:pPr>
            <w:r>
              <w:rPr>
                <w:rFonts w:ascii="Arial" w:cs="Arial" w:eastAsia="Arial" w:hAnsi="Arial"/>
                <w:sz w:val="18"/>
                <w:szCs w:val="18"/>
                <w:color w:val="010000"/>
              </w:rPr>
              <w:t>ARTICLE XI</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620" w:type="dxa"/>
            <w:vAlign w:val="bottom"/>
          </w:tcPr>
          <w:p>
            <w:pPr>
              <w:ind w:left="3420"/>
              <w:spacing w:after="0"/>
              <w:rPr>
                <w:sz w:val="20"/>
                <w:szCs w:val="20"/>
                <w:color w:val="auto"/>
              </w:rPr>
            </w:pPr>
            <w:r>
              <w:rPr>
                <w:rFonts w:ascii="Arial" w:cs="Arial" w:eastAsia="Arial" w:hAnsi="Arial"/>
                <w:sz w:val="18"/>
                <w:szCs w:val="18"/>
                <w:color w:val="auto"/>
              </w:rPr>
              <w:t>MISCELLANEOUS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11.01</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Waiver; Amendments; Joinder; Release of Guarantors; Release of Collateral</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11.02</w:t>
            </w:r>
          </w:p>
        </w:tc>
        <w:tc>
          <w:tcPr>
            <w:tcW w:w="7620" w:type="dxa"/>
            <w:vAlign w:val="bottom"/>
          </w:tcPr>
          <w:p>
            <w:pPr>
              <w:ind w:left="240"/>
              <w:spacing w:after="0"/>
              <w:rPr>
                <w:sz w:val="20"/>
                <w:szCs w:val="20"/>
                <w:color w:val="auto"/>
              </w:rPr>
            </w:pPr>
            <w:r>
              <w:rPr>
                <w:rFonts w:ascii="Arial" w:cs="Arial" w:eastAsia="Arial" w:hAnsi="Arial"/>
                <w:sz w:val="18"/>
                <w:szCs w:val="18"/>
                <w:color w:val="auto"/>
              </w:rPr>
              <w:t>Notices</w:t>
            </w:r>
          </w:p>
        </w:tc>
        <w:tc>
          <w:tcPr>
            <w:tcW w:w="216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11.03</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Expenses, Etc.</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11.04</w:t>
            </w:r>
          </w:p>
        </w:tc>
        <w:tc>
          <w:tcPr>
            <w:tcW w:w="7620" w:type="dxa"/>
            <w:vAlign w:val="bottom"/>
          </w:tcPr>
          <w:p>
            <w:pPr>
              <w:ind w:left="240"/>
              <w:spacing w:after="0"/>
              <w:rPr>
                <w:sz w:val="20"/>
                <w:szCs w:val="20"/>
                <w:color w:val="auto"/>
              </w:rPr>
            </w:pPr>
            <w:r>
              <w:rPr>
                <w:rFonts w:ascii="Arial" w:cs="Arial" w:eastAsia="Arial" w:hAnsi="Arial"/>
                <w:sz w:val="18"/>
                <w:szCs w:val="18"/>
                <w:color w:val="auto"/>
              </w:rPr>
              <w:t>Indemnity</w:t>
            </w:r>
          </w:p>
        </w:tc>
        <w:tc>
          <w:tcPr>
            <w:tcW w:w="216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11.05</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Successors and Assigns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11.06</w:t>
            </w:r>
          </w:p>
        </w:tc>
        <w:tc>
          <w:tcPr>
            <w:tcW w:w="762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16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11.07</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Survival</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11.08</w:t>
            </w:r>
          </w:p>
        </w:tc>
        <w:tc>
          <w:tcPr>
            <w:tcW w:w="762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16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11.09</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Independence of Covenants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11.10</w:t>
            </w:r>
          </w:p>
        </w:tc>
        <w:tc>
          <w:tcPr>
            <w:tcW w:w="7620" w:type="dxa"/>
            <w:vAlign w:val="bottom"/>
          </w:tcPr>
          <w:p>
            <w:pPr>
              <w:ind w:left="240"/>
              <w:spacing w:after="0"/>
              <w:rPr>
                <w:sz w:val="20"/>
                <w:szCs w:val="20"/>
                <w:color w:val="auto"/>
              </w:rPr>
            </w:pPr>
            <w:r>
              <w:rPr>
                <w:rFonts w:ascii="Arial" w:cs="Arial" w:eastAsia="Arial" w:hAnsi="Arial"/>
                <w:sz w:val="18"/>
                <w:szCs w:val="18"/>
                <w:color w:val="auto"/>
              </w:rPr>
              <w:t>Counterparts; Integration; Effectiveness; Electronic Execution</w:t>
            </w:r>
          </w:p>
        </w:tc>
        <w:tc>
          <w:tcPr>
            <w:tcW w:w="216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11.11</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Severability</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11.12</w:t>
            </w:r>
          </w:p>
        </w:tc>
        <w:tc>
          <w:tcPr>
            <w:tcW w:w="7620" w:type="dxa"/>
            <w:vAlign w:val="bottom"/>
          </w:tcPr>
          <w:p>
            <w:pPr>
              <w:ind w:left="240"/>
              <w:spacing w:after="0"/>
              <w:rPr>
                <w:sz w:val="20"/>
                <w:szCs w:val="20"/>
                <w:color w:val="auto"/>
              </w:rPr>
            </w:pPr>
            <w:r>
              <w:rPr>
                <w:rFonts w:ascii="Arial" w:cs="Arial" w:eastAsia="Arial" w:hAnsi="Arial"/>
                <w:sz w:val="18"/>
                <w:szCs w:val="18"/>
                <w:color w:val="auto"/>
              </w:rPr>
              <w:t>Conflicts Between This Agreement and the Other Loan Documents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11.13</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Headings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11.14</w:t>
            </w:r>
          </w:p>
        </w:tc>
        <w:tc>
          <w:tcPr>
            <w:tcW w:w="7620" w:type="dxa"/>
            <w:vAlign w:val="bottom"/>
          </w:tcPr>
          <w:p>
            <w:pPr>
              <w:ind w:left="240"/>
              <w:spacing w:after="0"/>
              <w:rPr>
                <w:sz w:val="20"/>
                <w:szCs w:val="20"/>
                <w:color w:val="auto"/>
              </w:rPr>
            </w:pPr>
            <w:r>
              <w:rPr>
                <w:rFonts w:ascii="Arial" w:cs="Arial" w:eastAsia="Arial" w:hAnsi="Arial"/>
                <w:sz w:val="18"/>
                <w:szCs w:val="18"/>
                <w:color w:val="auto"/>
              </w:rPr>
              <w:t>Limitation of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11.15</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Submission to Jurisdiction; Consent to Service of Process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11.16</w:t>
            </w:r>
          </w:p>
        </w:tc>
        <w:tc>
          <w:tcPr>
            <w:tcW w:w="762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11.17</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Judgment Currency</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11.18</w:t>
            </w:r>
          </w:p>
        </w:tc>
        <w:tc>
          <w:tcPr>
            <w:tcW w:w="7620" w:type="dxa"/>
            <w:vAlign w:val="bottom"/>
          </w:tcPr>
          <w:p>
            <w:pPr>
              <w:ind w:left="240"/>
              <w:spacing w:after="0"/>
              <w:rPr>
                <w:sz w:val="20"/>
                <w:szCs w:val="20"/>
                <w:color w:val="auto"/>
              </w:rPr>
            </w:pPr>
            <w:r>
              <w:rPr>
                <w:rFonts w:ascii="Arial" w:cs="Arial" w:eastAsia="Arial" w:hAnsi="Arial"/>
                <w:sz w:val="18"/>
                <w:szCs w:val="18"/>
                <w:color w:val="auto"/>
              </w:rPr>
              <w:t>No Fiduciary Duty, etc.</w:t>
            </w:r>
          </w:p>
        </w:tc>
        <w:tc>
          <w:tcPr>
            <w:tcW w:w="216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11.19</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USA Patriot Act</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11.20</w:t>
            </w:r>
          </w:p>
        </w:tc>
        <w:tc>
          <w:tcPr>
            <w:tcW w:w="7620" w:type="dxa"/>
            <w:vAlign w:val="bottom"/>
          </w:tcPr>
          <w:p>
            <w:pPr>
              <w:ind w:left="240"/>
              <w:spacing w:after="0"/>
              <w:rPr>
                <w:sz w:val="20"/>
                <w:szCs w:val="20"/>
                <w:color w:val="auto"/>
              </w:rPr>
            </w:pPr>
            <w:r>
              <w:rPr>
                <w:rFonts w:ascii="Arial" w:cs="Arial" w:eastAsia="Arial" w:hAnsi="Arial"/>
                <w:sz w:val="18"/>
                <w:szCs w:val="18"/>
                <w:color w:val="auto"/>
              </w:rPr>
              <w:t>Appointment for Perfection</w:t>
            </w:r>
          </w:p>
        </w:tc>
        <w:tc>
          <w:tcPr>
            <w:tcW w:w="216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11.21</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Payments Set Aside</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11.22</w:t>
            </w:r>
          </w:p>
        </w:tc>
        <w:tc>
          <w:tcPr>
            <w:tcW w:w="7620" w:type="dxa"/>
            <w:vAlign w:val="bottom"/>
          </w:tcPr>
          <w:p>
            <w:pPr>
              <w:ind w:left="240"/>
              <w:spacing w:after="0"/>
              <w:rPr>
                <w:sz w:val="20"/>
                <w:szCs w:val="20"/>
                <w:color w:val="auto"/>
              </w:rPr>
            </w:pPr>
            <w:r>
              <w:rPr>
                <w:rFonts w:ascii="Arial" w:cs="Arial" w:eastAsia="Arial" w:hAnsi="Arial"/>
                <w:sz w:val="18"/>
                <w:szCs w:val="18"/>
                <w:color w:val="auto"/>
              </w:rPr>
              <w:t>No Fiduciary Duty</w:t>
            </w:r>
          </w:p>
        </w:tc>
        <w:tc>
          <w:tcPr>
            <w:tcW w:w="21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11.23</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Release of Guarantors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11.24</w:t>
            </w:r>
          </w:p>
        </w:tc>
        <w:tc>
          <w:tcPr>
            <w:tcW w:w="7620" w:type="dxa"/>
            <w:vAlign w:val="bottom"/>
          </w:tcPr>
          <w:p>
            <w:pPr>
              <w:ind w:left="2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11.25</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Confirmation of Lender’s Status as a Swiss Qualifying Lender</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11.26</w:t>
            </w:r>
          </w:p>
        </w:tc>
        <w:tc>
          <w:tcPr>
            <w:tcW w:w="7620" w:type="dxa"/>
            <w:vAlign w:val="bottom"/>
          </w:tcPr>
          <w:p>
            <w:pPr>
              <w:ind w:left="240"/>
              <w:spacing w:after="0"/>
              <w:rPr>
                <w:sz w:val="20"/>
                <w:szCs w:val="20"/>
                <w:color w:val="auto"/>
              </w:rPr>
            </w:pPr>
            <w:r>
              <w:rPr>
                <w:rFonts w:ascii="Arial" w:cs="Arial" w:eastAsia="Arial" w:hAnsi="Arial"/>
                <w:sz w:val="18"/>
                <w:szCs w:val="18"/>
                <w:color w:val="auto"/>
              </w:rPr>
              <w:t>Joint Lead Arrangers and Joint Book Runners</w:t>
            </w:r>
          </w:p>
        </w:tc>
        <w:tc>
          <w:tcPr>
            <w:tcW w:w="216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6F4F9"/>
          </w:tcPr>
          <w:p>
            <w:pPr>
              <w:spacing w:after="0"/>
              <w:rPr>
                <w:sz w:val="20"/>
                <w:szCs w:val="20"/>
                <w:color w:val="auto"/>
              </w:rPr>
            </w:pPr>
            <w:r>
              <w:rPr>
                <w:rFonts w:ascii="Arial" w:cs="Arial" w:eastAsia="Arial" w:hAnsi="Arial"/>
                <w:sz w:val="18"/>
                <w:szCs w:val="18"/>
                <w:color w:val="auto"/>
              </w:rPr>
              <w:t>SECTION 11.27</w:t>
            </w:r>
          </w:p>
        </w:tc>
        <w:tc>
          <w:tcPr>
            <w:tcW w:w="7620" w:type="dxa"/>
            <w:vAlign w:val="bottom"/>
            <w:shd w:val="clear" w:color="auto" w:fill="C6F4F9"/>
          </w:tcPr>
          <w:p>
            <w:pPr>
              <w:ind w:left="240"/>
              <w:spacing w:after="0"/>
              <w:rPr>
                <w:sz w:val="20"/>
                <w:szCs w:val="20"/>
                <w:color w:val="auto"/>
              </w:rPr>
            </w:pPr>
            <w:r>
              <w:rPr>
                <w:rFonts w:ascii="Arial" w:cs="Arial" w:eastAsia="Arial" w:hAnsi="Arial"/>
                <w:sz w:val="18"/>
                <w:szCs w:val="18"/>
                <w:color w:val="auto"/>
              </w:rPr>
              <w:t>Acknowledgement Regarding Any Supported QFCs</w:t>
            </w:r>
          </w:p>
        </w:tc>
        <w:tc>
          <w:tcPr>
            <w:tcW w:w="2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11.28</w:t>
            </w:r>
          </w:p>
        </w:tc>
        <w:tc>
          <w:tcPr>
            <w:tcW w:w="7620" w:type="dxa"/>
            <w:vAlign w:val="bottom"/>
          </w:tcPr>
          <w:p>
            <w:pPr>
              <w:ind w:left="240"/>
              <w:spacing w:after="0"/>
              <w:rPr>
                <w:sz w:val="20"/>
                <w:szCs w:val="20"/>
                <w:color w:val="auto"/>
              </w:rPr>
            </w:pPr>
            <w:r>
              <w:rPr>
                <w:rFonts w:ascii="Arial" w:cs="Arial" w:eastAsia="Arial" w:hAnsi="Arial"/>
                <w:sz w:val="18"/>
                <w:szCs w:val="18"/>
                <w:color w:val="auto"/>
              </w:rPr>
              <w:t>Credit Reporting Act Notice</w:t>
            </w:r>
          </w:p>
        </w:tc>
        <w:tc>
          <w:tcPr>
            <w:tcW w:w="216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640" w:type="dxa"/>
            <w:vAlign w:val="bottom"/>
          </w:tcPr>
          <w:p>
            <w:pPr>
              <w:spacing w:after="0"/>
              <w:rPr>
                <w:sz w:val="17"/>
                <w:szCs w:val="17"/>
                <w:color w:val="auto"/>
              </w:rPr>
            </w:pPr>
          </w:p>
        </w:tc>
      </w:tr>
      <w:tr>
        <w:trPr>
          <w:trHeight w:val="237"/>
        </w:trPr>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40" w:type="dxa"/>
            <w:vAlign w:val="bottom"/>
          </w:tcPr>
          <w:p>
            <w:pPr>
              <w:spacing w:after="0"/>
              <w:rPr>
                <w:sz w:val="20"/>
                <w:szCs w:val="20"/>
                <w:color w:val="auto"/>
              </w:rPr>
            </w:pP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A</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640" w:type="dxa"/>
            <w:vAlign w:val="bottom"/>
          </w:tcPr>
          <w:p>
            <w:pPr>
              <w:ind w:left="100"/>
              <w:spacing w:after="0"/>
              <w:rPr>
                <w:sz w:val="20"/>
                <w:szCs w:val="20"/>
                <w:color w:val="auto"/>
              </w:rPr>
            </w:pPr>
            <w:r>
              <w:rPr>
                <w:rFonts w:ascii="Arial" w:cs="Arial" w:eastAsia="Arial" w:hAnsi="Arial"/>
                <w:sz w:val="18"/>
                <w:szCs w:val="18"/>
                <w:color w:val="auto"/>
              </w:rPr>
              <w:t>Form of Letter of Credit Request</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C</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640" w:type="dxa"/>
            <w:vAlign w:val="bottom"/>
          </w:tcPr>
          <w:p>
            <w:pPr>
              <w:ind w:left="100"/>
              <w:spacing w:after="0"/>
              <w:rPr>
                <w:sz w:val="20"/>
                <w:szCs w:val="20"/>
                <w:color w:val="auto"/>
              </w:rPr>
            </w:pPr>
            <w:r>
              <w:rPr>
                <w:rFonts w:ascii="Arial" w:cs="Arial" w:eastAsia="Arial" w:hAnsi="Arial"/>
                <w:sz w:val="18"/>
                <w:szCs w:val="18"/>
                <w:color w:val="auto"/>
              </w:rPr>
              <w:t>Form of Assignee Certificate</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E</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Increasing Lender Supplement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640" w:type="dxa"/>
            <w:vAlign w:val="bottom"/>
          </w:tcPr>
          <w:p>
            <w:pPr>
              <w:ind w:left="100"/>
              <w:spacing w:after="0"/>
              <w:rPr>
                <w:sz w:val="20"/>
                <w:szCs w:val="20"/>
                <w:color w:val="auto"/>
              </w:rPr>
            </w:pPr>
            <w:r>
              <w:rPr>
                <w:rFonts w:ascii="Arial" w:cs="Arial" w:eastAsia="Arial" w:hAnsi="Arial"/>
                <w:sz w:val="18"/>
                <w:szCs w:val="18"/>
                <w:color w:val="auto"/>
              </w:rPr>
              <w:t>Form of Additional Lender Supplement</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G</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Intercreditor Agreement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640" w:type="dxa"/>
            <w:vAlign w:val="bottom"/>
          </w:tcPr>
          <w:p>
            <w:pPr>
              <w:ind w:left="100"/>
              <w:spacing w:after="0"/>
              <w:rPr>
                <w:sz w:val="20"/>
                <w:szCs w:val="20"/>
                <w:color w:val="auto"/>
              </w:rPr>
            </w:pPr>
            <w:r>
              <w:rPr>
                <w:rFonts w:ascii="Arial" w:cs="Arial" w:eastAsia="Arial" w:hAnsi="Arial"/>
                <w:sz w:val="18"/>
                <w:szCs w:val="18"/>
                <w:color w:val="auto"/>
              </w:rPr>
              <w:t>Form of U.S. Security Agreement</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I</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Canadian Security Agreement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9640" w:type="dxa"/>
            <w:vAlign w:val="bottom"/>
          </w:tcPr>
          <w:p>
            <w:pPr>
              <w:ind w:left="100"/>
              <w:spacing w:after="0"/>
              <w:rPr>
                <w:sz w:val="20"/>
                <w:szCs w:val="20"/>
                <w:color w:val="auto"/>
              </w:rPr>
            </w:pPr>
            <w:r>
              <w:rPr>
                <w:rFonts w:ascii="Arial" w:cs="Arial" w:eastAsia="Arial" w:hAnsi="Arial"/>
                <w:sz w:val="18"/>
                <w:szCs w:val="18"/>
                <w:color w:val="auto"/>
              </w:rPr>
              <w:t>Forms of IP Short Forms</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K</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English Security Agreements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9640" w:type="dxa"/>
            <w:vAlign w:val="bottom"/>
          </w:tcPr>
          <w:p>
            <w:pPr>
              <w:ind w:left="100"/>
              <w:spacing w:after="0"/>
              <w:rPr>
                <w:sz w:val="20"/>
                <w:szCs w:val="20"/>
                <w:color w:val="auto"/>
              </w:rPr>
            </w:pPr>
            <w:r>
              <w:rPr>
                <w:rFonts w:ascii="Arial" w:cs="Arial" w:eastAsia="Arial" w:hAnsi="Arial"/>
                <w:sz w:val="18"/>
                <w:szCs w:val="18"/>
                <w:color w:val="auto"/>
              </w:rPr>
              <w:t>Form of British Virgin Islands Security Agreements</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M</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Intercompany Subordination Agreement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EXHIBIT N</w:t>
            </w:r>
          </w:p>
        </w:tc>
        <w:tc>
          <w:tcPr>
            <w:tcW w:w="9640" w:type="dxa"/>
            <w:vAlign w:val="bottom"/>
          </w:tcPr>
          <w:p>
            <w:pPr>
              <w:ind w:left="100"/>
              <w:spacing w:after="0"/>
              <w:rPr>
                <w:sz w:val="20"/>
                <w:szCs w:val="20"/>
                <w:color w:val="auto"/>
              </w:rPr>
            </w:pPr>
            <w:r>
              <w:rPr>
                <w:rFonts w:ascii="Arial" w:cs="Arial" w:eastAsia="Arial" w:hAnsi="Arial"/>
                <w:sz w:val="18"/>
                <w:szCs w:val="18"/>
                <w:color w:val="auto"/>
              </w:rPr>
              <w:t>Form of Participant Certificate</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EXHIBIT O</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Form of Activity Report</w:t>
            </w:r>
          </w:p>
        </w:tc>
      </w:t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EXHIBIT P</w:t>
            </w:r>
          </w:p>
        </w:tc>
        <w:tc>
          <w:tcPr>
            <w:tcW w:w="9640" w:type="dxa"/>
            <w:vAlign w:val="bottom"/>
          </w:tcPr>
          <w:p>
            <w:pPr>
              <w:ind w:left="100"/>
              <w:spacing w:after="0"/>
              <w:rPr>
                <w:sz w:val="20"/>
                <w:szCs w:val="20"/>
                <w:color w:val="auto"/>
              </w:rPr>
            </w:pPr>
            <w:r>
              <w:rPr>
                <w:rFonts w:ascii="Arial" w:cs="Arial" w:eastAsia="Arial" w:hAnsi="Arial"/>
                <w:sz w:val="18"/>
                <w:szCs w:val="18"/>
                <w:color w:val="auto"/>
              </w:rPr>
              <w:t>Form of Amendment No. 1 Intercreditor Agreement</w:t>
            </w:r>
          </w:p>
        </w:tc>
      </w:tr>
      <w:tr>
        <w:trPr>
          <w:trHeight w:val="593"/>
        </w:trPr>
        <w:tc>
          <w:tcPr>
            <w:tcW w:w="160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640" w:type="dxa"/>
            <w:vAlign w:val="bottom"/>
          </w:tcPr>
          <w:p>
            <w:pPr>
              <w:spacing w:after="0"/>
              <w:rPr>
                <w:sz w:val="24"/>
                <w:szCs w:val="24"/>
                <w:color w:val="auto"/>
              </w:rPr>
            </w:pPr>
          </w:p>
        </w:tc>
      </w:tr>
      <w:tr>
        <w:trPr>
          <w:trHeight w:val="237"/>
        </w:trPr>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9640" w:type="dxa"/>
            <w:vAlign w:val="bottom"/>
          </w:tcPr>
          <w:p>
            <w:pPr>
              <w:spacing w:after="0"/>
              <w:rPr>
                <w:sz w:val="20"/>
                <w:szCs w:val="20"/>
                <w:color w:val="auto"/>
              </w:rPr>
            </w:pP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SCHEDULE 1.01A</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Excluded Jurisdictions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1.01B</w:t>
            </w:r>
          </w:p>
        </w:tc>
        <w:tc>
          <w:tcPr>
            <w:tcW w:w="9640" w:type="dxa"/>
            <w:vAlign w:val="bottom"/>
          </w:tcPr>
          <w:p>
            <w:pPr>
              <w:ind w:left="100"/>
              <w:spacing w:after="0"/>
              <w:rPr>
                <w:sz w:val="20"/>
                <w:szCs w:val="20"/>
                <w:color w:val="auto"/>
              </w:rPr>
            </w:pPr>
            <w:r>
              <w:rPr>
                <w:rFonts w:ascii="Arial" w:cs="Arial" w:eastAsia="Arial" w:hAnsi="Arial"/>
                <w:sz w:val="18"/>
                <w:szCs w:val="18"/>
                <w:color w:val="auto"/>
              </w:rPr>
              <w:t>Guarantors on the Effective Date</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SCHEDULE 1.01C</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Effective Date Security Agreements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1.01D</w:t>
            </w:r>
          </w:p>
        </w:tc>
        <w:tc>
          <w:tcPr>
            <w:tcW w:w="9640" w:type="dxa"/>
            <w:vAlign w:val="bottom"/>
          </w:tcPr>
          <w:p>
            <w:pPr>
              <w:ind w:left="100"/>
              <w:spacing w:after="0"/>
              <w:rPr>
                <w:sz w:val="20"/>
                <w:szCs w:val="20"/>
                <w:color w:val="auto"/>
              </w:rPr>
            </w:pPr>
            <w:r>
              <w:rPr>
                <w:rFonts w:ascii="Arial" w:cs="Arial" w:eastAsia="Arial" w:hAnsi="Arial"/>
                <w:sz w:val="18"/>
                <w:szCs w:val="18"/>
                <w:color w:val="auto"/>
              </w:rPr>
              <w:t>Effective Date Real Property</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SCHEDULE 1.01E</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Effective Date Letters of Credit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9640" w:type="dxa"/>
            <w:vAlign w:val="bottom"/>
          </w:tcPr>
          <w:p>
            <w:pPr>
              <w:ind w:left="100"/>
              <w:spacing w:after="0"/>
              <w:rPr>
                <w:sz w:val="20"/>
                <w:szCs w:val="20"/>
                <w:color w:val="auto"/>
              </w:rPr>
            </w:pPr>
            <w:r>
              <w:rPr>
                <w:rFonts w:ascii="Arial" w:cs="Arial" w:eastAsia="Arial" w:hAnsi="Arial"/>
                <w:sz w:val="18"/>
                <w:szCs w:val="18"/>
                <w:color w:val="auto"/>
              </w:rPr>
              <w:t>Commitments</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SCHEDULE 3.01</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9640" w:type="dxa"/>
            <w:vAlign w:val="bottom"/>
          </w:tcPr>
          <w:p>
            <w:pPr>
              <w:ind w:left="100"/>
              <w:spacing w:after="0"/>
              <w:rPr>
                <w:sz w:val="20"/>
                <w:szCs w:val="20"/>
                <w:color w:val="auto"/>
              </w:rPr>
            </w:pPr>
            <w:r>
              <w:rPr>
                <w:rFonts w:ascii="Arial" w:cs="Arial" w:eastAsia="Arial" w:hAnsi="Arial"/>
                <w:sz w:val="18"/>
                <w:szCs w:val="18"/>
                <w:color w:val="auto"/>
              </w:rPr>
              <w:t>Disclosed Litigation</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SCHEDULE 6.12</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Sanctions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w w:val="98"/>
              </w:rPr>
              <w:t>SCHEDULE 6.20(a)</w:t>
            </w:r>
          </w:p>
        </w:tc>
        <w:tc>
          <w:tcPr>
            <w:tcW w:w="9640" w:type="dxa"/>
            <w:vAlign w:val="bottom"/>
          </w:tcPr>
          <w:p>
            <w:pPr>
              <w:ind w:left="100"/>
              <w:spacing w:after="0"/>
              <w:rPr>
                <w:sz w:val="20"/>
                <w:szCs w:val="20"/>
                <w:color w:val="auto"/>
              </w:rPr>
            </w:pPr>
            <w:r>
              <w:rPr>
                <w:rFonts w:ascii="Arial" w:cs="Arial" w:eastAsia="Arial" w:hAnsi="Arial"/>
                <w:sz w:val="18"/>
                <w:szCs w:val="18"/>
                <w:color w:val="auto"/>
              </w:rPr>
              <w:t>Capitalization of Parent</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w w:val="98"/>
              </w:rPr>
              <w:t>SCHEDULE 6.20(b)</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Capitalization of Subsidiaries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7.11</w:t>
            </w:r>
          </w:p>
        </w:tc>
        <w:tc>
          <w:tcPr>
            <w:tcW w:w="9640" w:type="dxa"/>
            <w:vAlign w:val="bottom"/>
          </w:tcPr>
          <w:p>
            <w:pPr>
              <w:ind w:left="100"/>
              <w:spacing w:after="0"/>
              <w:rPr>
                <w:sz w:val="20"/>
                <w:szCs w:val="20"/>
                <w:color w:val="auto"/>
              </w:rPr>
            </w:pPr>
            <w:r>
              <w:rPr>
                <w:rFonts w:ascii="Arial" w:cs="Arial" w:eastAsia="Arial" w:hAnsi="Arial"/>
                <w:sz w:val="18"/>
                <w:szCs w:val="18"/>
                <w:color w:val="auto"/>
              </w:rPr>
              <w:t>Post-Closing Grant and Perfection Requirements</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SCHEDULE 8.01</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Existing Indebtedness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8.04</w:t>
            </w:r>
          </w:p>
        </w:tc>
        <w:tc>
          <w:tcPr>
            <w:tcW w:w="9640" w:type="dxa"/>
            <w:vAlign w:val="bottom"/>
          </w:tcPr>
          <w:p>
            <w:pPr>
              <w:ind w:left="100"/>
              <w:spacing w:after="0"/>
              <w:rPr>
                <w:sz w:val="20"/>
                <w:szCs w:val="20"/>
                <w:color w:val="auto"/>
              </w:rPr>
            </w:pPr>
            <w:r>
              <w:rPr>
                <w:rFonts w:ascii="Arial" w:cs="Arial" w:eastAsia="Arial" w:hAnsi="Arial"/>
                <w:sz w:val="18"/>
                <w:szCs w:val="18"/>
                <w:color w:val="auto"/>
              </w:rPr>
              <w:t>Existing Liens</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w w:val="98"/>
              </w:rPr>
              <w:t>SCHEDULE 8.05(d)</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Specified Dispositions</w:t>
            </w: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SCHEDULE 8.06</w:t>
            </w:r>
          </w:p>
        </w:tc>
        <w:tc>
          <w:tcPr>
            <w:tcW w:w="9640" w:type="dxa"/>
            <w:vAlign w:val="bottom"/>
          </w:tcPr>
          <w:p>
            <w:pPr>
              <w:ind w:left="100"/>
              <w:spacing w:after="0"/>
              <w:rPr>
                <w:sz w:val="20"/>
                <w:szCs w:val="20"/>
                <w:color w:val="auto"/>
              </w:rPr>
            </w:pPr>
            <w:r>
              <w:rPr>
                <w:rFonts w:ascii="Arial" w:cs="Arial" w:eastAsia="Arial" w:hAnsi="Arial"/>
                <w:sz w:val="18"/>
                <w:szCs w:val="18"/>
                <w:color w:val="auto"/>
              </w:rPr>
              <w:t>Existing Investments</w:t>
            </w:r>
          </w:p>
        </w:tc>
      </w:tr>
      <w:tr>
        <w:trPr>
          <w:trHeight w:val="216"/>
        </w:trPr>
        <w:tc>
          <w:tcPr>
            <w:tcW w:w="16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SCHEDULE 8.11</w:t>
            </w:r>
          </w:p>
        </w:tc>
        <w:tc>
          <w:tcPr>
            <w:tcW w:w="9640" w:type="dxa"/>
            <w:vAlign w:val="bottom"/>
            <w:shd w:val="clear" w:color="auto" w:fill="C6F4F9"/>
          </w:tcPr>
          <w:p>
            <w:pPr>
              <w:ind w:left="100"/>
              <w:spacing w:after="0"/>
              <w:rPr>
                <w:sz w:val="20"/>
                <w:szCs w:val="20"/>
                <w:color w:val="auto"/>
              </w:rPr>
            </w:pPr>
            <w:r>
              <w:rPr>
                <w:rFonts w:ascii="Arial" w:cs="Arial" w:eastAsia="Arial" w:hAnsi="Arial"/>
                <w:sz w:val="18"/>
                <w:szCs w:val="18"/>
                <w:color w:val="auto"/>
              </w:rPr>
              <w:t>Existing Restrictive Agreements</w:t>
            </w: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LC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LC CREDIT AGREEMENT, dated as of December 13, 2019, is among WEATHERFORD INTERNATIONAL LTD., a Bermuda exempted company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INTERNATIONAL, LLC, a Delaware limited liability company (“</w:t>
      </w:r>
      <w:r>
        <w:rPr>
          <w:rFonts w:ascii="Arial" w:cs="Arial" w:eastAsia="Arial" w:hAnsi="Arial"/>
          <w:sz w:val="17"/>
          <w:szCs w:val="17"/>
          <w:u w:val="single" w:color="auto"/>
          <w:color w:val="auto"/>
        </w:rPr>
        <w:t>WIL</w:t>
      </w:r>
      <w:r>
        <w:rPr>
          <w:rFonts w:ascii="Arial" w:cs="Arial" w:eastAsia="Arial" w:hAnsi="Arial"/>
          <w:sz w:val="17"/>
          <w:szCs w:val="17"/>
          <w:b w:val="1"/>
          <w:bCs w:val="1"/>
          <w:u w:val="single" w:color="auto"/>
          <w:color w:val="auto"/>
        </w:rPr>
        <w:t>-</w:t>
      </w:r>
      <w:r>
        <w:rPr>
          <w:rFonts w:ascii="Arial" w:cs="Arial" w:eastAsia="Arial" w:hAnsi="Arial"/>
          <w:sz w:val="17"/>
          <w:szCs w:val="17"/>
          <w:u w:val="single" w:color="auto"/>
          <w:color w:val="auto"/>
        </w:rPr>
        <w:t>Delaware</w:t>
      </w:r>
      <w:r>
        <w:rPr>
          <w:rFonts w:ascii="Arial" w:cs="Arial" w:eastAsia="Arial" w:hAnsi="Arial"/>
          <w:sz w:val="17"/>
          <w:szCs w:val="17"/>
          <w:color w:val="auto"/>
        </w:rPr>
        <w:t>” and together with WIL-Bermuda, the “</w:t>
      </w:r>
      <w:r>
        <w:rPr>
          <w:rFonts w:ascii="Arial" w:cs="Arial" w:eastAsia="Arial" w:hAnsi="Arial"/>
          <w:sz w:val="17"/>
          <w:szCs w:val="17"/>
          <w:u w:val="single" w:color="auto"/>
          <w:color w:val="auto"/>
        </w:rPr>
        <w:t>Borrowers</w:t>
      </w:r>
      <w:r>
        <w:rPr>
          <w:rFonts w:ascii="Arial" w:cs="Arial" w:eastAsia="Arial" w:hAnsi="Arial"/>
          <w:sz w:val="17"/>
          <w:szCs w:val="17"/>
          <w:color w:val="auto"/>
        </w:rPr>
        <w:t>”), WEATHERFORD INTERNATIONAL PLC, as Parent, the Lenders from time to time party hereto, DEUTSCHE BANK TRUST COMPANY AMERICAS, as administrative agent for the Lenders (“</w:t>
      </w:r>
      <w:r>
        <w:rPr>
          <w:rFonts w:ascii="Arial" w:cs="Arial" w:eastAsia="Arial" w:hAnsi="Arial"/>
          <w:sz w:val="17"/>
          <w:szCs w:val="17"/>
          <w:u w:val="single" w:color="auto"/>
          <w:color w:val="auto"/>
        </w:rPr>
        <w:t>DBTCA</w:t>
      </w:r>
      <w:r>
        <w:rPr>
          <w:rFonts w:ascii="Arial" w:cs="Arial" w:eastAsia="Arial" w:hAnsi="Arial"/>
          <w:sz w:val="17"/>
          <w:szCs w:val="17"/>
          <w:color w:val="auto"/>
        </w:rPr>
        <w:t>”), and the Issuing Banks from time to time party hereto.</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on July 1, 2019, Parent (as defined below) and the Borrowers (together, the “</w:t>
      </w:r>
      <w:r>
        <w:rPr>
          <w:rFonts w:ascii="Arial" w:cs="Arial" w:eastAsia="Arial" w:hAnsi="Arial"/>
          <w:sz w:val="18"/>
          <w:szCs w:val="18"/>
          <w:u w:val="single" w:color="auto"/>
          <w:color w:val="auto"/>
        </w:rPr>
        <w:t>Debtors</w:t>
      </w:r>
      <w:r>
        <w:rPr>
          <w:rFonts w:ascii="Arial" w:cs="Arial" w:eastAsia="Arial" w:hAnsi="Arial"/>
          <w:sz w:val="18"/>
          <w:szCs w:val="18"/>
          <w:color w:val="auto"/>
        </w:rPr>
        <w:t>”) filed voluntary petitions with the United States Bankruptcy Court for the Southern District of Texas, Houston Division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for relief under Chapter 11 of Title 11 of the United States Code and commenced their Chapter 11 proceedings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WHEREAS, in connection with the Chapter 11 Cases, WIL-Bermuda has sought approval of, and to implement, a scheme of arrangement in Bermuda under Section 99 of the Companies Act 1981 (the “</w:t>
      </w:r>
      <w:r>
        <w:rPr>
          <w:rFonts w:ascii="Arial" w:cs="Arial" w:eastAsia="Arial" w:hAnsi="Arial"/>
          <w:sz w:val="16"/>
          <w:szCs w:val="16"/>
          <w:u w:val="single" w:color="auto"/>
          <w:color w:val="auto"/>
        </w:rPr>
        <w:t>Bermuda Scheme</w:t>
      </w:r>
      <w:r>
        <w:rPr>
          <w:rFonts w:ascii="Arial" w:cs="Arial" w:eastAsia="Arial" w:hAnsi="Arial"/>
          <w:sz w:val="16"/>
          <w:szCs w:val="16"/>
          <w:color w:val="auto"/>
        </w:rPr>
        <w:t>”) and the examiner of Parent has sought orders confirming and approving his proposals for a scheme of arrangement by the Irish High Court under section 541 of the Companies Act 2014 of Ireland (the “</w:t>
      </w:r>
      <w:r>
        <w:rPr>
          <w:rFonts w:ascii="Arial" w:cs="Arial" w:eastAsia="Arial" w:hAnsi="Arial"/>
          <w:sz w:val="16"/>
          <w:szCs w:val="16"/>
          <w:u w:val="single" w:color="auto"/>
          <w:color w:val="auto"/>
        </w:rPr>
        <w:t>Irish Scheme</w:t>
      </w:r>
      <w:r>
        <w:rPr>
          <w:rFonts w:ascii="Arial" w:cs="Arial" w:eastAsia="Arial" w:hAnsi="Arial"/>
          <w:sz w:val="16"/>
          <w:szCs w:val="16"/>
          <w:color w:val="auto"/>
        </w:rPr>
        <w:t>”);</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on the Plan Effective Date (as defined below), the Debtors shall emerge from the Chapter 11 Cases upon the effectiveness of the Debtors’ Second Amended Joint Prepackaged Plan of Reorganization For Weatherford International PLC and its Affiliate Debtors Under Chapter 11 of the Bankruptcy Code (as amended, restated, amended and restated, supplemented or otherwise modified from time to time prior to the date hereof, the “</w:t>
      </w:r>
      <w:r>
        <w:rPr>
          <w:rFonts w:ascii="Arial" w:cs="Arial" w:eastAsia="Arial" w:hAnsi="Arial"/>
          <w:sz w:val="17"/>
          <w:szCs w:val="17"/>
          <w:u w:val="single" w:color="auto"/>
          <w:color w:val="auto"/>
        </w:rPr>
        <w:t>Plan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Reorganization</w:t>
      </w:r>
      <w:r>
        <w:rPr>
          <w:rFonts w:ascii="Arial" w:cs="Arial" w:eastAsia="Arial" w:hAnsi="Arial"/>
          <w:sz w:val="17"/>
          <w:szCs w:val="17"/>
          <w:color w:val="auto"/>
        </w:rPr>
        <w:t>”), which Plan of Reorganization was confirmed by the Bankruptcy Court on September 11, 2019; and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in connection with the Debtors’ emergence from the Chapter 11 Cases and concurrently with entry into this Agreement, Parent and/or certain of its Subsidiaries shall issue the Exit Senior Notes, enter into the Exit ABL Credit Agreement (each as defined below), and the Bermuda Scheme and the Irish Scheme (both of which shall become effective in accordance with their terms).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sufficiency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ACCOUNTING TERMS; INTERPRETATION</w:t>
      </w:r>
    </w:p>
    <w:p>
      <w:pPr>
        <w:spacing w:after="0" w:line="21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Facility</w:t>
      </w:r>
      <w:r>
        <w:rPr>
          <w:rFonts w:ascii="Arial" w:cs="Arial" w:eastAsia="Arial" w:hAnsi="Arial"/>
          <w:sz w:val="17"/>
          <w:szCs w:val="17"/>
          <w:color w:val="auto"/>
        </w:rPr>
        <w:t xml:space="preserve">” means any asset-based credit facility entered into by one or more Obligors at any time after the Amendment No. 2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reasonably in advance of the date of the initial issuance thereof, at least 50% of the commitments under such facility shall be offered to the Lenders on such terms that are reasonably acceptable to the Obligors;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Lenders do not accept such commitments, such Obligors may offer such commitments to other Commercial Lenders, (b) as of the date of the initial issuance thereof, such facility shall be provided by Commercial Lenders, (c) any Liens on the Collateral securing such facility shall be subject to each applicable Intercreditor Agreement, (d) such facility shall not be guaranteed by any Person that is not an Obligor and (e) the Administrative Agent is reasonably satisfied that it has received (or has otherwise agreed that reasonably satisfactory arrangements have been made for) all actions or documents reasonably requested by the it that are necessary to establish or reaffirm that all Liens intended to be constituted pursuant to the Collateral Documents remain valid, existing and in full force and effect and with the priority envisaged hereby (including, if so requested, deeds of confirmation, amendments and/or supplements to Collateral Documents and/or the applicable Intercreditor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Priority Collateral</w:t>
      </w:r>
      <w:r>
        <w:rPr>
          <w:rFonts w:ascii="Arial" w:cs="Arial" w:eastAsia="Arial" w:hAnsi="Arial"/>
          <w:sz w:val="16"/>
          <w:szCs w:val="16"/>
          <w:color w:val="auto"/>
        </w:rPr>
        <w:t>” means any Collateral consisting of: (a) Accounts, (b) Chattel Paper and rights to payment evidenced thereby, (c) Inventory, (d) unfinanced drilling, fracking, well maintenance and other similar rental tools, including, without limitation, artificial lift equipment, cementation production, drilling services, drilling tools, intervention services, line hanger, pressure drilling, open and case hole, pressure pumping, production automation, sand control, testing, tubular running services, well services, and wireline, (e) cash and cash equivalents, excluding identifiable proceeds of Notes Priority Collateral and LC Priority Collateral, (f) deposit accounts and securities accounts (including funds or other property held in or on deposit therein, excluding identifiable proceeds of Notes Priority Collateral and LC Priority Collateral), (g) Payment Intangibles in respect of the items referred to in the previous clauses (a)-(f), (h) to the extent related to, substituted or exchanged for, evidencing, supporting or arising from any of the items referred to in the preceding clauses (a)-(g), all Documents, Letter-of-credit rights, Instruments and rights to payment evidenced thereby, Supporting Obligations, General Intangibles (other than Capital Stock and intellectual property) and books and records, including customer lists, (i) to the extent attributed or pertaining to the foregoing, Commercial Tort Claims, (j) intercompany payables and other intercompany claims, business interruption insurance proceeds, representation and warranty insurance proceeds and tax refunds, and (k) substitutions, replacements, accessions, products or proceeds of any of the foregoing, in any form, including insurance proceeds and claims against third parties for loss or damage to, or destruction of, or other involuntary conversion (including claims in respect of condemnation or expropriation) of any kind or nature of any or all of the foregoing. All capitalized terms used in this definition and not defined elsewhere in this LC Credit Agreement shall have the meanings assigned to them in the UCC.</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Added Guarantor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7.08(h)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 Supplement</w:t>
      </w:r>
      <w:r>
        <w:rPr>
          <w:rFonts w:ascii="Arial" w:cs="Arial" w:eastAsia="Arial" w:hAnsi="Arial"/>
          <w:sz w:val="18"/>
          <w:szCs w:val="18"/>
          <w:color w:val="auto"/>
        </w:rPr>
        <w:t xml:space="preserve">” means an additional lender supplement entered into by the Borrowers and any Additional Lender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means, with respect to any fee for any LC Fee Period, an interest rate per annum (rounded upwards, if necessary, to the next 1/100 of 1%) equal to (a) the LIBO Rate for such LC Fee Period multiplied by (b) the Statutory Reserve Rate.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DBTCA in its capacity as administrative agent for the Lenders and any successor in such capacity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Person, any other Person who controls, is controlled by or is under common control with, such Person. For the purposes of this 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of this Agreement: (a) if any Person owns directly or indirectly 15% or more of the Capital Stock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Guaranty</w:t>
      </w:r>
      <w:r>
        <w:rPr>
          <w:rFonts w:ascii="Arial" w:cs="Arial" w:eastAsia="Arial" w:hAnsi="Arial"/>
          <w:sz w:val="18"/>
          <w:szCs w:val="18"/>
          <w:color w:val="auto"/>
        </w:rPr>
        <w:t>” means that certain Affiliate Guaranty, dated as of the Effective Date, by and among the Guarantors party thereto in favor of the Administrative Agent, for the benefit of itself and the other holders of the Secured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at any time, the sum of the Commitments of all Lenders at such time. The amount of the Aggregate Commitments as of the Amendment No. 2 Effective Date is $215,000,000.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Liquidity</w:t>
      </w:r>
      <w:r>
        <w:rPr>
          <w:rFonts w:ascii="Arial" w:cs="Arial" w:eastAsia="Arial" w:hAnsi="Arial"/>
          <w:sz w:val="18"/>
          <w:szCs w:val="18"/>
          <w:color w:val="auto"/>
        </w:rPr>
        <w:t xml:space="preserve">” means, as of any date of determination, all available, undrawn and unutilized commitments under the Revolving Credit Facility at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of Unrestricted Cash and Cash Equivalents of the Obligors at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Currency</w:t>
      </w:r>
      <w:r>
        <w:rPr>
          <w:rFonts w:ascii="Arial" w:cs="Arial" w:eastAsia="Arial" w:hAnsi="Arial"/>
          <w:sz w:val="18"/>
          <w:szCs w:val="18"/>
          <w:color w:val="auto"/>
        </w:rPr>
        <w:t>” means any currency of a Specified 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LC Credit Agreement.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 and (c) the Adjusted LIBO Rate on such day (or if such day is not a Business Day, the immediately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spacing w:after="0" w:line="275" w:lineRule="auto"/>
        <w:rPr>
          <w:sz w:val="20"/>
          <w:szCs w:val="20"/>
          <w:color w:val="auto"/>
        </w:rPr>
      </w:pPr>
      <w:r>
        <w:rPr>
          <w:rFonts w:ascii="Arial" w:cs="Arial" w:eastAsia="Arial" w:hAnsi="Arial"/>
          <w:sz w:val="17"/>
          <w:szCs w:val="17"/>
          <w:color w:val="auto"/>
        </w:rPr>
        <w:t xml:space="preserve">preceding Business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 Rate for any day shall be based on the LIBO Screen Rate (or if the LIBO Screen Rate is not available for such one month LC Fee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Australian dollar, British pound sterling, Euro dollars, Swiss francs, Japanese yen, or one or more alternate currencies as requested by any Borrower and agreed to by the applicable Issuing Bank, with prior written consent of the Administrative Agent (such approvals and consents not to be unreasonably withheld).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that certain Amendment No. 1 to LC Credit Agreement dated as of August 28, 2020, among the Obligor Parties, the Lenders and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has the meaning given to such term in Amendment No.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Intercreditor Agreement</w:t>
      </w:r>
      <w:r>
        <w:rPr>
          <w:rFonts w:ascii="Arial" w:cs="Arial" w:eastAsia="Arial" w:hAnsi="Arial"/>
          <w:sz w:val="18"/>
          <w:szCs w:val="18"/>
          <w:color w:val="auto"/>
        </w:rPr>
        <w:t>” has the meaning specified in “Intercreditor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w:t>
      </w:r>
      <w:r>
        <w:rPr>
          <w:rFonts w:ascii="Arial" w:cs="Arial" w:eastAsia="Arial" w:hAnsi="Arial"/>
          <w:sz w:val="18"/>
          <w:szCs w:val="18"/>
          <w:color w:val="auto"/>
        </w:rPr>
        <w:t>” means that certain Amendment No. 2 to the LC Credit Agreement, dated as of September 20, 2021, among the Obligor Parties, the Lenders and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has the meaning given to such term in Amendment No. 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Angolan Bond Investment</w:t>
      </w:r>
      <w:r>
        <w:rPr>
          <w:rFonts w:ascii="Arial" w:cs="Arial" w:eastAsia="Arial" w:hAnsi="Arial"/>
          <w:sz w:val="18"/>
          <w:szCs w:val="18"/>
          <w:color w:val="auto"/>
        </w:rPr>
        <w:t>” means the purchase of Dollar-linked or inflation-protected or other similar Angolan government sovereign or local corporate bonds or similar instruments having a similar purpose by Parent or a Restricted Subsidiary.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Parent or any of its Subsidiaries from time to time concerning or relating to bribery or corruption, including the FCPA, the U.K. Bribery Act of 2010, as amended, and the Canadian Anti-Money Laundering &amp; Anti-Terrorism Legislation and the Corruption of Foreign Public Officials Act (Canada).</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for purposes of calculating the LC Participation Fee Rate, 3.50%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LC Participation Fee Rate is being calculated with reference to the Alternate Base Rate, 2.50% per annum.</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(carried out to the twelfth decimal place) of the Aggregate Commitments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that a Defaulting Lender shall exist, “Applicable Percentage” shall mean the percentage of the Aggregate Commitments (disregarding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both"/>
        <w:spacing w:after="0" w:line="301" w:lineRule="auto"/>
        <w:rPr>
          <w:sz w:val="20"/>
          <w:szCs w:val="20"/>
          <w:color w:val="auto"/>
        </w:rPr>
      </w:pPr>
      <w:r>
        <w:rPr>
          <w:rFonts w:ascii="Arial" w:cs="Arial" w:eastAsia="Arial" w:hAnsi="Arial"/>
          <w:sz w:val="16"/>
          <w:szCs w:val="16"/>
          <w:color w:val="auto"/>
        </w:rPr>
        <w:t xml:space="preserve">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of each Lender as of the date hereof is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Argentine Bond Investment</w:t>
      </w:r>
      <w:r>
        <w:rPr>
          <w:rFonts w:ascii="Arial" w:cs="Arial" w:eastAsia="Arial" w:hAnsi="Arial"/>
          <w:sz w:val="18"/>
          <w:szCs w:val="18"/>
          <w:color w:val="auto"/>
        </w:rPr>
        <w:t>” means the purchase of Dollar-linked or inflation-protected or other similar Argentine government sovereign or local corporate bonds or similar instruments having a similar purpose by Parent or a Restricted Subsidiary.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Assignee Certificate</w:t>
      </w:r>
      <w:r>
        <w:rPr>
          <w:rFonts w:ascii="Arial" w:cs="Arial" w:eastAsia="Arial" w:hAnsi="Arial"/>
          <w:sz w:val="16"/>
          <w:szCs w:val="16"/>
          <w:color w:val="auto"/>
        </w:rPr>
        <w:t xml:space="preserve">” means a certificate executed by an assignee under an Assignment and Assumption,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Receivables Amount</w:t>
      </w:r>
      <w:r>
        <w:rPr>
          <w:rFonts w:ascii="Arial" w:cs="Arial" w:eastAsia="Arial" w:hAnsi="Arial"/>
          <w:sz w:val="17"/>
          <w:szCs w:val="17"/>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the Effective Date to the earlier of (a) Maturity Date and (b) the date of termination of all of the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which has implemented, or which at any time implements, Article 55 BRRD, the relevant implementing law or regulation as described in the EU Bail-In Legislation Schedule from time to time, and (b) 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disbursement, automated clearinghouse transactions, return items, any direct debit scheme or arrangement, overdrafts and interstate depository network services).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such Person becomes the subject of a bankruptcy or insolvency proceeding (whether on a provisional, interim, permanent or other basis), or has had a receiver, receiver or manager, conservator, trustee, administrator, custodian, examiner, liquidator, assignee for the benefit of creditors or similar Person charged with the reorganization or liquidation of its business appointed for it (including in the case of any Defaulting Lender, the Federal Deposit Insurance Corporation or any other state or federal regulatory authority), or, in the good faith determination of the Administrative Agent, has taken any action in furtherance of, or indicating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Barclays</w:t>
      </w:r>
      <w:r>
        <w:rPr>
          <w:rFonts w:ascii="Arial" w:cs="Arial" w:eastAsia="Arial" w:hAnsi="Arial"/>
          <w:sz w:val="18"/>
          <w:szCs w:val="18"/>
          <w:color w:val="auto"/>
        </w:rPr>
        <w:t>” means Barclays Bank PLC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Bermuda Scheme</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comparable managers) of such Person, or any committee thereof duly authorized to act on behalf of such board of directors (or comparable managers).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 Value of Assets</w:t>
      </w:r>
      <w:r>
        <w:rPr>
          <w:rFonts w:ascii="Arial" w:cs="Arial" w:eastAsia="Arial" w:hAnsi="Arial"/>
          <w:sz w:val="17"/>
          <w:szCs w:val="17"/>
          <w:color w:val="auto"/>
        </w:rPr>
        <w:t xml:space="preserve">” means, as of any date of determination, (I) with respect to Sections 8.16 and 7.01(h)(ii), the aggregate net book value of all LC Priority Collateral, and (II) with respect to any Collateral Transfer, the aggregate net book value of all LC Priority Collateral subject to such transfer, in each case (a) excluding the value of any such LC Priority Collateral consisting of (i) cash, (ii) Cash Equivalents (and similar short-term marketable securities), (iii) intangible assets and (iv) Capital Stock of any Person, (b) calculated on a consolidated basis for all Obligors (so as to exclude the value of any such LC Priority Collateral consisting of obligations owing by one Obligor to another Obligor) and (c) with such net book values as stated in the most recent consolidated financial statements of the Parent delivered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7.01(b)</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WIL-Bermuda and WIL-Delaware.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British Virgin Islands Security Agreements</w:t>
      </w:r>
      <w:r>
        <w:rPr>
          <w:rFonts w:ascii="Arial" w:cs="Arial" w:eastAsia="Arial" w:hAnsi="Arial"/>
          <w:sz w:val="18"/>
          <w:szCs w:val="18"/>
          <w:color w:val="auto"/>
        </w:rPr>
        <w:t xml:space="preserve">” means the British Virgin Island law governed security agreements listed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and in substantially the form attached hereto as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banks are authorized or required to close in the state of New York, except that, if a determination of a Business Day shall relate to the determination of the LIBO Rate, the term “Business Day” also shall exclude any day on which banks are closed for dealings in Dollar deposits in the London interbank market.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Anti-Money Laundering &amp; Anti-Terrorism Legislation</w:t>
      </w:r>
      <w:r>
        <w:rPr>
          <w:rFonts w:ascii="Arial" w:cs="Arial" w:eastAsia="Arial" w:hAnsi="Arial"/>
          <w:sz w:val="18"/>
          <w:szCs w:val="18"/>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Defined Benefit Plan</w:t>
      </w:r>
      <w:r>
        <w:rPr>
          <w:rFonts w:ascii="Arial" w:cs="Arial" w:eastAsia="Arial" w:hAnsi="Arial"/>
          <w:sz w:val="18"/>
          <w:szCs w:val="18"/>
          <w:color w:val="auto"/>
        </w:rPr>
        <w:t xml:space="preserve">” means any pension plan registered under the Income Tax Act (Canada), the </w:t>
      </w:r>
      <w:r>
        <w:rPr>
          <w:rFonts w:ascii="Arial" w:cs="Arial" w:eastAsia="Arial" w:hAnsi="Arial"/>
          <w:sz w:val="18"/>
          <w:szCs w:val="18"/>
          <w:i w:val="1"/>
          <w:iCs w:val="1"/>
          <w:color w:val="auto"/>
        </w:rPr>
        <w:t>Pension Benefits Act</w:t>
      </w:r>
      <w:r>
        <w:rPr>
          <w:rFonts w:ascii="Arial" w:cs="Arial" w:eastAsia="Arial" w:hAnsi="Arial"/>
          <w:sz w:val="18"/>
          <w:szCs w:val="18"/>
          <w:color w:val="auto"/>
        </w:rPr>
        <w:t xml:space="preserve"> (Ontario) or any other applicable pension standards legislation which contains a “defined benefit provision” as defined in subsection 147.1(1) of the Income Tax Act (Canada).</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Security Agreement</w:t>
      </w:r>
      <w:r>
        <w:rPr>
          <w:rFonts w:ascii="Arial" w:cs="Arial" w:eastAsia="Arial" w:hAnsi="Arial"/>
          <w:sz w:val="18"/>
          <w:szCs w:val="18"/>
          <w:color w:val="auto"/>
        </w:rPr>
        <w:t xml:space="preserve">” means that certain Canadian security agreement governed by the laws of the Province of Alberta, dated as of the Effective Date, by and among the Obligors that are Canadian Subsidiaries from time to time party thereto and the Administrative Agent,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1.01C</w:t>
      </w:r>
      <w:r>
        <w:rPr>
          <w:rFonts w:ascii="Arial" w:cs="Arial" w:eastAsia="Arial" w:hAnsi="Arial"/>
          <w:sz w:val="18"/>
          <w:szCs w:val="18"/>
          <w:color w:val="auto"/>
        </w:rPr>
        <w:t xml:space="preserve"> hereto and in substantially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Subsidiaries</w:t>
      </w:r>
      <w:r>
        <w:rPr>
          <w:rFonts w:ascii="Arial" w:cs="Arial" w:eastAsia="Arial" w:hAnsi="Arial"/>
          <w:sz w:val="18"/>
          <w:szCs w:val="18"/>
          <w:color w:val="auto"/>
        </w:rPr>
        <w:t>” means a Subsidiary of Parent organized under the laws of a jurisdiction located in Canada.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for financial reporting purposes in accordance with GAAP.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w:t>
      </w:r>
      <w:r>
        <w:rPr>
          <w:rFonts w:ascii="Arial" w:cs="Arial" w:eastAsia="Arial" w:hAnsi="Arial"/>
          <w:sz w:val="16"/>
          <w:szCs w:val="16"/>
          <w:color w:val="auto"/>
        </w:rPr>
        <w:t>” means that portion of the obligations under a Capital Lease that is required to be capitalized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Domestic Cash Equivalents, and (b) Foreign Cash Equivalents.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jc w:val="both"/>
        <w:ind w:firstLine="1304"/>
        <w:spacing w:after="0" w:line="259" w:lineRule="auto"/>
        <w:tabs>
          <w:tab w:leader="none" w:pos="19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Person or two or more Persons acting in concert (other than Permitted Holders) shall have acquired beneficial ownership, directly or indirectly, of equity interests of Weatherford Parent Company (or other securities convertible into such equity interests) representing 30%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spacing w:after="0" w:line="183" w:lineRule="exact"/>
        <w:rPr>
          <w:rFonts w:ascii="Arial" w:cs="Arial" w:eastAsia="Arial" w:hAnsi="Arial"/>
          <w:sz w:val="18"/>
          <w:szCs w:val="18"/>
          <w:color w:val="auto"/>
        </w:rPr>
      </w:pPr>
    </w:p>
    <w:p>
      <w:pPr>
        <w:ind w:firstLine="1304"/>
        <w:spacing w:after="0" w:line="277"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occurrence of any “Change of Control” or similar event under the Senior Secured Notes, the Exit Senior Notes or the Revolving Credit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Cases</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property owned, leased or operated by an Obligor covered by the Collateral Documents and any and all other property of any Obligor,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Transfer</w:t>
      </w:r>
      <w:r>
        <w:rPr>
          <w:rFonts w:ascii="Arial" w:cs="Arial" w:eastAsia="Arial" w:hAnsi="Arial"/>
          <w:sz w:val="18"/>
          <w:szCs w:val="18"/>
          <w:color w:val="auto"/>
        </w:rPr>
        <w:t>” means any Disposition, Investment or Restricted Payment involving any Collateral.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Lender</w:t>
      </w:r>
      <w:r>
        <w:rPr>
          <w:rFonts w:ascii="Arial" w:cs="Arial" w:eastAsia="Arial" w:hAnsi="Arial"/>
          <w:sz w:val="18"/>
          <w:szCs w:val="18"/>
          <w:color w:val="auto"/>
        </w:rPr>
        <w:t>” means a commercial bank that provides loans or other financings via asset-based lending facilities or revolving credit facilities in the ordinary course of business of such commercial bank.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Letter of Credit</w:t>
      </w:r>
      <w:r>
        <w:rPr>
          <w:rFonts w:ascii="Arial" w:cs="Arial" w:eastAsia="Arial" w:hAnsi="Arial"/>
          <w:sz w:val="18"/>
          <w:szCs w:val="18"/>
          <w:color w:val="auto"/>
        </w:rPr>
        <w:t>” means any letter of credit, bank guarantee or similar instrument issued for the purpose of providing the primary payment mechanism in connection with the purchase of materials, goods or services.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commitment of such Lender to acquire participations in Letters of Credit hereunder in an aggregate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heading “Commitment”, as such amount may be (a) reduced from time to time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(b) reduced or increased from time to time pursuant to assignments by or to such Lender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with respect to any fiscal period, a certificate of a Principal Financial Officer of Parent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certifying as to (a) whether a Default has occurred and, if a Default has occurred, specifying the details thereof and any action taken or proposed to be taken with respect thereto, (b) setting forth reasonably detailed calculations demonstrating compliance with the covenants set forth in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for such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jc w:val="both"/>
        <w:ind w:firstLine="8"/>
        <w:spacing w:after="0" w:line="257"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and, if any such change has occurred, specifying the effect of such change on the financial statements accompanying such certificate, and (f) any changes to exhibits or schedules to any Collateral Document as required by such Collateral Document.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consolidated net income of Parent and its Restricted Subsidiaries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w:t>
      </w:r>
    </w:p>
    <w:p>
      <w:pPr>
        <w:spacing w:after="0" w:line="46" w:lineRule="exact"/>
        <w:rPr>
          <w:sz w:val="20"/>
          <w:szCs w:val="20"/>
          <w:color w:val="auto"/>
        </w:rPr>
      </w:pPr>
    </w:p>
    <w:p>
      <w:pPr>
        <w:jc w:val="both"/>
        <w:ind w:firstLine="8"/>
        <w:spacing w:after="0" w:line="283"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following expenses or charges (without duplication) and to the extent deducted from revenues in determining consolidated net income for such period: (i) consolidated interest expense, (ii) expense for income taxes, (iii) depreciation, (iv) amortization, (v) professional fees incurred and exit bankruptcy fees incurred prior to the Amendment No. 1 Effective Date in an aggregate amount not to exceed $50,000,000, (vi) cash restructuring costs incurred and paid during the fourth quarter prior to the Effective Date associated with the transformation, severance and restructuring costs program in an aggregate amount not to exceed $30,000,000, (vii) cash restructuring costs incurred during the fourth Fiscal Quarter of 2019 (but not paid prior to the Effective Date) associated with the transformation, severance and restructuring costs program in an aggregate amount not to exceed $50,000,000, (viii) from and after the Testing Period ending on March 31, 2020, 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bankruptcy, reorganization, litigation, settlement and judgment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addbacks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shall not exceed (x) $100,000,000 during any Testing Period ending on or prior to December 31, 2020 and (y) the greater of (1) $25,000,000 and (2) 10% of Consolidated Adjusted EBITDA for any Testing Period thereafter (calculated prior to giving effect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it being understood that any such addback used in determining the EBITDA Plug Numbers (as defined below) shall be permitted and shall not count against such limitations, (ix) any non-cash losses or charges under Hedge Agreements resulting from the application of FASB ASC 815, (x) non-cash compensation expenses or costs related to any management equity plan or stock option plan or any other management or employee benefit plan or agreement, (xi) fees, expenses, premiums and similar charges incurred in connection with this Agreement and the Transactions and in connection with any Revolving Credit Facility, and (xii) all other non-cash charges, expenses or losses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following items of income or gains (without duplication) to the extent included in consolidated net income for such period, (i) interest income, (ii) income tax benefits (to the extent not netted from tax expense), (iii) any cash payments made during such period in respect of non-cash items described in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above subsequent to the Fiscal Quarter in which such non-cash expenses or losses were incurred, (iv) any non-cash gains under Swap Agreements resulting from the application of FASB ASC 815 and (v) all other non-cash income or gains, all calculated in accordance with GAAP on a consolidated basis. For the purposes of calculating Consolidated Adjusted EBITDA for any Testing Period, if at any time during such Testing Period Parent or any of its Restricted Subsidiaries shall have made any acquisition or Disposition involving the payment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addition, notwithstanding the above, (a) Consolidated Adjusted EBITDA for the Fiscal Quarter ended December 31, 2018, shall be deemed to be $210,000,000, (b) Consolidated Adjusted EBITDA for the Fiscal Quarter ended March 31, 2019, shall be deemed to be $120,000,000, (c) Consolidated Adjusted EBITDA for the Fiscal Quarter ended June 30, 2019, shall be deemed to be $124,000,000, (d) Consolidated Adjusted EBITDA for the Fiscal Quarter ended September 30, 2019, shall be deemed to be $172,000,000, and (e) Consolidated Adjusted EBITDA for the Fiscal Quarter ended December 31, 2019, shall be calculated in a manner consistent with the calculation methodology used in determining the amounts set forth in the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EBITDA Plug Numbers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w:t>
      </w:r>
      <w:r>
        <w:rPr>
          <w:rFonts w:ascii="Arial" w:cs="Arial" w:eastAsia="Arial" w:hAnsi="Arial"/>
          <w:sz w:val="17"/>
          <w:szCs w:val="17"/>
          <w:color w:val="auto"/>
        </w:rPr>
        <w:t>” 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either the Permitted Holders or a majority of the Continuing Directors.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or any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DBTCA</w:t>
      </w:r>
      <w:r>
        <w:rPr>
          <w:rFonts w:ascii="Arial" w:cs="Arial" w:eastAsia="Arial" w:hAnsi="Arial"/>
          <w:sz w:val="18"/>
          <w:szCs w:val="18"/>
          <w:color w:val="auto"/>
        </w:rPr>
        <w:t>” means Deutsche Bank Trust Company Americas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the occurrence of any event that with the giving of notice or the passage of time or both would become an Event of Default.</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(2) Business Days of the date required to be funded or paid, to (i) fund any portion of its participations in Letters of Credit or (ii) pay over to any Credit Party any other amount required to be paid by it hereunder, (b) has notified any Obligor Party or any Credit Party in writing, or has made a public statement to the effect, that it does not intend or expect to comply with any of its obligations under this Agreement or generally under other agreements in which it commits to extend credit, (c) has failed, within three (3) Business Days after request by any Obligor Party or any Credit Party, acting in good faith, to provide a certification in writing from an authorized officer of such Lender that it will comply with its obligations to fund participations in then-outstanding Letters of Credit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Any determination by the Administrative Agent that a Lender is a Defaulting Lender shall be conclusive and binding absent manifest error, and such Lender shall be deemed to be a Defaulting Lender upon delivery of written notice of such determination to the Borrowers, Issuing Bank and each Lender.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Deutsche Bank</w:t>
      </w:r>
      <w:r>
        <w:rPr>
          <w:rFonts w:ascii="Arial" w:cs="Arial" w:eastAsia="Arial" w:hAnsi="Arial"/>
          <w:sz w:val="18"/>
          <w:szCs w:val="18"/>
          <w:color w:val="auto"/>
        </w:rPr>
        <w:t>” means Deutsche Bank AG New York Branch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the Revolving Credit Facility</w:t>
      </w:r>
      <w:r>
        <w:rPr>
          <w:rFonts w:ascii="Arial" w:cs="Arial" w:eastAsia="Arial" w:hAnsi="Arial"/>
          <w:sz w:val="18"/>
          <w:szCs w:val="18"/>
          <w:color w:val="auto"/>
        </w:rPr>
        <w:t>” means the date on which all obligations under the Revolving Credit Facility shall have been satisfied and discharged in full (other than contingent indemnification obligations as to which no claim has been received), any applicable Intercreditor Agreement including such Revolving Credit Facility shall have been terminated with respect to such Revolving Credit Facility and no Revolving Credit Facility is outstanding.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means to sell, lease, assign, exchange, convey or otherwise transfer (excluding the granting of a Lien on) any property or license any Intellectual Property to another Person. “</w:t>
      </w:r>
      <w:r>
        <w:rPr>
          <w:rFonts w:ascii="Arial" w:cs="Arial" w:eastAsia="Arial" w:hAnsi="Arial"/>
          <w:sz w:val="18"/>
          <w:szCs w:val="18"/>
          <w:u w:val="single" w:color="auto"/>
          <w:color w:val="auto"/>
        </w:rPr>
        <w:t>Disposition</w:t>
      </w:r>
      <w:r>
        <w:rPr>
          <w:rFonts w:ascii="Arial" w:cs="Arial" w:eastAsia="Arial" w:hAnsi="Arial"/>
          <w:sz w:val="18"/>
          <w:szCs w:val="18"/>
          <w:color w:val="auto"/>
        </w:rPr>
        <w:t>” has a meaning correlative thereto.</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xml:space="preserve">” means, on any date of determination, (a) with respect to any amount denominated in Dollars, such amount and (b) with respect to any amount denominated in an Alternative Currency, the equivalent in Dollars of such amount determined by the Administrative Agent (or, in the case of reimbursement obligations required to be paid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the calculation of fronting fees, by the applicable Issuing Bank being reimbursed) in accordance with normal banking industry practice using the Exchange Rate on such date of determination. In making any determination of the Dollar Equivalent for any purpose, the Administrative Agent (or Issuing Bank, as the case may be) shall use the relevant Exchange Rate in effect on the date on which a Dollar Equivalent is required to be determined pursuant to the provisions of this Agreement. As appropriate, amounts specified in this Agreement as amounts in Dollars shall be or include any relevant Dollar Equivalent amount.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Cash Equivalents</w:t>
      </w:r>
      <w:r>
        <w:rPr>
          <w:rFonts w:ascii="Arial" w:cs="Arial" w:eastAsia="Arial" w:hAnsi="Arial"/>
          <w:sz w:val="16"/>
          <w:szCs w:val="16"/>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w:t>
      </w:r>
    </w:p>
    <w:p>
      <w:pPr>
        <w:ind w:firstLine="8"/>
        <w:spacing w:after="0" w:line="260" w:lineRule="auto"/>
        <w:tabs>
          <w:tab w:leader="none" w:pos="2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marketable direct obligations issued or fully guaranteed by any state of the United States or any political subdivision of any such state or any public instrumentality thereof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jc w:val="both"/>
        <w:spacing w:after="0" w:line="287" w:lineRule="auto"/>
        <w:rPr>
          <w:sz w:val="20"/>
          <w:szCs w:val="20"/>
          <w:color w:val="auto"/>
        </w:rPr>
      </w:pPr>
      <w:r>
        <w:rPr>
          <w:rFonts w:ascii="Arial" w:cs="Arial" w:eastAsia="Arial" w:hAnsi="Arial"/>
          <w:sz w:val="16"/>
          <w:szCs w:val="16"/>
          <w:color w:val="auto"/>
        </w:rPr>
        <w:t xml:space="preserve">maturing within one year from the date of acquisition thereof and, at the time of 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this definition or recognized securities dealer having combined capital and surplus and undivided profits of not less than $500,000,000, having a term of not more than 30 days, with respect to securities satisfying the criteria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(g) debt securities with maturities of six months or less from the date of acquisition backed by standby letters of credit issued by any commercial bank satisfying the criteria described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and (h) Investments in money market funds substantially all of whose assets are invested in the types of assets described in clauses (a) through (g) above.</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any Obligor that is organized under the laws of a jurisdiction located in the United States of America.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each party hereto has executed and delivered this Agreement and the other conditions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are first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Letters of Credit</w:t>
      </w:r>
      <w:r>
        <w:rPr>
          <w:rFonts w:ascii="Arial" w:cs="Arial" w:eastAsia="Arial" w:hAnsi="Arial"/>
          <w:sz w:val="18"/>
          <w:szCs w:val="18"/>
          <w:color w:val="auto"/>
        </w:rPr>
        <w:t xml:space="preserve">” means the Letters of Credit described on </w:t>
      </w:r>
      <w:r>
        <w:rPr>
          <w:rFonts w:ascii="Arial" w:cs="Arial" w:eastAsia="Arial" w:hAnsi="Arial"/>
          <w:sz w:val="18"/>
          <w:szCs w:val="18"/>
          <w:u w:val="single" w:color="auto"/>
          <w:color w:val="auto"/>
        </w:rPr>
        <w:t>Schedule 1.01E</w:t>
      </w:r>
      <w:r>
        <w:rPr>
          <w:rFonts w:ascii="Arial" w:cs="Arial" w:eastAsia="Arial" w:hAnsi="Arial"/>
          <w:sz w:val="18"/>
          <w:szCs w:val="18"/>
          <w:color w:val="auto"/>
        </w:rPr>
        <w:t xml:space="preserve"> and to be issued on the Effective Date by the applicable Issuing Banks referenced on such schedule.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Real Property</w:t>
      </w:r>
      <w:r>
        <w:rPr>
          <w:rFonts w:ascii="Arial" w:cs="Arial" w:eastAsia="Arial" w:hAnsi="Arial"/>
          <w:sz w:val="18"/>
          <w:szCs w:val="18"/>
          <w:color w:val="auto"/>
        </w:rPr>
        <w:t xml:space="preserve">” means the real property listed on </w:t>
      </w:r>
      <w:r>
        <w:rPr>
          <w:rFonts w:ascii="Arial" w:cs="Arial" w:eastAsia="Arial" w:hAnsi="Arial"/>
          <w:sz w:val="18"/>
          <w:szCs w:val="18"/>
          <w:u w:val="single" w:color="auto"/>
          <w:color w:val="auto"/>
        </w:rPr>
        <w:t>Schedule 1.01D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Jurisdiction</w:t>
      </w:r>
      <w:r>
        <w:rPr>
          <w:rFonts w:ascii="Arial" w:cs="Arial" w:eastAsia="Arial" w:hAnsi="Arial"/>
          <w:sz w:val="17"/>
          <w:szCs w:val="17"/>
          <w:color w:val="auto"/>
        </w:rPr>
        <w:t>” means (a) each Excluded Jurisdiction other than (i) any Excluded Jurisdiction that is an Ineligible Jurisdiction, and (ii) Iran, or any other country that is a Sanctioned Country or otherwise subject to Sanctions, and (b) the countries of Argentina, Brazil, Colombia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 xml:space="preserve">and South Africa;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Administrative Agent and the Borrowers, by mutual written agreement, may re-categorize any country between the definitions of “Eligible Jurisdiction” and “Ineligible Jurisdiction”.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English Security Documents</w:t>
      </w:r>
      <w:r>
        <w:rPr>
          <w:rFonts w:ascii="Arial" w:cs="Arial" w:eastAsia="Arial" w:hAnsi="Arial"/>
          <w:sz w:val="18"/>
          <w:szCs w:val="18"/>
          <w:color w:val="auto"/>
        </w:rPr>
        <w:t xml:space="preserve">” means the English-law-governed security agreements listed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and in substantially the form as attached to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 (f) the receipt by Parent, any Borrower or any ERISA Affiliate from the PBGC or a plan administrator of any notice relating to an intention to terminate any Plan or Multiemployer Plan or to appoint a trustee to administer any Plan; (g) 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 (i) the receipt by any Multiemployer Plan from Parent, any Borrower or any ERISA Affiliate of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fee, refers to whether such fee is bearing interest at a rate determined by reference to the Adjusted LIBO Rate.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Insolvency Regulation</w:t>
      </w:r>
      <w:r>
        <w:rPr>
          <w:rFonts w:ascii="Arial" w:cs="Arial" w:eastAsia="Arial" w:hAnsi="Arial"/>
          <w:sz w:val="18"/>
          <w:szCs w:val="18"/>
          <w:color w:val="auto"/>
        </w:rPr>
        <w:t>” means Regulation (EU) 2015/848 of the European Parliament and of the Council of 20 May 2015 on insolvency proceedings (recast).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shall mean, on any day, (a) with respect to any Alternative Currency on a particular date, the rate of exchange for the purchase of Dollars with such Alternative Currency in the London foreign exchange market at the end of the applicable Business Day as quoted by Bloomberg as the “ask price”, or as displayed on such other information service which publishes that rate of exchange from time to time in place of Bloomberg (or if such service ceases to be available, the equivalent of such amount in Dollars as determined by the Administrative Agent, in consultation with the Borrowers, using any method of determination it deems reasonably appropriate) and (b) if such amount is denominated in any other currency (other than Dollars), the equivalent of such amount in Dollars as determined by the Administrative Agent, in consultation with the Borrowers, using any method of determination it deems reasonably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determination by the Administrative Agent of the equivalent of such amount in Dollars, as applicable, pursuant to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upon the written request of any Borrower, the Administrative Agent shall notify such Borrower of the sources used to determine such amount.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w:t>
      </w:r>
      <w:r>
        <w:rPr>
          <w:rFonts w:ascii="Arial" w:cs="Arial" w:eastAsia="Arial" w:hAnsi="Arial"/>
          <w:sz w:val="17"/>
          <w:szCs w:val="17"/>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(b) any deposit account of an Obligor, including the funds on deposit therein, that has been pledged to secure Indebtedness (other than Indebtedness in respect of the Senior Secured Notes, any Revolving Credit Facility and this Agreement) or other obligations, in each case, to the extent such cash collateral is expressly permitted by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and is exclusively used for such purpose, (c) any Specified Eligible Deposit Account, (d) any Specified Ineligible Deposit Account, and (e) other deposit accounts of the Obligors to the extent the aggregate cash or Cash Equivalent balance of all such other deposit accounts described in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does not at any time exceed $10,000,000.</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means, collectively, (a) any Capital Stock in any Foreign Subsidiary, joint venture or non-Wholly-Owned Subsidiary that is a Subsidiary of an Obligor and that, in each case, is organized in a Sanctioned Country or the grant of a security interest therein is not permitted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spacing w:after="0" w:line="283" w:lineRule="auto"/>
        <w:rPr>
          <w:sz w:val="20"/>
          <w:szCs w:val="20"/>
          <w:color w:val="auto"/>
        </w:rPr>
      </w:pPr>
      <w:r>
        <w:rPr>
          <w:rFonts w:ascii="Arial" w:cs="Arial" w:eastAsia="Arial" w:hAnsi="Arial"/>
          <w:sz w:val="16"/>
          <w:szCs w:val="16"/>
          <w:color w:val="auto"/>
        </w:rPr>
        <w:t xml:space="preserve">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asset will only constitute an Excluded Asset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(c) any property, to the extent the granting of a Lien therein is prohibited by any applicable law (including laws and other governmental regulations governing insurance 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third party consent or waiver, as applicable, such assets shall automatically constitute Collateral (but only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color w:val="auto"/>
        </w:rPr>
        <w:t xml:space="preserve">the extent such assets do not otherwise constitute Excluded Assets hereunder); (m) 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and (o) any real property other than the Effective Date Real Property that has a net book value of less than $10,000,000 as reflected in the most recent consolidated financial statements of Parent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the foregoing exclusions shall not apply to any asset or property of any Borrower and its Subsidiaries on which a Lien has been granted in favor of the Senior Secured Notes Trustee to secure the Senior Secured Notes or the applicable administrative agent or collateral agent to secure any Revolving Credit Facility.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Jurisdictions</w:t>
      </w:r>
      <w:r>
        <w:rPr>
          <w:rFonts w:ascii="Arial" w:cs="Arial" w:eastAsia="Arial" w:hAnsi="Arial"/>
          <w:sz w:val="18"/>
          <w:szCs w:val="18"/>
          <w:color w:val="auto"/>
        </w:rPr>
        <w:t xml:space="preserve">” means the countries or other jurisdictions identified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w:t>
      </w:r>
    </w:p>
    <w:p>
      <w:pPr>
        <w:spacing w:after="0" w:line="2" w:lineRule="exact"/>
        <w:rPr>
          <w:sz w:val="20"/>
          <w:szCs w:val="20"/>
          <w:color w:val="auto"/>
        </w:rPr>
      </w:pPr>
    </w:p>
    <w:p>
      <w:pPr>
        <w:jc w:val="both"/>
        <w:ind w:firstLine="8"/>
        <w:spacing w:after="0" w:line="252"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the case of a Lender (other than an assignee pursuant to an assignment requested by a Borrower under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or otherwise at the request of a Borrower or Guarantor),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8"/>
          <w:szCs w:val="18"/>
          <w:u w:val="single" w:color="auto"/>
          <w:color w:val="auto"/>
        </w:rPr>
        <w:t>Section 4.02(a)</w:t>
      </w:r>
      <w:r>
        <w:rPr>
          <w:rFonts w:ascii="Arial" w:cs="Arial" w:eastAsia="Arial" w:hAnsi="Arial"/>
          <w:sz w:val="18"/>
          <w:szCs w:val="18"/>
          <w:color w:val="auto"/>
        </w:rPr>
        <w:t>, (d) in the case of a Lender, any withholding tax that would not be imposed on amounts payable to such Lender but for a change of its jurisdiction of organization and/or tax residency, except to the extent payments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jc w:val="both"/>
        <w:spacing w:after="0" w:line="269" w:lineRule="auto"/>
        <w:rPr>
          <w:sz w:val="20"/>
          <w:szCs w:val="20"/>
          <w:color w:val="auto"/>
        </w:rPr>
      </w:pPr>
      <w:r>
        <w:rPr>
          <w:rFonts w:ascii="Arial" w:cs="Arial" w:eastAsia="Arial" w:hAnsi="Arial"/>
          <w:sz w:val="17"/>
          <w:szCs w:val="17"/>
          <w:color w:val="auto"/>
        </w:rPr>
        <w:t xml:space="preserve">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Arial" w:cs="Arial" w:eastAsia="Arial" w:hAnsi="Arial"/>
          <w:sz w:val="17"/>
          <w:szCs w:val="17"/>
          <w:u w:val="single" w:color="auto"/>
          <w:color w:val="auto"/>
        </w:rPr>
        <w:t>Section 4.02(c)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4.02(e)</w:t>
      </w:r>
      <w:r>
        <w:rPr>
          <w:rFonts w:ascii="Arial" w:cs="Arial" w:eastAsia="Arial" w:hAnsi="Arial"/>
          <w:sz w:val="17"/>
          <w:szCs w:val="17"/>
          <w:color w:val="auto"/>
        </w:rPr>
        <w:t>, (f) any United States federal withholding Taxes imposed by FATCA, (g) any Taxes assessed on a Lender under the laws of Germany solely due to the fact that the Obligations are secured (directly or indirectly) by real estate located in Germany (</w:t>
      </w:r>
      <w:r>
        <w:rPr>
          <w:rFonts w:ascii="Arial" w:cs="Arial" w:eastAsia="Arial" w:hAnsi="Arial"/>
          <w:sz w:val="17"/>
          <w:szCs w:val="17"/>
          <w:i w:val="1"/>
          <w:iCs w:val="1"/>
          <w:color w:val="auto"/>
        </w:rPr>
        <w:t>inländischer Grundbesitz</w:t>
      </w:r>
      <w:r>
        <w:rPr>
          <w:rFonts w:ascii="Arial" w:cs="Arial" w:eastAsia="Arial" w:hAnsi="Arial"/>
          <w:sz w:val="17"/>
          <w:szCs w:val="17"/>
          <w:color w:val="auto"/>
        </w:rPr>
        <w:t>) or by German rights subject to the civil code provisions relating to real estate (</w:t>
      </w:r>
      <w:r>
        <w:rPr>
          <w:rFonts w:ascii="Arial" w:cs="Arial" w:eastAsia="Arial" w:hAnsi="Arial"/>
          <w:sz w:val="17"/>
          <w:szCs w:val="17"/>
          <w:i w:val="1"/>
          <w:iCs w:val="1"/>
          <w:color w:val="auto"/>
        </w:rPr>
        <w:t>inländische Rechte, die den Vorschriften des bürgerlichen Rechts über</w:t>
      </w:r>
      <w:r>
        <w:rPr>
          <w:rFonts w:ascii="Arial" w:cs="Arial" w:eastAsia="Arial" w:hAnsi="Arial"/>
          <w:sz w:val="17"/>
          <w:szCs w:val="17"/>
          <w:color w:val="auto"/>
        </w:rPr>
        <w:t xml:space="preserve"> </w:t>
      </w:r>
      <w:r>
        <w:rPr>
          <w:rFonts w:ascii="Arial" w:cs="Arial" w:eastAsia="Arial" w:hAnsi="Arial"/>
          <w:sz w:val="17"/>
          <w:szCs w:val="17"/>
          <w:i w:val="1"/>
          <w:iCs w:val="1"/>
          <w:color w:val="auto"/>
        </w:rPr>
        <w:t>Grundstücke unterliegen</w:t>
      </w:r>
      <w:r>
        <w:rPr>
          <w:rFonts w:ascii="Arial" w:cs="Arial" w:eastAsia="Arial" w:hAnsi="Arial"/>
          <w:sz w:val="17"/>
          <w:szCs w:val="17"/>
          <w:color w:val="auto"/>
        </w:rPr>
        <w:t>) or ships which are registered in a German ship register and (h) any German withholding tax for which the relevant obligor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the relevant German tax office to make a Tax deduction on account of German Tax pursuant to Section 50a paragraph 7 of the German Income Tax Act (</w:t>
      </w:r>
      <w:r>
        <w:rPr>
          <w:rFonts w:ascii="Arial" w:cs="Arial" w:eastAsia="Arial" w:hAnsi="Arial"/>
          <w:sz w:val="17"/>
          <w:szCs w:val="17"/>
          <w:i w:val="1"/>
          <w:iCs w:val="1"/>
          <w:color w:val="auto"/>
        </w:rPr>
        <w:t>Einkommensteuergesetz</w:t>
      </w:r>
      <w:r>
        <w:rPr>
          <w:rFonts w:ascii="Arial" w:cs="Arial" w:eastAsia="Arial" w:hAnsi="Arial"/>
          <w:sz w:val="17"/>
          <w:szCs w:val="17"/>
          <w:color w:val="auto"/>
        </w:rPr>
        <w:t xml:space="preserve">) or a comparable replacement regulation; </w:t>
      </w:r>
      <w:r>
        <w:rPr>
          <w:rFonts w:ascii="Arial" w:cs="Arial" w:eastAsia="Arial" w:hAnsi="Arial"/>
          <w:sz w:val="17"/>
          <w:szCs w:val="17"/>
          <w:i w:val="1"/>
          <w:iCs w:val="1"/>
          <w:color w:val="auto"/>
        </w:rPr>
        <w:t>except that</w:t>
      </w:r>
      <w:r>
        <w:rPr>
          <w:rFonts w:ascii="Arial" w:cs="Arial" w:eastAsia="Arial" w:hAnsi="Arial"/>
          <w:sz w:val="17"/>
          <w:szCs w:val="17"/>
          <w:color w:val="auto"/>
        </w:rPr>
        <w:t xml:space="preserve">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xml:space="preserve">” means the outstanding letters of credit and bank guarantees issued by the Issuing Banks and set forth on </w:t>
      </w:r>
      <w:r>
        <w:rPr>
          <w:rFonts w:ascii="Arial" w:cs="Arial" w:eastAsia="Arial" w:hAnsi="Arial"/>
          <w:sz w:val="16"/>
          <w:szCs w:val="16"/>
          <w:u w:val="single" w:color="auto"/>
          <w:color w:val="auto"/>
        </w:rPr>
        <w:t>Schedule 3.01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ABL Administrative Agent</w:t>
      </w:r>
      <w:r>
        <w:rPr>
          <w:rFonts w:ascii="Arial" w:cs="Arial" w:eastAsia="Arial" w:hAnsi="Arial"/>
          <w:sz w:val="18"/>
          <w:szCs w:val="18"/>
          <w:color w:val="auto"/>
        </w:rPr>
        <w:t>” means Wells Fargo Bank, N.A., in its capacity as administrative agent under the Exit ABL Credit Agreement or any successor or substitute administrative agent thereunder.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ABL Collateral Agent</w:t>
      </w:r>
      <w:r>
        <w:rPr>
          <w:rFonts w:ascii="Arial" w:cs="Arial" w:eastAsia="Arial" w:hAnsi="Arial"/>
          <w:sz w:val="18"/>
          <w:szCs w:val="18"/>
          <w:color w:val="auto"/>
        </w:rPr>
        <w:t>” means Wells Fargo Bank, N.A., in its capacity as collateral agent under the Exit ABL Credit Agreement or any successor or substitute collateral agent thereunder.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ABL Credit Agreement</w:t>
      </w:r>
      <w:r>
        <w:rPr>
          <w:rFonts w:ascii="Arial" w:cs="Arial" w:eastAsia="Arial" w:hAnsi="Arial"/>
          <w:sz w:val="18"/>
          <w:szCs w:val="18"/>
          <w:color w:val="auto"/>
        </w:rPr>
        <w:t>” means that certain ABL Credit Agreement, dated as of December 13, 2019, by and among Parent, WIL-Bermuda, WIL-Delaware, Weatherford Oil Tool Gmbh, Weatherford Products GmbH, the other borrowers from time to time party thereto, the lenders from time to time party thereto, the Exit ABL Administrative Agent and the Exit ABL Collateral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ABL Credit Documents</w:t>
      </w:r>
      <w:r>
        <w:rPr>
          <w:rFonts w:ascii="Arial" w:cs="Arial" w:eastAsia="Arial" w:hAnsi="Arial"/>
          <w:sz w:val="18"/>
          <w:szCs w:val="18"/>
          <w:color w:val="auto"/>
        </w:rPr>
        <w:t>” means the Loan Documents (as defined in the Exit ABL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ABL Credit Facility</w:t>
      </w:r>
      <w:r>
        <w:rPr>
          <w:rFonts w:ascii="Arial" w:cs="Arial" w:eastAsia="Arial" w:hAnsi="Arial"/>
          <w:sz w:val="18"/>
          <w:szCs w:val="18"/>
          <w:color w:val="auto"/>
        </w:rPr>
        <w:t>” means the senior secured revolving asset-based credit facility provided pursuant to the Exit ABL Credit Agreement and the other Exit ABL Credit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Exit Senior Notes</w:t>
      </w:r>
      <w:r>
        <w:rPr>
          <w:rFonts w:ascii="Arial" w:cs="Arial" w:eastAsia="Arial" w:hAnsi="Arial"/>
          <w:sz w:val="16"/>
          <w:szCs w:val="16"/>
          <w:color w:val="auto"/>
        </w:rPr>
        <w:t>” means the unsecured senior notes of WIL-Bermuda to be issued on the Effective Date pursuant to the Plan of Reorganization.</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Senior Notes Indenture</w:t>
      </w:r>
      <w:r>
        <w:rPr>
          <w:rFonts w:ascii="Arial" w:cs="Arial" w:eastAsia="Arial" w:hAnsi="Arial"/>
          <w:sz w:val="18"/>
          <w:szCs w:val="18"/>
          <w:color w:val="auto"/>
        </w:rPr>
        <w:t>” means the indenture, dated on or about the date hereof, governing the Exit Senior Notes, which is in substantially the form attached as an exhibit to the Parent’s Form T-3, as amended, filed with the Securities and Exchange Commission, and in form and substance reasonably satisfactory to the Joint Lead Arrangers to permit the Secured Obligations and the Transactions.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Expiration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0.500% per annum.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Standby Letter of Credit</w:t>
      </w:r>
      <w:r>
        <w:rPr>
          <w:rFonts w:ascii="Arial" w:cs="Arial" w:eastAsia="Arial" w:hAnsi="Arial"/>
          <w:sz w:val="18"/>
          <w:szCs w:val="18"/>
          <w:color w:val="auto"/>
        </w:rPr>
        <w:t>” means, as determined by an Issuing Bank, a standby Letter of Credit (including, for the avoidance of doubt bank guarantees) under which the beneficiary is entitled to draw thereon in the event that the account party (or the Person or Persons on whose behalf such Letter of Credit was issued) fails to perform a financial obligation.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Parent, ending on the last day of each March, June, September and December.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Parent, ending on December 31 of each year.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Cash Equivalents</w:t>
      </w:r>
      <w:r>
        <w:rPr>
          <w:rFonts w:ascii="Arial" w:cs="Arial" w:eastAsia="Arial" w:hAnsi="Arial"/>
          <w:sz w:val="17"/>
          <w:szCs w:val="17"/>
          <w:color w:val="auto"/>
        </w:rPr>
        <w:t xml:space="preserve">” means (a) certificates of deposit, banker’s acceptances, or time deposits maturing within one year from the date of acquisition thereof, in each case payable in an Agreed Currency and issued by any bank organized under the laws of any Specified State and having at the date of acquisition thereof combined capital and surplus and undivided profits of not less than $500,000,000 (calculated at the then-applicable Exchange Rate), (b) Deposit Accounts maintained with any bank that satisfies the criteria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(c) Investments in money market funds substantially all of whose assets are invested in the types of assets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Collateral Agent</w:t>
      </w:r>
      <w:r>
        <w:rPr>
          <w:rFonts w:ascii="Arial" w:cs="Arial" w:eastAsia="Arial" w:hAnsi="Arial"/>
          <w:sz w:val="18"/>
          <w:szCs w:val="18"/>
          <w:color w:val="auto"/>
        </w:rPr>
        <w:t>” means the foreign collateral agent as defined in the Amendment No. 1 Intercreditor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or Participant that is organized under the laws of a jurisdiction other than the United States of America or any State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 Event</w:t>
      </w:r>
      <w:r>
        <w:rPr>
          <w:rFonts w:ascii="Arial" w:cs="Arial" w:eastAsia="Arial" w:hAnsi="Arial"/>
          <w:sz w:val="17"/>
          <w:szCs w:val="17"/>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any Obligor that is not a Domestic Subsidiary.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Indebtedness</w:t>
      </w:r>
      <w:r>
        <w:rPr>
          <w:rFonts w:ascii="Arial" w:cs="Arial" w:eastAsia="Arial" w:hAnsi="Arial"/>
          <w:sz w:val="17"/>
          <w:szCs w:val="17"/>
          <w:color w:val="auto"/>
        </w:rPr>
        <w:t xml:space="preserve">” means, with respect to Parent and its Restricted Subsidiaries as of any date, the sum, without duplication, of (a) all Indebtedness of the type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both"/>
        <w:spacing w:after="0" w:line="289" w:lineRule="auto"/>
        <w:rPr>
          <w:sz w:val="20"/>
          <w:szCs w:val="20"/>
          <w:color w:val="auto"/>
        </w:rPr>
      </w:pPr>
      <w:r>
        <w:rPr>
          <w:rFonts w:ascii="Arial" w:cs="Arial" w:eastAsia="Arial" w:hAnsi="Arial"/>
          <w:sz w:val="16"/>
          <w:szCs w:val="16"/>
          <w:color w:val="auto"/>
        </w:rPr>
        <w:t xml:space="preserve">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Parent and each Restricted Subsidiary that enters into a Guaranty Agreement with respect to the Secured Obligations. The Guarantors as of the Effective Date are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Agreements</w:t>
      </w:r>
      <w:r>
        <w:rPr>
          <w:rFonts w:ascii="Arial" w:cs="Arial" w:eastAsia="Arial" w:hAnsi="Arial"/>
          <w:sz w:val="18"/>
          <w:szCs w:val="18"/>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Hostile Acquisition</w:t>
      </w:r>
      <w:r>
        <w:rPr>
          <w:rFonts w:ascii="Arial" w:cs="Arial" w:eastAsia="Arial" w:hAnsi="Arial"/>
          <w:sz w:val="17"/>
          <w:szCs w:val="17"/>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Hypothecary Representative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 Supplement</w:t>
      </w:r>
      <w:r>
        <w:rPr>
          <w:rFonts w:ascii="Arial" w:cs="Arial" w:eastAsia="Arial" w:hAnsi="Arial"/>
          <w:sz w:val="18"/>
          <w:szCs w:val="18"/>
          <w:color w:val="auto"/>
        </w:rPr>
        <w:t xml:space="preserve">” means an increasing lender supplement entered into by the Borrowers and any Increasing Lender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Jurisdiction</w:t>
      </w:r>
      <w:r>
        <w:rPr>
          <w:rFonts w:ascii="Arial" w:cs="Arial" w:eastAsia="Arial" w:hAnsi="Arial"/>
          <w:sz w:val="16"/>
          <w:szCs w:val="16"/>
          <w:color w:val="auto"/>
        </w:rPr>
        <w:t xml:space="preserve">” means the countries of Albania, Angola, Congo, Egypt, Gabon, and Nigeria;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the Borrowers, by mutual written agreement, may re-categorize any country between the definitions of “Ineligible Jurisdiction” and “Eligible Jurisdiction”.</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u w:val="single" w:color="auto"/>
          <w:color w:val="auto"/>
        </w:rPr>
        <w:t>“Insolvency Laws</w:t>
      </w:r>
      <w:r>
        <w:rPr>
          <w:rFonts w:ascii="Arial" w:cs="Arial" w:eastAsia="Arial" w:hAnsi="Arial"/>
          <w:sz w:val="16"/>
          <w:szCs w:val="16"/>
          <w:color w:val="auto"/>
        </w:rPr>
        <w:t xml:space="preserve">” means (a) the Bankruptcy Code, (b)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 (c) the </w:t>
      </w:r>
      <w:r>
        <w:rPr>
          <w:rFonts w:ascii="Arial" w:cs="Arial" w:eastAsia="Arial" w:hAnsi="Arial"/>
          <w:sz w:val="16"/>
          <w:szCs w:val="16"/>
          <w:i w:val="1"/>
          <w:iCs w:val="1"/>
          <w:color w:val="auto"/>
        </w:rPr>
        <w:t>Companies’ Creditors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(Canada), (d) the</w:t>
      </w:r>
      <w:r>
        <w:rPr>
          <w:rFonts w:ascii="Arial" w:cs="Arial" w:eastAsia="Arial" w:hAnsi="Arial"/>
          <w:sz w:val="16"/>
          <w:szCs w:val="16"/>
          <w:i w:val="1"/>
          <w:iCs w:val="1"/>
          <w:color w:val="auto"/>
        </w:rPr>
        <w:t xml:space="preserve"> Winding-Up and Restructuring Act </w:t>
      </w:r>
      <w:r>
        <w:rPr>
          <w:rFonts w:ascii="Arial" w:cs="Arial" w:eastAsia="Arial" w:hAnsi="Arial"/>
          <w:sz w:val="16"/>
          <w:szCs w:val="16"/>
          <w:color w:val="auto"/>
        </w:rPr>
        <w:t>(Canada), (e) the</w:t>
      </w:r>
      <w:r>
        <w:rPr>
          <w:rFonts w:ascii="Arial" w:cs="Arial" w:eastAsia="Arial" w:hAnsi="Arial"/>
          <w:sz w:val="16"/>
          <w:szCs w:val="16"/>
          <w:i w:val="1"/>
          <w:iCs w:val="1"/>
          <w:color w:val="auto"/>
        </w:rPr>
        <w:t xml:space="preserve"> Canada Business Corporations Act </w:t>
      </w:r>
      <w:r>
        <w:rPr>
          <w:rFonts w:ascii="Arial" w:cs="Arial" w:eastAsia="Arial" w:hAnsi="Arial"/>
          <w:sz w:val="16"/>
          <w:szCs w:val="16"/>
          <w:color w:val="auto"/>
        </w:rPr>
        <w:t>(Canada) where such statute is used by a</w:t>
      </w:r>
      <w:r>
        <w:rPr>
          <w:rFonts w:ascii="Arial" w:cs="Arial" w:eastAsia="Arial" w:hAnsi="Arial"/>
          <w:sz w:val="16"/>
          <w:szCs w:val="16"/>
          <w:i w:val="1"/>
          <w:iCs w:val="1"/>
          <w:color w:val="auto"/>
        </w:rPr>
        <w:t xml:space="preserve"> </w:t>
      </w:r>
      <w:r>
        <w:rPr>
          <w:rFonts w:ascii="Arial" w:cs="Arial" w:eastAsia="Arial" w:hAnsi="Arial"/>
          <w:sz w:val="16"/>
          <w:szCs w:val="16"/>
          <w:color w:val="auto"/>
        </w:rPr>
        <w:t>Person to propose an arrangement, (f) the German Insolvency Act (</w:t>
      </w:r>
      <w:r>
        <w:rPr>
          <w:rFonts w:ascii="Arial" w:cs="Arial" w:eastAsia="Arial" w:hAnsi="Arial"/>
          <w:sz w:val="16"/>
          <w:szCs w:val="16"/>
          <w:i w:val="1"/>
          <w:iCs w:val="1"/>
          <w:color w:val="auto"/>
        </w:rPr>
        <w:t>Insolvenzordnung</w:t>
      </w:r>
      <w:r>
        <w:rPr>
          <w:rFonts w:ascii="Arial" w:cs="Arial" w:eastAsia="Arial" w:hAnsi="Arial"/>
          <w:sz w:val="16"/>
          <w:szCs w:val="16"/>
          <w:color w:val="auto"/>
        </w:rPr>
        <w:t>), (g) the German Insolvency Code (</w:t>
      </w:r>
      <w:r>
        <w:rPr>
          <w:rFonts w:ascii="Arial" w:cs="Arial" w:eastAsia="Arial" w:hAnsi="Arial"/>
          <w:sz w:val="16"/>
          <w:szCs w:val="16"/>
          <w:i w:val="1"/>
          <w:iCs w:val="1"/>
          <w:color w:val="auto"/>
        </w:rPr>
        <w:t>Insolvenzordnung</w:t>
      </w:r>
      <w:r>
        <w:rPr>
          <w:rFonts w:ascii="Arial" w:cs="Arial" w:eastAsia="Arial" w:hAnsi="Arial"/>
          <w:sz w:val="16"/>
          <w:szCs w:val="16"/>
          <w:color w:val="auto"/>
        </w:rPr>
        <w:t>) (</w:t>
      </w:r>
      <w:r>
        <w:rPr>
          <w:rFonts w:ascii="Arial" w:cs="Arial" w:eastAsia="Arial" w:hAnsi="Arial"/>
          <w:sz w:val="16"/>
          <w:szCs w:val="16"/>
          <w:i w:val="1"/>
          <w:iCs w:val="1"/>
          <w:color w:val="auto"/>
        </w:rPr>
        <w:t>Anordnung</w:t>
      </w:r>
      <w:r>
        <w:rPr>
          <w:rFonts w:ascii="Arial" w:cs="Arial" w:eastAsia="Arial" w:hAnsi="Arial"/>
          <w:sz w:val="16"/>
          <w:szCs w:val="16"/>
          <w:color w:val="auto"/>
        </w:rPr>
        <w:t xml:space="preserve"> </w:t>
      </w:r>
      <w:r>
        <w:rPr>
          <w:rFonts w:ascii="Arial" w:cs="Arial" w:eastAsia="Arial" w:hAnsi="Arial"/>
          <w:sz w:val="16"/>
          <w:szCs w:val="16"/>
          <w:i w:val="1"/>
          <w:iCs w:val="1"/>
          <w:color w:val="auto"/>
        </w:rPr>
        <w:t>von Sicherungsmaßnahmen</w:t>
      </w:r>
      <w:r>
        <w:rPr>
          <w:rFonts w:ascii="Arial" w:cs="Arial" w:eastAsia="Arial" w:hAnsi="Arial"/>
          <w:sz w:val="16"/>
          <w:szCs w:val="16"/>
          <w:color w:val="auto"/>
        </w:rPr>
        <w:t>)), and/or (h) any similar legislation in a relevant jurisdiction, in each case as applicable and as in effect from time to time.</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jc w:val="both"/>
        <w:spacing w:after="0" w:line="311" w:lineRule="auto"/>
        <w:rPr>
          <w:sz w:val="20"/>
          <w:szCs w:val="20"/>
          <w:color w:val="auto"/>
        </w:rPr>
      </w:pPr>
      <w:r>
        <w:rPr>
          <w:rFonts w:ascii="Arial" w:cs="Arial" w:eastAsia="Arial" w:hAnsi="Arial"/>
          <w:sz w:val="16"/>
          <w:szCs w:val="16"/>
          <w:color w:val="auto"/>
        </w:rPr>
        <w:t>relief and any law permitting a debtor to obtain a stay or a compromise of the claims of its creditors and/or (b) a Person having filed a notice under Section 36 of the Tax Collection Act of the Netherlands (</w:t>
      </w:r>
      <w:r>
        <w:rPr>
          <w:rFonts w:ascii="Arial" w:cs="Arial" w:eastAsia="Arial" w:hAnsi="Arial"/>
          <w:sz w:val="16"/>
          <w:szCs w:val="16"/>
          <w:i w:val="1"/>
          <w:iCs w:val="1"/>
          <w:color w:val="auto"/>
        </w:rPr>
        <w:t>Invorderingswet 1990</w:t>
      </w:r>
      <w:r>
        <w:rPr>
          <w:rFonts w:ascii="Arial" w:cs="Arial" w:eastAsia="Arial" w:hAnsi="Arial"/>
          <w:sz w:val="16"/>
          <w:szCs w:val="16"/>
          <w:color w:val="auto"/>
        </w:rPr>
        <w:t>) or Section 60 of the Social Insurance Financing Act of the Netherlands (</w:t>
      </w:r>
      <w:r>
        <w:rPr>
          <w:rFonts w:ascii="Arial" w:cs="Arial" w:eastAsia="Arial" w:hAnsi="Arial"/>
          <w:sz w:val="16"/>
          <w:szCs w:val="16"/>
          <w:i w:val="1"/>
          <w:iCs w:val="1"/>
          <w:color w:val="auto"/>
        </w:rPr>
        <w:t>Wet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Financiering Sociale Verzekeringen</w:t>
      </w:r>
      <w:r>
        <w:rPr>
          <w:rFonts w:ascii="Arial" w:cs="Arial" w:eastAsia="Arial" w:hAnsi="Arial"/>
          <w:sz w:val="16"/>
          <w:szCs w:val="16"/>
          <w:color w:val="auto"/>
        </w:rPr>
        <w:t>) in conjunction with Section 36 of the Tax Collection Act of the Netherlands (</w:t>
      </w:r>
      <w:r>
        <w:rPr>
          <w:rFonts w:ascii="Arial" w:cs="Arial" w:eastAsia="Arial" w:hAnsi="Arial"/>
          <w:sz w:val="16"/>
          <w:szCs w:val="16"/>
          <w:i w:val="1"/>
          <w:iCs w:val="1"/>
          <w:color w:val="auto"/>
        </w:rPr>
        <w:t>Invorderingswet 1990</w:t>
      </w:r>
      <w:r>
        <w:rPr>
          <w:rFonts w:ascii="Arial" w:cs="Arial" w:eastAsia="Arial" w:hAnsi="Arial"/>
          <w:sz w:val="16"/>
          <w:szCs w:val="16"/>
          <w:color w:val="auto"/>
        </w:rPr>
        <w:t>).</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U.S. Security Agreement, and includes all Industrial Designs (as defined in the Canadian Security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Subordination Agreement</w:t>
      </w:r>
      <w:r>
        <w:rPr>
          <w:rFonts w:ascii="Arial" w:cs="Arial" w:eastAsia="Arial" w:hAnsi="Arial"/>
          <w:sz w:val="18"/>
          <w:szCs w:val="18"/>
          <w:color w:val="auto"/>
        </w:rPr>
        <w:t xml:space="preserve">” means an intercompany subordination agreement, dated as of the date hereof, executed and delivered by each Obligor and the Parent’s Subsidiaries party thereto, and Agent, in substantially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 or as otherwise reasonably agreed by the Required Lenders.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collectively,</w:t>
      </w:r>
    </w:p>
    <w:p>
      <w:pPr>
        <w:spacing w:after="0" w:line="225" w:lineRule="exact"/>
        <w:rPr>
          <w:sz w:val="20"/>
          <w:szCs w:val="20"/>
          <w:color w:val="auto"/>
        </w:rPr>
      </w:pPr>
    </w:p>
    <w:p>
      <w:pPr>
        <w:jc w:val="both"/>
        <w:ind w:firstLine="656"/>
        <w:spacing w:after="0" w:line="259" w:lineRule="auto"/>
        <w:tabs>
          <w:tab w:leader="none" w:pos="13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that certain Intercreditor Agreement dated as of the Effective Date,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by and among the Administrative Agent, the Exit ABL Collateral Agent, the Borrowers and the other Obligors from time to time party thereto, as replaced by the Intercreditor Agreement (the “</w:t>
      </w:r>
      <w:r>
        <w:rPr>
          <w:rFonts w:ascii="Arial" w:cs="Arial" w:eastAsia="Arial" w:hAnsi="Arial"/>
          <w:sz w:val="18"/>
          <w:szCs w:val="18"/>
          <w:u w:val="single" w:color="auto"/>
          <w:color w:val="auto"/>
        </w:rPr>
        <w:t>Amendment No. 1 Intercreditor Agreement</w:t>
      </w:r>
      <w:r>
        <w:rPr>
          <w:rFonts w:ascii="Arial" w:cs="Arial" w:eastAsia="Arial" w:hAnsi="Arial"/>
          <w:sz w:val="18"/>
          <w:szCs w:val="18"/>
          <w:color w:val="auto"/>
        </w:rPr>
        <w:t xml:space="preserve">”) dated as of the Amendment No. 1 Effective Date, substantially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2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intercreditor agreement executed after the Amendment No. 2 Effective Date in connection with any ABL Facility, by and among the Administrative Agent, the applicable administrative agent or collateral agent under any ABL Facility, the trustee or collateral agent for any Indebtedness permitted under </w:t>
      </w:r>
      <w:r>
        <w:rPr>
          <w:rFonts w:ascii="Arial" w:cs="Arial" w:eastAsia="Arial" w:hAnsi="Arial"/>
          <w:sz w:val="18"/>
          <w:szCs w:val="18"/>
          <w:u w:val="single" w:color="auto"/>
          <w:color w:val="auto"/>
        </w:rPr>
        <w:t>Section 8.01(p)</w:t>
      </w:r>
      <w:r>
        <w:rPr>
          <w:rFonts w:ascii="Arial" w:cs="Arial" w:eastAsia="Arial" w:hAnsi="Arial"/>
          <w:sz w:val="18"/>
          <w:szCs w:val="18"/>
          <w:color w:val="auto"/>
        </w:rPr>
        <w:t xml:space="preserve"> (if applicable), the Borrowers and the other Obligors from time to time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intercreditor agreement shall (i) be in form and substance reasonably satisfactory to the Administrative Agent (it being understood that the Intercreditor Agreements described in clause (a) above are reasonably satisfactory to the Administrative Agent) and (ii) provide that the Liens securing such ABL Facility shall be junior to the Liens securing the Secured Obligations, except that with respect to the ABL Priority Collateral, the Liens securing such ABL Facility shall be senior to the Liens securing the Secured Obligations except that any Liens in respect of Specified Cash Collateral provided under this Agreement shall not secure the ABL Facility;</w:t>
      </w:r>
    </w:p>
    <w:p>
      <w:pPr>
        <w:spacing w:after="0" w:line="191" w:lineRule="exact"/>
        <w:rPr>
          <w:rFonts w:ascii="Arial" w:cs="Arial" w:eastAsia="Arial" w:hAnsi="Arial"/>
          <w:sz w:val="18"/>
          <w:szCs w:val="18"/>
          <w:color w:val="auto"/>
        </w:rPr>
      </w:pPr>
    </w:p>
    <w:p>
      <w:pPr>
        <w:jc w:val="both"/>
        <w:ind w:firstLine="656"/>
        <w:spacing w:after="0" w:line="254" w:lineRule="auto"/>
        <w:tabs>
          <w:tab w:leader="none" w:pos="1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intercreditor agreement executed after the Amendment No. 2 Effective Date in connection with any RC Facility, by and among the Administrative Agent, the applicable administrative agent or collateral agent under any RC Facility, the trustee or collateral agent for any Indebtedness permitted under </w:t>
      </w:r>
      <w:r>
        <w:rPr>
          <w:rFonts w:ascii="Arial" w:cs="Arial" w:eastAsia="Arial" w:hAnsi="Arial"/>
          <w:sz w:val="18"/>
          <w:szCs w:val="18"/>
          <w:u w:val="single" w:color="auto"/>
          <w:color w:val="auto"/>
        </w:rPr>
        <w:t>Section 8.01(p)</w:t>
      </w:r>
      <w:r>
        <w:rPr>
          <w:rFonts w:ascii="Arial" w:cs="Arial" w:eastAsia="Arial" w:hAnsi="Arial"/>
          <w:sz w:val="18"/>
          <w:szCs w:val="18"/>
          <w:color w:val="auto"/>
        </w:rPr>
        <w:t xml:space="preserve"> (if applicable), the Borrowers and the other Obligors from time to time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intercreditor agreement shall (i) be in form and substance reasonably satisfactory to the Administrative Agent (it being understood that the Intercreditor Agreements described in clause (a) above are reasonably satisfactory to the Administrative Agent) and (ii) provide that the Liens securing such RC Facility shall be pari passu with, or junior to, the Liens securing the Secured Obligations except that any Liens in respect of Specified Cash Collateral provided under this Agreement shall not secure the RC Facility;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ind w:firstLine="656"/>
        <w:spacing w:after="0" w:line="254" w:lineRule="auto"/>
        <w:tabs>
          <w:tab w:leader="none" w:pos="12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Senior Secured Notes Secured Parties, the administrative agent or collateral agent under any Revolving Credit Facility or any other Person) under the laws of any Specified Jurisdiction in order for the Liens on the LC Priority Collateral securing the Senior Secured Notes, any RC Facility or to the extent not ABL Priority Collateral, any ABL Facility, as applicable, to be subordinated to(or in the case of an RC Facility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on the LC Priority Collateral securing the Secured Obligations to the reasonable satisfaction of the Administrative Agent.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LC Fee Period</w:t>
      </w:r>
      <w:r>
        <w:rPr>
          <w:rFonts w:ascii="Arial" w:cs="Arial" w:eastAsia="Arial" w:hAnsi="Arial"/>
          <w:sz w:val="18"/>
          <w:szCs w:val="18"/>
          <w:color w:val="auto"/>
        </w:rPr>
        <w:t>” means the period from December 12, 2019 until January 1, 2020.</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for any Impacted Interest Period, the rate per annum (rounded down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Interpolated Rate shall be less than zero, such rate shall be deemed to be zero for the purposes of this Agreement.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spacing w:after="0" w:line="2" w:lineRule="exact"/>
        <w:rPr>
          <w:sz w:val="20"/>
          <w:szCs w:val="20"/>
          <w:color w:val="auto"/>
        </w:rPr>
      </w:pPr>
    </w:p>
    <w:p>
      <w:pPr>
        <w:ind w:right="20" w:firstLine="8"/>
        <w:spacing w:after="0" w:line="260"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Short Forms</w:t>
      </w:r>
      <w:r>
        <w:rPr>
          <w:rFonts w:ascii="Arial" w:cs="Arial" w:eastAsia="Arial" w:hAnsi="Arial"/>
          <w:sz w:val="18"/>
          <w:szCs w:val="18"/>
          <w:color w:val="auto"/>
        </w:rPr>
        <w:t xml:space="preserve">” means the Trademark Security Agreement and Patent Security Agreement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and to the extent applicable, a copyright security agreement in a form substantially similar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Scheme</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(a) each of Deutsche Bank, Wells Fargo, Barclays, Citibank, N.A., Morgan Stanley Senior Funding, Inc. (“</w:t>
      </w:r>
      <w:r>
        <w:rPr>
          <w:rFonts w:ascii="Arial" w:cs="Arial" w:eastAsia="Arial" w:hAnsi="Arial"/>
          <w:sz w:val="17"/>
          <w:szCs w:val="17"/>
          <w:u w:val="single" w:color="auto"/>
          <w:color w:val="auto"/>
        </w:rPr>
        <w:t>Morgan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Stanley</w:t>
      </w:r>
      <w:r>
        <w:rPr>
          <w:rFonts w:ascii="Arial" w:cs="Arial" w:eastAsia="Arial" w:hAnsi="Arial"/>
          <w:sz w:val="17"/>
          <w:szCs w:val="17"/>
          <w:color w:val="auto"/>
        </w:rPr>
        <w:t xml:space="preserve">”), Nordea Bank Abp, New York Branch, Standard Chartered Bank and any other Lender that agrees to issue Letters of Credit hereunder as contemplated by </w:t>
      </w:r>
      <w:r>
        <w:rPr>
          <w:rFonts w:ascii="Arial" w:cs="Arial" w:eastAsia="Arial" w:hAnsi="Arial"/>
          <w:sz w:val="17"/>
          <w:szCs w:val="17"/>
          <w:u w:val="single" w:color="auto"/>
          <w:color w:val="auto"/>
        </w:rPr>
        <w:t>Section 3.01(l)</w:t>
      </w:r>
      <w:r>
        <w:rPr>
          <w:rFonts w:ascii="Arial" w:cs="Arial" w:eastAsia="Arial" w:hAnsi="Arial"/>
          <w:sz w:val="17"/>
          <w:szCs w:val="17"/>
          <w:color w:val="auto"/>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Deutsche Bank, Wells Fargo Securities, LLC and Barclays, each in its capacity as Joint Lead Arranger and Joint Bookrunner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Australian Collateral Agent</w:t>
      </w:r>
      <w:r>
        <w:rPr>
          <w:rFonts w:ascii="Arial" w:cs="Arial" w:eastAsia="Arial" w:hAnsi="Arial"/>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3.01(k)</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each Issuing Bank, the commitment of such Issuing Bank to issue Letters of Credit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amount of each Issuing Bank’s LC Commitment, at any time, shall be (a) with respect to each Issuing Bank as of the Effective Date, its “LC Commitment”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(b) with respect to any other Issuing Bank after the Effective Date, an amount agreed to by such Issuing Bank, in the case of any Issuing Bank described in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as such LC Commitment may be adjusted from time to time in accordance with </w:t>
      </w:r>
      <w:r>
        <w:rPr>
          <w:rFonts w:ascii="Arial" w:cs="Arial" w:eastAsia="Arial" w:hAnsi="Arial"/>
          <w:sz w:val="18"/>
          <w:szCs w:val="18"/>
          <w:u w:val="single" w:color="auto"/>
          <w:color w:val="auto"/>
        </w:rPr>
        <w:t>Section 3.01(j)</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Expiration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with respect to any Lender at any time, such Lender’s Applicable Percentage of the Total LC Exposure at such time.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 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available to be drawn thereunder, then for purposes of calculating LC Exposure and Total LC Exposure, the outstanding amount of such Letter of Credit shall be deemed to include the amount of such increase even if it has not yet taken effect.</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 Period</w:t>
      </w:r>
      <w:r>
        <w:rPr>
          <w:rFonts w:ascii="Arial" w:cs="Arial" w:eastAsia="Arial" w:hAnsi="Arial"/>
          <w:sz w:val="18"/>
          <w:szCs w:val="18"/>
          <w:color w:val="auto"/>
        </w:rPr>
        <w:t>” means, initially, the Initial LC Fee Period, and subsequently, the applicable one calendar month period commencing on the first Business Day of the calendar month and ending on the last Business Day of such calendar month.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Participation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2.04(b)(i)</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Participation Fee Rate</w:t>
      </w:r>
      <w:r>
        <w:rPr>
          <w:rFonts w:ascii="Arial" w:cs="Arial" w:eastAsia="Arial" w:hAnsi="Arial"/>
          <w:sz w:val="17"/>
          <w:szCs w:val="17"/>
          <w:color w:val="auto"/>
        </w:rPr>
        <w:t xml:space="preserve">” means the LIBO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LC Participation Fee Rate is being calculated by reference to the Alternate Base Rate, LC Participation Fee Rate shall mean the Alternate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Priority Collateral</w:t>
      </w:r>
      <w:r>
        <w:rPr>
          <w:rFonts w:ascii="Arial" w:cs="Arial" w:eastAsia="Arial" w:hAnsi="Arial"/>
          <w:sz w:val="18"/>
          <w:szCs w:val="18"/>
          <w:color w:val="auto"/>
        </w:rPr>
        <w:t>” has the meaning specified for “LC Priority Collateral” or “LC/RCF Priority Collateral”, as applicable, in the Intercreditor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in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or bank guarantee issued pursuant to this Agreement (including the Existing Letters of Credit pursuant to </w:t>
      </w:r>
      <w:r>
        <w:rPr>
          <w:rFonts w:ascii="Arial" w:cs="Arial" w:eastAsia="Arial" w:hAnsi="Arial"/>
          <w:sz w:val="18"/>
          <w:szCs w:val="18"/>
          <w:u w:val="single" w:color="auto"/>
          <w:color w:val="auto"/>
        </w:rPr>
        <w:t>Section 3.01(n)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means a request by a Borrower for the issuance, amendment, renewal or extension, as the case may be, of a Letter of Credit in accordance with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means, as of any date of determination and on a consolidated basis, the result of (a) the amount equal to (i) Funded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Unrestricted Cash in an amount not to exceed $100,000,000, to (b) Consolidated Adjusted EBITDA for the four Fiscal Quarter period ended as of such date.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xml:space="preserve">” means, with respect to any Letter of Credit for any applicable LC Fee Period, the LIBO Screen Rate at approximately 11:00 a.m., London time, two Business Days prior to the commencement of such LC Fee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LIBO Screen Rate shall not be available at such time for such LC Fee Period (the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xml:space="preserve">”), then the LIBO Rate for such LC Fee Period shall be the Interpolated Rate. It is understood and agreed that all of the terms and conditions of this definition of “LIBO Rate” shall be subject to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Screen Rate</w:t>
      </w:r>
      <w:r>
        <w:rPr>
          <w:rFonts w:ascii="Arial" w:cs="Arial" w:eastAsia="Arial" w:hAnsi="Arial"/>
          <w:sz w:val="17"/>
          <w:szCs w:val="17"/>
          <w:color w:val="auto"/>
        </w:rPr>
        <w:t xml:space="preserve">” means, for any day and time, with respect to any Letter of Credit for any LC Fee Period, the London interbank offered rate as administered by ICE Benchmark Administration (or any other Person that takes over the administration of such rate for Dollars) for the 30 calendar day period beginning on the first day of such LC Fee Period as displayed on such day and time on pages LIBOR01 or LIBOR02 of the Reuters screen that displays such rate (or, in the event such rate does not appear on a Reuters page or screen, or any successor or substitute page on such screen that displays such rate, or on the appropriate page of such other information service that publishes such rate from time to time selected by the Administrative Agent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 Screen Rate shall be less than zero, such rate shall be deemed to be zero for the purposes of this Agreement. When determining the rate for a period which is 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Successor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Successor Rate Conforming Changes</w:t>
      </w:r>
      <w:r>
        <w:rPr>
          <w:rFonts w:ascii="Arial" w:cs="Arial" w:eastAsia="Arial" w:hAnsi="Arial"/>
          <w:sz w:val="18"/>
          <w:szCs w:val="18"/>
          <w:color w:val="auto"/>
        </w:rPr>
        <w:t>” means, with respect to any proposed LIBO Successor Rate, any conforming changes to the definition of “Alternate Base Rate”, the definition of “LC Fee Period”, timing and frequency of determining rates and making payments of interest and other administrative matters as may be appropriate, that the Administrative Agent and the Borrowers mutually decide, to reflect the adoption of such LIBO Successor Rate and to permit the administration thereof by the Administrative Agent in a manner substantially consistent with market practice (or, if the Administrative Agent and the Borrowers determine that adoption of any portion of such market practice is not administratively feasible or that no market practice for the administration of such LIBO Successor Rate exists, in such other manner of administration as the Administrative Agent and Borrowers decide).</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Acts</w:t>
      </w:r>
      <w:r>
        <w:rPr>
          <w:rFonts w:ascii="Arial" w:cs="Arial" w:eastAsia="Arial" w:hAnsi="Arial"/>
          <w:sz w:val="18"/>
          <w:szCs w:val="18"/>
          <w:color w:val="auto"/>
        </w:rPr>
        <w:t>” means the Limitation Act 1980 and the Foreign Limitation Periods Act 1984.</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collectively, this Agreement, the Guaranty Agreements, the Letters of Credit (and applications therefor), the Collateral Documents, the Intercompany Subordination Agreement, the Security Trust Deed,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Obligors</w:t>
      </w:r>
      <w:r>
        <w:rPr>
          <w:rFonts w:ascii="Arial" w:cs="Arial" w:eastAsia="Arial" w:hAnsi="Arial"/>
          <w:sz w:val="18"/>
          <w:szCs w:val="18"/>
          <w:color w:val="auto"/>
        </w:rPr>
        <w:t>” means any Obligor organized under the laws of the Grand Duchy of Luxembourg.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 (ii) the ability of the Administrative Agent or the Lenders to realize the material benefits intended to be provided by the Obligors under the Loan Documents.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of any one or more of Parent and its Restricted Subsidiaries in an aggregate principal amount exceeding $50,000,000.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real property located in the United States of America, Canada or the United Kingdom owned by any Obligor with a net book value in excess of $10,000,000 and that is not an Excluded Asset and each Effective Date Real Property.</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Specified Subsidiary</w:t>
      </w:r>
      <w:r>
        <w:rPr>
          <w:rFonts w:ascii="Arial" w:cs="Arial" w:eastAsia="Arial" w:hAnsi="Arial"/>
          <w:sz w:val="16"/>
          <w:szCs w:val="16"/>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w:t>
      </w:r>
    </w:p>
    <w:p>
      <w:pPr>
        <w:jc w:val="both"/>
        <w:ind w:firstLine="8"/>
        <w:spacing w:after="0" w:line="255" w:lineRule="auto"/>
        <w:tabs>
          <w:tab w:leader="none" w:pos="2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May 29,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Morgan Stanley</w:t>
      </w:r>
      <w:r>
        <w:rPr>
          <w:rFonts w:ascii="Arial" w:cs="Arial" w:eastAsia="Arial" w:hAnsi="Arial"/>
          <w:sz w:val="18"/>
          <w:szCs w:val="18"/>
          <w:color w:val="auto"/>
        </w:rPr>
        <w:t>” has the meaning specified in “Issuing Bank”.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Mortgages</w:t>
      </w:r>
      <w:r>
        <w:rPr>
          <w:rFonts w:ascii="Arial" w:cs="Arial" w:eastAsia="Arial" w:hAnsi="Arial"/>
          <w:sz w:val="17"/>
          <w:szCs w:val="17"/>
          <w:color w:val="auto"/>
        </w:rPr>
        <w:t xml:space="preserve">” means, collectively, (a) the instruments described on </w:t>
      </w:r>
      <w:r>
        <w:rPr>
          <w:rFonts w:ascii="Arial" w:cs="Arial" w:eastAsia="Arial" w:hAnsi="Arial"/>
          <w:sz w:val="17"/>
          <w:szCs w:val="17"/>
          <w:u w:val="single" w:color="auto"/>
          <w:color w:val="auto"/>
        </w:rPr>
        <w:t>Schedule 7.11</w:t>
      </w:r>
      <w:r>
        <w:rPr>
          <w:rFonts w:ascii="Arial" w:cs="Arial" w:eastAsia="Arial" w:hAnsi="Arial"/>
          <w:sz w:val="17"/>
          <w:szCs w:val="17"/>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or supplement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plan covered by Title IV of ERISA which is a “multiemployer plan” (as such term is defined in Section 4001(a)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ERISA).</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NBV of Assets Ratio</w:t>
      </w:r>
      <w:r>
        <w:rPr>
          <w:rFonts w:ascii="Arial" w:cs="Arial" w:eastAsia="Arial" w:hAnsi="Arial"/>
          <w:sz w:val="18"/>
          <w:szCs w:val="18"/>
          <w:color w:val="auto"/>
        </w:rPr>
        <w:t xml:space="preserve">” means, as of any date of determination and on a consolidated basis, with net book values as stated in the most recent consolidated financial statements of the Parent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the result of (a) an amount equal to (i) the aggregate net book value of all assets of the Obligors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net book value of (A) the ABL Priority Collateral to the extent securing the ABL Facility and (B) the Notes Priority Collateral to the extent securing Indebtedness permitted under </w:t>
      </w:r>
      <w:r>
        <w:rPr>
          <w:rFonts w:ascii="Arial" w:cs="Arial" w:eastAsia="Arial" w:hAnsi="Arial"/>
          <w:sz w:val="18"/>
          <w:szCs w:val="18"/>
          <w:u w:val="single" w:color="auto"/>
          <w:color w:val="auto"/>
        </w:rPr>
        <w:t>Section 8.01(p)</w:t>
      </w:r>
      <w:r>
        <w:rPr>
          <w:rFonts w:ascii="Arial" w:cs="Arial" w:eastAsia="Arial" w:hAnsi="Arial"/>
          <w:sz w:val="18"/>
          <w:szCs w:val="18"/>
          <w:color w:val="auto"/>
        </w:rPr>
        <w:t xml:space="preserve">, to (b) an amount equal to (i) the Total LC Exposure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amount of the Specified Cash Collateral.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“Redomestication”.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Priority Collateral</w:t>
      </w:r>
      <w:r>
        <w:rPr>
          <w:rFonts w:ascii="Arial" w:cs="Arial" w:eastAsia="Arial" w:hAnsi="Arial"/>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if any of the aforesaid rates shall be less than zero, such rate shall be deemed to be zero for purposes of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all obligations with respect to Letters of Credit (including unreimbursed LC Disbursements),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any of the Letters of Credit.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Parties</w:t>
      </w:r>
      <w:r>
        <w:rPr>
          <w:rFonts w:ascii="Arial" w:cs="Arial" w:eastAsia="Arial" w:hAnsi="Arial"/>
          <w:sz w:val="18"/>
          <w:szCs w:val="18"/>
          <w:color w:val="auto"/>
        </w:rPr>
        <w:t>” means the Borrowers and Parent, and “</w:t>
      </w:r>
      <w:r>
        <w:rPr>
          <w:rFonts w:ascii="Arial" w:cs="Arial" w:eastAsia="Arial" w:hAnsi="Arial"/>
          <w:sz w:val="18"/>
          <w:szCs w:val="18"/>
          <w:u w:val="single" w:color="auto"/>
          <w:color w:val="auto"/>
        </w:rPr>
        <w:t>Obligor Party</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Obligors</w:t>
      </w:r>
      <w:r>
        <w:rPr>
          <w:rFonts w:ascii="Arial" w:cs="Arial" w:eastAsia="Arial" w:hAnsi="Arial"/>
          <w:sz w:val="18"/>
          <w:szCs w:val="18"/>
          <w:color w:val="auto"/>
        </w:rPr>
        <w:t>” means the Obligor Parties and any other Guarantors, and “</w:t>
      </w:r>
      <w:r>
        <w:rPr>
          <w:rFonts w:ascii="Arial" w:cs="Arial" w:eastAsia="Arial" w:hAnsi="Arial"/>
          <w:sz w:val="18"/>
          <w:szCs w:val="18"/>
          <w:u w:val="single" w:color="auto"/>
          <w:color w:val="auto"/>
        </w:rPr>
        <w:t>Obligor</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Foreign Collateral Agent</w:t>
      </w:r>
      <w:r>
        <w:rPr>
          <w:rFonts w:ascii="Arial" w:cs="Arial" w:eastAsia="Arial" w:hAnsi="Arial"/>
          <w:sz w:val="16"/>
          <w:szCs w:val="16"/>
          <w:color w:val="auto"/>
        </w:rPr>
        <w:t>” means the foreign collateral agent as defined in the Intercreditor Agreement dated as of the Effective Date.</w:t>
      </w:r>
    </w:p>
    <w:p>
      <w:pPr>
        <w:spacing w:after="0" w:line="2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to, performed its obligations under, received payments under, received or perfected a security interest under, engaged in any other transaction pursuant to or enforced any Loan Document, or sold or assigned an interest in any Loan Document).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(i.e., borrowings determined at the Adjusted LIBO Rate)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Debt</w:t>
      </w:r>
      <w:r>
        <w:rPr>
          <w:rFonts w:ascii="Arial" w:cs="Arial" w:eastAsia="Arial" w:hAnsi="Arial"/>
          <w:sz w:val="18"/>
          <w:szCs w:val="18"/>
          <w:color w:val="auto"/>
        </w:rPr>
        <w:t>” means “Parallel Debt” (as defined in Section 13 in the Affiliate Guaranty).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means Weatherford International plc, an Irish public limited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Redomestication occurs subsequent to the Effective Date and Parent is not the Surviving Person resulting from such Redomestication, the term “Parent” shall refer to the Surviving Person resulting from such Redomestication.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Certificate</w:t>
      </w:r>
      <w:r>
        <w:rPr>
          <w:rFonts w:ascii="Arial" w:cs="Arial" w:eastAsia="Arial" w:hAnsi="Arial"/>
          <w:sz w:val="18"/>
          <w:szCs w:val="18"/>
          <w:color w:val="auto"/>
        </w:rPr>
        <w:t xml:space="preserve">” means a certificate executed by a Participant,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the Commitments have expired or been terminated and the Obligations and all fees payable hereunder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LC Disbursements shall have been reimbursed in full in cash and the Swap Obligations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have been paid in full in cash (or alternative collateral arrangements have been made satisfactory to the parties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xml:space="preserve">” means any Acquisition (other than a Hostile Acquisition) by Parent or a Restricted Subsidiary if (a) at the time of and immediately after giving effect thereto, (i) no Default or Event of Default has occurred and is continuing or would result therefrom, (ii) Parent and its Restricted Subsidiaries are in compliance with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(b) all actions required to be taken with respect to such acquired or newly formed Subsidiary under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shall have been taken or will be taken within the time periods set forth therein, (c) such Acquisition involves a merger, consolidation or amalgamation of Parent or a Restricted Subsidiary with any other Person, such Acquisition is permitted under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(d) in the case of any Acquisition made by the Restricted Subsidiaries that are not Wholly-Owned Subsidiaries and Restricted Subsidiaries that are not Obligors (including Wholly-Owned Subsidiaries),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plus (ii)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7"/>
          <w:szCs w:val="17"/>
          <w:u w:val="single" w:color="auto"/>
          <w:color w:val="auto"/>
        </w:rPr>
        <w:t>clause (e)(iv)</w:t>
      </w:r>
      <w:r>
        <w:rPr>
          <w:rFonts w:ascii="Arial" w:cs="Arial" w:eastAsia="Arial" w:hAnsi="Arial"/>
          <w:sz w:val="17"/>
          <w:szCs w:val="17"/>
          <w:color w:val="auto"/>
        </w:rPr>
        <w:t xml:space="preserve"> below and (e) in the case of any Acquisition made by Obligors,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if such date is on or after the first anniversary of the Effective Date, $200,000,000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if such date is on or after the second anniversary of the Effective Date, $200,000,000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(d)(ii)</w:t>
      </w:r>
      <w:r>
        <w:rPr>
          <w:rFonts w:ascii="Arial" w:cs="Arial" w:eastAsia="Arial" w:hAnsi="Arial"/>
          <w:sz w:val="17"/>
          <w:szCs w:val="17"/>
          <w:color w:val="auto"/>
        </w:rPr>
        <w:t xml:space="preserve"> above.</w:t>
      </w:r>
    </w:p>
    <w:p>
      <w:pPr>
        <w:spacing w:after="0" w:line="19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Customer Notes Disposition</w:t>
      </w:r>
      <w:r>
        <w:rPr>
          <w:rFonts w:ascii="Arial" w:cs="Arial" w:eastAsia="Arial" w:hAnsi="Arial"/>
          <w:sz w:val="16"/>
          <w:szCs w:val="16"/>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Existing Indebtedness</w:t>
      </w:r>
      <w:r>
        <w:rPr>
          <w:rFonts w:ascii="Arial" w:cs="Arial" w:eastAsia="Arial" w:hAnsi="Arial"/>
          <w:sz w:val="18"/>
          <w:szCs w:val="18"/>
          <w:color w:val="auto"/>
        </w:rPr>
        <w:t xml:space="preserve">” means the Indebtedness of Parent and its Restricted Subsidiaries existing as of the Effective Date and identified on </w:t>
      </w:r>
      <w:r>
        <w:rPr>
          <w:rFonts w:ascii="Arial" w:cs="Arial" w:eastAsia="Arial" w:hAnsi="Arial"/>
          <w:sz w:val="18"/>
          <w:szCs w:val="18"/>
          <w:u w:val="single" w:color="auto"/>
          <w:color w:val="auto"/>
        </w:rPr>
        <w:t>Schedule 8.01</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Customers</w:t>
      </w:r>
      <w:r>
        <w:rPr>
          <w:rFonts w:ascii="Arial" w:cs="Arial" w:eastAsia="Arial" w:hAnsi="Arial"/>
          <w:sz w:val="18"/>
          <w:szCs w:val="18"/>
          <w:color w:val="auto"/>
        </w:rPr>
        <w:t>” means the Persons identified to the Administrative Agent in writing on or prior to the Effective Date, as such Persons may be updated from time to time by Parent with the approval of the Administrative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Transaction Documents</w:t>
      </w:r>
      <w:r>
        <w:rPr>
          <w:rFonts w:ascii="Arial" w:cs="Arial" w:eastAsia="Arial" w:hAnsi="Arial"/>
          <w:sz w:val="18"/>
          <w:szCs w:val="18"/>
          <w:color w:val="auto"/>
        </w:rPr>
        <w:t>” means each of the documents and agreements entered into in connection with any Permitted Factoring Transaction.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Factoring Transactions</w:t>
      </w:r>
      <w:r>
        <w:rPr>
          <w:rFonts w:ascii="Arial" w:cs="Arial" w:eastAsia="Arial" w:hAnsi="Arial"/>
          <w:sz w:val="17"/>
          <w:szCs w:val="17"/>
          <w:color w:val="auto"/>
        </w:rPr>
        <w:t xml:space="preserve">” 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face amount of all receivables sold or transferred pursuant to Permitted Factoring Transactions shall not exceed $100,000,000 during any Fiscal Quarter, and (b) such Receivables are segregated into deposit accounts that are separate and distinct from the deposit accounts constituting or holding Collateral (and Parent and its Restricted Subsidiaries shall not otherwise commingle proceeds received in connection with a Permitted Factoring Transaction with any Collateral or proceeds thereof).</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Capital Research Management Company and its affiliates, on behalf of certain managed funds and accounts, and Franklin Advisers, Inc., as investment manager on behalf of certain funds and accounts.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Intercompany Specified Transactions</w:t>
      </w:r>
      <w:r>
        <w:rPr>
          <w:rFonts w:ascii="Arial" w:cs="Arial" w:eastAsia="Arial" w:hAnsi="Arial"/>
          <w:sz w:val="17"/>
          <w:szCs w:val="17"/>
          <w:color w:val="auto"/>
        </w:rPr>
        <w:t>” means capital contributions, other Investments, asset Dispositions or Restricted Payments made by Parent or a Restricted Subsidiary to or in a Restricted Subsidiary that is not an Obligor or an Obligor that is not a Wholly-Owned Subsidiary (a) in the ordinary course of business in order to comply with foreign requirements of law and accounting standards and practices with respect to minimum levels of retained earnings or other similar legal requirements, (b) in the ordinary course of business and in accordance with historical practices thereof prior to the commencement of the Chapter 11 Cases in connection with submitting RFPs, RFQs or other similar customer bids, (c) in the ordinary course of business and in accordance with historical practices thereof prior to the commencement of the Chapter 11 Cases in connection with tax optimization strategies, or (d) in the ordinary course of business and in accordance with historical practices thereof prior to the commencement of the Chapter 11 Cases in connection with funding operating losses of the recipient thereof.</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Intercompany Treasury Management Transactions</w:t>
      </w:r>
      <w:r>
        <w:rPr>
          <w:rFonts w:ascii="Arial" w:cs="Arial" w:eastAsia="Arial" w:hAnsi="Arial"/>
          <w:sz w:val="17"/>
          <w:szCs w:val="17"/>
          <w:color w:val="auto"/>
        </w:rPr>
        <w:t>” 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 prior to the commencement of the Chapter 11 Cases.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without duplication:</w:t>
      </w:r>
    </w:p>
    <w:p>
      <w:pPr>
        <w:spacing w:after="0" w:line="225" w:lineRule="exact"/>
        <w:rPr>
          <w:sz w:val="20"/>
          <w:szCs w:val="20"/>
          <w:color w:val="auto"/>
        </w:rPr>
      </w:pPr>
    </w:p>
    <w:p>
      <w:pPr>
        <w:jc w:val="both"/>
        <w:ind w:firstLine="656"/>
        <w:spacing w:after="0" w:line="259" w:lineRule="auto"/>
        <w:tabs>
          <w:tab w:leader="none" w:pos="12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for Taxes or unpaid utilities (i) not yet delinquent or which can thereafter be paid without penalty, (ii) which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Taxes referenced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jc w:val="both"/>
        <w:ind w:left="-20" w:firstLine="656"/>
        <w:spacing w:after="0" w:line="263" w:lineRule="auto"/>
        <w:tabs>
          <w:tab w:leader="none" w:pos="12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83" w:lineRule="exact"/>
        <w:rPr>
          <w:rFonts w:ascii="Arial" w:cs="Arial" w:eastAsia="Arial" w:hAnsi="Arial"/>
          <w:sz w:val="18"/>
          <w:szCs w:val="18"/>
          <w:color w:val="auto"/>
        </w:rPr>
      </w:pPr>
    </w:p>
    <w:p>
      <w:pPr>
        <w:ind w:left="-20" w:firstLine="656"/>
        <w:spacing w:after="0" w:line="277" w:lineRule="auto"/>
        <w:tabs>
          <w:tab w:leader="none" w:pos="13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pledges or deposits made in compliance with, or deemed trusts arising in connection with, workers’ compensation, unemployment insurance, old age benefits, pension, employment or other social security laws or regulations;</w:t>
      </w:r>
    </w:p>
    <w:p>
      <w:pPr>
        <w:spacing w:after="0" w:line="170" w:lineRule="exact"/>
        <w:rPr>
          <w:rFonts w:ascii="Arial" w:cs="Arial" w:eastAsia="Arial" w:hAnsi="Arial"/>
          <w:sz w:val="18"/>
          <w:szCs w:val="18"/>
          <w:color w:val="auto"/>
        </w:rPr>
      </w:pPr>
    </w:p>
    <w:p>
      <w:pPr>
        <w:jc w:val="both"/>
        <w:ind w:left="-20" w:firstLine="656"/>
        <w:spacing w:after="0" w:line="279" w:lineRule="auto"/>
        <w:tabs>
          <w:tab w:leader="none" w:pos="1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171" w:lineRule="exact"/>
        <w:rPr>
          <w:rFonts w:ascii="Arial" w:cs="Arial" w:eastAsia="Arial" w:hAnsi="Arial"/>
          <w:sz w:val="17"/>
          <w:szCs w:val="17"/>
          <w:color w:val="auto"/>
        </w:rPr>
      </w:pPr>
    </w:p>
    <w:p>
      <w:pPr>
        <w:ind w:left="1160" w:hanging="524"/>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rights under retention of title arrangements in favor of suppliers incurred in the ordinary course of business;</w:t>
      </w:r>
    </w:p>
    <w:p>
      <w:pPr>
        <w:spacing w:after="0" w:line="225" w:lineRule="exact"/>
        <w:rPr>
          <w:rFonts w:ascii="Arial" w:cs="Arial" w:eastAsia="Arial" w:hAnsi="Arial"/>
          <w:sz w:val="18"/>
          <w:szCs w:val="18"/>
          <w:color w:val="auto"/>
        </w:rPr>
      </w:pPr>
    </w:p>
    <w:p>
      <w:pPr>
        <w:jc w:val="both"/>
        <w:ind w:left="-20" w:firstLine="656"/>
        <w:spacing w:after="0" w:line="263" w:lineRule="auto"/>
        <w:tabs>
          <w:tab w:leader="none" w:pos="11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83" w:lineRule="exact"/>
        <w:rPr>
          <w:rFonts w:ascii="Arial" w:cs="Arial" w:eastAsia="Arial" w:hAnsi="Arial"/>
          <w:sz w:val="18"/>
          <w:szCs w:val="18"/>
          <w:color w:val="auto"/>
        </w:rPr>
      </w:pPr>
    </w:p>
    <w:p>
      <w:pPr>
        <w:jc w:val="both"/>
        <w:ind w:left="-20" w:firstLine="656"/>
        <w:spacing w:after="0" w:line="257" w:lineRule="auto"/>
        <w:tabs>
          <w:tab w:leader="none" w:pos="11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187" w:lineRule="exact"/>
        <w:rPr>
          <w:rFonts w:ascii="Arial" w:cs="Arial" w:eastAsia="Arial" w:hAnsi="Arial"/>
          <w:sz w:val="18"/>
          <w:szCs w:val="18"/>
          <w:color w:val="auto"/>
        </w:rPr>
      </w:pPr>
    </w:p>
    <w:p>
      <w:pPr>
        <w:jc w:val="both"/>
        <w:ind w:left="-20" w:firstLine="656"/>
        <w:spacing w:after="0" w:line="273"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Parent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permitted by </w:t>
      </w:r>
      <w:r>
        <w:rPr>
          <w:rFonts w:ascii="Arial" w:cs="Arial" w:eastAsia="Arial" w:hAnsi="Arial"/>
          <w:sz w:val="17"/>
          <w:szCs w:val="17"/>
          <w:u w:val="single" w:color="auto"/>
          <w:color w:val="auto"/>
        </w:rPr>
        <w:t>Section 8.01(k)</w:t>
      </w:r>
      <w:r>
        <w:rPr>
          <w:rFonts w:ascii="Arial" w:cs="Arial" w:eastAsia="Arial" w:hAnsi="Arial"/>
          <w:sz w:val="17"/>
          <w:szCs w:val="17"/>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77" w:lineRule="exact"/>
        <w:rPr>
          <w:rFonts w:ascii="Arial" w:cs="Arial" w:eastAsia="Arial" w:hAnsi="Arial"/>
          <w:sz w:val="17"/>
          <w:szCs w:val="17"/>
          <w:color w:val="auto"/>
        </w:rPr>
      </w:pPr>
    </w:p>
    <w:p>
      <w:pPr>
        <w:jc w:val="both"/>
        <w:ind w:left="-20" w:firstLine="656"/>
        <w:spacing w:after="0" w:line="259"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Liens incurred under this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shall secure obligations for the payment of borrowed money, and (ii) Liens solely on cash and Cash Equivalents not to exceed $50,000,000 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color w:val="auto"/>
        </w:rPr>
        <w:t xml:space="preserve">any one time securing letters of credit, letter of credit facilities, bank guaranties, bank guarantee facilities or similar instruments or facilities supporting the obligations described in the preceding </w:t>
      </w:r>
      <w:r>
        <w:rPr>
          <w:rFonts w:ascii="Arial" w:cs="Arial" w:eastAsia="Arial" w:hAnsi="Arial"/>
          <w:sz w:val="18"/>
          <w:szCs w:val="18"/>
          <w:u w:val="single" w:color="auto"/>
          <w:color w:val="auto"/>
        </w:rPr>
        <w:t>sub-clause (i)</w:t>
      </w:r>
      <w:r>
        <w:rPr>
          <w:rFonts w:ascii="Arial" w:cs="Arial" w:eastAsia="Arial" w:hAnsi="Arial"/>
          <w:sz w:val="18"/>
          <w:szCs w:val="18"/>
          <w:color w:val="auto"/>
        </w:rPr>
        <w:t>;</w:t>
      </w:r>
    </w:p>
    <w:p>
      <w:pPr>
        <w:spacing w:after="0" w:line="170" w:lineRule="exact"/>
        <w:rPr>
          <w:sz w:val="20"/>
          <w:szCs w:val="20"/>
          <w:color w:val="auto"/>
        </w:rPr>
      </w:pPr>
    </w:p>
    <w:p>
      <w:pPr>
        <w:ind w:left="1140" w:hanging="484"/>
        <w:spacing w:after="0"/>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leases or subleases granted to others not interfering in any material respect with the business of Parent or any of its Restricted Subsidiaries;</w:t>
      </w:r>
    </w:p>
    <w:p>
      <w:pPr>
        <w:spacing w:after="0" w:line="248" w:lineRule="exact"/>
        <w:rPr>
          <w:rFonts w:ascii="Arial" w:cs="Arial" w:eastAsia="Arial" w:hAnsi="Arial"/>
          <w:sz w:val="16"/>
          <w:szCs w:val="16"/>
          <w:color w:val="auto"/>
        </w:rPr>
      </w:pPr>
    </w:p>
    <w:p>
      <w:pPr>
        <w:ind w:left="1180" w:hanging="524"/>
        <w:spacing w:after="0"/>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Liens to secure obligations arising from statutory or regulatory requirements;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2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 Sparkassen (</w:t>
      </w:r>
      <w:r>
        <w:rPr>
          <w:rFonts w:ascii="Arial" w:cs="Arial" w:eastAsia="Arial" w:hAnsi="Arial"/>
          <w:sz w:val="18"/>
          <w:szCs w:val="18"/>
          <w:i w:val="1"/>
          <w:iCs w:val="1"/>
          <w:color w:val="auto"/>
        </w:rPr>
        <w:t>Allgemeine Geschäftsbedingungen der Banken oder Sparkassen</w:t>
      </w:r>
      <w:r>
        <w:rPr>
          <w:rFonts w:ascii="Arial" w:cs="Arial" w:eastAsia="Arial" w:hAnsi="Arial"/>
          <w:sz w:val="18"/>
          <w:szCs w:val="18"/>
          <w:color w:val="auto"/>
        </w:rPr>
        <w:t>) with whom any Obligor maintains a banking relationship in the ordinary course of business;</w:t>
      </w:r>
    </w:p>
    <w:p>
      <w:pPr>
        <w:spacing w:after="0" w:line="192" w:lineRule="exact"/>
        <w:rPr>
          <w:rFonts w:ascii="Arial" w:cs="Arial" w:eastAsia="Arial" w:hAnsi="Arial"/>
          <w:sz w:val="18"/>
          <w:szCs w:val="18"/>
          <w:color w:val="auto"/>
        </w:rPr>
      </w:pPr>
    </w:p>
    <w:p>
      <w:pPr>
        <w:ind w:left="1180" w:hanging="524"/>
        <w:spacing w:after="0"/>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56"/>
        <w:spacing w:after="0" w:line="277" w:lineRule="auto"/>
        <w:tabs>
          <w:tab w:leader="none" w:pos="1173"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24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firstLine="8"/>
        <w:spacing w:after="0" w:line="260" w:lineRule="auto"/>
        <w:tabs>
          <w:tab w:leader="none" w:pos="2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Lien does not extend to any additional assets (other than improvements and accessions to, and replacements of, the assets originally subject to such Lien); and</w:t>
      </w:r>
    </w:p>
    <w:p>
      <w:pPr>
        <w:spacing w:after="0" w:line="185" w:lineRule="exact"/>
        <w:rPr>
          <w:rFonts w:ascii="Arial" w:cs="Arial" w:eastAsia="Arial" w:hAnsi="Arial"/>
          <w:sz w:val="18"/>
          <w:szCs w:val="18"/>
          <w:color w:val="auto"/>
        </w:rPr>
      </w:pPr>
    </w:p>
    <w:p>
      <w:pPr>
        <w:ind w:right="20" w:firstLine="656"/>
        <w:spacing w:after="0" w:line="342" w:lineRule="auto"/>
        <w:tabs>
          <w:tab w:leader="none" w:pos="1261"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Lien created or subsisting to secure any obligations incurred in order to comply with the requirements of section 8a of the German Part-Time Retirement Act (</w:t>
      </w:r>
      <w:r>
        <w:rPr>
          <w:rFonts w:ascii="Arial" w:cs="Arial" w:eastAsia="Arial" w:hAnsi="Arial"/>
          <w:sz w:val="16"/>
          <w:szCs w:val="16"/>
          <w:i w:val="1"/>
          <w:iCs w:val="1"/>
          <w:color w:val="auto"/>
        </w:rPr>
        <w:t>Altersteilzeitgesetz</w:t>
      </w:r>
      <w:r>
        <w:rPr>
          <w:rFonts w:ascii="Arial" w:cs="Arial" w:eastAsia="Arial" w:hAnsi="Arial"/>
          <w:sz w:val="16"/>
          <w:szCs w:val="16"/>
          <w:color w:val="auto"/>
        </w:rPr>
        <w:t>) and/or section 7e of the Fourth Book of the German Social Security Code (S</w:t>
      </w:r>
      <w:r>
        <w:rPr>
          <w:rFonts w:ascii="Arial" w:cs="Arial" w:eastAsia="Arial" w:hAnsi="Arial"/>
          <w:sz w:val="16"/>
          <w:szCs w:val="16"/>
          <w:i w:val="1"/>
          <w:iCs w:val="1"/>
          <w:color w:val="auto"/>
        </w:rPr>
        <w:t>ozialgesetzbuch IV</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means Indebtedness (for purposes of this definition, “</w:t>
      </w:r>
      <w:r>
        <w:rPr>
          <w:rFonts w:ascii="Arial" w:cs="Arial" w:eastAsia="Arial" w:hAnsi="Arial"/>
          <w:sz w:val="18"/>
          <w:szCs w:val="18"/>
          <w:u w:val="single" w:color="auto"/>
          <w:color w:val="auto"/>
        </w:rPr>
        <w:t>New Indebtedness</w:t>
      </w:r>
      <w:r>
        <w:rPr>
          <w:rFonts w:ascii="Arial" w:cs="Arial" w:eastAsia="Arial" w:hAnsi="Arial"/>
          <w:sz w:val="18"/>
          <w:szCs w:val="18"/>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jc w:val="both"/>
        <w:spacing w:after="0" w:line="288" w:lineRule="auto"/>
        <w:rPr>
          <w:sz w:val="20"/>
          <w:szCs w:val="20"/>
          <w:color w:val="auto"/>
        </w:rPr>
      </w:pPr>
      <w:r>
        <w:rPr>
          <w:rFonts w:ascii="Arial" w:cs="Arial" w:eastAsia="Arial" w:hAnsi="Arial"/>
          <w:sz w:val="16"/>
          <w:szCs w:val="16"/>
          <w:color w:val="auto"/>
        </w:rPr>
        <w:t xml:space="preserve">or available committed amounts)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to be the issuer or guarantor, as applicable, under a new issuance of such Indebtedness hereunder, in which case such incurrence of Indebtedness shall be deemed a reduction of the amount permitted under the applicable Section (if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Refinanced Indebtedness is of the type described in </w:t>
      </w:r>
      <w:r>
        <w:rPr>
          <w:rFonts w:ascii="Arial" w:cs="Arial" w:eastAsia="Arial" w:hAnsi="Arial"/>
          <w:sz w:val="16"/>
          <w:szCs w:val="16"/>
          <w:u w:val="single" w:color="auto"/>
          <w:color w:val="auto"/>
        </w:rPr>
        <w:t>Section 8.01(b)</w:t>
      </w:r>
      <w:r>
        <w:rPr>
          <w:rFonts w:ascii="Arial" w:cs="Arial" w:eastAsia="Arial" w:hAnsi="Arial"/>
          <w:sz w:val="16"/>
          <w:szCs w:val="16"/>
          <w:color w:val="auto"/>
        </w:rPr>
        <w:t>, the New Indebtedness may be Guaranteed by any Obligor and shall be subject to the Intercreditor Agreement,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 employee pension benefit plan, as defined in Section 3(2) of ERISA, which is covered by Title IV of ERISA or subject to the minimum funding standards under Section 412 of the Code or Section 302 of ERISA and at any time within the preceding six (6) years has been</w:t>
      </w:r>
    </w:p>
    <w:p>
      <w:pPr>
        <w:jc w:val="both"/>
        <w:ind w:firstLine="8"/>
        <w:spacing w:after="0" w:line="277" w:lineRule="auto"/>
        <w:tabs>
          <w:tab w:leader="none" w:pos="2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sponsored, maintained or contributed to by Parent, any Borrower or any ERISA Affiliate for employees of Parent, any Borrower or any ERISA Affiliate or (b) maintained pursuant to a collective bargaining agreement or any other arrangement under which more than one employer makes contributions and to which Parent, any Borrower or any ERISA Affiliate is or was then making or accruing an obligation to make contributions.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means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Effective Date</w:t>
      </w:r>
      <w:r>
        <w:rPr>
          <w:rFonts w:ascii="Arial" w:cs="Arial" w:eastAsia="Arial" w:hAnsi="Arial"/>
          <w:sz w:val="18"/>
          <w:szCs w:val="18"/>
          <w:color w:val="auto"/>
        </w:rPr>
        <w:t>” means “Effective Date” as defined in the Plan of Reorganization.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Reorganization</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Agreements</w:t>
      </w:r>
      <w:r>
        <w:rPr>
          <w:rFonts w:ascii="Arial" w:cs="Arial" w:eastAsia="Arial" w:hAnsi="Arial"/>
          <w:sz w:val="18"/>
          <w:szCs w:val="18"/>
          <w:color w:val="auto"/>
        </w:rPr>
        <w:t>” means, collectively, any pledge agreement, charge, debenture, equitable mortgage over shares or other similar agreement or instrument in form and substance satisfactory to the Administrative Agent in favor of the Administrative Agent for the benefit of itself and the other Secured Parties, in any such case, pursuant to which any Person grants Liens on any Capital Stock owned by such Person to secure the Secured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Subsidiary</w:t>
      </w:r>
      <w:r>
        <w:rPr>
          <w:rFonts w:ascii="Arial" w:cs="Arial" w:eastAsia="Arial" w:hAnsi="Arial"/>
          <w:sz w:val="18"/>
          <w:szCs w:val="18"/>
          <w:color w:val="auto"/>
        </w:rPr>
        <w:t>” means a direct Subsidiary of an Obligor that is organized in a Specified Jurisdiction and is not itself an Obligor.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Securities Act 2009</w:t>
      </w:r>
      <w:r>
        <w:rPr>
          <w:rFonts w:ascii="Arial" w:cs="Arial" w:eastAsia="Arial" w:hAnsi="Arial"/>
          <w:sz w:val="18"/>
          <w:szCs w:val="18"/>
          <w:color w:val="auto"/>
        </w:rPr>
        <w:t xml:space="preserve"> (Cth) of Australia.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of interest per annum publicly announced from time to time by DBTCA or an affiliate thereof (for so long as it is the Administrative Agent) or any successor administrative agent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hereto as its prime rate in effect at its principal office in New York City. Each change in the Prime Rate shall be effective from and including the date such change is publicly announced as being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interest and fees in respect of the Prime Rate shall be computed on the basis of a year of 365 days (or 366 days in a leap year), and in each case shall be payable for the actual number of days elapsed (including the first day but excluding the last day).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Officer</w:t>
      </w:r>
      <w:r>
        <w:rPr>
          <w:rFonts w:ascii="Arial" w:cs="Arial" w:eastAsia="Arial" w:hAnsi="Arial"/>
          <w:sz w:val="18"/>
          <w:szCs w:val="18"/>
          <w:color w:val="auto"/>
        </w:rPr>
        <w:t>” means, with respect to any Obligor, any director, any manager, the chief financial officer, the treasurer, the assistant treasurer or the principal accounting officer of such Obligor.</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Projections</w:t>
      </w:r>
      <w:r>
        <w:rPr>
          <w:rFonts w:ascii="Arial" w:cs="Arial" w:eastAsia="Arial" w:hAnsi="Arial"/>
          <w:sz w:val="17"/>
          <w:szCs w:val="17"/>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means and refers to any Capital Stock issued by Parent (and not by one or more of its Subsidiaries) that is not a Disqualified Capital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 Facility</w:t>
      </w:r>
      <w:r>
        <w:rPr>
          <w:rFonts w:ascii="Arial" w:cs="Arial" w:eastAsia="Arial" w:hAnsi="Arial"/>
          <w:sz w:val="18"/>
          <w:szCs w:val="18"/>
          <w:color w:val="auto"/>
        </w:rPr>
        <w:t xml:space="preserve">” means any revolving credit facility (other than an ABL Facility) entered into by one or more Obligors at any time after the Amendment No. 2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as of the date of the initial issuance thereof, such facility shall be provided by Commercial Lenders, (b) any Liens on the Collateral securing such facility shall be subject to each applicable Intercreditor Agreement, (c) such facility shall not be guaranteed by any Person that is not an Obligor and (d) the Administrative Agent is reasonably satisfied that it has received (or has otherwise agreed that reasonably satisfactory arrangements have been made for) all actions or documents reasonably requested by the it that are necessary to establish or reaffirm that all Liens intended to be constituted pursuant to the Collateral Documents remain valid, existing and in full force and effect and with the priority envisaged hereby (including, if so requested, deeds of confirmation, amendments and/or supplements to Collateral Documents and/or the applicable Intercreditor Agreement).</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Deliverables</w:t>
      </w:r>
      <w:r>
        <w:rPr>
          <w:rFonts w:ascii="Arial" w:cs="Arial" w:eastAsia="Arial" w:hAnsi="Arial"/>
          <w:sz w:val="16"/>
          <w:szCs w:val="16"/>
          <w:color w:val="auto"/>
        </w:rPr>
        <w:t>” means such Mortgages, title reports or certificates of title, title insurance policies (with endorsements), evidence of zoning compliance, property insurance, flood certifications and flood insurance (and, if applicable, FEMA form acknowledgements of insurance), opinions of counsel, undertakings of counsel to perfect any Mortgages together with copies of any applicable duly completed registration forms as may be required to achieve such perfection,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means, with respect to any Indebtedness, the redemption, purchase, defeasance, prepayment or other acquisition or retirement for value of such Indebtedness. The term “</w:t>
      </w:r>
      <w:r>
        <w:rPr>
          <w:rFonts w:ascii="Arial" w:cs="Arial" w:eastAsia="Arial" w:hAnsi="Arial"/>
          <w:sz w:val="18"/>
          <w:szCs w:val="18"/>
          <w:u w:val="single" w:color="auto"/>
          <w:color w:val="auto"/>
        </w:rPr>
        <w:t>Redeem</w:t>
      </w:r>
      <w:r>
        <w:rPr>
          <w:rFonts w:ascii="Arial" w:cs="Arial" w:eastAsia="Arial" w:hAnsi="Arial"/>
          <w:sz w:val="18"/>
          <w:szCs w:val="18"/>
          <w:color w:val="auto"/>
        </w:rPr>
        <w:t>” has a meaning correlative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275" w:lineRule="auto"/>
        <w:tabs>
          <w:tab w:leader="none" w:pos="139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76" w:lineRule="exact"/>
        <w:rPr>
          <w:rFonts w:ascii="Arial" w:cs="Arial" w:eastAsia="Arial" w:hAnsi="Arial"/>
          <w:sz w:val="17"/>
          <w:szCs w:val="17"/>
          <w:color w:val="auto"/>
        </w:rPr>
      </w:pPr>
    </w:p>
    <w:p>
      <w:pPr>
        <w:jc w:val="both"/>
        <w:ind w:firstLine="656"/>
        <w:spacing w:after="0" w:line="263" w:lineRule="auto"/>
        <w:tabs>
          <w:tab w:leader="none" w:pos="1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83" w:lineRule="exact"/>
        <w:rPr>
          <w:rFonts w:ascii="Arial" w:cs="Arial" w:eastAsia="Arial" w:hAnsi="Arial"/>
          <w:sz w:val="18"/>
          <w:szCs w:val="18"/>
          <w:color w:val="auto"/>
        </w:rPr>
      </w:pPr>
    </w:p>
    <w:p>
      <w:pPr>
        <w:ind w:firstLine="656"/>
        <w:spacing w:after="0" w:line="277" w:lineRule="auto"/>
        <w:tabs>
          <w:tab w:leader="none" w:pos="12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jc w:val="both"/>
        <w:ind w:firstLine="656"/>
        <w:spacing w:after="0" w:line="263" w:lineRule="auto"/>
        <w:tabs>
          <w:tab w:leader="none" w:pos="12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3" w:lineRule="exact"/>
        <w:rPr>
          <w:rFonts w:ascii="Arial" w:cs="Arial" w:eastAsia="Arial" w:hAnsi="Arial"/>
          <w:sz w:val="18"/>
          <w:szCs w:val="18"/>
          <w:color w:val="auto"/>
        </w:rPr>
      </w:pPr>
    </w:p>
    <w:p>
      <w:pPr>
        <w:ind w:firstLine="656"/>
        <w:spacing w:after="0" w:line="277" w:lineRule="auto"/>
        <w:tabs>
          <w:tab w:leader="none" w:pos="11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the entity that constituted the Weatherford Parent Company immediately prior thereto (but disregarding for this purpose any change in its jurisdiction of organization);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ind w:left="1180" w:hanging="52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(c)</w:t>
      </w:r>
      <w:r>
        <w:rPr>
          <w:rFonts w:ascii="Arial" w:cs="Arial" w:eastAsia="Arial" w:hAnsi="Arial"/>
          <w:sz w:val="18"/>
          <w:szCs w:val="18"/>
          <w:color w:val="auto"/>
        </w:rPr>
        <w:t>, the New Weatherford Parent,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any such case, the “</w:t>
      </w:r>
      <w:r>
        <w:rPr>
          <w:rFonts w:ascii="Arial" w:cs="Arial" w:eastAsia="Arial" w:hAnsi="Arial"/>
          <w:sz w:val="16"/>
          <w:szCs w:val="16"/>
          <w:u w:val="single" w:color="auto"/>
          <w:color w:val="auto"/>
        </w:rPr>
        <w:t>Surviving Person</w:t>
      </w:r>
      <w:r>
        <w:rPr>
          <w:rFonts w:ascii="Arial" w:cs="Arial" w:eastAsia="Arial" w:hAnsi="Arial"/>
          <w:sz w:val="16"/>
          <w:szCs w:val="16"/>
          <w:color w:val="auto"/>
        </w:rPr>
        <w:t xml:space="preserve">”)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 (x) 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 Change of Control result from any of the actions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and (II) the Surviving Person shall have delivered to the Administrative Agent:</w:t>
      </w:r>
    </w:p>
    <w:p>
      <w:pPr>
        <w:spacing w:after="0" w:line="168" w:lineRule="exact"/>
        <w:rPr>
          <w:sz w:val="20"/>
          <w:szCs w:val="20"/>
          <w:color w:val="auto"/>
        </w:rPr>
      </w:pPr>
    </w:p>
    <w:p>
      <w:pPr>
        <w:ind w:left="1140" w:hanging="48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certificate to the effect that, both before and after giving effect to such transaction, no Default or Event of Default exists;</w:t>
      </w:r>
    </w:p>
    <w:p>
      <w:pPr>
        <w:spacing w:after="0" w:line="225" w:lineRule="exact"/>
        <w:rPr>
          <w:rFonts w:ascii="Arial" w:cs="Arial" w:eastAsia="Arial" w:hAnsi="Arial"/>
          <w:sz w:val="18"/>
          <w:szCs w:val="18"/>
          <w:color w:val="auto"/>
        </w:rPr>
      </w:pPr>
    </w:p>
    <w:p>
      <w:pPr>
        <w:jc w:val="both"/>
        <w:ind w:right="20" w:firstLine="656"/>
        <w:spacing w:after="0" w:line="342" w:lineRule="auto"/>
        <w:tabs>
          <w:tab w:leader="none" w:pos="12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23" w:lineRule="exact"/>
        <w:rPr>
          <w:rFonts w:ascii="Arial" w:cs="Arial" w:eastAsia="Arial" w:hAnsi="Arial"/>
          <w:sz w:val="16"/>
          <w:szCs w:val="16"/>
          <w:color w:val="auto"/>
        </w:rPr>
      </w:pPr>
    </w:p>
    <w:p>
      <w:pPr>
        <w:ind w:left="1160" w:hanging="504"/>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applicable, the documents required by </w:t>
      </w:r>
      <w:r>
        <w:rPr>
          <w:rFonts w:ascii="Arial" w:cs="Arial" w:eastAsia="Arial" w:hAnsi="Arial"/>
          <w:sz w:val="18"/>
          <w:szCs w:val="18"/>
          <w:u w:val="single" w:color="auto"/>
          <w:color w:val="auto"/>
        </w:rPr>
        <w:t>Section 8.02(b)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1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11.05(b)(iv)</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(respecting reserve requirements), as the same is from time to time in effect, and all official rulings and interpretations thereunder or thereof.</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(respecting margin credit extended by banks), as the same is from time to time in effect, and all official rulings and interpretations thereunder or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(respecting borrowers who obtain margin credit),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LC Exposures and unused Commitments representing more than fifty percent (50%) of the sum of the Total LC Exposure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Exposure of, and unused Commitment of, any Defaulting Lender shall be excluded for purposes of making a determination of Required Lenders.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on account of any Capital Stock 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w:t>
      </w:r>
    </w:p>
    <w:p>
      <w:pPr>
        <w:spacing w:after="0" w:line="2" w:lineRule="exact"/>
        <w:rPr>
          <w:sz w:val="20"/>
          <w:szCs w:val="20"/>
          <w:color w:val="auto"/>
        </w:rPr>
      </w:pPr>
    </w:p>
    <w:p>
      <w:pPr>
        <w:ind w:firstLine="8"/>
        <w:spacing w:after="0" w:line="260" w:lineRule="auto"/>
        <w:tabs>
          <w:tab w:leader="none" w:pos="2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voluntary Redemption of any Indebtedness prior to the stated maturity thereof or (d) any payment in violation of any subordination terms of any Indebtedness.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Parent that is not an Unrestricted Subsidiary. For the avoidance of doubt, each Borrower and each Guarantor (other than Parent) shall be a Restricted Subsidiary.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Agreement</w:t>
      </w:r>
      <w:r>
        <w:rPr>
          <w:rFonts w:ascii="Arial" w:cs="Arial" w:eastAsia="Arial" w:hAnsi="Arial"/>
          <w:sz w:val="18"/>
          <w:szCs w:val="18"/>
          <w:color w:val="auto"/>
        </w:rPr>
        <w:t>” means any agreement or other arrangement that prohibits, limits, restricts or imposes any condition upon the ability of any Obligor to create, incur or permit to exist any Lien upon any of its property or assets (a) in favor of the Administrative Agent and the Lenders to secure any of the Secured Obligations, (b) in favor of the Senior Secured Notes Trustee and the Senior Secured Notes Secured Parties to secure any of the Senior Secured Notes or (c) in favor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secured parties under any Revolving Credit Facility to secure the obligations with respect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means each of the following: (a) on the fifteenth day of each calendar month (or the following Business Day if such day is not a Business Day), and (c) such additional dates as the Administrative Agent shall reasonably determine or the Required Lenders shall reasonably require as a result of fluctuations in the relevant currency exchange rates or the occurrence and continuation of an Event of Default.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Documents</w:t>
      </w:r>
      <w:r>
        <w:rPr>
          <w:rFonts w:ascii="Arial" w:cs="Arial" w:eastAsia="Arial" w:hAnsi="Arial"/>
          <w:sz w:val="17"/>
          <w:szCs w:val="17"/>
          <w:color w:val="auto"/>
        </w:rPr>
        <w:t>” means (a) any credit agreement or other comparable document evidencing Indebtedness under a Revolving Credit Facility, (b) all promissory notes evidencing Indebtedness under a Revolving Credit Facility and (c) all guaranties, security documents and other agreements, instruments, certificates and documents executed by any Obligor in connection with a Revolving Credit Facility.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collectively, any single ABL Facility or RC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 Effective Date</w:t>
      </w:r>
      <w:r>
        <w:rPr>
          <w:rFonts w:ascii="Arial" w:cs="Arial" w:eastAsia="Arial" w:hAnsi="Arial"/>
          <w:sz w:val="18"/>
          <w:szCs w:val="18"/>
          <w:color w:val="auto"/>
        </w:rPr>
        <w:t>” means the first date on which any Revolving Credit Facility becomes effective and commitments thereunder are available for drawing by an Obligor.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Group, a division of McGraw-Hill, Inc., or any successor to the ratings agency business thereof.</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Sanctions (at the time of this Agreement, Crimea, Cuba, Iran, North Korea, Sudan and Syria).</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Canadian government (or any agency thereof), the Australian Department of Foreign Affairs and Trade or any other relevant sanctions authority, (b) any Person operating, organized or resident in a Sanctioned Country or (c) any Person owned or controlled by any such Person or Persons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Her Majesty’s Treasury of the United Kingdom, any European Union member state, the Hong Kong Monetary Authority, the Australian Commonwealth Government, any governmental authority of Canada under the Special Economics Measures Act (Canada) or other applicable Canadian legislation or any other relevant sanctions authority.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 of said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 all Obligations, and (b) all Swap Obligations and Banking Services Obligations owing to one or more Lenders or their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“Swap Obligations” shall (i) not include, with respect to any Obligor, any Excluded Swap Obligations of such Obligor, and (ii) include (1) any Swap Obligations owing to one or more Lenders or their respective Affiliates under a Swap Agreement in effect prior to the Effective Date, and (2) any Swap Obligations owing to one or more Lenders or their respective Affiliates notwithstanding such party is no longer a Lender or an Affiliate of a Lender.</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holders of the Secured Obligations from time to time and shall include (a) each Lender in respect of its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(e) each Indemnitee in respect of the obligations and liabilities of the Borrowers to such Person hereunder and under the other Loan Documents constituting Secured Obligations, and (f) their respective successors and (in the case of a Lender, permitted) transferees and assigns.</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Agreements</w:t>
      </w:r>
      <w:r>
        <w:rPr>
          <w:rFonts w:ascii="Arial" w:cs="Arial" w:eastAsia="Arial" w:hAnsi="Arial"/>
          <w:sz w:val="17"/>
          <w:szCs w:val="17"/>
          <w:color w:val="auto"/>
        </w:rPr>
        <w:t xml:space="preserve">” means, collectively, (a) the agreements and other instruments described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hereto, (b) the U.S. Security Agreement and the Canadian Security Agreement and (c) any other security agreement, debenture, mortgage, charge or other similar agreement in form and substance satisfactory to the Administrative Agent in favor of the Administrative Agent for the benefit of itself and the other Secured Parties, in any such case, pursuant to which any Obligor grants Liens on the property of such Obligor to secure the Secured Obligations.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Trust Deed</w:t>
      </w:r>
      <w:r>
        <w:rPr>
          <w:rFonts w:ascii="Arial" w:cs="Arial" w:eastAsia="Arial" w:hAnsi="Arial"/>
          <w:sz w:val="18"/>
          <w:szCs w:val="18"/>
          <w:color w:val="auto"/>
        </w:rPr>
        <w:t>” means the Security Trust Deed to be entered into among the Borrowers, the Administrative Agent, the Lenders and the LC Australian Collateral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Notes</w:t>
      </w:r>
      <w:r>
        <w:rPr>
          <w:rFonts w:ascii="Arial" w:cs="Arial" w:eastAsia="Arial" w:hAnsi="Arial"/>
          <w:sz w:val="18"/>
          <w:szCs w:val="18"/>
          <w:color w:val="auto"/>
        </w:rPr>
        <w:t>” means the senior secured notes of WIL-Bermuda due 2024 in an initial aggregate principal amount of $500,000,000 issued on the Amendment No. 1 Effective Date pursuant to the Senior Secured Notes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Notes Indenture</w:t>
      </w:r>
      <w:r>
        <w:rPr>
          <w:rFonts w:ascii="Arial" w:cs="Arial" w:eastAsia="Arial" w:hAnsi="Arial"/>
          <w:sz w:val="17"/>
          <w:szCs w:val="17"/>
          <w:color w:val="auto"/>
        </w:rPr>
        <w:t>” means the indenture dated as of August 28, 2020, among the Senior Secured Notes Trustee,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Notes Secured Parties</w:t>
      </w:r>
      <w:r>
        <w:rPr>
          <w:rFonts w:ascii="Arial" w:cs="Arial" w:eastAsia="Arial" w:hAnsi="Arial"/>
          <w:sz w:val="17"/>
          <w:szCs w:val="17"/>
          <w:color w:val="auto"/>
        </w:rPr>
        <w:t>” means the First Lien Notes Secured Parties (as defined in the Senior Secured Notes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Notes Trustee</w:t>
      </w:r>
      <w:r>
        <w:rPr>
          <w:rFonts w:ascii="Arial" w:cs="Arial" w:eastAsia="Arial" w:hAnsi="Arial"/>
          <w:sz w:val="18"/>
          <w:szCs w:val="18"/>
          <w:color w:val="auto"/>
        </w:rPr>
        <w:t>” means Wilmington Trust, National Association.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in reference to any Person as of any date, (a) the fair value of the assets of such Person, at a fair valuation, will, as of such date, exceed its debts and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jc w:val="both"/>
        <w:spacing w:after="0" w:line="296" w:lineRule="auto"/>
        <w:rPr>
          <w:sz w:val="20"/>
          <w:szCs w:val="20"/>
          <w:color w:val="auto"/>
        </w:rPr>
      </w:pPr>
      <w:r>
        <w:rPr>
          <w:rFonts w:ascii="Arial" w:cs="Arial" w:eastAsia="Arial" w:hAnsi="Arial"/>
          <w:sz w:val="16"/>
          <w:szCs w:val="16"/>
          <w:color w:val="auto"/>
        </w:rPr>
        <w:t>(subordinated,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(c) 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Effective Date.</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Cash Collateral</w:t>
      </w:r>
      <w:r>
        <w:rPr>
          <w:rFonts w:ascii="Arial" w:cs="Arial" w:eastAsia="Arial" w:hAnsi="Arial"/>
          <w:sz w:val="18"/>
          <w:szCs w:val="18"/>
          <w:color w:val="auto"/>
        </w:rPr>
        <w:t xml:space="preserve">” means, at any time, cash collateral then held by the Administrative Agent in the LC Collateral Account for purposes of </w:t>
      </w:r>
      <w:r>
        <w:rPr>
          <w:rFonts w:ascii="Arial" w:cs="Arial" w:eastAsia="Arial" w:hAnsi="Arial"/>
          <w:sz w:val="18"/>
          <w:szCs w:val="18"/>
          <w:u w:val="single" w:color="auto"/>
          <w:color w:val="auto"/>
        </w:rPr>
        <w:t>Section 7.08(m)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3.01(k)(i)(E)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xml:space="preserve">” means any Disposition of property described in </w:t>
      </w:r>
      <w:r>
        <w:rPr>
          <w:rFonts w:ascii="Arial" w:cs="Arial" w:eastAsia="Arial" w:hAnsi="Arial"/>
          <w:sz w:val="18"/>
          <w:szCs w:val="18"/>
          <w:u w:val="single" w:color="auto"/>
          <w:color w:val="auto"/>
        </w:rPr>
        <w:t>Schedule 8.05(d)</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Eligible Deposit Account</w:t>
      </w:r>
      <w:r>
        <w:rPr>
          <w:rFonts w:ascii="Arial" w:cs="Arial" w:eastAsia="Arial" w:hAnsi="Arial"/>
          <w:sz w:val="18"/>
          <w:szCs w:val="18"/>
          <w:color w:val="auto"/>
        </w:rPr>
        <w:t xml:space="preserve">” means, with respect to any Obligor, such Obligor’s deposit accounts located in an Eligible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deposit account of an Obligor located in an Eligible Jurisdiction becomes subject to a deposit account control agreement, such deposit account shall cease to be a Specified Eligible Deposit Account.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any Event of Default described in any of </w:t>
      </w:r>
      <w:r>
        <w:rPr>
          <w:rFonts w:ascii="Arial" w:cs="Arial" w:eastAsia="Arial" w:hAnsi="Arial"/>
          <w:sz w:val="18"/>
          <w:szCs w:val="18"/>
          <w:u w:val="single" w:color="auto"/>
          <w:color w:val="auto"/>
        </w:rPr>
        <w:t>Sections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9.01(c)</w:t>
      </w:r>
      <w:r>
        <w:rPr>
          <w:rFonts w:ascii="Arial" w:cs="Arial" w:eastAsia="Arial" w:hAnsi="Arial"/>
          <w:sz w:val="18"/>
          <w:szCs w:val="18"/>
          <w:color w:val="auto"/>
        </w:rPr>
        <w:t xml:space="preserve"> (but only with respect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9.01(i)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Ineligible Deposit Account</w:t>
      </w:r>
      <w:r>
        <w:rPr>
          <w:rFonts w:ascii="Arial" w:cs="Arial" w:eastAsia="Arial" w:hAnsi="Arial"/>
          <w:sz w:val="18"/>
          <w:szCs w:val="18"/>
          <w:color w:val="auto"/>
        </w:rPr>
        <w:t>” means, with respect to any Obligor, any such Obligor’s deposit accounts located in an Ineligible Jurisdiction.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Jurisdiction</w:t>
      </w:r>
      <w:r>
        <w:rPr>
          <w:rFonts w:ascii="Arial" w:cs="Arial" w:eastAsia="Arial" w:hAnsi="Arial"/>
          <w:sz w:val="18"/>
          <w:szCs w:val="18"/>
          <w:color w:val="auto"/>
        </w:rPr>
        <w:t xml:space="preserve">” means (a) the United States of America (or any state thereof), Canada (or any province or territory thereof), the United Kingdom, Ireland, Switzerland, Luxembourg, Bermuda, the British Virgin Islands, the Netherlands, Argentina, Australia, Norway, Germany, Panama and certain other jurisdictions to be identified from time to time by the Required Lenders in accordance with </w:t>
      </w:r>
      <w:r>
        <w:rPr>
          <w:rFonts w:ascii="Arial" w:cs="Arial" w:eastAsia="Arial" w:hAnsi="Arial"/>
          <w:sz w:val="18"/>
          <w:szCs w:val="18"/>
          <w:u w:val="single" w:color="auto"/>
          <w:color w:val="auto"/>
        </w:rPr>
        <w:t>Section 7.08(b)</w:t>
      </w:r>
      <w:r>
        <w:rPr>
          <w:rFonts w:ascii="Arial" w:cs="Arial" w:eastAsia="Arial" w:hAnsi="Arial"/>
          <w:sz w:val="18"/>
          <w:szCs w:val="18"/>
          <w:color w:val="auto"/>
        </w:rPr>
        <w:t xml:space="preserve"> and (b) any “Specified Jurisdiction” (or the equivalent) under the Senior Secured Notes Indenture or any Revolving Credit Document. In no event shall any Excluded Jurisdiction be or become a Specified Jurisdiction.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Indebtedness</w:t>
      </w:r>
      <w:r>
        <w:rPr>
          <w:rFonts w:ascii="Arial" w:cs="Arial" w:eastAsia="Arial" w:hAnsi="Arial"/>
          <w:sz w:val="18"/>
          <w:szCs w:val="18"/>
          <w:color w:val="auto"/>
        </w:rPr>
        <w:t xml:space="preserve">” means all Funded Indebtedness (which for purposes of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only, shall also include Indebtedness of any type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“Indebtedness”) of the Obligors.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State</w:t>
      </w:r>
      <w:r>
        <w:rPr>
          <w:rFonts w:ascii="Arial" w:cs="Arial" w:eastAsia="Arial" w:hAnsi="Arial"/>
          <w:sz w:val="18"/>
          <w:szCs w:val="18"/>
          <w:color w:val="auto"/>
        </w:rPr>
        <w:t>” means each jurisdiction of organization of the Obligors, other than any Excluded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Cash Collateralization Date</w:t>
      </w:r>
      <w:r>
        <w:rPr>
          <w:rFonts w:ascii="Arial" w:cs="Arial" w:eastAsia="Arial" w:hAnsi="Arial"/>
          <w:sz w:val="18"/>
          <w:szCs w:val="18"/>
          <w:color w:val="auto"/>
        </w:rPr>
        <w:t>” means the date that is 180 days before the Maturity Date.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jc w:val="both"/>
        <w:spacing w:after="0" w:line="255" w:lineRule="auto"/>
        <w:rPr>
          <w:sz w:val="20"/>
          <w:szCs w:val="20"/>
          <w:color w:val="auto"/>
        </w:rPr>
      </w:pPr>
      <w:r>
        <w:rPr>
          <w:rFonts w:ascii="Arial" w:cs="Arial" w:eastAsia="Arial" w:hAnsi="Arial"/>
          <w:sz w:val="18"/>
          <w:szCs w:val="18"/>
          <w:color w:val="auto"/>
        </w:rPr>
        <w:t xml:space="preserve">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Letter of Credit fees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Step Down / Release Trigger Date</w:t>
      </w:r>
      <w:r>
        <w:rPr>
          <w:rFonts w:ascii="Arial" w:cs="Arial" w:eastAsia="Arial" w:hAnsi="Arial"/>
          <w:sz w:val="18"/>
          <w:szCs w:val="18"/>
          <w:color w:val="auto"/>
        </w:rPr>
        <w:t>” the first date of determination for which the Leverage Ratio (without giving effect to clause (a)(ii) thereof) does not exceed 3.50 to 1.00 for two consecutive Fiscal Quarters.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w:t>
      </w:r>
      <w:r>
        <w:rPr>
          <w:rFonts w:ascii="Arial" w:cs="Arial" w:eastAsia="Arial" w:hAnsi="Arial"/>
          <w:sz w:val="18"/>
          <w:szCs w:val="18"/>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that is Subordinated.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 requires, references in this Agreement to a “Subsidiary” or the “Subsidiaries” refer to a Subsidiary or the Subsidiaries of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has the meaning specified in the definition of “Redomestication”.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and Argentine Bond Investments shall be deemed to be Swap Agreements.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Obligor,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Borrower</w:t>
      </w:r>
      <w:r>
        <w:rPr>
          <w:rFonts w:ascii="Arial" w:cs="Arial" w:eastAsia="Arial" w:hAnsi="Arial"/>
          <w:sz w:val="18"/>
          <w:szCs w:val="18"/>
          <w:color w:val="auto"/>
        </w:rPr>
        <w:t>” means any Borrower organized under the laws of Switzerland or, if different, deemed resident in Switzerland for Swiss Withholding Tax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Federal Tax Administration</w:t>
      </w:r>
      <w:r>
        <w:rPr>
          <w:rFonts w:ascii="Arial" w:cs="Arial" w:eastAsia="Arial" w:hAnsi="Arial"/>
          <w:sz w:val="18"/>
          <w:szCs w:val="18"/>
          <w:color w:val="auto"/>
        </w:rPr>
        <w:t>” means the tax authorities referred to in article 34 of the Swiss Federal Act on Withholding Tax (</w:t>
      </w:r>
      <w:r>
        <w:rPr>
          <w:rFonts w:ascii="Arial" w:cs="Arial" w:eastAsia="Arial" w:hAnsi="Arial"/>
          <w:sz w:val="18"/>
          <w:szCs w:val="18"/>
          <w:i w:val="1"/>
          <w:iCs w:val="1"/>
          <w:color w:val="auto"/>
        </w:rPr>
        <w:t>Bundesgesetz</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über die Verrechnungssteuer vom 13. Oktober </w:t>
      </w:r>
      <w:r>
        <w:rPr>
          <w:rFonts w:ascii="Arial" w:cs="Arial" w:eastAsia="Arial" w:hAnsi="Arial"/>
          <w:sz w:val="18"/>
          <w:szCs w:val="18"/>
          <w:color w:val="auto"/>
        </w:rPr>
        <w:t>1965, SR 642.21).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Guarantor</w:t>
      </w:r>
      <w:r>
        <w:rPr>
          <w:rFonts w:ascii="Arial" w:cs="Arial" w:eastAsia="Arial" w:hAnsi="Arial"/>
          <w:sz w:val="18"/>
          <w:szCs w:val="18"/>
          <w:color w:val="auto"/>
        </w:rPr>
        <w:t>” means any Guarantor incorporated in Switzerland and/or having its registered office in Switzerland and/or qualifying as a Swiss resident pursuant to art 9 of the Swiss Withholding Tax Act.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w:t>
      </w:r>
      <w:r>
        <w:rPr>
          <w:rFonts w:ascii="Arial" w:cs="Arial" w:eastAsia="Arial" w:hAnsi="Arial"/>
          <w:sz w:val="17"/>
          <w:szCs w:val="17"/>
          <w:i w:val="1"/>
          <w:iCs w:val="1"/>
          <w:color w:val="auto"/>
        </w:rPr>
        <w:t>Merkblatt “Verrechnungssteuer auf</w:t>
      </w:r>
      <w:r>
        <w:rPr>
          <w:rFonts w:ascii="Arial" w:cs="Arial" w:eastAsia="Arial" w:hAnsi="Arial"/>
          <w:sz w:val="17"/>
          <w:szCs w:val="17"/>
          <w:color w:val="auto"/>
        </w:rPr>
        <w:t xml:space="preserve"> </w:t>
      </w:r>
      <w:r>
        <w:rPr>
          <w:rFonts w:ascii="Arial" w:cs="Arial" w:eastAsia="Arial" w:hAnsi="Arial"/>
          <w:sz w:val="17"/>
          <w:szCs w:val="17"/>
          <w:i w:val="1"/>
          <w:iCs w:val="1"/>
          <w:color w:val="auto"/>
        </w:rPr>
        <w:t>Zinsen von Bankguthaben, deren Gläubiger Banken sind (Interbankguthaben)” vom 22. September 1986</w:t>
      </w:r>
      <w:r>
        <w:rPr>
          <w:rFonts w:ascii="Arial" w:cs="Arial" w:eastAsia="Arial" w:hAnsi="Arial"/>
          <w:sz w:val="17"/>
          <w:szCs w:val="17"/>
          <w:color w:val="auto"/>
        </w:rPr>
        <w:t>), circular letter No. 47 in relation to bonds of 25</w:t>
      </w:r>
      <w:r>
        <w:rPr>
          <w:rFonts w:ascii="Arial" w:cs="Arial" w:eastAsia="Arial" w:hAnsi="Arial"/>
          <w:sz w:val="17"/>
          <w:szCs w:val="17"/>
          <w:i w:val="1"/>
          <w:iCs w:val="1"/>
          <w:color w:val="auto"/>
        </w:rPr>
        <w:t xml:space="preserve"> </w:t>
      </w:r>
      <w:r>
        <w:rPr>
          <w:rFonts w:ascii="Arial" w:cs="Arial" w:eastAsia="Arial" w:hAnsi="Arial"/>
          <w:sz w:val="17"/>
          <w:szCs w:val="17"/>
          <w:color w:val="auto"/>
        </w:rPr>
        <w:t>July 2019 (1-047-V-2019) (</w:t>
      </w:r>
      <w:r>
        <w:rPr>
          <w:rFonts w:ascii="Arial" w:cs="Arial" w:eastAsia="Arial" w:hAnsi="Arial"/>
          <w:sz w:val="17"/>
          <w:szCs w:val="17"/>
          <w:i w:val="1"/>
          <w:iCs w:val="1"/>
          <w:color w:val="auto"/>
        </w:rPr>
        <w:t>Kreisschreiben Nr. 47 “Obligationen” vom 25. Juli 2019</w:t>
      </w:r>
      <w:r>
        <w:rPr>
          <w:rFonts w:ascii="Arial" w:cs="Arial" w:eastAsia="Arial" w:hAnsi="Arial"/>
          <w:sz w:val="17"/>
          <w:szCs w:val="17"/>
          <w:color w:val="auto"/>
        </w:rPr>
        <w:t>), guideline S-02.130.1 in relation to money market instruments and book claims of April 1999 (</w:t>
      </w:r>
      <w:r>
        <w:rPr>
          <w:rFonts w:ascii="Arial" w:cs="Arial" w:eastAsia="Arial" w:hAnsi="Arial"/>
          <w:sz w:val="17"/>
          <w:szCs w:val="17"/>
          <w:i w:val="1"/>
          <w:iCs w:val="1"/>
          <w:color w:val="auto"/>
        </w:rPr>
        <w:t>Merkblatt vom April 1999 betreffend Geldmarktpapiere und Buchforderungen inländischer Schuldner</w:t>
      </w:r>
      <w:r>
        <w:rPr>
          <w:rFonts w:ascii="Arial" w:cs="Arial" w:eastAsia="Arial" w:hAnsi="Arial"/>
          <w:sz w:val="17"/>
          <w:szCs w:val="17"/>
          <w:color w:val="auto"/>
        </w:rPr>
        <w:t>), circular letter No. 46 of 24 July 2019 (1-046-VS-2019) in relation to syndicated credit facilities (</w:t>
      </w:r>
      <w:r>
        <w:rPr>
          <w:rFonts w:ascii="Arial" w:cs="Arial" w:eastAsia="Arial" w:hAnsi="Arial"/>
          <w:sz w:val="17"/>
          <w:szCs w:val="17"/>
          <w:i w:val="1"/>
          <w:iCs w:val="1"/>
          <w:color w:val="auto"/>
        </w:rPr>
        <w:t>Kreisschreiben Nr. 46 “Steuerliche Behandlung von Konsortialdarlehen,</w:t>
      </w:r>
      <w:r>
        <w:rPr>
          <w:rFonts w:ascii="Arial" w:cs="Arial" w:eastAsia="Arial" w:hAnsi="Arial"/>
          <w:sz w:val="17"/>
          <w:szCs w:val="17"/>
          <w:color w:val="auto"/>
        </w:rPr>
        <w:t xml:space="preserve"> </w:t>
      </w:r>
      <w:r>
        <w:rPr>
          <w:rFonts w:ascii="Arial" w:cs="Arial" w:eastAsia="Arial" w:hAnsi="Arial"/>
          <w:sz w:val="17"/>
          <w:szCs w:val="17"/>
          <w:i w:val="1"/>
          <w:iCs w:val="1"/>
          <w:color w:val="auto"/>
        </w:rPr>
        <w:t>Schuldscheindarlehen, Wechseln und Unterbeteiligungen” vom 24. Juli 2019</w:t>
      </w:r>
      <w:r>
        <w:rPr>
          <w:rFonts w:ascii="Arial" w:cs="Arial" w:eastAsia="Arial" w:hAnsi="Arial"/>
          <w:sz w:val="17"/>
          <w:szCs w:val="17"/>
          <w:color w:val="auto"/>
        </w:rPr>
        <w:t>), circular letter No. 34 of 26 July 2011 (1-034-V-2011) in relation to deposits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Kreisschreiben Nr. 34 “Kundenguthaben” vom 26. Juli 2011</w:t>
      </w:r>
      <w:r>
        <w:rPr>
          <w:rFonts w:ascii="Arial" w:cs="Arial" w:eastAsia="Arial" w:hAnsi="Arial"/>
          <w:sz w:val="17"/>
          <w:szCs w:val="17"/>
          <w:color w:val="auto"/>
        </w:rPr>
        <w:t>), the circular letter No. 15 of 3 October 2017 (1-015-DVS-2017) in relation to bonds and derivative financial instruments as subject matter of taxation of Swiss federal income tax, Swiss withholding tax and Swiss stamp taxes (</w:t>
      </w:r>
      <w:r>
        <w:rPr>
          <w:rFonts w:ascii="Arial" w:cs="Arial" w:eastAsia="Arial" w:hAnsi="Arial"/>
          <w:sz w:val="17"/>
          <w:szCs w:val="17"/>
          <w:i w:val="1"/>
          <w:iCs w:val="1"/>
          <w:color w:val="auto"/>
        </w:rPr>
        <w:t>Kreisschreiben Nr.</w:t>
      </w:r>
      <w:r>
        <w:rPr>
          <w:rFonts w:ascii="Arial" w:cs="Arial" w:eastAsia="Arial" w:hAnsi="Arial"/>
          <w:sz w:val="17"/>
          <w:szCs w:val="17"/>
          <w:color w:val="auto"/>
        </w:rPr>
        <w:t xml:space="preserve"> </w:t>
      </w:r>
      <w:r>
        <w:rPr>
          <w:rFonts w:ascii="Arial" w:cs="Arial" w:eastAsia="Arial" w:hAnsi="Arial"/>
          <w:sz w:val="17"/>
          <w:szCs w:val="17"/>
          <w:i w:val="1"/>
          <w:iCs w:val="1"/>
          <w:color w:val="auto"/>
        </w:rPr>
        <w:t>15 “Obligationen und derivative Finanzinstrumente als Gegenstand der direkten Bundessteuer, der Verrechnungssteuer und der Stempelabgaben” vom 3. Oktober 2017</w:t>
      </w:r>
      <w:r>
        <w:rPr>
          <w:rFonts w:ascii="Arial" w:cs="Arial" w:eastAsia="Arial" w:hAnsi="Arial"/>
          <w:sz w:val="17"/>
          <w:szCs w:val="17"/>
          <w:color w:val="auto"/>
        </w:rPr>
        <w:t>) and the notification regarding credit balances in groups (Mitteilung 010-DVS-2019 of February 2019 betreffend “Verrechnungssteuer:</w:t>
      </w:r>
      <w:r>
        <w:rPr>
          <w:rFonts w:ascii="Arial" w:cs="Arial" w:eastAsia="Arial" w:hAnsi="Arial"/>
          <w:sz w:val="17"/>
          <w:szCs w:val="17"/>
          <w:i w:val="1"/>
          <w:iCs w:val="1"/>
          <w:color w:val="auto"/>
        </w:rPr>
        <w:t xml:space="preserve"> </w:t>
      </w:r>
      <w:r>
        <w:rPr>
          <w:rFonts w:ascii="Arial" w:cs="Arial" w:eastAsia="Arial" w:hAnsi="Arial"/>
          <w:sz w:val="17"/>
          <w:szCs w:val="17"/>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Non-Bank Rules</w:t>
      </w:r>
      <w:r>
        <w:rPr>
          <w:rFonts w:ascii="Arial" w:cs="Arial" w:eastAsia="Arial" w:hAnsi="Arial"/>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Obligor</w:t>
      </w:r>
      <w:r>
        <w:rPr>
          <w:rFonts w:ascii="Arial" w:cs="Arial" w:eastAsia="Arial" w:hAnsi="Arial"/>
          <w:sz w:val="18"/>
          <w:szCs w:val="18"/>
          <w:color w:val="auto"/>
        </w:rPr>
        <w:t>” means a Swiss Borrower or a Swiss Guarantor.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Qualifying Lender</w:t>
      </w:r>
      <w:r>
        <w:rPr>
          <w:rFonts w:ascii="Arial" w:cs="Arial" w:eastAsia="Arial" w:hAnsi="Arial"/>
          <w:sz w:val="18"/>
          <w:szCs w:val="18"/>
          <w:color w:val="auto"/>
        </w:rPr>
        <w:t>” means (a)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Security Documents</w:t>
      </w:r>
      <w:r>
        <w:rPr>
          <w:rFonts w:ascii="Arial" w:cs="Arial" w:eastAsia="Arial" w:hAnsi="Arial"/>
          <w:sz w:val="18"/>
          <w:szCs w:val="18"/>
          <w:color w:val="auto"/>
        </w:rPr>
        <w:t>” means the Security Agreements governed by the laws of Switzerland.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Ten Non-Bank Rule</w:t>
      </w:r>
      <w:r>
        <w:rPr>
          <w:rFonts w:ascii="Arial" w:cs="Arial" w:eastAsia="Arial" w:hAnsi="Arial"/>
          <w:sz w:val="18"/>
          <w:szCs w:val="18"/>
          <w:color w:val="auto"/>
        </w:rPr>
        <w:t>” 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Twenty Non-Bank Rule</w:t>
      </w:r>
      <w:r>
        <w:rPr>
          <w:rFonts w:ascii="Arial" w:cs="Arial" w:eastAsia="Arial" w:hAnsi="Arial"/>
          <w:sz w:val="16"/>
          <w:szCs w:val="16"/>
          <w:color w:val="auto"/>
        </w:rPr>
        <w:t>” means the rule that the aggregate number of creditors other than Swiss Qualifying Lenders of a Swiss Obligor under all its outstanding debts relevant for the classification as debentures (</w:t>
      </w:r>
      <w:r>
        <w:rPr>
          <w:rFonts w:ascii="Arial" w:cs="Arial" w:eastAsia="Arial" w:hAnsi="Arial"/>
          <w:sz w:val="16"/>
          <w:szCs w:val="16"/>
          <w:i w:val="1"/>
          <w:iCs w:val="1"/>
          <w:color w:val="auto"/>
        </w:rPr>
        <w:t>Kassenobligation</w:t>
      </w:r>
      <w:r>
        <w:rPr>
          <w:rFonts w:ascii="Arial" w:cs="Arial" w:eastAsia="Arial" w:hAnsi="Arial"/>
          <w:sz w:val="16"/>
          <w:szCs w:val="16"/>
          <w:color w:val="auto"/>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w:t>
      </w:r>
      <w:r>
        <w:rPr>
          <w:rFonts w:ascii="Arial" w:cs="Arial" w:eastAsia="Arial" w:hAnsi="Arial"/>
          <w:sz w:val="18"/>
          <w:szCs w:val="18"/>
          <w:color w:val="auto"/>
        </w:rPr>
        <w:t>” means taxes imposed under the Swiss Withholding Tax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 Act</w:t>
      </w:r>
      <w:r>
        <w:rPr>
          <w:rFonts w:ascii="Arial" w:cs="Arial" w:eastAsia="Arial" w:hAnsi="Arial"/>
          <w:sz w:val="18"/>
          <w:szCs w:val="18"/>
          <w:color w:val="auto"/>
        </w:rPr>
        <w:t>” means the Swiss Federal Act on the Withholding Tax of 13 October 1965 (</w:t>
      </w:r>
      <w:r>
        <w:rPr>
          <w:rFonts w:ascii="Arial" w:cs="Arial" w:eastAsia="Arial" w:hAnsi="Arial"/>
          <w:sz w:val="18"/>
          <w:szCs w:val="18"/>
          <w:i w:val="1"/>
          <w:iCs w:val="1"/>
          <w:color w:val="auto"/>
        </w:rPr>
        <w:t>Bundesgesetz über die</w:t>
      </w:r>
      <w:r>
        <w:rPr>
          <w:rFonts w:ascii="Arial" w:cs="Arial" w:eastAsia="Arial" w:hAnsi="Arial"/>
          <w:sz w:val="18"/>
          <w:szCs w:val="18"/>
          <w:color w:val="auto"/>
        </w:rPr>
        <w:t xml:space="preserve"> </w:t>
      </w:r>
      <w:r>
        <w:rPr>
          <w:rFonts w:ascii="Arial" w:cs="Arial" w:eastAsia="Arial" w:hAnsi="Arial"/>
          <w:sz w:val="18"/>
          <w:szCs w:val="18"/>
          <w:i w:val="1"/>
          <w:iCs w:val="1"/>
          <w:color w:val="auto"/>
        </w:rPr>
        <w:t>Verrechnungssteuer</w:t>
      </w:r>
      <w:r>
        <w:rPr>
          <w:rFonts w:ascii="Arial" w:cs="Arial" w:eastAsia="Arial" w:hAnsi="Arial"/>
          <w:sz w:val="18"/>
          <w:szCs w:val="18"/>
          <w:color w:val="auto"/>
        </w:rPr>
        <w:t>), together with the related ordinances, regulations and guidelines, all as amended and applicable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taxes, levies, imposts, duties, fees, assessments or other charges of whatever nature now or hereafter imposed by any taxing authority, and all interest, penalties or similar liabilities with respect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Testing Period</w:t>
      </w:r>
      <w:r>
        <w:rPr>
          <w:rFonts w:ascii="Arial" w:cs="Arial" w:eastAsia="Arial" w:hAnsi="Arial"/>
          <w:sz w:val="17"/>
          <w:szCs w:val="17"/>
          <w:color w:val="auto"/>
        </w:rPr>
        <w:t>” means any period of four consecutive Fiscal Quarters (whether or not such quarters are all within the same Fiscal Year).</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Exposure</w:t>
      </w:r>
      <w:r>
        <w:rPr>
          <w:rFonts w:ascii="Arial" w:cs="Arial" w:eastAsia="Arial" w:hAnsi="Arial"/>
          <w:sz w:val="18"/>
          <w:szCs w:val="18"/>
          <w:color w:val="auto"/>
        </w:rPr>
        <w:t xml:space="preserve">” means, at any time, the sum of (a) the Dollar Equivalent of the aggregate undrawn amount of all outstanding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Dollar Equivalent of the aggregate amount of all LC Disbursements that have not yet been reimbursed by or on behalf of the Borrowers at such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Specified Asset Value</w:t>
      </w:r>
      <w:r>
        <w:rPr>
          <w:rFonts w:ascii="Arial" w:cs="Arial" w:eastAsia="Arial" w:hAnsi="Arial"/>
          <w:sz w:val="18"/>
          <w:szCs w:val="18"/>
          <w:color w:val="auto"/>
        </w:rPr>
        <w:t>” means, as of any date of determination, the book value of all assets of Parent and its Restricted Subsidiaries on a consolidated basis as of such date.</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Agreement, the Loan Documents, the Exit ABL Credit Agreement, the Exit ABL Credit Documents, the Exit Senior Notes, the Exit Senior Notes Indenture, and the occurrence of the Plan Effective Date in connection with the Plan of Reorganization and all related transactions.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1 of the United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jc w:val="both"/>
        <w:spacing w:after="0" w:line="308" w:lineRule="auto"/>
        <w:rPr>
          <w:sz w:val="20"/>
          <w:szCs w:val="20"/>
          <w:color w:val="auto"/>
        </w:rPr>
      </w:pPr>
      <w:r>
        <w:rPr>
          <w:rFonts w:ascii="Arial" w:cs="Arial" w:eastAsia="Arial" w:hAnsi="Arial"/>
          <w:sz w:val="17"/>
          <w:szCs w:val="17"/>
          <w:color w:val="auto"/>
        </w:rPr>
        <w:t>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Obligor</w:t>
      </w:r>
      <w:r>
        <w:rPr>
          <w:rFonts w:ascii="Arial" w:cs="Arial" w:eastAsia="Arial" w:hAnsi="Arial"/>
          <w:sz w:val="18"/>
          <w:szCs w:val="18"/>
          <w:color w:val="auto"/>
        </w:rPr>
        <w:t>” means the Obligors incorporated in any legal jurisdiction of the United Kingdom.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means, as of the date of determination, all cash and Cash Equivalents of the Obligors that are not “restricted” for purposes of GAAP (other than any Liens arising under the Loan Documents (including, for the avoidance of doubt, such Liens with respect to the Specified Cash Collateral) or Indebtedness incurred under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which Parent has designated in writing to the Administrative Agent to be an Unrestricted Subsidiary pursuant to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(b) any direct or indirect Subsidiary of any Subsidiary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in each case that meets the following requirements:</w:t>
      </w:r>
    </w:p>
    <w:p>
      <w:pPr>
        <w:spacing w:after="0" w:line="184" w:lineRule="exact"/>
        <w:rPr>
          <w:sz w:val="20"/>
          <w:szCs w:val="20"/>
          <w:color w:val="auto"/>
        </w:rPr>
      </w:pPr>
    </w:p>
    <w:p>
      <w:pPr>
        <w:ind w:left="1780" w:hanging="476"/>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Subsidiary shall have no Indebtedness with recourse to Parent or any Restricted Subsidiary;</w:t>
      </w:r>
    </w:p>
    <w:p>
      <w:pPr>
        <w:spacing w:after="0" w:line="225" w:lineRule="exact"/>
        <w:rPr>
          <w:rFonts w:ascii="Arial" w:cs="Arial" w:eastAsia="Arial" w:hAnsi="Arial"/>
          <w:sz w:val="18"/>
          <w:szCs w:val="18"/>
          <w:color w:val="auto"/>
        </w:rPr>
      </w:pPr>
    </w:p>
    <w:p>
      <w:pPr>
        <w:ind w:left="660" w:firstLine="644"/>
        <w:spacing w:after="0" w:line="277" w:lineRule="auto"/>
        <w:tabs>
          <w:tab w:leader="none" w:pos="18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such Subsidiary is not party to any agreement, contract, arrangement or understanding with Parent or any Restricted Subsidiary that violates </w:t>
      </w:r>
      <w:r>
        <w:rPr>
          <w:rFonts w:ascii="Arial" w:cs="Arial" w:eastAsia="Arial" w:hAnsi="Arial"/>
          <w:sz w:val="18"/>
          <w:szCs w:val="18"/>
          <w:u w:val="single" w:color="auto"/>
          <w:color w:val="auto"/>
        </w:rPr>
        <w:t>Section 8.09(a)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75" w:lineRule="auto"/>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such Subsidiary is a Person with respect to which neither Parent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660" w:firstLine="644"/>
        <w:spacing w:after="0" w:line="277" w:lineRule="auto"/>
        <w:tabs>
          <w:tab w:leader="none" w:pos="18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Subsidiary does not, either individually or together with other Subsidiaries that are designated as Unrestricted Subsidiaries, own or operate, directly or indirectly, all or substantially all of the assets of Parent and its Subsidiaries;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Subsidiary does not hold any Capital Stock in, or any Indebtedness of, Parent or any Restricted Subsidiary.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Qualifying Lender</w:t>
      </w:r>
      <w:r>
        <w:rPr>
          <w:rFonts w:ascii="Arial" w:cs="Arial" w:eastAsia="Arial" w:hAnsi="Arial"/>
          <w:sz w:val="18"/>
          <w:szCs w:val="18"/>
          <w:color w:val="auto"/>
        </w:rPr>
        <w:t>” means a Person that is entitled to receive, as of the Effective Date or upon becoming a party to the Loan Documents, payments of interest without the imposition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of U.S. federal withholding tax (by statute or treaty) on payments of interest treated as being from sources within the United States for U.S. federal income tax purposes.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Security Agreement</w:t>
      </w:r>
      <w:r>
        <w:rPr>
          <w:rFonts w:ascii="Arial" w:cs="Arial" w:eastAsia="Arial" w:hAnsi="Arial"/>
          <w:sz w:val="17"/>
          <w:szCs w:val="17"/>
          <w:color w:val="auto"/>
        </w:rPr>
        <w:t xml:space="preserve">” means that certain U.S. Security Agreement, dated as of the Effective Date, by and among the Obligors listed on the signature pages thereto, and the Administrative Agent, listed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hereto in substantially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xml:space="preserve">”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or imposed elsewhere, including, but not limited to, any tax imposed in compliance with the Swiss Federal Act on Value Added Tax of 12 June 2009 as amended from time to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Parent Company</w:t>
      </w:r>
      <w:r>
        <w:rPr>
          <w:rFonts w:ascii="Arial" w:cs="Arial" w:eastAsia="Arial" w:hAnsi="Arial"/>
          <w:sz w:val="18"/>
          <w:szCs w:val="18"/>
          <w:color w:val="auto"/>
        </w:rPr>
        <w:t>” means Parent or, if a Redomestication has occurred subsequent to the Effective Date and prior to the event in question on the date of determination, the Surviving Person resulting from such Redomestication.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or the “</w:t>
      </w:r>
      <w:r>
        <w:rPr>
          <w:rFonts w:ascii="Arial" w:cs="Arial" w:eastAsia="Arial" w:hAnsi="Arial"/>
          <w:sz w:val="18"/>
          <w:szCs w:val="18"/>
          <w:u w:val="single" w:color="auto"/>
          <w:color w:val="auto"/>
        </w:rPr>
        <w:t>Wholly-Owned Subsidiaries</w:t>
      </w:r>
      <w:r>
        <w:rPr>
          <w:rFonts w:ascii="Arial" w:cs="Arial" w:eastAsia="Arial" w:hAnsi="Arial"/>
          <w:sz w:val="18"/>
          <w:szCs w:val="18"/>
          <w:color w:val="auto"/>
        </w:rPr>
        <w:t>” refer to a Wholly-Owned Subsidiary or Wholly-Owned Subsidiaries of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WIL-Bermuda</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WIL-Delaware</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WOFS</w:t>
      </w:r>
      <w:r>
        <w:rPr>
          <w:rFonts w:ascii="Arial" w:cs="Arial" w:eastAsia="Arial" w:hAnsi="Arial"/>
          <w:sz w:val="18"/>
          <w:szCs w:val="18"/>
          <w:color w:val="auto"/>
        </w:rPr>
        <w:t>” means WOFS Assurance Limited, a Bermuda exempted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in relation to any Bail-In Legislation described in the EU Bail-In Legislation Schedule from time to time, the powers described as such in relation to that Bail-In Legislation in the EU Bail-In Legislation Schedule; (b)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and (c) in relation to any UK Bail-In Legislation: (i)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 (ii) any similar or analogous powers under that UK Bail-In Legislation.</w:t>
      </w:r>
    </w:p>
    <w:p>
      <w:pPr>
        <w:spacing w:after="0" w:line="18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Accounting Terms; Changes in GAAP</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18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Parent notifies the Administrative Agent that Parent 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91" w:lineRule="exact"/>
        <w:rPr>
          <w:rFonts w:ascii="Arial" w:cs="Arial" w:eastAsia="Arial" w:hAnsi="Arial"/>
          <w:sz w:val="18"/>
          <w:szCs w:val="18"/>
          <w:color w:val="auto"/>
        </w:rPr>
      </w:pPr>
    </w:p>
    <w:p>
      <w:pPr>
        <w:jc w:val="both"/>
        <w:ind w:firstLine="1304"/>
        <w:spacing w:after="0" w:line="25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jc w:val="both"/>
        <w:ind w:left="-20" w:firstLine="1304"/>
        <w:spacing w:after="0" w:line="272" w:lineRule="auto"/>
        <w:tabs>
          <w:tab w:leader="none" w:pos="2007"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7" w:lineRule="exact"/>
        <w:rPr>
          <w:rFonts w:ascii="Arial" w:cs="Arial" w:eastAsia="Arial" w:hAnsi="Arial"/>
          <w:sz w:val="17"/>
          <w:szCs w:val="17"/>
          <w:color w:val="auto"/>
        </w:rPr>
      </w:pPr>
    </w:p>
    <w:p>
      <w:pPr>
        <w:jc w:val="both"/>
        <w:ind w:left="-20" w:firstLine="1304"/>
        <w:spacing w:after="0" w:line="287" w:lineRule="auto"/>
        <w:tabs>
          <w:tab w:leader="none" w:pos="18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pro forma computations required to be made hereunder giving effect to any acquisition or Disposition</w:t>
      </w:r>
      <w:r>
        <w:rPr>
          <w:rFonts w:ascii="Arial" w:cs="Arial" w:eastAsia="Arial" w:hAnsi="Arial"/>
          <w:sz w:val="16"/>
          <w:szCs w:val="16"/>
          <w:color w:val="002060"/>
        </w:rPr>
        <w:t>,</w:t>
      </w:r>
      <w:r>
        <w:rPr>
          <w:rFonts w:ascii="Arial" w:cs="Arial" w:eastAsia="Arial" w:hAnsi="Arial"/>
          <w:sz w:val="16"/>
          <w:szCs w:val="16"/>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2"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left="1800" w:hanging="516"/>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this Agreement unless the context indicates otherwise:</w:t>
      </w:r>
    </w:p>
    <w:p>
      <w:pPr>
        <w:spacing w:after="0" w:line="225" w:lineRule="exact"/>
        <w:rPr>
          <w:rFonts w:ascii="Arial" w:cs="Arial" w:eastAsia="Arial" w:hAnsi="Arial"/>
          <w:sz w:val="18"/>
          <w:szCs w:val="18"/>
          <w:color w:val="auto"/>
        </w:rPr>
      </w:pPr>
    </w:p>
    <w:p>
      <w:pPr>
        <w:ind w:left="2420" w:hanging="488"/>
        <w:spacing w:after="0"/>
        <w:tabs>
          <w:tab w:leader="none" w:pos="2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w:t>
      </w:r>
    </w:p>
    <w:p>
      <w:pPr>
        <w:spacing w:after="0" w:line="225" w:lineRule="exact"/>
        <w:rPr>
          <w:rFonts w:ascii="Arial" w:cs="Arial" w:eastAsia="Arial" w:hAnsi="Arial"/>
          <w:sz w:val="18"/>
          <w:szCs w:val="18"/>
          <w:color w:val="auto"/>
        </w:rPr>
      </w:pPr>
    </w:p>
    <w:p>
      <w:pPr>
        <w:ind w:left="2420" w:hanging="488"/>
        <w:spacing w:after="0"/>
        <w:tabs>
          <w:tab w:leader="none" w:pos="2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pronoun shall include the corresponding masculine, feminine and neuter forms;</w:t>
      </w:r>
    </w:p>
    <w:p>
      <w:pPr>
        <w:spacing w:after="0" w:line="225" w:lineRule="exact"/>
        <w:rPr>
          <w:rFonts w:ascii="Arial" w:cs="Arial" w:eastAsia="Arial" w:hAnsi="Arial"/>
          <w:sz w:val="18"/>
          <w:szCs w:val="18"/>
          <w:color w:val="auto"/>
        </w:rPr>
      </w:pPr>
    </w:p>
    <w:p>
      <w:pPr>
        <w:ind w:left="640" w:firstLine="1292"/>
        <w:spacing w:after="0" w:line="277" w:lineRule="auto"/>
        <w:tabs>
          <w:tab w:leader="none" w:pos="243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in its entirety and not to any particular Article, Section or other subdivision hereof;</w:t>
      </w:r>
    </w:p>
    <w:p>
      <w:pPr>
        <w:spacing w:after="0" w:line="170" w:lineRule="exact"/>
        <w:rPr>
          <w:rFonts w:ascii="Arial" w:cs="Arial" w:eastAsia="Arial" w:hAnsi="Arial"/>
          <w:sz w:val="18"/>
          <w:szCs w:val="18"/>
          <w:color w:val="auto"/>
        </w:rPr>
      </w:pPr>
    </w:p>
    <w:p>
      <w:pPr>
        <w:ind w:left="640" w:firstLine="1292"/>
        <w:spacing w:after="0" w:line="308" w:lineRule="auto"/>
        <w:tabs>
          <w:tab w:leader="none" w:pos="2653"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reference to any Person includes such Person’s successors and assigns, including any Person that becomes a successor to Parent as a result of a Redomestication, and reference to a Person in a particular capacity excludes such Person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89" w:name="page90"/>
    <w:bookmarkEnd w:id="89"/>
    <w:p>
      <w:pPr>
        <w:ind w:left="660" w:right="20"/>
        <w:spacing w:after="0" w:line="277" w:lineRule="auto"/>
        <w:rPr>
          <w:sz w:val="20"/>
          <w:szCs w:val="20"/>
          <w:color w:val="auto"/>
        </w:rPr>
      </w:pPr>
      <w:r>
        <w:rPr>
          <w:rFonts w:ascii="Arial" w:cs="Arial" w:eastAsia="Arial" w:hAnsi="Arial"/>
          <w:sz w:val="18"/>
          <w:szCs w:val="18"/>
          <w:color w:val="auto"/>
        </w:rPr>
        <w:t xml:space="preserve">in any other capacity or individually,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is intended to authorize any assignment not otherwise permitted by this Agreement;</w:t>
      </w:r>
    </w:p>
    <w:p>
      <w:pPr>
        <w:spacing w:after="0" w:line="170" w:lineRule="exact"/>
        <w:rPr>
          <w:sz w:val="20"/>
          <w:szCs w:val="20"/>
          <w:color w:val="auto"/>
        </w:rPr>
      </w:pPr>
    </w:p>
    <w:p>
      <w:pPr>
        <w:jc w:val="both"/>
        <w:ind w:left="660" w:firstLine="1292"/>
        <w:spacing w:after="0" w:line="259" w:lineRule="auto"/>
        <w:tabs>
          <w:tab w:leader="none" w:pos="24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spacing w:after="0" w:line="186" w:lineRule="exact"/>
        <w:rPr>
          <w:rFonts w:ascii="Arial" w:cs="Arial" w:eastAsia="Arial" w:hAnsi="Arial"/>
          <w:sz w:val="18"/>
          <w:szCs w:val="18"/>
          <w:color w:val="auto"/>
        </w:rPr>
      </w:pPr>
    </w:p>
    <w:p>
      <w:pPr>
        <w:ind w:left="660" w:firstLine="1292"/>
        <w:spacing w:after="0" w:line="277" w:lineRule="auto"/>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reference to any Article, Section, page, Schedule or Exhibit means such Article, Section or page hereof or such Schedule or Exhibit hereto;</w:t>
      </w:r>
    </w:p>
    <w:p>
      <w:pPr>
        <w:spacing w:after="0" w:line="170" w:lineRule="exact"/>
        <w:rPr>
          <w:rFonts w:ascii="Arial" w:cs="Arial" w:eastAsia="Arial" w:hAnsi="Arial"/>
          <w:sz w:val="18"/>
          <w:szCs w:val="18"/>
          <w:color w:val="auto"/>
        </w:rPr>
      </w:pPr>
    </w:p>
    <w:p>
      <w:pPr>
        <w:ind w:left="660" w:firstLine="1292"/>
        <w:spacing w:after="0" w:line="277" w:lineRule="auto"/>
        <w:tabs>
          <w:tab w:leader="none" w:pos="253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words “including”, “include” and “includes” shall be deemed to be followed by the phrase “without limitation” and the term “or” is not exclusive;</w:t>
      </w:r>
    </w:p>
    <w:p>
      <w:pPr>
        <w:spacing w:after="0" w:line="170" w:lineRule="exact"/>
        <w:rPr>
          <w:rFonts w:ascii="Arial" w:cs="Arial" w:eastAsia="Arial" w:hAnsi="Arial"/>
          <w:sz w:val="18"/>
          <w:szCs w:val="18"/>
          <w:color w:val="auto"/>
        </w:rPr>
      </w:pPr>
    </w:p>
    <w:p>
      <w:pPr>
        <w:ind w:left="660" w:firstLine="1292"/>
        <w:spacing w:after="0" w:line="277" w:lineRule="auto"/>
        <w:tabs>
          <w:tab w:leader="none" w:pos="25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except as expressly provided to the contrary, the word “from” means “from and including” and the word “to” means “to but excluding”;</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225" w:lineRule="exact"/>
        <w:rPr>
          <w:rFonts w:ascii="Arial" w:cs="Arial" w:eastAsia="Arial" w:hAnsi="Arial"/>
          <w:sz w:val="18"/>
          <w:szCs w:val="18"/>
          <w:color w:val="auto"/>
        </w:rPr>
      </w:pPr>
    </w:p>
    <w:p>
      <w:pPr>
        <w:ind w:left="660" w:firstLine="1292"/>
        <w:spacing w:after="0" w:line="277" w:lineRule="auto"/>
        <w:tabs>
          <w:tab w:leader="none" w:pos="250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reference to any law, rule or regulation means such as amended, modified, codified or reenacted, in whole or in part, and in effect from time to time;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5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Article and Section headings herein and in the Table of Contents are for convenience only and shall not affect the construction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20" w:firstLine="1304"/>
        <w:spacing w:after="0" w:line="277" w:lineRule="auto"/>
        <w:tabs>
          <w:tab w:leader="none" w:pos="19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provision of this Agreement shall be interpreted or construed against any Person solely because that Person or its legal representative drafted such provision.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LLC Divisions</w:t>
      </w:r>
      <w:r>
        <w:rPr>
          <w:rFonts w:ascii="Arial" w:cs="Arial" w:eastAsia="Arial" w:hAnsi="Arial"/>
          <w:sz w:val="16"/>
          <w:szCs w:val="16"/>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2" w:lineRule="exact"/>
        <w:rPr>
          <w:sz w:val="20"/>
          <w:szCs w:val="20"/>
          <w:color w:val="auto"/>
        </w:rPr>
      </w:pPr>
    </w:p>
    <w:p>
      <w:pPr>
        <w:ind w:firstLine="8"/>
        <w:spacing w:after="0" w:line="260"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any new Person comes into existence, such new Person shall be deemed to have been organized on the first date of its existence by the holders of its Capital Stock at such time.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jc w:val="both"/>
        <w:ind w:firstLine="648"/>
        <w:spacing w:after="0" w:line="286"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Luxembourg Terms</w:t>
      </w:r>
      <w:r>
        <w:rPr>
          <w:rFonts w:ascii="Arial" w:cs="Arial" w:eastAsia="Arial" w:hAnsi="Arial"/>
          <w:sz w:val="17"/>
          <w:szCs w:val="17"/>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65" w:lineRule="exact"/>
        <w:rPr>
          <w:sz w:val="20"/>
          <w:szCs w:val="20"/>
          <w:color w:val="auto"/>
        </w:rPr>
      </w:pPr>
    </w:p>
    <w:p>
      <w:pPr>
        <w:ind w:left="1860" w:hanging="556"/>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i w:val="1"/>
          <w:iCs w:val="1"/>
          <w:color w:val="auto"/>
        </w:rPr>
        <w:t>liquidator</w:t>
      </w:r>
      <w:r>
        <w:rPr>
          <w:rFonts w:ascii="Arial" w:cs="Arial" w:eastAsia="Arial" w:hAnsi="Arial"/>
          <w:sz w:val="17"/>
          <w:szCs w:val="17"/>
          <w:color w:val="auto"/>
        </w:rPr>
        <w:t>”, “</w:t>
      </w:r>
      <w:r>
        <w:rPr>
          <w:rFonts w:ascii="Arial" w:cs="Arial" w:eastAsia="Arial" w:hAnsi="Arial"/>
          <w:sz w:val="17"/>
          <w:szCs w:val="17"/>
          <w:i w:val="1"/>
          <w:iCs w:val="1"/>
          <w:color w:val="auto"/>
        </w:rPr>
        <w:t>trustee</w:t>
      </w:r>
      <w:r>
        <w:rPr>
          <w:rFonts w:ascii="Arial" w:cs="Arial" w:eastAsia="Arial" w:hAnsi="Arial"/>
          <w:sz w:val="17"/>
          <w:szCs w:val="17"/>
          <w:color w:val="auto"/>
        </w:rPr>
        <w:t>”, “</w:t>
      </w:r>
      <w:r>
        <w:rPr>
          <w:rFonts w:ascii="Arial" w:cs="Arial" w:eastAsia="Arial" w:hAnsi="Arial"/>
          <w:sz w:val="17"/>
          <w:szCs w:val="17"/>
          <w:i w:val="1"/>
          <w:iCs w:val="1"/>
          <w:color w:val="auto"/>
        </w:rPr>
        <w:t>custodian</w:t>
      </w:r>
      <w:r>
        <w:rPr>
          <w:rFonts w:ascii="Arial" w:cs="Arial" w:eastAsia="Arial" w:hAnsi="Arial"/>
          <w:sz w:val="17"/>
          <w:szCs w:val="17"/>
          <w:color w:val="auto"/>
        </w:rPr>
        <w:t>”, “</w:t>
      </w:r>
      <w:r>
        <w:rPr>
          <w:rFonts w:ascii="Arial" w:cs="Arial" w:eastAsia="Arial" w:hAnsi="Arial"/>
          <w:sz w:val="17"/>
          <w:szCs w:val="17"/>
          <w:i w:val="1"/>
          <w:iCs w:val="1"/>
          <w:color w:val="auto"/>
        </w:rPr>
        <w:t>compulsory manager</w:t>
      </w:r>
      <w:r>
        <w:rPr>
          <w:rFonts w:ascii="Arial" w:cs="Arial" w:eastAsia="Arial" w:hAnsi="Arial"/>
          <w:sz w:val="17"/>
          <w:szCs w:val="17"/>
          <w:color w:val="auto"/>
        </w:rPr>
        <w:t>”, “</w:t>
      </w:r>
      <w:r>
        <w:rPr>
          <w:rFonts w:ascii="Arial" w:cs="Arial" w:eastAsia="Arial" w:hAnsi="Arial"/>
          <w:sz w:val="17"/>
          <w:szCs w:val="17"/>
          <w:i w:val="1"/>
          <w:iCs w:val="1"/>
          <w:color w:val="auto"/>
        </w:rPr>
        <w:t>receiver</w:t>
      </w:r>
      <w:r>
        <w:rPr>
          <w:rFonts w:ascii="Arial" w:cs="Arial" w:eastAsia="Arial" w:hAnsi="Arial"/>
          <w:sz w:val="17"/>
          <w:szCs w:val="17"/>
          <w:color w:val="auto"/>
        </w:rPr>
        <w:t>”, “</w:t>
      </w:r>
      <w:r>
        <w:rPr>
          <w:rFonts w:ascii="Arial" w:cs="Arial" w:eastAsia="Arial" w:hAnsi="Arial"/>
          <w:sz w:val="17"/>
          <w:szCs w:val="17"/>
          <w:i w:val="1"/>
          <w:iCs w:val="1"/>
          <w:color w:val="auto"/>
        </w:rPr>
        <w:t>administrative receiver</w:t>
      </w:r>
      <w:r>
        <w:rPr>
          <w:rFonts w:ascii="Arial" w:cs="Arial" w:eastAsia="Arial" w:hAnsi="Arial"/>
          <w:sz w:val="17"/>
          <w:szCs w:val="17"/>
          <w:color w:val="auto"/>
        </w:rPr>
        <w:t>”, “</w:t>
      </w:r>
      <w:r>
        <w:rPr>
          <w:rFonts w:ascii="Arial" w:cs="Arial" w:eastAsia="Arial" w:hAnsi="Arial"/>
          <w:sz w:val="17"/>
          <w:szCs w:val="17"/>
          <w:i w:val="1"/>
          <w:iCs w:val="1"/>
          <w:color w:val="auto"/>
        </w:rPr>
        <w:t>administrator</w:t>
      </w:r>
      <w:r>
        <w:rPr>
          <w:rFonts w:ascii="Arial" w:cs="Arial" w:eastAsia="Arial" w:hAnsi="Arial"/>
          <w:sz w:val="17"/>
          <w:szCs w:val="17"/>
          <w:color w:val="auto"/>
        </w:rPr>
        <w:t>” or “</w:t>
      </w:r>
      <w:r>
        <w:rPr>
          <w:rFonts w:ascii="Arial" w:cs="Arial" w:eastAsia="Arial" w:hAnsi="Arial"/>
          <w:sz w:val="17"/>
          <w:szCs w:val="17"/>
          <w:i w:val="1"/>
          <w:iCs w:val="1"/>
          <w:color w:val="auto"/>
        </w:rPr>
        <w:t>similar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 includes any:</w:t>
      </w:r>
    </w:p>
    <w:p>
      <w:pPr>
        <w:spacing w:after="0" w:line="210" w:lineRule="exact"/>
        <w:rPr>
          <w:rFonts w:ascii="Arial" w:cs="Arial" w:eastAsia="Arial" w:hAnsi="Arial"/>
          <w:sz w:val="17"/>
          <w:szCs w:val="17"/>
          <w:color w:val="auto"/>
        </w:rPr>
      </w:pPr>
    </w:p>
    <w:p>
      <w:pPr>
        <w:ind w:left="2440" w:hanging="488"/>
        <w:spacing w:after="0"/>
        <w:tabs>
          <w:tab w:leader="none" w:pos="244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juge-commissaire </w:t>
      </w:r>
      <w:r>
        <w:rPr>
          <w:rFonts w:ascii="Arial" w:cs="Arial" w:eastAsia="Arial" w:hAnsi="Arial"/>
          <w:sz w:val="18"/>
          <w:szCs w:val="18"/>
          <w:color w:val="auto"/>
        </w:rPr>
        <w:t>or insolvency receiver (</w:t>
      </w:r>
      <w:r>
        <w:rPr>
          <w:rFonts w:ascii="Arial" w:cs="Arial" w:eastAsia="Arial" w:hAnsi="Arial"/>
          <w:sz w:val="18"/>
          <w:szCs w:val="18"/>
          <w:i w:val="1"/>
          <w:iCs w:val="1"/>
          <w:color w:val="auto"/>
        </w:rPr>
        <w:t>curateur</w:t>
      </w:r>
      <w:r>
        <w:rPr>
          <w:rFonts w:ascii="Arial" w:cs="Arial" w:eastAsia="Arial" w:hAnsi="Arial"/>
          <w:sz w:val="18"/>
          <w:szCs w:val="18"/>
          <w:color w:val="auto"/>
        </w:rPr>
        <w:t>) appointed under the Luxembourg Commercial Code;</w:t>
      </w:r>
    </w:p>
    <w:p>
      <w:pPr>
        <w:spacing w:after="0" w:line="225" w:lineRule="exact"/>
        <w:rPr>
          <w:rFonts w:ascii="Arial" w:cs="Arial" w:eastAsia="Arial" w:hAnsi="Arial"/>
          <w:sz w:val="18"/>
          <w:szCs w:val="18"/>
          <w:color w:val="auto"/>
        </w:rPr>
      </w:pPr>
    </w:p>
    <w:p>
      <w:pPr>
        <w:ind w:left="660" w:firstLine="1292"/>
        <w:spacing w:after="0" w:line="277" w:lineRule="auto"/>
        <w:tabs>
          <w:tab w:leader="none" w:pos="2567"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liquidateur </w:t>
      </w:r>
      <w:r>
        <w:rPr>
          <w:rFonts w:ascii="Arial" w:cs="Arial" w:eastAsia="Arial" w:hAnsi="Arial"/>
          <w:sz w:val="18"/>
          <w:szCs w:val="18"/>
          <w:color w:val="auto"/>
        </w:rPr>
        <w:t>appointed under Articles 1100-1 to 1100-15 (inclusive) of the Luxembourg act dated 10 August 1915 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companies, as amended;</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599"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juge-commissaire </w:t>
      </w:r>
      <w:r>
        <w:rPr>
          <w:rFonts w:ascii="Arial" w:cs="Arial" w:eastAsia="Arial" w:hAnsi="Arial"/>
          <w:sz w:val="18"/>
          <w:szCs w:val="18"/>
          <w:color w:val="auto"/>
        </w:rPr>
        <w:t>or</w:t>
      </w:r>
      <w:r>
        <w:rPr>
          <w:rFonts w:ascii="Arial" w:cs="Arial" w:eastAsia="Arial" w:hAnsi="Arial"/>
          <w:sz w:val="18"/>
          <w:szCs w:val="18"/>
          <w:i w:val="1"/>
          <w:iCs w:val="1"/>
          <w:color w:val="auto"/>
        </w:rPr>
        <w:t xml:space="preserve"> liquidateur </w:t>
      </w:r>
      <w:r>
        <w:rPr>
          <w:rFonts w:ascii="Arial" w:cs="Arial" w:eastAsia="Arial" w:hAnsi="Arial"/>
          <w:sz w:val="18"/>
          <w:szCs w:val="18"/>
          <w:color w:val="auto"/>
        </w:rPr>
        <w:t>appointed under Article 1200-1 of the Luxembourg act dated 10 August 1915 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companies, as amended;</w:t>
      </w:r>
    </w:p>
    <w:p>
      <w:pPr>
        <w:spacing w:after="0" w:line="170" w:lineRule="exact"/>
        <w:rPr>
          <w:rFonts w:ascii="Arial" w:cs="Arial" w:eastAsia="Arial" w:hAnsi="Arial"/>
          <w:sz w:val="18"/>
          <w:szCs w:val="18"/>
          <w:color w:val="auto"/>
        </w:rPr>
      </w:pPr>
    </w:p>
    <w:p>
      <w:pPr>
        <w:ind w:left="660" w:firstLine="1292"/>
        <w:spacing w:after="0" w:line="277" w:lineRule="auto"/>
        <w:tabs>
          <w:tab w:leader="none" w:pos="2553"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commissaire </w:t>
      </w:r>
      <w:r>
        <w:rPr>
          <w:rFonts w:ascii="Arial" w:cs="Arial" w:eastAsia="Arial" w:hAnsi="Arial"/>
          <w:sz w:val="18"/>
          <w:szCs w:val="18"/>
          <w:color w:val="auto"/>
        </w:rPr>
        <w:t>appointed under the Grand-Ducal decree of 24 May 1935 on the controlled management regime 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593 to 614 (inclusive) of the Luxembourg Commercial Code; and</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juge délégué </w:t>
      </w:r>
      <w:r>
        <w:rPr>
          <w:rFonts w:ascii="Arial" w:cs="Arial" w:eastAsia="Arial" w:hAnsi="Arial"/>
          <w:sz w:val="16"/>
          <w:szCs w:val="16"/>
          <w:color w:val="auto"/>
        </w:rPr>
        <w:t>appointed under the Luxembourg act of 14 April 1886 on the composition to avoid bankruptcy, as amended;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9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winding-up</w:t>
      </w:r>
      <w:r>
        <w:rPr>
          <w:rFonts w:ascii="Arial" w:cs="Arial" w:eastAsia="Arial" w:hAnsi="Arial"/>
          <w:sz w:val="18"/>
          <w:szCs w:val="18"/>
          <w:color w:val="auto"/>
        </w:rPr>
        <w:t>”, “</w:t>
      </w:r>
      <w:r>
        <w:rPr>
          <w:rFonts w:ascii="Arial" w:cs="Arial" w:eastAsia="Arial" w:hAnsi="Arial"/>
          <w:sz w:val="18"/>
          <w:szCs w:val="18"/>
          <w:i w:val="1"/>
          <w:iCs w:val="1"/>
          <w:color w:val="auto"/>
        </w:rPr>
        <w:t>administration</w:t>
      </w:r>
      <w:r>
        <w:rPr>
          <w:rFonts w:ascii="Arial" w:cs="Arial" w:eastAsia="Arial" w:hAnsi="Arial"/>
          <w:sz w:val="18"/>
          <w:szCs w:val="18"/>
          <w:color w:val="auto"/>
        </w:rPr>
        <w:t>”, “</w:t>
      </w:r>
      <w:r>
        <w:rPr>
          <w:rFonts w:ascii="Arial" w:cs="Arial" w:eastAsia="Arial" w:hAnsi="Arial"/>
          <w:sz w:val="18"/>
          <w:szCs w:val="18"/>
          <w:i w:val="1"/>
          <w:iCs w:val="1"/>
          <w:color w:val="auto"/>
        </w:rPr>
        <w:t>liquidation</w:t>
      </w:r>
      <w:r>
        <w:rPr>
          <w:rFonts w:ascii="Arial" w:cs="Arial" w:eastAsia="Arial" w:hAnsi="Arial"/>
          <w:sz w:val="18"/>
          <w:szCs w:val="18"/>
          <w:color w:val="auto"/>
        </w:rPr>
        <w:t>” or “</w:t>
      </w:r>
      <w:r>
        <w:rPr>
          <w:rFonts w:ascii="Arial" w:cs="Arial" w:eastAsia="Arial" w:hAnsi="Arial"/>
          <w:sz w:val="18"/>
          <w:szCs w:val="18"/>
          <w:i w:val="1"/>
          <w:iCs w:val="1"/>
          <w:color w:val="auto"/>
        </w:rPr>
        <w:t>dissolution</w:t>
      </w:r>
      <w:r>
        <w:rPr>
          <w:rFonts w:ascii="Arial" w:cs="Arial" w:eastAsia="Arial" w:hAnsi="Arial"/>
          <w:sz w:val="18"/>
          <w:szCs w:val="18"/>
          <w:color w:val="auto"/>
        </w:rPr>
        <w:t>” includes, without limitation, bankruptcy (</w:t>
      </w:r>
      <w:r>
        <w:rPr>
          <w:rFonts w:ascii="Arial" w:cs="Arial" w:eastAsia="Arial" w:hAnsi="Arial"/>
          <w:sz w:val="18"/>
          <w:szCs w:val="18"/>
          <w:i w:val="1"/>
          <w:iCs w:val="1"/>
          <w:color w:val="auto"/>
        </w:rPr>
        <w:t>faillite</w:t>
      </w:r>
      <w:r>
        <w:rPr>
          <w:rFonts w:ascii="Arial" w:cs="Arial" w:eastAsia="Arial" w:hAnsi="Arial"/>
          <w:sz w:val="18"/>
          <w:szCs w:val="18"/>
          <w:color w:val="auto"/>
        </w:rPr>
        <w:t>), liquidation,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moratorium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and controlled management (</w:t>
      </w:r>
      <w:r>
        <w:rPr>
          <w:rFonts w:ascii="Arial" w:cs="Arial" w:eastAsia="Arial" w:hAnsi="Arial"/>
          <w:sz w:val="18"/>
          <w:szCs w:val="18"/>
          <w:i w:val="1"/>
          <w:iCs w:val="1"/>
          <w:color w:val="auto"/>
        </w:rPr>
        <w:t>gestion</w:t>
      </w:r>
      <w:r>
        <w:rPr>
          <w:rFonts w:ascii="Arial" w:cs="Arial" w:eastAsia="Arial" w:hAnsi="Arial"/>
          <w:sz w:val="18"/>
          <w:szCs w:val="18"/>
          <w:color w:val="auto"/>
        </w:rPr>
        <w:t xml:space="preserve"> </w:t>
      </w:r>
      <w:r>
        <w:rPr>
          <w:rFonts w:ascii="Arial" w:cs="Arial" w:eastAsia="Arial" w:hAnsi="Arial"/>
          <w:sz w:val="18"/>
          <w:szCs w:val="18"/>
          <w:i w:val="1"/>
          <w:iCs w:val="1"/>
          <w:color w:val="auto"/>
        </w:rPr>
        <w:t>contrôlée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Dutch Terms</w:t>
      </w:r>
      <w:r>
        <w:rPr>
          <w:rFonts w:ascii="Arial" w:cs="Arial" w:eastAsia="Arial" w:hAnsi="Arial"/>
          <w:sz w:val="18"/>
          <w:szCs w:val="18"/>
          <w:color w:val="auto"/>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spacing w:after="0" w:line="184" w:lineRule="exact"/>
        <w:rPr>
          <w:sz w:val="20"/>
          <w:szCs w:val="20"/>
          <w:color w:val="auto"/>
        </w:rPr>
      </w:pPr>
    </w:p>
    <w:p>
      <w:pPr>
        <w:ind w:left="1820" w:hanging="516"/>
        <w:spacing w:after="0"/>
        <w:tabs>
          <w:tab w:leader="none" w:pos="1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Netherlands” means the European part of the Kingdom of the Netherlands and “Dutch” means in or of the Netherlands;</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21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“security interest”, “security” or “lien” includes any mortgage (</w:t>
      </w:r>
      <w:r>
        <w:rPr>
          <w:rFonts w:ascii="Arial" w:cs="Arial" w:eastAsia="Arial" w:hAnsi="Arial"/>
          <w:sz w:val="18"/>
          <w:szCs w:val="18"/>
          <w:i w:val="1"/>
          <w:iCs w:val="1"/>
          <w:color w:val="auto"/>
        </w:rPr>
        <w:t>hypotheekrecht</w:t>
      </w:r>
      <w:r>
        <w:rPr>
          <w:rFonts w:ascii="Arial" w:cs="Arial" w:eastAsia="Arial" w:hAnsi="Arial"/>
          <w:sz w:val="18"/>
          <w:szCs w:val="18"/>
          <w:color w:val="auto"/>
        </w:rPr>
        <w:t>), pledge (</w:t>
      </w:r>
      <w:r>
        <w:rPr>
          <w:rFonts w:ascii="Arial" w:cs="Arial" w:eastAsia="Arial" w:hAnsi="Arial"/>
          <w:sz w:val="18"/>
          <w:szCs w:val="18"/>
          <w:i w:val="1"/>
          <w:iCs w:val="1"/>
          <w:color w:val="auto"/>
        </w:rPr>
        <w:t>pandrecht</w:t>
      </w:r>
      <w:r>
        <w:rPr>
          <w:rFonts w:ascii="Arial" w:cs="Arial" w:eastAsia="Arial" w:hAnsi="Arial"/>
          <w:sz w:val="18"/>
          <w:szCs w:val="18"/>
          <w:color w:val="auto"/>
        </w:rPr>
        <w:t>), retention of title arrangement (</w:t>
      </w:r>
      <w:r>
        <w:rPr>
          <w:rFonts w:ascii="Arial" w:cs="Arial" w:eastAsia="Arial" w:hAnsi="Arial"/>
          <w:sz w:val="18"/>
          <w:szCs w:val="18"/>
          <w:i w:val="1"/>
          <w:iCs w:val="1"/>
          <w:color w:val="auto"/>
        </w:rPr>
        <w:t>eigendomsvoorbehoud</w:t>
      </w:r>
      <w:r>
        <w:rPr>
          <w:rFonts w:ascii="Arial" w:cs="Arial" w:eastAsia="Arial" w:hAnsi="Arial"/>
          <w:sz w:val="18"/>
          <w:szCs w:val="18"/>
          <w:color w:val="auto"/>
        </w:rPr>
        <w:t>), right of retention (</w:t>
      </w:r>
      <w:r>
        <w:rPr>
          <w:rFonts w:ascii="Arial" w:cs="Arial" w:eastAsia="Arial" w:hAnsi="Arial"/>
          <w:sz w:val="18"/>
          <w:szCs w:val="18"/>
          <w:i w:val="1"/>
          <w:iCs w:val="1"/>
          <w:color w:val="auto"/>
        </w:rPr>
        <w:t>recht van rententie</w:t>
      </w:r>
      <w:r>
        <w:rPr>
          <w:rFonts w:ascii="Arial" w:cs="Arial" w:eastAsia="Arial" w:hAnsi="Arial"/>
          <w:sz w:val="18"/>
          <w:szCs w:val="18"/>
          <w:color w:val="auto"/>
        </w:rPr>
        <w:t>), right to reclaim goods (</w:t>
      </w:r>
      <w:r>
        <w:rPr>
          <w:rFonts w:ascii="Arial" w:cs="Arial" w:eastAsia="Arial" w:hAnsi="Arial"/>
          <w:sz w:val="18"/>
          <w:szCs w:val="18"/>
          <w:i w:val="1"/>
          <w:iCs w:val="1"/>
          <w:color w:val="auto"/>
        </w:rPr>
        <w:t>recht van reclame</w:t>
      </w:r>
      <w:r>
        <w:rPr>
          <w:rFonts w:ascii="Arial" w:cs="Arial" w:eastAsia="Arial" w:hAnsi="Arial"/>
          <w:sz w:val="18"/>
          <w:szCs w:val="18"/>
          <w:color w:val="auto"/>
        </w:rPr>
        <w:t>) and any right in rem (</w:t>
      </w:r>
      <w:r>
        <w:rPr>
          <w:rFonts w:ascii="Arial" w:cs="Arial" w:eastAsia="Arial" w:hAnsi="Arial"/>
          <w:sz w:val="18"/>
          <w:szCs w:val="18"/>
          <w:i w:val="1"/>
          <w:iCs w:val="1"/>
          <w:color w:val="auto"/>
        </w:rPr>
        <w:t>beperkt</w:t>
      </w:r>
      <w:r>
        <w:rPr>
          <w:rFonts w:ascii="Arial" w:cs="Arial" w:eastAsia="Arial" w:hAnsi="Arial"/>
          <w:sz w:val="18"/>
          <w:szCs w:val="18"/>
          <w:color w:val="auto"/>
        </w:rPr>
        <w:t xml:space="preserve"> </w:t>
      </w:r>
      <w:r>
        <w:rPr>
          <w:rFonts w:ascii="Arial" w:cs="Arial" w:eastAsia="Arial" w:hAnsi="Arial"/>
          <w:sz w:val="18"/>
          <w:szCs w:val="18"/>
          <w:i w:val="1"/>
          <w:iCs w:val="1"/>
          <w:color w:val="auto"/>
        </w:rPr>
        <w:t>recht</w:t>
      </w:r>
      <w:r>
        <w:rPr>
          <w:rFonts w:ascii="Arial" w:cs="Arial" w:eastAsia="Arial" w:hAnsi="Arial"/>
          <w:sz w:val="18"/>
          <w:szCs w:val="18"/>
          <w:color w:val="auto"/>
        </w:rPr>
        <w:t>) created for the purpose of granting security (</w:t>
      </w:r>
      <w:r>
        <w:rPr>
          <w:rFonts w:ascii="Arial" w:cs="Arial" w:eastAsia="Arial" w:hAnsi="Arial"/>
          <w:sz w:val="18"/>
          <w:szCs w:val="18"/>
          <w:i w:val="1"/>
          <w:iCs w:val="1"/>
          <w:color w:val="auto"/>
        </w:rPr>
        <w:t>goederenrechtelijke zekerheid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“winding-up”, “administration” or “dissolution” includes declared bankrupt (</w:t>
      </w:r>
      <w:r>
        <w:rPr>
          <w:rFonts w:ascii="Arial" w:cs="Arial" w:eastAsia="Arial" w:hAnsi="Arial"/>
          <w:sz w:val="18"/>
          <w:szCs w:val="18"/>
          <w:i w:val="1"/>
          <w:iCs w:val="1"/>
          <w:color w:val="auto"/>
        </w:rPr>
        <w:t>failliet verklaard</w:t>
      </w:r>
      <w:r>
        <w:rPr>
          <w:rFonts w:ascii="Arial" w:cs="Arial" w:eastAsia="Arial" w:hAnsi="Arial"/>
          <w:sz w:val="18"/>
          <w:szCs w:val="18"/>
          <w:color w:val="auto"/>
        </w:rPr>
        <w:t>) or dissolved (</w:t>
      </w:r>
      <w:r>
        <w:rPr>
          <w:rFonts w:ascii="Arial" w:cs="Arial" w:eastAsia="Arial" w:hAnsi="Arial"/>
          <w:sz w:val="18"/>
          <w:szCs w:val="18"/>
          <w:i w:val="1"/>
          <w:iCs w:val="1"/>
          <w:color w:val="auto"/>
        </w:rPr>
        <w:t>ontbonden</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firstLine="1304"/>
        <w:spacing w:after="0" w:line="277" w:lineRule="auto"/>
        <w:tabs>
          <w:tab w:leader="none" w:pos="18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“moratorium” includes </w:t>
      </w:r>
      <w:r>
        <w:rPr>
          <w:rFonts w:ascii="Arial" w:cs="Arial" w:eastAsia="Arial" w:hAnsi="Arial"/>
          <w:sz w:val="18"/>
          <w:szCs w:val="18"/>
          <w:i w:val="1"/>
          <w:iCs w:val="1"/>
          <w:color w:val="auto"/>
        </w:rPr>
        <w:t>surseance van betaling</w:t>
      </w:r>
      <w:r>
        <w:rPr>
          <w:rFonts w:ascii="Arial" w:cs="Arial" w:eastAsia="Arial" w:hAnsi="Arial"/>
          <w:sz w:val="18"/>
          <w:szCs w:val="18"/>
          <w:color w:val="auto"/>
        </w:rPr>
        <w:t xml:space="preserve"> or </w:t>
      </w:r>
      <w:r>
        <w:rPr>
          <w:rFonts w:ascii="Arial" w:cs="Arial" w:eastAsia="Arial" w:hAnsi="Arial"/>
          <w:sz w:val="18"/>
          <w:szCs w:val="18"/>
          <w:i w:val="1"/>
          <w:iCs w:val="1"/>
          <w:color w:val="auto"/>
        </w:rPr>
        <w:t>voorlopige surseance van betaling</w:t>
      </w:r>
      <w:r>
        <w:rPr>
          <w:rFonts w:ascii="Arial" w:cs="Arial" w:eastAsia="Arial" w:hAnsi="Arial"/>
          <w:sz w:val="18"/>
          <w:szCs w:val="18"/>
          <w:color w:val="auto"/>
        </w:rPr>
        <w:t xml:space="preserve"> and a “moratorium is declared” includes </w:t>
      </w:r>
      <w:r>
        <w:rPr>
          <w:rFonts w:ascii="Arial" w:cs="Arial" w:eastAsia="Arial" w:hAnsi="Arial"/>
          <w:sz w:val="18"/>
          <w:szCs w:val="18"/>
          <w:i w:val="1"/>
          <w:iCs w:val="1"/>
          <w:color w:val="auto"/>
        </w:rPr>
        <w:t xml:space="preserve">surseance verleend </w:t>
      </w:r>
      <w:r>
        <w:rPr>
          <w:rFonts w:ascii="Arial" w:cs="Arial" w:eastAsia="Arial" w:hAnsi="Arial"/>
          <w:sz w:val="18"/>
          <w:szCs w:val="18"/>
          <w:color w:val="auto"/>
        </w:rPr>
        <w:t>or</w:t>
      </w:r>
      <w:r>
        <w:rPr>
          <w:rFonts w:ascii="Arial" w:cs="Arial" w:eastAsia="Arial" w:hAnsi="Arial"/>
          <w:sz w:val="18"/>
          <w:szCs w:val="18"/>
          <w:i w:val="1"/>
          <w:iCs w:val="1"/>
          <w:color w:val="auto"/>
        </w:rPr>
        <w:t xml:space="preserve"> voorlopige surseance verleend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21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“liquidator”, “receiver”, “administrative receiver”, “conservator”, “trustee”, “administrator”, “compulsory manager”, “custodian”, “assignee for the benefit of creditors” or similar Person includes a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a </w:t>
      </w:r>
      <w:r>
        <w:rPr>
          <w:rFonts w:ascii="Arial" w:cs="Arial" w:eastAsia="Arial" w:hAnsi="Arial"/>
          <w:sz w:val="18"/>
          <w:szCs w:val="18"/>
          <w:i w:val="1"/>
          <w:iCs w:val="1"/>
          <w:color w:val="auto"/>
        </w:rPr>
        <w:t>beoogd curator</w:t>
      </w:r>
      <w:r>
        <w:rPr>
          <w:rFonts w:ascii="Arial" w:cs="Arial" w:eastAsia="Arial" w:hAnsi="Arial"/>
          <w:sz w:val="18"/>
          <w:szCs w:val="18"/>
          <w:color w:val="auto"/>
        </w:rPr>
        <w:t xml:space="preserve"> or a </w:t>
      </w:r>
      <w:r>
        <w:rPr>
          <w:rFonts w:ascii="Arial" w:cs="Arial" w:eastAsia="Arial" w:hAnsi="Arial"/>
          <w:sz w:val="18"/>
          <w:szCs w:val="18"/>
          <w:i w:val="1"/>
          <w:iCs w:val="1"/>
          <w:color w:val="auto"/>
        </w:rPr>
        <w:t>bewindvoerder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 “attachment” includes an </w:t>
      </w:r>
      <w:r>
        <w:rPr>
          <w:rFonts w:ascii="Arial" w:cs="Arial" w:eastAsia="Arial" w:hAnsi="Arial"/>
          <w:sz w:val="18"/>
          <w:szCs w:val="18"/>
          <w:i w:val="1"/>
          <w:iCs w:val="1"/>
          <w:color w:val="auto"/>
        </w:rPr>
        <w:t>executoriaal beslag</w:t>
      </w:r>
      <w:r>
        <w:rPr>
          <w:rFonts w:ascii="Arial" w:cs="Arial" w:eastAsia="Arial" w:hAnsi="Arial"/>
          <w:sz w:val="18"/>
          <w:szCs w:val="18"/>
          <w:color w:val="auto"/>
        </w:rPr>
        <w:t xml:space="preserve"> or </w:t>
      </w:r>
      <w:r>
        <w:rPr>
          <w:rFonts w:ascii="Arial" w:cs="Arial" w:eastAsia="Arial" w:hAnsi="Arial"/>
          <w:sz w:val="18"/>
          <w:szCs w:val="18"/>
          <w:i w:val="1"/>
          <w:iCs w:val="1"/>
          <w:u w:val="single" w:color="auto"/>
          <w:color w:val="auto"/>
        </w:rPr>
        <w:t>conservatoir beslag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8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 or Section 60 of the Social Insurance Financing Act of the Netherlands (</w:t>
      </w:r>
      <w:r>
        <w:rPr>
          <w:rFonts w:ascii="Arial" w:cs="Arial" w:eastAsia="Arial" w:hAnsi="Arial"/>
          <w:sz w:val="18"/>
          <w:szCs w:val="18"/>
          <w:i w:val="1"/>
          <w:iCs w:val="1"/>
          <w:color w:val="auto"/>
        </w:rPr>
        <w:t>Wet Financiering Sociale Verzekeringen</w:t>
      </w:r>
      <w:r>
        <w:rPr>
          <w:rFonts w:ascii="Arial" w:cs="Arial" w:eastAsia="Arial" w:hAnsi="Arial"/>
          <w:sz w:val="18"/>
          <w:szCs w:val="18"/>
          <w:color w:val="auto"/>
        </w:rPr>
        <w:t>) in conjunction with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8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“decree or order for relief in respect of any Obligor or any Material Subsidiary in an involuntary case or proceeding under any applicable federal, state or foreign bankruptcy, insolvency, reorganization or other similar law” includes any insolvency proceedings within the meaning of the Regulation (EU) 2015/848 of the European Parliament and of the Council of 20 May 2015 on insolvency proceedings (recast) listed or to be listed in Annex A thereto.</w:t>
      </w:r>
    </w:p>
    <w:p>
      <w:pPr>
        <w:spacing w:after="0" w:line="18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Centre of Main Interest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8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8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Quebec Terms</w:t>
      </w:r>
      <w:r>
        <w:rPr>
          <w:rFonts w:ascii="Arial" w:cs="Arial" w:eastAsia="Arial" w:hAnsi="Arial"/>
          <w:sz w:val="17"/>
          <w:szCs w:val="17"/>
          <w:color w:val="auto"/>
        </w:rPr>
        <w:t>. For purposes of any assets, liabilities or entities located in the Province of Québec and for all 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w:t>
      </w:r>
    </w:p>
    <w:p>
      <w:pPr>
        <w:spacing w:after="0" w:line="2" w:lineRule="exact"/>
        <w:rPr>
          <w:sz w:val="20"/>
          <w:szCs w:val="20"/>
          <w:color w:val="auto"/>
        </w:rPr>
      </w:pPr>
    </w:p>
    <w:p>
      <w:pPr>
        <w:jc w:val="both"/>
        <w:ind w:firstLine="8"/>
        <w:spacing w:after="0" w:line="253"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 (h) any “right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jc w:val="both"/>
        <w:spacing w:after="0" w:line="284" w:lineRule="auto"/>
        <w:rPr>
          <w:sz w:val="20"/>
          <w:szCs w:val="20"/>
          <w:color w:val="auto"/>
        </w:rPr>
      </w:pPr>
      <w:r>
        <w:rPr>
          <w:rFonts w:ascii="Arial" w:cs="Arial" w:eastAsia="Arial" w:hAnsi="Arial"/>
          <w:sz w:val="16"/>
          <w:szCs w:val="16"/>
          <w:color w:val="auto"/>
        </w:rPr>
        <w:t>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w:t>
      </w:r>
    </w:p>
    <w:p>
      <w:pPr>
        <w:spacing w:after="0" w:line="4" w:lineRule="exact"/>
        <w:rPr>
          <w:sz w:val="20"/>
          <w:szCs w:val="20"/>
          <w:color w:val="auto"/>
        </w:rPr>
      </w:pPr>
    </w:p>
    <w:p>
      <w:pPr>
        <w:jc w:val="both"/>
        <w:ind w:firstLine="8"/>
        <w:spacing w:after="0" w:line="265"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“state” shall include “province”, (s) “fee simple title” shall include “absolute ownership” and “ownership” (including ownership under a right of superficies), (t) “accounts” shall include “claims”, (u) “legal title” shall include “holding title on behalf of an owner as mandatory or prete-nom”,</w:t>
      </w: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“ground lease” shall include “emphyteusis” or a “lease with a right of superficies”, as applicable, (w) “leasehold interest” shall include a “valid lease”,</w:t>
      </w:r>
    </w:p>
    <w:p>
      <w:pPr>
        <w:spacing w:after="0" w:line="32" w:lineRule="exact"/>
        <w:rPr>
          <w:rFonts w:ascii="Arial" w:cs="Arial" w:eastAsia="Arial" w:hAnsi="Arial"/>
          <w:sz w:val="16"/>
          <w:szCs w:val="16"/>
          <w:color w:val="auto"/>
        </w:rPr>
      </w:pPr>
    </w:p>
    <w:p>
      <w:pPr>
        <w:jc w:val="both"/>
        <w:ind w:firstLine="8"/>
        <w:spacing w:after="0" w:line="252"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Arial" w:cs="Arial" w:eastAsia="Arial" w:hAnsi="Arial"/>
          <w:sz w:val="18"/>
          <w:szCs w:val="18"/>
          <w:i w:val="1"/>
          <w:iCs w:val="1"/>
          <w:color w:val="auto"/>
        </w:rPr>
        <w:t>Les parties aux présentes confirment que c’est leur volonté que cette convention et les autres documents de crédit soient rédigés en langue</w:t>
      </w:r>
      <w:r>
        <w:rPr>
          <w:rFonts w:ascii="Arial" w:cs="Arial" w:eastAsia="Arial" w:hAnsi="Arial"/>
          <w:sz w:val="18"/>
          <w:szCs w:val="18"/>
          <w:color w:val="auto"/>
        </w:rPr>
        <w:t xml:space="preserve"> </w:t>
      </w:r>
      <w:r>
        <w:rPr>
          <w:rFonts w:ascii="Arial" w:cs="Arial" w:eastAsia="Arial" w:hAnsi="Arial"/>
          <w:sz w:val="18"/>
          <w:szCs w:val="18"/>
          <w:i w:val="1"/>
          <w:iCs w:val="1"/>
          <w:color w:val="auto"/>
        </w:rPr>
        <w:t>anglaise seulement et que tous les documents, y compris tous avis, envisagés par cette convention et les autres documents peuvent être rédigés en langue anglaise seulement</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COMMITMENTS</w:t>
      </w:r>
    </w:p>
    <w:p>
      <w:pPr>
        <w:spacing w:after="0" w:line="21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of Commitments on the Maturity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2"/>
          <w:numId w:val="45"/>
        </w:numPr>
        <w:rPr>
          <w:rFonts w:ascii="Arial" w:cs="Arial" w:eastAsia="Arial" w:hAnsi="Arial"/>
          <w:sz w:val="16"/>
          <w:szCs w:val="16"/>
          <w:color w:val="auto"/>
        </w:rPr>
      </w:pPr>
      <w:r>
        <w:rPr>
          <w:rFonts w:ascii="Arial" w:cs="Arial" w:eastAsia="Arial" w:hAnsi="Arial"/>
          <w:sz w:val="16"/>
          <w:szCs w:val="16"/>
          <w:color w:val="auto"/>
        </w:rPr>
        <w:t>On the Maturity Date (if the Commitments have not been terminated in full earlier in accordance with the terms hereof),</w:t>
      </w:r>
    </w:p>
    <w:p>
      <w:pPr>
        <w:spacing w:after="0" w:line="46" w:lineRule="exact"/>
        <w:rPr>
          <w:rFonts w:ascii="Arial" w:cs="Arial" w:eastAsia="Arial" w:hAnsi="Arial"/>
          <w:sz w:val="16"/>
          <w:szCs w:val="16"/>
          <w:color w:val="auto"/>
        </w:rPr>
      </w:pPr>
    </w:p>
    <w:p>
      <w:pPr>
        <w:ind w:left="660" w:right="20" w:hanging="4"/>
        <w:spacing w:after="0" w:line="290" w:lineRule="auto"/>
        <w:tabs>
          <w:tab w:leader="none" w:pos="93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Borrowers shall pay to each Lender all amounts then payable to such Lender under this Agreement and (y) such Lender’s Commitment (and, in the case of a Lender that is an Issuing Bank, such Issuing Bank’s LC Commitment) shall automatically terminate.</w:t>
      </w:r>
    </w:p>
    <w:p>
      <w:pPr>
        <w:spacing w:after="0" w:line="161" w:lineRule="exact"/>
        <w:rPr>
          <w:rFonts w:ascii="Arial" w:cs="Arial" w:eastAsia="Arial" w:hAnsi="Arial"/>
          <w:sz w:val="17"/>
          <w:szCs w:val="17"/>
          <w:color w:val="auto"/>
        </w:rPr>
      </w:pPr>
    </w:p>
    <w:p>
      <w:pPr>
        <w:jc w:val="both"/>
        <w:ind w:left="660" w:firstLine="1292"/>
        <w:spacing w:after="0" w:line="257" w:lineRule="auto"/>
        <w:tabs>
          <w:tab w:leader="none" w:pos="2673"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The Borrowers shall, on the Maturity Date, cash collateralize, for the benefit of the applicable Issuing Banks, the Borrowers’ obligations corresponding to the LC Exposure associated with each Letter of Credit, including any Extended Expiration Letter of Credit, in accordance with the procedures set forth in </w:t>
      </w:r>
      <w:r>
        <w:rPr>
          <w:rFonts w:ascii="Arial" w:cs="Arial" w:eastAsia="Arial" w:hAnsi="Arial"/>
          <w:sz w:val="18"/>
          <w:szCs w:val="18"/>
          <w:u w:val="single" w:color="auto"/>
          <w:color w:val="auto"/>
        </w:rPr>
        <w:t>Section 3.01(k)(i)</w:t>
      </w:r>
      <w:r>
        <w:rPr>
          <w:rFonts w:ascii="Arial" w:cs="Arial" w:eastAsia="Arial" w:hAnsi="Arial"/>
          <w:sz w:val="18"/>
          <w:szCs w:val="18"/>
          <w:color w:val="auto"/>
        </w:rPr>
        <w:t xml:space="preserve"> (and the cash so deposited shall be held, invested and applied by such Issuing Bank in a manner consistent with the investment and other procedures described in </w:t>
      </w:r>
      <w:r>
        <w:rPr>
          <w:rFonts w:ascii="Arial" w:cs="Arial" w:eastAsia="Arial" w:hAnsi="Arial"/>
          <w:sz w:val="18"/>
          <w:szCs w:val="18"/>
          <w:u w:val="single" w:color="auto"/>
          <w:color w:val="auto"/>
        </w:rPr>
        <w:t>Section 3.01(k)</w:t>
      </w:r>
      <w:r>
        <w:rPr>
          <w:rFonts w:ascii="Arial" w:cs="Arial" w:eastAsia="Arial" w:hAnsi="Arial"/>
          <w:sz w:val="18"/>
          <w:szCs w:val="18"/>
          <w:color w:val="auto"/>
        </w:rPr>
        <w:t>) until the expiration and termination of such Letter of Credit.</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Voluntary Reduction of Commitments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ind w:left="2472" w:hanging="528"/>
        <w:spacing w:after="0"/>
        <w:tabs>
          <w:tab w:leader="none" w:pos="2472"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At their option, the Borrowers may at any time terminate, or from time to time reduce,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jc w:val="both"/>
        <w:ind w:left="652" w:hanging="4"/>
        <w:spacing w:after="0" w:line="255" w:lineRule="auto"/>
        <w:tabs>
          <w:tab w:leader="none" w:pos="9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the Total LC Exposure would exceed the Aggregate Commitments.</w:t>
      </w:r>
    </w:p>
    <w:p>
      <w:pPr>
        <w:spacing w:after="0" w:line="189" w:lineRule="exact"/>
        <w:rPr>
          <w:rFonts w:ascii="Arial" w:cs="Arial" w:eastAsia="Arial" w:hAnsi="Arial"/>
          <w:sz w:val="18"/>
          <w:szCs w:val="18"/>
          <w:color w:val="auto"/>
        </w:rPr>
      </w:pPr>
    </w:p>
    <w:p>
      <w:pPr>
        <w:jc w:val="both"/>
        <w:ind w:left="652" w:firstLine="1292"/>
        <w:spacing w:after="0" w:line="253" w:lineRule="auto"/>
        <w:tabs>
          <w:tab w:leader="none" w:pos="26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The Borrowers shall notify the Administrative Agent of any election to terminate or reduce the Commitments under </w:t>
      </w:r>
      <w:r>
        <w:rPr>
          <w:rFonts w:ascii="Arial" w:cs="Arial" w:eastAsia="Arial" w:hAnsi="Arial"/>
          <w:sz w:val="18"/>
          <w:szCs w:val="18"/>
          <w:u w:val="single" w:color="auto"/>
          <w:color w:val="auto"/>
        </w:rPr>
        <w:t>Section 2.01(b)(i)</w:t>
      </w:r>
      <w:r>
        <w:rPr>
          <w:rFonts w:ascii="Arial" w:cs="Arial" w:eastAsia="Arial" w:hAnsi="Arial"/>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196" w:lineRule="exact"/>
        <w:rPr>
          <w:sz w:val="20"/>
          <w:szCs w:val="20"/>
          <w:color w:val="auto"/>
        </w:rPr>
      </w:pPr>
    </w:p>
    <w:p>
      <w:pPr>
        <w:ind w:left="652"/>
        <w:spacing w:after="0"/>
        <w:tabs>
          <w:tab w:leader="none" w:pos="2192"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Repayment of Obligations; Evidence of Debt</w:t>
      </w:r>
      <w:r>
        <w:rPr>
          <w:rFonts w:ascii="Arial" w:cs="Arial" w:eastAsia="Arial" w:hAnsi="Arial"/>
          <w:sz w:val="16"/>
          <w:szCs w:val="16"/>
          <w:color w:val="auto"/>
        </w:rPr>
        <w:t>.</w:t>
      </w:r>
    </w:p>
    <w:p>
      <w:pPr>
        <w:spacing w:after="0" w:line="225" w:lineRule="exact"/>
        <w:rPr>
          <w:sz w:val="20"/>
          <w:szCs w:val="20"/>
          <w:color w:val="auto"/>
        </w:rPr>
      </w:pPr>
    </w:p>
    <w:p>
      <w:pPr>
        <w:ind w:left="-8" w:right="20" w:firstLine="1304"/>
        <w:spacing w:after="0" w:line="277" w:lineRule="auto"/>
        <w:tabs>
          <w:tab w:leader="none" w:pos="18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Borrowers hereby unconditionally promise to pay in immediately available funds to the Administrative Agent for the account of each Lender all outstanding Obligations on the Maturity Date in accordance with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8" w:firstLine="1304"/>
        <w:spacing w:after="0" w:line="263" w:lineRule="auto"/>
        <w:tabs>
          <w:tab w:leader="none" w:pos="19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Letter of Credit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left="-8" w:right="20" w:firstLine="1304"/>
        <w:spacing w:after="0" w:line="277" w:lineRule="auto"/>
        <w:tabs>
          <w:tab w:leader="none" w:pos="18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the amount of any sum received by the Administrative Agent hereunder for the account of the Lenders and each Lender’s share thereof.</w:t>
      </w:r>
    </w:p>
    <w:p>
      <w:pPr>
        <w:spacing w:after="0" w:line="170" w:lineRule="exact"/>
        <w:rPr>
          <w:rFonts w:ascii="Arial" w:cs="Arial" w:eastAsia="Arial" w:hAnsi="Arial"/>
          <w:sz w:val="18"/>
          <w:szCs w:val="18"/>
          <w:color w:val="auto"/>
        </w:rPr>
      </w:pPr>
    </w:p>
    <w:p>
      <w:pPr>
        <w:jc w:val="both"/>
        <w:ind w:left="-8" w:firstLine="1304"/>
        <w:spacing w:after="0" w:line="286" w:lineRule="auto"/>
        <w:tabs>
          <w:tab w:leader="none" w:pos="18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this Section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Borrowers to repay the Obligations in accordance with the terms of this Agreement.</w:t>
      </w:r>
    </w:p>
    <w:p>
      <w:pPr>
        <w:spacing w:after="0" w:line="165" w:lineRule="exact"/>
        <w:rPr>
          <w:sz w:val="20"/>
          <w:szCs w:val="20"/>
          <w:color w:val="auto"/>
        </w:rPr>
      </w:pPr>
    </w:p>
    <w:p>
      <w:pPr>
        <w:ind w:left="652"/>
        <w:spacing w:after="0"/>
        <w:tabs>
          <w:tab w:leader="none" w:pos="2192"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Prepayment of Obligations</w:t>
      </w:r>
      <w:r>
        <w:rPr>
          <w:rFonts w:ascii="Arial" w:cs="Arial" w:eastAsia="Arial" w:hAnsi="Arial"/>
          <w:sz w:val="16"/>
          <w:szCs w:val="16"/>
          <w:color w:val="auto"/>
        </w:rPr>
        <w:t>.</w:t>
      </w:r>
    </w:p>
    <w:p>
      <w:pPr>
        <w:spacing w:after="0" w:line="225" w:lineRule="exact"/>
        <w:rPr>
          <w:sz w:val="20"/>
          <w:szCs w:val="20"/>
          <w:color w:val="auto"/>
        </w:rPr>
      </w:pPr>
    </w:p>
    <w:p>
      <w:pPr>
        <w:ind w:left="1812" w:hanging="516"/>
        <w:spacing w:after="0"/>
        <w:tabs>
          <w:tab w:leader="none" w:pos="1812"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On the date that a Change of Control occurs, the Commitments shall terminate and the Borrowers shall, subject to </w:t>
      </w:r>
      <w:r>
        <w:rPr>
          <w:rFonts w:ascii="Arial" w:cs="Arial" w:eastAsia="Arial" w:hAnsi="Arial"/>
          <w:sz w:val="16"/>
          <w:szCs w:val="16"/>
          <w:u w:val="single" w:color="auto"/>
          <w:color w:val="auto"/>
        </w:rPr>
        <w:t>Section 2.08(a)</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212" w:hanging="212"/>
        <w:spacing w:after="0"/>
        <w:tabs>
          <w:tab w:leader="none" w:pos="2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 all outstanding Obligations</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in immediately available funds, and (ii) deposit in the LC Collateral Account an amount in cash required by </w:t>
      </w:r>
      <w:r>
        <w:rPr>
          <w:rFonts w:ascii="Arial" w:cs="Arial" w:eastAsia="Arial" w:hAnsi="Arial"/>
          <w:sz w:val="18"/>
          <w:szCs w:val="18"/>
          <w:u w:val="single" w:color="auto"/>
          <w:color w:val="auto"/>
        </w:rPr>
        <w:t>Section 3.01(k)(i)</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6" w:lineRule="auto"/>
        <w:tabs>
          <w:tab w:leader="none" w:pos="194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If at any time (including concurrently with or immediately after giving effect to any reduction of the Lenders’ Commitments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the Total LC Exposure exceeds the Aggregate Commitments, the Borrowers shall, within two Business Days, cash collateralize LC Exposures in accordance with </w:t>
      </w:r>
      <w:r>
        <w:rPr>
          <w:rFonts w:ascii="Arial" w:cs="Arial" w:eastAsia="Arial" w:hAnsi="Arial"/>
          <w:sz w:val="17"/>
          <w:szCs w:val="17"/>
          <w:u w:val="single" w:color="auto"/>
          <w:color w:val="auto"/>
        </w:rPr>
        <w:t>Section 2.08(a)</w:t>
      </w:r>
      <w:r>
        <w:rPr>
          <w:rFonts w:ascii="Arial" w:cs="Arial" w:eastAsia="Arial" w:hAnsi="Arial"/>
          <w:sz w:val="17"/>
          <w:szCs w:val="17"/>
          <w:color w:val="auto"/>
        </w:rPr>
        <w:t xml:space="preserve"> and the procedures set forth in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in an amount equal to such excess.</w:t>
      </w:r>
    </w:p>
    <w:p>
      <w:pPr>
        <w:spacing w:after="0" w:line="16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91" w:lineRule="auto"/>
        <w:tabs>
          <w:tab w:leader="none" w:pos="1817"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 March, June, September and December of each year, shall be payable in arrears in Dollars on the fifth Business Day after such last date and on the date on which the aggregate Commitments terminate and on the Maturity Date, with payment commencing on April 7,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facility fees accruing after the date on which the aggregate Commitments terminate shall be payable on demand. All facility fees shall be computed on the basis of a year of 360 days, as applicable, and shall be payable for the actual number of days elapsed (including the first day but excluding the last day).</w:t>
      </w:r>
    </w:p>
    <w:p>
      <w:pPr>
        <w:spacing w:after="0" w:line="166" w:lineRule="exact"/>
        <w:rPr>
          <w:rFonts w:ascii="Arial" w:cs="Arial" w:eastAsia="Arial" w:hAnsi="Arial"/>
          <w:sz w:val="16"/>
          <w:szCs w:val="16"/>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Borrowers agree to pay (subject to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75" w:lineRule="auto"/>
        <w:tabs>
          <w:tab w:leader="none" w:pos="2464" w:val="left"/>
        </w:tabs>
        <w:numPr>
          <w:ilvl w:val="1"/>
          <w:numId w:val="53"/>
        </w:numPr>
        <w:rPr>
          <w:rFonts w:ascii="Arial" w:cs="Arial" w:eastAsia="Arial" w:hAnsi="Arial"/>
          <w:sz w:val="17"/>
          <w:szCs w:val="17"/>
          <w:color w:val="auto"/>
        </w:rPr>
      </w:pPr>
      <w:r>
        <w:rPr>
          <w:rFonts w:ascii="Arial" w:cs="Arial" w:eastAsia="Arial" w:hAnsi="Arial"/>
          <w:sz w:val="17"/>
          <w:szCs w:val="17"/>
          <w:color w:val="auto"/>
        </w:rPr>
        <w:t>to the Administrative Agent, for the account of each Lender in accordance with its Applicable Percentage, a participation fee with respect to the Lenders’ participations in Letters of Credit, which shall accrue at the LC Participation Fee Rate on the average daily Dollar Equivalent of the maximum amount available to be drawn under each such Letter of Credit (whether or not any increase in respect thereof has taken effect) during the period from and including the date of issuance of each such Letter of Credit to but excluding the earlier of (1) the date on which such Letter of Credit expires or terminates and (2) the Maturity Date (the “</w:t>
      </w:r>
      <w:r>
        <w:rPr>
          <w:rFonts w:ascii="Arial" w:cs="Arial" w:eastAsia="Arial" w:hAnsi="Arial"/>
          <w:sz w:val="17"/>
          <w:szCs w:val="17"/>
          <w:u w:val="single" w:color="auto"/>
          <w:color w:val="auto"/>
        </w:rPr>
        <w:t>LC Participation Fee</w:t>
      </w:r>
      <w:r>
        <w:rPr>
          <w:rFonts w:ascii="Arial" w:cs="Arial" w:eastAsia="Arial" w:hAnsi="Arial"/>
          <w:sz w:val="17"/>
          <w:szCs w:val="17"/>
          <w:color w:val="auto"/>
        </w:rPr>
        <w:t>”); and</w:t>
      </w:r>
    </w:p>
    <w:p>
      <w:pPr>
        <w:spacing w:after="0" w:line="176" w:lineRule="exact"/>
        <w:rPr>
          <w:rFonts w:ascii="Arial" w:cs="Arial" w:eastAsia="Arial" w:hAnsi="Arial"/>
          <w:sz w:val="17"/>
          <w:szCs w:val="17"/>
          <w:color w:val="auto"/>
        </w:rPr>
      </w:pPr>
    </w:p>
    <w:p>
      <w:pPr>
        <w:jc w:val="both"/>
        <w:ind w:left="660" w:firstLine="1292"/>
        <w:spacing w:after="0" w:line="257" w:lineRule="auto"/>
        <w:tabs>
          <w:tab w:leader="none" w:pos="25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each Issuing Bank, for its own account, a fronting fee with respect to each Letter of Credit issued by such Issuing Bank, which shall accrue at the rate of 0.125%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Participation fees and fronting fees accrued through and including the last day of March, June, September and December of each year shall be payable in arrears in Dollars on the fifth Business Day after such last day, with payment commencing on April 7, 2020;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fees shall be payable to the Lenders on the Maturity Date, to all Lenders on any other date on which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8"/>
          <w:szCs w:val="18"/>
          <w:color w:val="auto"/>
        </w:rPr>
        <w:t>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as applicable, and shall be payable for the actual number of days elapsed (including the first day but excluding the last day) other than as set forth in the definition of “Prime Rate”. The amount of participation and fronting fees payable hereunder shall be set forth in a written invoice or other notice delivered to the Borrowers by the Administrative Agent or, in the case of fronting fees, by the applicable Issuing Bank.</w:t>
      </w:r>
    </w:p>
    <w:p>
      <w:pPr>
        <w:spacing w:after="0" w:line="192" w:lineRule="exact"/>
        <w:rPr>
          <w:sz w:val="20"/>
          <w:szCs w:val="20"/>
          <w:color w:val="auto"/>
        </w:rPr>
      </w:pPr>
    </w:p>
    <w:p>
      <w:pPr>
        <w:ind w:firstLine="1304"/>
        <w:spacing w:after="0" w:line="277" w:lineRule="auto"/>
        <w:tabs>
          <w:tab w:leader="none" w:pos="19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its own account, fees payable in the amounts and at the times separately agreed upon between themselves and the Administrative Agent.</w:t>
      </w:r>
    </w:p>
    <w:p>
      <w:pPr>
        <w:spacing w:after="0" w:line="170" w:lineRule="exact"/>
        <w:rPr>
          <w:rFonts w:ascii="Arial" w:cs="Arial" w:eastAsia="Arial" w:hAnsi="Arial"/>
          <w:sz w:val="18"/>
          <w:szCs w:val="18"/>
          <w:color w:val="auto"/>
        </w:rPr>
      </w:pPr>
    </w:p>
    <w:p>
      <w:pPr>
        <w:jc w:val="both"/>
        <w:ind w:right="20" w:firstLine="1304"/>
        <w:spacing w:after="0" w:line="279" w:lineRule="auto"/>
        <w:tabs>
          <w:tab w:leader="none" w:pos="184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to the applicable Lenders. Fees paid shall not be refundable under any circumstances (unless otherwise agreed by the Administrative Agent with respect to fees payable to the Administrative Agent for its own account).</w:t>
      </w:r>
    </w:p>
    <w:p>
      <w:pPr>
        <w:spacing w:after="0" w:line="17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8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any Event of Default has occurred and is continuing, including if any reimbursement obligation, any fee, (including the fronting fee, the facility fee and the LC Participation Fee), or other amount payable by the Borrowers hereunder is not paid when due, whether at stated maturity, upon acceleration or otherwise, all Obligations shall bear interest, after as well as before judgment, at a rate per annum equal to 2.000%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such amount.</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185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Accrued interest shall be payable in arrears in immediately available funds on the fifth Business Day after the last day of March, June, September and December of each year and upon termination of the Commitments with payment commencing on April 7,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right="20" w:firstLine="8"/>
        <w:spacing w:after="0" w:line="260" w:lineRule="auto"/>
        <w:tabs>
          <w:tab w:leader="none" w:pos="2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interest accrued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payable on demand, and (ii) in the event of any repayment or prepayment of any Obligations, accrued interest on the principal amount repaid or prepaid shall be payable on the date of such repayment or prepayment.</w:t>
      </w:r>
    </w:p>
    <w:p>
      <w:pPr>
        <w:spacing w:after="0" w:line="185" w:lineRule="exact"/>
        <w:rPr>
          <w:rFonts w:ascii="Arial" w:cs="Arial" w:eastAsia="Arial" w:hAnsi="Arial"/>
          <w:sz w:val="18"/>
          <w:szCs w:val="18"/>
          <w:color w:val="auto"/>
        </w:rPr>
      </w:pPr>
    </w:p>
    <w:p>
      <w:pPr>
        <w:jc w:val="both"/>
        <w:ind w:firstLine="1304"/>
        <w:spacing w:after="0" w:line="259" w:lineRule="auto"/>
        <w:tabs>
          <w:tab w:leader="none" w:pos="19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as set forth in the definition of “Prime Rate”. The applicable Alternate Base Rate, Adjusted LIBO Rate or LIBO Rate shall be determined by the Administrative Agent in accordance with the terms hereof, and such determination shall be presumed correct absent manifest error.</w:t>
      </w:r>
    </w:p>
    <w:p>
      <w:pPr>
        <w:spacing w:after="0" w:line="186" w:lineRule="exact"/>
        <w:rPr>
          <w:rFonts w:ascii="Arial" w:cs="Arial" w:eastAsia="Arial" w:hAnsi="Arial"/>
          <w:sz w:val="18"/>
          <w:szCs w:val="18"/>
          <w:color w:val="auto"/>
        </w:rPr>
      </w:pPr>
    </w:p>
    <w:p>
      <w:pPr>
        <w:ind w:firstLine="1304"/>
        <w:spacing w:after="0" w:line="277" w:lineRule="auto"/>
        <w:tabs>
          <w:tab w:leader="none" w:pos="1912"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The interest rates provided for in this Agreement with respect to any Swiss Obligor, including this </w:t>
      </w:r>
      <w:r>
        <w:rPr>
          <w:rFonts w:ascii="Arial" w:cs="Arial" w:eastAsia="Arial" w:hAnsi="Arial"/>
          <w:sz w:val="18"/>
          <w:szCs w:val="18"/>
          <w:u w:val="single" w:color="auto"/>
          <w:color w:val="auto"/>
        </w:rPr>
        <w:t>Section 2.05</w:t>
      </w:r>
      <w:r>
        <w:rPr>
          <w:rFonts w:ascii="Arial" w:cs="Arial" w:eastAsia="Arial" w:hAnsi="Arial"/>
          <w:sz w:val="18"/>
          <w:szCs w:val="18"/>
          <w:color w:val="auto"/>
        </w:rPr>
        <w:t>, are minimum interest rates. When entering into this Agreement, the parties have assumed that the interest payable at the rates set out in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jc w:val="both"/>
        <w:spacing w:after="0" w:line="269" w:lineRule="auto"/>
        <w:rPr>
          <w:sz w:val="20"/>
          <w:szCs w:val="20"/>
          <w:color w:val="auto"/>
        </w:rPr>
      </w:pP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Arial" w:cs="Arial" w:eastAsia="Arial" w:hAnsi="Arial"/>
          <w:sz w:val="17"/>
          <w:szCs w:val="17"/>
          <w:u w:val="single" w:color="auto"/>
          <w:color w:val="auto"/>
        </w:rPr>
        <w:t>Section 4.02</w:t>
      </w:r>
      <w:r>
        <w:rPr>
          <w:rFonts w:ascii="Arial" w:cs="Arial" w:eastAsia="Arial" w:hAnsi="Arial"/>
          <w:sz w:val="17"/>
          <w:szCs w:val="17"/>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179" w:lineRule="exact"/>
        <w:rPr>
          <w:sz w:val="20"/>
          <w:szCs w:val="20"/>
          <w:color w:val="auto"/>
        </w:rPr>
      </w:pPr>
    </w:p>
    <w:p>
      <w:pPr>
        <w:jc w:val="both"/>
        <w:ind w:firstLine="1304"/>
        <w:spacing w:after="0" w:line="257" w:lineRule="auto"/>
        <w:tabs>
          <w:tab w:leader="none" w:pos="18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and disclosure thereunder, whenever any interest or any fee to be paid under any Loan Document is to be calculated on the basis of a 360-day, 365-day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8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Alternate Rate of Fees</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prior to the commencement of any LC Fee Period for a Letter of Credit:</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516"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Administrative Agent reasonably determines (which determination shall be presumed correct absent manifest error) that adequate and reasonable means do not exist for ascertaining the Adjusted LIBO Rate or the LIBO Rate, as applicable, for such LC Fee Period; or</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6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LC Fee Period will not adequately and fairly reflect the cost to such Lenders of making or maintaining participations in Letters of Credit for such LC Fee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the Administrative Agent shall give written notice (by facsimile transmission or electronic transmission (in .pdf format)) thereof to the Borrowers and the Lenders as promptly as practicable thereafter and, until the Administrative Agent notifies the Borrowers and the Lenders that the circumstances giving rise to such notice no longer exist, then in the case of any fee charged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spacing w:after="0" w:line="277" w:lineRule="auto"/>
        <w:rPr>
          <w:sz w:val="20"/>
          <w:szCs w:val="20"/>
          <w:color w:val="auto"/>
        </w:rPr>
      </w:pPr>
      <w:r>
        <w:rPr>
          <w:rFonts w:ascii="Arial" w:cs="Arial" w:eastAsia="Arial" w:hAnsi="Arial"/>
          <w:sz w:val="18"/>
          <w:szCs w:val="18"/>
          <w:color w:val="auto"/>
        </w:rPr>
        <w:t>respect of a Letter of Credit at the LIBO Rate, such fee shall on the last day of the then current LC Fee Period applicable thereto begin to accrue at the Alternate Base Rate.</w:t>
      </w:r>
    </w:p>
    <w:p>
      <w:pPr>
        <w:spacing w:after="0" w:line="170" w:lineRule="exact"/>
        <w:rPr>
          <w:sz w:val="20"/>
          <w:szCs w:val="20"/>
          <w:color w:val="auto"/>
        </w:rPr>
      </w:pPr>
    </w:p>
    <w:p>
      <w:pPr>
        <w:jc w:val="both"/>
        <w:ind w:firstLine="1304"/>
        <w:spacing w:after="0" w:line="263" w:lineRule="auto"/>
        <w:tabs>
          <w:tab w:leader="none" w:pos="18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Documents, if the Administrative Agent determines (which determination shall be conclusive absent manifest error) or the Required Lenders notify the Administrative Agent (with a copy to the Borrowers) that they have determined that:</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4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Adjusted LIBO Rate or the LIBO Rate, as applicable, for any LC Fee Period, including, without limitation, because the Adjusted LIBO Rate or LIBO Rate, as applicable, is not available or published on a current basis and such circumstances are unlikely to be temporary; or</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supervisor for the administrator of the Adjusted LIBO Rate or LIBO Rate or a Governmental Authority having jurisdiction over the Administrative Agent has made a public statement identifying a specific date after which Adjusted LIBO Rate or the LIBO Rate, as applicable, shall no longer be made available, or used for determining the interest rate of loans,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then, after (A) such determination by the Administrative Agent in good faith or (B) receipt by the Administrative Agent of such notice, as applicable, the Administrative Agent and the Borrowers may amend this Agreement to replace the Adjusted LIBO Rate or the LIBO Rate with an alternate benchmark rate (including any mathematical or other adjustments to the benchmark (if any) incorporated therein) that has been broadly accepted by the syndicated loan market in the United States in lieu of the Adjusted LIBO Rate or LIBO Rate, as applicable (any such proposed rate, a “</w:t>
      </w:r>
      <w:r>
        <w:rPr>
          <w:rFonts w:ascii="Arial" w:cs="Arial" w:eastAsia="Arial" w:hAnsi="Arial"/>
          <w:sz w:val="17"/>
          <w:szCs w:val="17"/>
          <w:u w:val="single" w:color="auto"/>
          <w:color w:val="auto"/>
        </w:rPr>
        <w:t>LIBO Successor Rate</w:t>
      </w:r>
      <w:r>
        <w:rPr>
          <w:rFonts w:ascii="Arial" w:cs="Arial" w:eastAsia="Arial" w:hAnsi="Arial"/>
          <w:sz w:val="17"/>
          <w:szCs w:val="17"/>
          <w:color w:val="auto"/>
        </w:rPr>
        <w:t xml:space="preserve">”), together with any proposed LIBO Successor Rate Conforming Changes (but, for the avoidance of doubt, such related changes shall not include a reduction in the Applicable Margin);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alternate rate of interest would be less than zero, such rate shall be deemed to be zero for purposes of this Agreement, and, notwithstanding anything to the contrary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such amendment shall become effective at 5:00 p.m. (New York time) on the fifth Business Day after the Administrative Agent shall have posted such proposed amendment to all Lenders and the Borrowers unless, prior to such time, Lenders comprising the Required Lenders have delivered to the Administrative Agent notice that such Required Lenders do not accept such amendment. If no LIBO Successor Rate has been determined and the circumstances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exist, the obligation of the Issuing Banks to issue additional Letters of Credit shall be suspended.</w:t>
      </w:r>
    </w:p>
    <w:p>
      <w:pPr>
        <w:spacing w:after="0" w:line="18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1820" w:hanging="516"/>
        <w:spacing w:after="0"/>
        <w:tabs>
          <w:tab w:leader="none" w:pos="1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70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ind w:left="660" w:firstLine="1292"/>
        <w:spacing w:after="0" w:line="277" w:lineRule="auto"/>
        <w:tabs>
          <w:tab w:leader="none" w:pos="25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(other than Taxes) affecting this Agreement or any Letter of Credit or participation therein; or</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5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the definition of “Excluded Taxes”, (C) Connection Income Taxes, and (D) Other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Commitment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spacing w:after="0" w:line="188" w:lineRule="exact"/>
        <w:rPr>
          <w:sz w:val="20"/>
          <w:szCs w:val="20"/>
          <w:color w:val="auto"/>
        </w:rPr>
      </w:pPr>
    </w:p>
    <w:p>
      <w:pPr>
        <w:jc w:val="both"/>
        <w:ind w:firstLine="1304"/>
        <w:spacing w:after="0" w:line="253" w:lineRule="auto"/>
        <w:tabs>
          <w:tab w:leader="none" w:pos="18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w:t>
      </w:r>
    </w:p>
    <w:p>
      <w:pPr>
        <w:spacing w:after="0" w:line="196" w:lineRule="exact"/>
        <w:rPr>
          <w:rFonts w:ascii="Arial" w:cs="Arial" w:eastAsia="Arial" w:hAnsi="Arial"/>
          <w:sz w:val="18"/>
          <w:szCs w:val="18"/>
          <w:color w:val="auto"/>
        </w:rPr>
      </w:pPr>
    </w:p>
    <w:p>
      <w:pPr>
        <w:jc w:val="both"/>
        <w:ind w:firstLine="1304"/>
        <w:spacing w:after="0" w:line="271" w:lineRule="auto"/>
        <w:tabs>
          <w:tab w:leader="none" w:pos="1878"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 certificate of a Lender or an Issuing Bank setting forth the amount or amounts necessary to compensate such Lender or such Issuing Bank or its holding company, as the case may be, as specified in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2.07(b)</w:t>
      </w:r>
      <w:r>
        <w:rPr>
          <w:rFonts w:ascii="Arial" w:cs="Arial" w:eastAsia="Arial" w:hAnsi="Arial"/>
          <w:sz w:val="17"/>
          <w:szCs w:val="17"/>
          <w:color w:val="auto"/>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9" w:name="page100"/>
    <w:bookmarkEnd w:id="99"/>
    <w:p>
      <w:pPr>
        <w:jc w:val="both"/>
        <w:ind w:left="-8" w:firstLine="1304"/>
        <w:spacing w:after="0" w:line="293" w:lineRule="auto"/>
        <w:tabs>
          <w:tab w:leader="none" w:pos="197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64" w:lineRule="exact"/>
        <w:rPr>
          <w:rFonts w:ascii="Arial" w:cs="Arial" w:eastAsia="Arial" w:hAnsi="Arial"/>
          <w:sz w:val="16"/>
          <w:szCs w:val="16"/>
          <w:color w:val="auto"/>
        </w:rPr>
      </w:pPr>
    </w:p>
    <w:p>
      <w:pPr>
        <w:ind w:left="1812" w:hanging="516"/>
        <w:spacing w:after="0"/>
        <w:tabs>
          <w:tab w:leader="none" w:pos="18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Each Lender requesting compensation under this Section shall comply with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25" w:lineRule="exact"/>
        <w:rPr>
          <w:sz w:val="20"/>
          <w:szCs w:val="20"/>
          <w:color w:val="auto"/>
        </w:rPr>
      </w:pPr>
    </w:p>
    <w:p>
      <w:pPr>
        <w:ind w:left="652"/>
        <w:spacing w:after="0"/>
        <w:tabs>
          <w:tab w:leader="none" w:pos="2192"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Several Liability; Agreement to Defer Exercise of Right of Contribution, Etc.</w:t>
      </w:r>
    </w:p>
    <w:p>
      <w:pPr>
        <w:spacing w:after="0" w:line="225" w:lineRule="exact"/>
        <w:rPr>
          <w:sz w:val="20"/>
          <w:szCs w:val="20"/>
          <w:color w:val="auto"/>
        </w:rPr>
      </w:pPr>
    </w:p>
    <w:p>
      <w:pPr>
        <w:ind w:left="1872" w:hanging="576"/>
        <w:spacing w:after="0"/>
        <w:tabs>
          <w:tab w:leader="none" w:pos="1872"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other Loan Documents to the contrary, with respect to each Letter of Credit,</w:t>
      </w:r>
    </w:p>
    <w:p>
      <w:pPr>
        <w:spacing w:after="0" w:line="46" w:lineRule="exact"/>
        <w:rPr>
          <w:rFonts w:ascii="Arial" w:cs="Arial" w:eastAsia="Arial" w:hAnsi="Arial"/>
          <w:sz w:val="16"/>
          <w:szCs w:val="16"/>
          <w:color w:val="auto"/>
        </w:rPr>
      </w:pPr>
    </w:p>
    <w:p>
      <w:pPr>
        <w:jc w:val="both"/>
        <w:ind w:left="-8" w:firstLine="8"/>
        <w:spacing w:after="0" w:line="251" w:lineRule="auto"/>
        <w:tabs>
          <w:tab w:leader="none" w:pos="2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that requests such Letter of Credit or otherwise is the applicant therefor and shall be the “</w:t>
      </w:r>
      <w:r>
        <w:rPr>
          <w:rFonts w:ascii="Arial" w:cs="Arial" w:eastAsia="Arial" w:hAnsi="Arial"/>
          <w:sz w:val="18"/>
          <w:szCs w:val="18"/>
          <w:u w:val="single" w:color="auto"/>
          <w:color w:val="auto"/>
        </w:rPr>
        <w:t>Requesting Borrower</w:t>
      </w:r>
      <w:r>
        <w:rPr>
          <w:rFonts w:ascii="Arial" w:cs="Arial" w:eastAsia="Arial" w:hAnsi="Arial"/>
          <w:sz w:val="18"/>
          <w:szCs w:val="18"/>
          <w:color w:val="auto"/>
        </w:rPr>
        <w:t>” and all Borrowers other than the Requesting Borrower shall be the “</w:t>
      </w:r>
      <w:r>
        <w:rPr>
          <w:rFonts w:ascii="Arial" w:cs="Arial" w:eastAsia="Arial" w:hAnsi="Arial"/>
          <w:sz w:val="18"/>
          <w:szCs w:val="18"/>
          <w:u w:val="single" w:color="auto"/>
          <w:color w:val="auto"/>
        </w:rPr>
        <w:t>Other Borrowers”,</w:t>
      </w:r>
      <w:r>
        <w:rPr>
          <w:rFonts w:ascii="Arial" w:cs="Arial" w:eastAsia="Arial" w:hAnsi="Arial"/>
          <w:sz w:val="18"/>
          <w:szCs w:val="18"/>
          <w:color w:val="auto"/>
        </w:rPr>
        <w:t xml:space="preserve"> (b) the Requesting Borrower shall be severally (and not jointly) liable under this Agreement for the reimbursement, cash collateral and other obligations (including fees and interest) associated with such Letter of Credit, and (c) no Other Borrower shall be a co-debtor with the Requesting Borrower with respect to such Letter of Credit or be in any way primarily liable under this Agreement for such Letter of Credit or the reimbursement, cash collateral or other obligations (including fees and interest) associated with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forgoing limitations shall not affect (i) any obligations of any such Other Borrower with respect to any other Letters of Credit (and the related reimbursement and other obligations with respect thereto) for which it is a “Requesting Borrower” or (ii) any obligations of any such Other Borrower under the Affiliate Guaranty.</w:t>
      </w:r>
    </w:p>
    <w:p>
      <w:pPr>
        <w:spacing w:after="0" w:line="197" w:lineRule="exact"/>
        <w:rPr>
          <w:rFonts w:ascii="Arial" w:cs="Arial" w:eastAsia="Arial" w:hAnsi="Arial"/>
          <w:sz w:val="18"/>
          <w:szCs w:val="18"/>
          <w:color w:val="auto"/>
        </w:rPr>
      </w:pPr>
    </w:p>
    <w:p>
      <w:pPr>
        <w:jc w:val="both"/>
        <w:ind w:left="-8" w:firstLine="1304"/>
        <w:spacing w:after="0" w:line="269" w:lineRule="auto"/>
        <w:tabs>
          <w:tab w:leader="none" w:pos="1835"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Notwithstanding any payment or payments made by a Borrower (a “</w:t>
      </w:r>
      <w:r>
        <w:rPr>
          <w:rFonts w:ascii="Arial" w:cs="Arial" w:eastAsia="Arial" w:hAnsi="Arial"/>
          <w:sz w:val="17"/>
          <w:szCs w:val="17"/>
          <w:u w:val="single" w:color="auto"/>
          <w:color w:val="auto"/>
        </w:rPr>
        <w:t>Paying Borrower</w:t>
      </w:r>
      <w:r>
        <w:rPr>
          <w:rFonts w:ascii="Arial" w:cs="Arial" w:eastAsia="Arial" w:hAnsi="Arial"/>
          <w:sz w:val="17"/>
          <w:szCs w:val="17"/>
          <w:color w:val="auto"/>
        </w:rPr>
        <w:t>”)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00" w:name="page101"/>
    <w:bookmarkEnd w:id="100"/>
    <w:p>
      <w:pPr>
        <w:ind w:right="20"/>
        <w:spacing w:after="0" w:line="308" w:lineRule="auto"/>
        <w:rPr>
          <w:sz w:val="20"/>
          <w:szCs w:val="20"/>
          <w:color w:val="auto"/>
        </w:rPr>
      </w:pPr>
      <w:r>
        <w:rPr>
          <w:rFonts w:ascii="Arial" w:cs="Arial" w:eastAsia="Arial" w:hAnsi="Arial"/>
          <w:sz w:val="17"/>
          <w:szCs w:val="17"/>
          <w:color w:val="auto"/>
        </w:rPr>
        <w:t xml:space="preserve">automatically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14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Determination of Exchange Rates; Cash Collateralization as a Result of Currency Fluctuations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18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Administrative Agent shall determine the Exchange Rates (in accordance with the definition thereof) as of each Revaluation Date to be used for calculating Dollar Equivalent amounts in respect of the amounts available for drawing under outstanding Letters of Credit denominated in Alternative Currencies. Such Exchange Rates shall become effective as of such Revaluation Date and shall be the Exchange Rates employed in converting any amounts between the applicable Alternative Currencies until the next Revaluation Date to occur.</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9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as a result of fluctuations in Exchange Rates (which shall be calculated in accordance with the definition thereof by the Administrative Agent on each Revaluation Date) the Administrative Agent notifies the Borrowers in writing that the Total LC Exposure exceeds 105% of the aggregate Commitments, the Borrowers shall, within two Business Days following receipt of such notice, deliver to the Administrative Agent cash collateral in an amount equal to the remaining excess after giving effect to such prepayment.</w:t>
      </w:r>
    </w:p>
    <w:p>
      <w:pPr>
        <w:spacing w:after="0" w:line="18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 provision of any Loan Document to the contrary, if any Lender becomes a Defaulting Lender, then the following provisions shall apply for so long as such Lender is a Defaulting Lender:</w:t>
      </w:r>
    </w:p>
    <w:p>
      <w:pPr>
        <w:spacing w:after="0" w:line="170" w:lineRule="exact"/>
        <w:rPr>
          <w:rFonts w:ascii="Arial" w:cs="Arial" w:eastAsia="Arial" w:hAnsi="Arial"/>
          <w:sz w:val="18"/>
          <w:szCs w:val="18"/>
          <w:color w:val="auto"/>
        </w:rPr>
      </w:pPr>
    </w:p>
    <w:p>
      <w:pPr>
        <w:ind w:left="2560" w:hanging="608"/>
        <w:spacing w:after="0"/>
        <w:tabs>
          <w:tab w:leader="none" w:pos="25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facility fees shall cease to accrue on the unfunded portion of the Commitment of such Defaulting Lender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660" w:firstLine="1292"/>
        <w:spacing w:after="0" w:line="279" w:lineRule="auto"/>
        <w:tabs>
          <w:tab w:leader="none" w:pos="2506"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Commitment and LC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of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apply to the vote of a Defaulting Lender in the case of an amendment, waiver or other modification described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for which such Defaulting Lender’s consent is expressly required;</w:t>
      </w:r>
    </w:p>
    <w:p>
      <w:pPr>
        <w:spacing w:after="0" w:line="171" w:lineRule="exact"/>
        <w:rPr>
          <w:rFonts w:ascii="Arial" w:cs="Arial" w:eastAsia="Arial" w:hAnsi="Arial"/>
          <w:sz w:val="17"/>
          <w:szCs w:val="17"/>
          <w:color w:val="auto"/>
        </w:rPr>
      </w:pPr>
    </w:p>
    <w:p>
      <w:pPr>
        <w:ind w:left="2540" w:hanging="588"/>
        <w:spacing w:after="0"/>
        <w:tabs>
          <w:tab w:leader="none" w:pos="2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any LC Exposure exists at the time such Lender becomes a Defaulting Lender, then:</w:t>
      </w:r>
    </w:p>
    <w:p>
      <w:pPr>
        <w:spacing w:after="0" w:line="225" w:lineRule="exact"/>
        <w:rPr>
          <w:sz w:val="20"/>
          <w:szCs w:val="20"/>
          <w:color w:val="auto"/>
        </w:rPr>
      </w:pPr>
    </w:p>
    <w:p>
      <w:pPr>
        <w:jc w:val="both"/>
        <w:ind w:left="1300" w:firstLine="652"/>
        <w:spacing w:after="0" w:line="287" w:lineRule="auto"/>
        <w:tabs>
          <w:tab w:leader="none" w:pos="2512" w:val="left"/>
        </w:tabs>
        <w:numPr>
          <w:ilvl w:val="1"/>
          <w:numId w:val="68"/>
        </w:numPr>
        <w:rPr>
          <w:rFonts w:ascii="Arial" w:cs="Arial" w:eastAsia="Arial" w:hAnsi="Arial"/>
          <w:sz w:val="16"/>
          <w:szCs w:val="16"/>
          <w:color w:val="010000"/>
        </w:rPr>
      </w:pPr>
      <w:r>
        <w:rPr>
          <w:rFonts w:ascii="Arial" w:cs="Arial" w:eastAsia="Arial" w:hAnsi="Arial"/>
          <w:sz w:val="16"/>
          <w:szCs w:val="16"/>
          <w:color w:val="auto"/>
        </w:rPr>
        <w:t>all or any part of LC Exposure of such Defaulting Lender shall be automatically reallocated (effective as of the date such Lender becomes a Defaulting Lender) among the non-Defaulting Lenders in accordance with their respective Applicable Percentages, but only to the extent that (x) each non-Defaulting Lender’s LC Exposure does not exceed the Commitment of such non-Defaulting Lender,</w:t>
      </w:r>
    </w:p>
    <w:p>
      <w:pPr>
        <w:spacing w:after="0" w:line="2" w:lineRule="exact"/>
        <w:rPr>
          <w:rFonts w:ascii="Arial" w:cs="Arial" w:eastAsia="Arial" w:hAnsi="Arial"/>
          <w:sz w:val="16"/>
          <w:szCs w:val="16"/>
          <w:color w:val="010000"/>
        </w:rPr>
      </w:pPr>
    </w:p>
    <w:p>
      <w:pPr>
        <w:ind w:left="1560" w:hanging="256"/>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sum of all non-Defaulting Lenders’ LC Exposure does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1" w:name="page102"/>
    <w:bookmarkEnd w:id="101"/>
    <w:p>
      <w:pPr>
        <w:ind w:left="180"/>
        <w:spacing w:after="0"/>
        <w:rPr>
          <w:sz w:val="20"/>
          <w:szCs w:val="20"/>
          <w:color w:val="auto"/>
        </w:rPr>
      </w:pPr>
      <w:r>
        <w:rPr>
          <w:rFonts w:ascii="Arial" w:cs="Arial" w:eastAsia="Arial" w:hAnsi="Arial"/>
          <w:sz w:val="18"/>
          <w:szCs w:val="18"/>
          <w:color w:val="auto"/>
        </w:rPr>
        <w:t>not exceed the total of all non-Defaulting Lenders’ Commitments and (z) no Event of Default has occurred and is continuing;</w:t>
      </w:r>
    </w:p>
    <w:p>
      <w:pPr>
        <w:spacing w:after="0" w:line="225" w:lineRule="exact"/>
        <w:rPr>
          <w:sz w:val="20"/>
          <w:szCs w:val="20"/>
          <w:color w:val="auto"/>
        </w:rPr>
      </w:pPr>
    </w:p>
    <w:p>
      <w:pPr>
        <w:jc w:val="both"/>
        <w:ind w:left="180" w:firstLine="652"/>
        <w:spacing w:after="0" w:line="273" w:lineRule="auto"/>
        <w:tabs>
          <w:tab w:leader="none" w:pos="1464"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 xml:space="preserve">if the reallocation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cannot, or can only partially, be effected, the Borrowers shall, 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in accordance with the procedures set forth in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(and the cash so deposited shall be held, invested and applied by such Issuing Bank in a manner consistent with the investment and other procedures described in </w:t>
      </w:r>
      <w:r>
        <w:rPr>
          <w:rFonts w:ascii="Arial" w:cs="Arial" w:eastAsia="Arial" w:hAnsi="Arial"/>
          <w:sz w:val="17"/>
          <w:szCs w:val="17"/>
          <w:u w:val="single" w:color="auto"/>
          <w:color w:val="auto"/>
        </w:rPr>
        <w:t>Section 3.01(k)</w:t>
      </w:r>
      <w:r>
        <w:rPr>
          <w:rFonts w:ascii="Arial" w:cs="Arial" w:eastAsia="Arial" w:hAnsi="Arial"/>
          <w:sz w:val="17"/>
          <w:szCs w:val="17"/>
          <w:color w:val="auto"/>
        </w:rPr>
        <w:t>) for so long as such LC Exposure is outstanding;</w:t>
      </w:r>
    </w:p>
    <w:p>
      <w:pPr>
        <w:spacing w:after="0" w:line="177" w:lineRule="exact"/>
        <w:rPr>
          <w:rFonts w:ascii="Arial" w:cs="Arial" w:eastAsia="Arial" w:hAnsi="Arial"/>
          <w:sz w:val="17"/>
          <w:szCs w:val="17"/>
          <w:color w:val="010000"/>
        </w:rPr>
      </w:pPr>
    </w:p>
    <w:p>
      <w:pPr>
        <w:jc w:val="both"/>
        <w:ind w:left="180" w:firstLine="652"/>
        <w:spacing w:after="0" w:line="286" w:lineRule="auto"/>
        <w:tabs>
          <w:tab w:leader="none" w:pos="1423"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 xml:space="preserve">if the Borrowers cash collateralize any portion of such Defaulting Lender’s LC Exposure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the Borrowers shall not be required to pay any fees to such Defaulting Lender pursuant to </w:t>
      </w:r>
      <w:r>
        <w:rPr>
          <w:rFonts w:ascii="Arial" w:cs="Arial" w:eastAsia="Arial" w:hAnsi="Arial"/>
          <w:sz w:val="17"/>
          <w:szCs w:val="17"/>
          <w:u w:val="single" w:color="auto"/>
          <w:color w:val="auto"/>
        </w:rPr>
        <w:t>Section 2.04(b)(i)</w:t>
      </w:r>
      <w:r>
        <w:rPr>
          <w:rFonts w:ascii="Arial" w:cs="Arial" w:eastAsia="Arial" w:hAnsi="Arial"/>
          <w:sz w:val="17"/>
          <w:szCs w:val="17"/>
          <w:color w:val="auto"/>
        </w:rPr>
        <w:t xml:space="preserve"> with respect to such Defaulting Lender’s LC Exposure during the period such Defaulting Lender’s LC Exposure is cash collateralized;</w:t>
      </w:r>
    </w:p>
    <w:p>
      <w:pPr>
        <w:spacing w:after="0" w:line="165" w:lineRule="exact"/>
        <w:rPr>
          <w:rFonts w:ascii="Arial" w:cs="Arial" w:eastAsia="Arial" w:hAnsi="Arial"/>
          <w:sz w:val="17"/>
          <w:szCs w:val="17"/>
          <w:color w:val="010000"/>
        </w:rPr>
      </w:pPr>
    </w:p>
    <w:p>
      <w:pPr>
        <w:jc w:val="both"/>
        <w:ind w:left="180" w:firstLine="652"/>
        <w:spacing w:after="0" w:line="263" w:lineRule="auto"/>
        <w:tabs>
          <w:tab w:leader="none" w:pos="1433"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 xml:space="preserve">if the LC Exposure of the non-Defaulting Lenders is reallocated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then the Letter of Credit participation fees payable to the Lenders pursuant to </w:t>
      </w:r>
      <w:r>
        <w:rPr>
          <w:rFonts w:ascii="Arial" w:cs="Arial" w:eastAsia="Arial" w:hAnsi="Arial"/>
          <w:sz w:val="18"/>
          <w:szCs w:val="18"/>
          <w:u w:val="single" w:color="auto"/>
          <w:color w:val="auto"/>
        </w:rPr>
        <w:t>Section 2.04(b)(i)</w:t>
      </w:r>
      <w:r>
        <w:rPr>
          <w:rFonts w:ascii="Arial" w:cs="Arial" w:eastAsia="Arial" w:hAnsi="Arial"/>
          <w:sz w:val="18"/>
          <w:szCs w:val="18"/>
          <w:color w:val="auto"/>
        </w:rPr>
        <w:t xml:space="preserve"> shall be adjusted in accordance with such non-Defaulting Lenders’ Applicable Percentages after giving effect to such reallocation; and</w:t>
      </w:r>
    </w:p>
    <w:p>
      <w:pPr>
        <w:spacing w:after="0" w:line="183" w:lineRule="exact"/>
        <w:rPr>
          <w:rFonts w:ascii="Arial" w:cs="Arial" w:eastAsia="Arial" w:hAnsi="Arial"/>
          <w:sz w:val="18"/>
          <w:szCs w:val="18"/>
          <w:color w:val="010000"/>
        </w:rPr>
      </w:pPr>
    </w:p>
    <w:p>
      <w:pPr>
        <w:jc w:val="both"/>
        <w:ind w:left="180" w:firstLine="652"/>
        <w:spacing w:after="0" w:line="272" w:lineRule="auto"/>
        <w:tabs>
          <w:tab w:leader="none" w:pos="1426"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 xml:space="preserve">if all or any portion of such Defaulting Lender’s LC Exposure is neither reallocated nor cash collateralized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then, without prejudice to any rights or remedies of any Issuing Bank or any other Lender hereunder, all facility fees that otherwise would have been payable to such Defaulting Lender under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Arial" w:cs="Arial" w:eastAsia="Arial" w:hAnsi="Arial"/>
          <w:sz w:val="17"/>
          <w:szCs w:val="17"/>
          <w:u w:val="single" w:color="auto"/>
          <w:color w:val="auto"/>
        </w:rPr>
        <w:t>Section 2.04(b)(i)</w:t>
      </w:r>
      <w:r>
        <w:rPr>
          <w:rFonts w:ascii="Arial" w:cs="Arial" w:eastAsia="Arial" w:hAnsi="Arial"/>
          <w:sz w:val="17"/>
          <w:szCs w:val="17"/>
          <w:color w:val="auto"/>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and</w:t>
      </w:r>
    </w:p>
    <w:p>
      <w:pPr>
        <w:spacing w:after="0" w:line="177" w:lineRule="exact"/>
        <w:rPr>
          <w:sz w:val="20"/>
          <w:szCs w:val="20"/>
          <w:color w:val="auto"/>
        </w:rPr>
      </w:pPr>
    </w:p>
    <w:p>
      <w:pPr>
        <w:jc w:val="both"/>
        <w:ind w:left="-460" w:firstLine="1292"/>
        <w:spacing w:after="0" w:line="275" w:lineRule="auto"/>
        <w:tabs>
          <w:tab w:leader="none" w:pos="1414"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Arial" w:cs="Arial" w:eastAsia="Arial" w:hAnsi="Arial"/>
          <w:sz w:val="17"/>
          <w:szCs w:val="17"/>
          <w:u w:val="single" w:color="auto"/>
          <w:color w:val="auto"/>
        </w:rPr>
        <w:t>Section 2.10(a)(iii)(B)</w:t>
      </w:r>
      <w:r>
        <w:rPr>
          <w:rFonts w:ascii="Arial" w:cs="Arial" w:eastAsia="Arial" w:hAnsi="Arial"/>
          <w:sz w:val="17"/>
          <w:szCs w:val="17"/>
          <w:color w:val="auto"/>
        </w:rPr>
        <w:t xml:space="preserve">, and participating interests in any newly issued or increased Letter of Credit shall be allocated among non-Defaulting Lenders in a manner consistent with </w:t>
      </w:r>
      <w:r>
        <w:rPr>
          <w:rFonts w:ascii="Arial" w:cs="Arial" w:eastAsia="Arial" w:hAnsi="Arial"/>
          <w:sz w:val="17"/>
          <w:szCs w:val="17"/>
          <w:u w:val="single" w:color="auto"/>
          <w:color w:val="auto"/>
        </w:rPr>
        <w:t>Section 2.10(a)(iii)(A)</w:t>
      </w:r>
      <w:r>
        <w:rPr>
          <w:rFonts w:ascii="Arial" w:cs="Arial" w:eastAsia="Arial" w:hAnsi="Arial"/>
          <w:sz w:val="17"/>
          <w:szCs w:val="17"/>
          <w:color w:val="auto"/>
        </w:rPr>
        <w:t xml:space="preserve"> (and such Defaulting Lender shall not participate therein);</w:t>
      </w:r>
    </w:p>
    <w:p>
      <w:pPr>
        <w:spacing w:after="0" w:line="1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02" w:name="page103"/>
    <w:bookmarkEnd w:id="102"/>
    <w:p>
      <w:pPr>
        <w:jc w:val="both"/>
        <w:ind w:left="-20" w:firstLine="1304"/>
        <w:spacing w:after="0" w:line="263" w:lineRule="auto"/>
        <w:tabs>
          <w:tab w:leader="none" w:pos="20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rights and remedies against, and with respect to, a Defaulting Lender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183" w:lineRule="exact"/>
        <w:rPr>
          <w:rFonts w:ascii="Arial" w:cs="Arial" w:eastAsia="Arial" w:hAnsi="Arial"/>
          <w:sz w:val="18"/>
          <w:szCs w:val="18"/>
          <w:color w:val="auto"/>
        </w:rPr>
      </w:pPr>
    </w:p>
    <w:p>
      <w:pPr>
        <w:jc w:val="both"/>
        <w:ind w:left="-20" w:firstLine="1304"/>
        <w:spacing w:after="0" w:line="263" w:lineRule="auto"/>
        <w:tabs>
          <w:tab w:leader="none" w:pos="18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that the Administrative Agent, the Borrowers, and the Issuing Banks agree in writing that a Defaulting Lender has adequately remedied all matters that caused such Lender to be a Defaulting Lender, then the LC Exposures of the Lenders shall be readjusted to reflect the inclusion of such Lender’s Commitment.</w:t>
      </w:r>
    </w:p>
    <w:p>
      <w:pPr>
        <w:spacing w:after="0" w:line="184"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Increase in Commitments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85" w:lineRule="auto"/>
        <w:tabs>
          <w:tab w:leader="none" w:pos="2074"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Borrowers’ Request</w:t>
      </w:r>
      <w:r>
        <w:rPr>
          <w:rFonts w:ascii="Arial" w:cs="Arial" w:eastAsia="Arial" w:hAnsi="Arial"/>
          <w:sz w:val="16"/>
          <w:szCs w:val="16"/>
          <w:color w:val="auto"/>
        </w:rPr>
        <w:t>. Subject to the terms and conditions set forth herein, the Borrowers may by written notice to the Administrative Agent, and with the consent of each Issuing Bank, elect to request at any time and from time to time (but not more than twice in any calendar year) prior to the Maturity Date an increase to the aggregate Commitments (each such increase,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and each additional commitment provided pursuant to a Commitment Increase, an “</w:t>
      </w:r>
      <w:r>
        <w:rPr>
          <w:rFonts w:ascii="Arial" w:cs="Arial" w:eastAsia="Arial" w:hAnsi="Arial"/>
          <w:sz w:val="16"/>
          <w:szCs w:val="16"/>
          <w:u w:val="single" w:color="auto"/>
          <w:color w:val="auto"/>
        </w:rPr>
        <w:t>Incremental 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(x) all Incremental Commitments provided after the Effective Date under this Agreement shall not exceed $25,000,000 (such amount, the “</w:t>
      </w:r>
      <w:r>
        <w:rPr>
          <w:rFonts w:ascii="Arial" w:cs="Arial" w:eastAsia="Arial" w:hAnsi="Arial"/>
          <w:sz w:val="16"/>
          <w:szCs w:val="16"/>
          <w:u w:val="single" w:color="auto"/>
          <w:color w:val="auto"/>
        </w:rPr>
        <w:t>Incremental Commitment Cap</w:t>
      </w:r>
      <w:r>
        <w:rPr>
          <w:rFonts w:ascii="Arial" w:cs="Arial" w:eastAsia="Arial" w:hAnsi="Arial"/>
          <w:sz w:val="16"/>
          <w:szCs w:val="16"/>
          <w:color w:val="auto"/>
        </w:rPr>
        <w:t>”). Each such notice shall specify (i) the date on which the Borrowers propose that the applicable Incremental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Commitments be allocated and the amounts of such allocations; provided that (A) any existing Lender approached to provide an Incremental Commitment may elect or decline, in its sole discretion, to provide such Incremental Commitment (any existing Lender electing to provide an Incremental Commitment,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(B) any Person approached to provide an Incremental Commitment that is not already a Lender shall meet the requirements to be an assignee under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(subject to such consents, if any, as may be required under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and shall deliver all applicable forms and documents required by </w:t>
      </w:r>
      <w:r>
        <w:rPr>
          <w:rFonts w:ascii="Arial" w:cs="Arial" w:eastAsia="Arial" w:hAnsi="Arial"/>
          <w:sz w:val="16"/>
          <w:szCs w:val="16"/>
          <w:u w:val="single" w:color="auto"/>
          <w:color w:val="auto"/>
        </w:rPr>
        <w:t>clauses (D)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11.05(b)(ii)</w:t>
      </w:r>
      <w:r>
        <w:rPr>
          <w:rFonts w:ascii="Arial" w:cs="Arial" w:eastAsia="Arial" w:hAnsi="Arial"/>
          <w:sz w:val="16"/>
          <w:szCs w:val="16"/>
          <w:color w:val="auto"/>
        </w:rPr>
        <w:t xml:space="preserve"> (any such Person agreeing to provide all or any portion of an Incremental Commitment that is not already a Lender, an “</w:t>
      </w:r>
      <w:r>
        <w:rPr>
          <w:rFonts w:ascii="Arial" w:cs="Arial" w:eastAsia="Arial" w:hAnsi="Arial"/>
          <w:sz w:val="16"/>
          <w:szCs w:val="16"/>
          <w:u w:val="single" w:color="auto"/>
          <w:color w:val="auto"/>
        </w:rPr>
        <w:t>Additional Lender</w:t>
      </w:r>
      <w:r>
        <w:rPr>
          <w:rFonts w:ascii="Arial" w:cs="Arial" w:eastAsia="Arial" w:hAnsi="Arial"/>
          <w:sz w:val="16"/>
          <w:szCs w:val="16"/>
          <w:color w:val="auto"/>
        </w:rPr>
        <w:t>”), (C) if any Increasing Lender is providing an Incremental Commitment, then the Borrowers and such Increasing Lender shall execute an Increasing Lender Supplement, and (D) if any Additional Lender is providing an Incremental Commitment, then the Borrowers and such Additional Lender shall execute an Additional Lender Supplement. Each Commitment Increase shall be in an aggregate amount of $5,000,000 or any whole multiple of $1,000,000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 Commitment Increase may be less than $5,000,000 if such amount represents all remaining availability under the Incremental Commitment Cap).</w:t>
      </w:r>
    </w:p>
    <w:p>
      <w:pPr>
        <w:spacing w:after="0" w:line="171" w:lineRule="exact"/>
        <w:rPr>
          <w:rFonts w:ascii="Arial" w:cs="Arial" w:eastAsia="Arial" w:hAnsi="Arial"/>
          <w:sz w:val="16"/>
          <w:szCs w:val="16"/>
          <w:color w:val="auto"/>
        </w:rPr>
      </w:pPr>
    </w:p>
    <w:p>
      <w:pPr>
        <w:jc w:val="both"/>
        <w:ind w:left="-20" w:firstLine="1304"/>
        <w:spacing w:after="0" w:line="263" w:lineRule="auto"/>
        <w:tabs>
          <w:tab w:leader="none" w:pos="184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Each Commitment Increase shall become effective on the proposed effective date set forth in the Borrowers’ request for a Commitment Increase or such later date as the Administrative Agent and the Borrowers agree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which in any event shall be on or after the date on which the Administrative Agent shall have received: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03" w:name="page104"/>
    <w:bookmarkEnd w:id="103"/>
    <w:p>
      <w:pPr>
        <w:jc w:val="both"/>
        <w:ind w:left="660" w:firstLine="1292"/>
        <w:spacing w:after="0" w:line="263" w:lineRule="auto"/>
        <w:tabs>
          <w:tab w:leader="none" w:pos="26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Additional Lender Supplement for each Additional Lender participating in such Commitment Increase and an Increasing Lender Supplement for each Increasing Lender participating in such Commitment Increase, in each case duly executed by all parties thereto;</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5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documents and opinions consistent with those delivered on the Effective Date as to the organizational power and authority of the Borrowers to request Letters of Credit hereunder after giving effect to such Commitment Increase as the Administrative Agent may reasonably request;</w:t>
      </w:r>
    </w:p>
    <w:p>
      <w:pPr>
        <w:spacing w:after="0" w:line="183" w:lineRule="exact"/>
        <w:rPr>
          <w:rFonts w:ascii="Arial" w:cs="Arial" w:eastAsia="Arial" w:hAnsi="Arial"/>
          <w:sz w:val="18"/>
          <w:szCs w:val="18"/>
          <w:color w:val="auto"/>
        </w:rPr>
      </w:pPr>
    </w:p>
    <w:p>
      <w:pPr>
        <w:ind w:left="660" w:firstLine="1292"/>
        <w:spacing w:after="0" w:line="277" w:lineRule="auto"/>
        <w:tabs>
          <w:tab w:leader="none" w:pos="25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evidence of appropriate corporate or other organizational authorization on the part of the Borrowers, Parent and the other Obligors with respect to such Commitment Increase as the Administrative Agent may reasonably request;</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5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requested by the Administrative Agent, an opinion or opinions, in form and substance reasonably satisfactory to the Administrative Agent, from counsel to the Borrowers and the Obligors reasonably satisfactory to the Administrative Agent, covering such matters relating to such Commitment Increase as the Administrative Agent may reasonably request;</w:t>
      </w:r>
    </w:p>
    <w:p>
      <w:pPr>
        <w:spacing w:after="0" w:line="183" w:lineRule="exact"/>
        <w:rPr>
          <w:rFonts w:ascii="Arial" w:cs="Arial" w:eastAsia="Arial" w:hAnsi="Arial"/>
          <w:sz w:val="18"/>
          <w:szCs w:val="18"/>
          <w:color w:val="auto"/>
        </w:rPr>
      </w:pPr>
    </w:p>
    <w:p>
      <w:pPr>
        <w:jc w:val="both"/>
        <w:ind w:left="660" w:firstLine="1292"/>
        <w:spacing w:after="0" w:line="271" w:lineRule="auto"/>
        <w:tabs>
          <w:tab w:leader="none" w:pos="2489"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a certificate of a Responsible Officer of Parent, dated such Increase Effective Date, certifying that (A) the representations and warranties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has occurred and is continuing on such Increase Effective Date; and</w:t>
      </w:r>
    </w:p>
    <w:p>
      <w:pPr>
        <w:spacing w:after="0" w:line="178" w:lineRule="exact"/>
        <w:rPr>
          <w:rFonts w:ascii="Arial" w:cs="Arial" w:eastAsia="Arial" w:hAnsi="Arial"/>
          <w:sz w:val="17"/>
          <w:szCs w:val="17"/>
          <w:color w:val="auto"/>
        </w:rPr>
      </w:pPr>
    </w:p>
    <w:p>
      <w:pPr>
        <w:jc w:val="both"/>
        <w:ind w:left="660" w:firstLine="1292"/>
        <w:spacing w:after="0" w:line="263" w:lineRule="auto"/>
        <w:tabs>
          <w:tab w:leader="none" w:pos="2629"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other customary closing certificates and documentation (similar to the documentation required to be delivered on the Effective Date under </w:t>
      </w:r>
      <w:r>
        <w:rPr>
          <w:rFonts w:ascii="Arial" w:cs="Arial" w:eastAsia="Arial" w:hAnsi="Arial"/>
          <w:sz w:val="18"/>
          <w:szCs w:val="18"/>
          <w:u w:val="single" w:color="auto"/>
          <w:color w:val="auto"/>
        </w:rPr>
        <w:t>Section 5.01</w:t>
      </w:r>
      <w:r>
        <w:rPr>
          <w:rFonts w:ascii="Arial" w:cs="Arial" w:eastAsia="Arial" w:hAnsi="Arial"/>
          <w:sz w:val="18"/>
          <w:szCs w:val="18"/>
          <w:color w:val="auto"/>
        </w:rPr>
        <w:t>, to the extent applicable) relating to such Commitment Increase as the Administrative Agent may reasonably request.</w:t>
      </w:r>
    </w:p>
    <w:p>
      <w:pPr>
        <w:spacing w:after="0" w:line="184" w:lineRule="exact"/>
        <w:rPr>
          <w:sz w:val="20"/>
          <w:szCs w:val="20"/>
          <w:color w:val="auto"/>
        </w:rPr>
      </w:pPr>
    </w:p>
    <w:p>
      <w:pPr>
        <w:jc w:val="both"/>
        <w:ind w:firstLine="1304"/>
        <w:spacing w:after="0" w:line="263" w:lineRule="auto"/>
        <w:tabs>
          <w:tab w:leader="none" w:pos="191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Equal and Ratable Benefit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Commitments established pursuant to this paragraph shall constitute Commitments under, and shall be entitled to all the benefits afforded by, this Agreement and the other Loan Documents, and shall, without limiting the foregoing, benefit equally and ratably from the Guaranty Agreements.</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Activity Reports</w:t>
      </w:r>
      <w:r>
        <w:rPr>
          <w:rFonts w:ascii="Arial" w:cs="Arial" w:eastAsia="Arial" w:hAnsi="Arial"/>
          <w:sz w:val="17"/>
          <w:szCs w:val="17"/>
          <w:color w:val="auto"/>
        </w:rPr>
        <w:t xml:space="preserve">. Each Issuing Bank shall deliver a weekly report in the form of </w:t>
      </w:r>
      <w:r>
        <w:rPr>
          <w:rFonts w:ascii="Arial" w:cs="Arial" w:eastAsia="Arial" w:hAnsi="Arial"/>
          <w:sz w:val="17"/>
          <w:szCs w:val="17"/>
          <w:u w:val="single" w:color="auto"/>
          <w:color w:val="auto"/>
        </w:rPr>
        <w:t>Exhibit O</w:t>
      </w:r>
      <w:r>
        <w:rPr>
          <w:rFonts w:ascii="Arial" w:cs="Arial" w:eastAsia="Arial" w:hAnsi="Arial"/>
          <w:sz w:val="17"/>
          <w:szCs w:val="17"/>
          <w:color w:val="auto"/>
        </w:rPr>
        <w:t xml:space="preserve"> or any other form reasonably acceptable to the Administrative Agent, to the Administrative Agent on the first Business Day of each week indicating the number of Letters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of Credit issued or amended (including the face amount thereof) on each day during the prior week by such Issuing Bank.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LETTERS OF CREDIT</w:t>
      </w:r>
    </w:p>
    <w:p>
      <w:pPr>
        <w:spacing w:after="0" w:line="21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5" w:lineRule="auto"/>
        <w:tabs>
          <w:tab w:leader="none" w:pos="2013"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any Borrower may request that any Issuing Bank issue bid, performance or other Letters of Credit (in each case other than Financial Standby Letters of Credit), denominated in Dollars or any Alternative Currency, for the account of such Borrower or, subject to </w:t>
      </w:r>
      <w:r>
        <w:rPr>
          <w:rFonts w:ascii="Arial" w:cs="Arial" w:eastAsia="Arial" w:hAnsi="Arial"/>
          <w:sz w:val="16"/>
          <w:szCs w:val="16"/>
          <w:u w:val="single" w:color="auto"/>
          <w:color w:val="auto"/>
        </w:rPr>
        <w:t>Section 3.01(m)</w:t>
      </w:r>
      <w:r>
        <w:rPr>
          <w:rFonts w:ascii="Arial" w:cs="Arial" w:eastAsia="Arial" w:hAnsi="Arial"/>
          <w:sz w:val="16"/>
          <w:szCs w:val="16"/>
          <w:color w:val="auto"/>
        </w:rPr>
        <w:t>, a Restricted Subsidiary of such Borrower, in a form reasonably acceptable to such Issuing Bank, at any time and from time to time during the Availability Period applicable to Lenders. At the applicable Issuing Bank’s discretion, Letters of Credit may be issued subject to: (i) the Uniform Customs and Practice for Documentary Credits, Publication No. 600, (ii) International Standby Practices 1998,</w:t>
      </w:r>
    </w:p>
    <w:p>
      <w:pPr>
        <w:spacing w:after="0" w:line="1" w:lineRule="exact"/>
        <w:rPr>
          <w:rFonts w:ascii="Arial" w:cs="Arial" w:eastAsia="Arial" w:hAnsi="Arial"/>
          <w:sz w:val="16"/>
          <w:szCs w:val="16"/>
          <w:color w:val="auto"/>
        </w:rPr>
      </w:pPr>
    </w:p>
    <w:p>
      <w:pPr>
        <w:jc w:val="both"/>
        <w:ind w:firstLine="8"/>
        <w:spacing w:after="0" w:line="267" w:lineRule="auto"/>
        <w:tabs>
          <w:tab w:leader="none" w:pos="33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the Uniform Rules for Demand Guarantees, or (iv) any successor provisions of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In the event of any inconsistency between the terms and conditions of this Agreement and the terms and conditions of any form of letter of credit or bank guarantee application or other agreement submitted by any Borrower to, or entered into by any Borrower with, any Issuing Bank relating to any Letter of Credit, the terms and conditions of this Agreement shall control. Nothing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is intended to limit or restrict the rights of any Borrower or any Restricted Subsidiary to obtain letters of credit otherwise permitted by this Agreement from any Person, regardless of whether such Person is a party hereto. Notwithstanding the foregoing, neither Barclays nor Morgan Stanley, as Issuing Bank, shall be required to issue any Commercial Letters of Credit and (b) Morgan Stanley will not be required to issue any bank guarantees. Notwithstanding anything to the contrary herein, (A) from the Effective Date through the 60th day after the Effective Date, no more than 300 (or such greater number as may be agreed by the Administrative Agent) Letters of Credit issued pursuant to this Agreement (including Existing Letters of Credit issued pursuant to </w:t>
      </w:r>
      <w:r>
        <w:rPr>
          <w:rFonts w:ascii="Arial" w:cs="Arial" w:eastAsia="Arial" w:hAnsi="Arial"/>
          <w:sz w:val="17"/>
          <w:szCs w:val="17"/>
          <w:u w:val="single" w:color="auto"/>
          <w:color w:val="auto"/>
        </w:rPr>
        <w:t>Section 3.01(n)</w:t>
      </w:r>
      <w:r>
        <w:rPr>
          <w:rFonts w:ascii="Arial" w:cs="Arial" w:eastAsia="Arial" w:hAnsi="Arial"/>
          <w:sz w:val="17"/>
          <w:szCs w:val="17"/>
          <w:color w:val="auto"/>
        </w:rPr>
        <w:t xml:space="preserve">) may be outstanding at any time, and (B) from and after the 61st day after the Effective Date, no more than 500 (or such greater number as may be agreed by the Administrative Agent) Letters of Credit issued pursuant to this Agreement (including Existing Letters of Credit issued pursuant to </w:t>
      </w:r>
      <w:r>
        <w:rPr>
          <w:rFonts w:ascii="Arial" w:cs="Arial" w:eastAsia="Arial" w:hAnsi="Arial"/>
          <w:sz w:val="17"/>
          <w:szCs w:val="17"/>
          <w:u w:val="single" w:color="auto"/>
          <w:color w:val="auto"/>
        </w:rPr>
        <w:t>Section 3.01(n)</w:t>
      </w:r>
      <w:r>
        <w:rPr>
          <w:rFonts w:ascii="Arial" w:cs="Arial" w:eastAsia="Arial" w:hAnsi="Arial"/>
          <w:sz w:val="17"/>
          <w:szCs w:val="17"/>
          <w:color w:val="auto"/>
        </w:rPr>
        <w:t>) may be outstanding at any time.</w:t>
      </w:r>
    </w:p>
    <w:p>
      <w:pPr>
        <w:spacing w:after="0" w:line="185" w:lineRule="exact"/>
        <w:rPr>
          <w:rFonts w:ascii="Arial" w:cs="Arial" w:eastAsia="Arial" w:hAnsi="Arial"/>
          <w:sz w:val="17"/>
          <w:szCs w:val="17"/>
          <w:color w:val="auto"/>
        </w:rPr>
      </w:pPr>
    </w:p>
    <w:p>
      <w:pPr>
        <w:jc w:val="both"/>
        <w:ind w:firstLine="1304"/>
        <w:spacing w:after="0" w:line="271" w:lineRule="auto"/>
        <w:tabs>
          <w:tab w:leader="none" w:pos="1902"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1:00 p.m., New York City time, one Business Day before the Effective Date in the case of the Effective Date Letters of Credit, (ii) 11:00 a.m., New York City time, three Business Days before the proposed date such Letter of Credit (other than an Effective Date Letter of Credit) is to be issued and (iii) 11:00 a.m., New York City time, three Business Days before the proposed date of any amendment, renewal or extension of a Letter of Credit, a Letter of Credit Request requesting the issuance of a Letter of Credit, or identifying the Letter of Credit to be amended, renewed or extended, and specifying the date of issuance,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jc w:val="both"/>
        <w:spacing w:after="0" w:line="286" w:lineRule="auto"/>
        <w:rPr>
          <w:sz w:val="20"/>
          <w:szCs w:val="20"/>
          <w:color w:val="auto"/>
        </w:rPr>
      </w:pPr>
      <w:r>
        <w:rPr>
          <w:rFonts w:ascii="Arial" w:cs="Arial" w:eastAsia="Arial" w:hAnsi="Arial"/>
          <w:sz w:val="16"/>
          <w:szCs w:val="16"/>
          <w:color w:val="auto"/>
        </w:rPr>
        <w:t xml:space="preserve">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the amount of such Letter of Credit, the name and address of the beneficiary thereof and such other information as shall be necessary to prepare, amend, renew or extend such Letter of Credit. If requested by the applicable Issuing Bank, the applicable Borrower also shall submit a letter of credit or bank guarantee application on such Issuing Bank’s standard form in connection with any request for a Letter of Credit.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LC Exposure shall not exceed the Aggregate Commitments, and (ii) the portion of the Total LC Exposure attributable to Letters of Credit issued by such Issuing Bank will not, unless such Issuing Bank shall so agree in accordance with </w:t>
      </w:r>
      <w:r>
        <w:rPr>
          <w:rFonts w:ascii="Arial" w:cs="Arial" w:eastAsia="Arial" w:hAnsi="Arial"/>
          <w:sz w:val="16"/>
          <w:szCs w:val="16"/>
          <w:u w:val="single" w:color="auto"/>
          <w:color w:val="auto"/>
        </w:rPr>
        <w:t>Section 3.01(j)</w:t>
      </w:r>
      <w:r>
        <w:rPr>
          <w:rFonts w:ascii="Arial" w:cs="Arial" w:eastAsia="Arial" w:hAnsi="Arial"/>
          <w:sz w:val="16"/>
          <w:szCs w:val="16"/>
          <w:color w:val="auto"/>
        </w:rPr>
        <w:t xml:space="preserve">, exceed the LC Commitment of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reduce the Commitment of any Issuing Bank if, after giving effect of such reduction, the conditions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shall not then be satisfied, then, subject to the terms and conditions hereof, such Issuing Bank shall, on the requested date, issue, amend, renew or extend, as applicable, such Letter of Credit.</w:t>
      </w:r>
    </w:p>
    <w:p>
      <w:pPr>
        <w:spacing w:after="0" w:line="174" w:lineRule="exact"/>
        <w:rPr>
          <w:sz w:val="20"/>
          <w:szCs w:val="20"/>
          <w:color w:val="auto"/>
        </w:rPr>
      </w:pPr>
    </w:p>
    <w:p>
      <w:pPr>
        <w:ind w:left="1820" w:hanging="516"/>
        <w:spacing w:after="0"/>
        <w:tabs>
          <w:tab w:leader="none" w:pos="18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Legal and Policy Prohibitions</w:t>
      </w:r>
      <w:r>
        <w:rPr>
          <w:rFonts w:ascii="Arial" w:cs="Arial" w:eastAsia="Arial" w:hAnsi="Arial"/>
          <w:sz w:val="18"/>
          <w:szCs w:val="18"/>
          <w:color w:val="auto"/>
        </w:rPr>
        <w:t>. An Issuing Bank shall not be under any obligation to issue any Letter of Credit if:</w:t>
      </w:r>
    </w:p>
    <w:p>
      <w:pPr>
        <w:spacing w:after="0" w:line="225" w:lineRule="exact"/>
        <w:rPr>
          <w:rFonts w:ascii="Arial" w:cs="Arial" w:eastAsia="Arial" w:hAnsi="Arial"/>
          <w:sz w:val="18"/>
          <w:szCs w:val="18"/>
          <w:color w:val="auto"/>
        </w:rPr>
      </w:pPr>
    </w:p>
    <w:p>
      <w:pPr>
        <w:jc w:val="both"/>
        <w:ind w:left="660" w:firstLine="1292"/>
        <w:spacing w:after="0" w:line="273" w:lineRule="auto"/>
        <w:tabs>
          <w:tab w:leader="none" w:pos="247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77" w:lineRule="exact"/>
        <w:rPr>
          <w:rFonts w:ascii="Arial" w:cs="Arial" w:eastAsia="Arial" w:hAnsi="Arial"/>
          <w:sz w:val="17"/>
          <w:szCs w:val="17"/>
          <w:color w:val="auto"/>
        </w:rPr>
      </w:pPr>
    </w:p>
    <w:p>
      <w:pPr>
        <w:ind w:left="2580" w:hanging="628"/>
        <w:spacing w:after="0"/>
        <w:tabs>
          <w:tab w:leader="none" w:pos="25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such Issuing Bank applicable to letters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credit generally.</w:t>
      </w:r>
    </w:p>
    <w:p>
      <w:pPr>
        <w:spacing w:after="0" w:line="210" w:lineRule="exact"/>
        <w:rPr>
          <w:rFonts w:ascii="Arial" w:cs="Arial" w:eastAsia="Arial" w:hAnsi="Arial"/>
          <w:sz w:val="17"/>
          <w:szCs w:val="17"/>
          <w:color w:val="auto"/>
        </w:rPr>
      </w:pPr>
    </w:p>
    <w:p>
      <w:pPr>
        <w:jc w:val="both"/>
        <w:ind w:firstLine="1304"/>
        <w:spacing w:after="0" w:line="273" w:lineRule="auto"/>
        <w:tabs>
          <w:tab w:leader="none" w:pos="187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Each Letter of Credit shall expire on or prior to the date (the “</w:t>
      </w:r>
      <w:r>
        <w:rPr>
          <w:rFonts w:ascii="Arial" w:cs="Arial" w:eastAsia="Arial" w:hAnsi="Arial"/>
          <w:sz w:val="17"/>
          <w:szCs w:val="17"/>
          <w:u w:val="single" w:color="auto"/>
          <w:color w:val="auto"/>
        </w:rPr>
        <w:t>LC Expiration Date</w:t>
      </w:r>
      <w:r>
        <w:rPr>
          <w:rFonts w:ascii="Arial" w:cs="Arial" w:eastAsia="Arial" w:hAnsi="Arial"/>
          <w:sz w:val="17"/>
          <w:szCs w:val="17"/>
          <w:color w:val="auto"/>
        </w:rPr>
        <w:t xml:space="preserve">”) that is five Business Days prior to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terms and conditions of </w:t>
      </w:r>
      <w:r>
        <w:rPr>
          <w:rFonts w:ascii="Arial" w:cs="Arial" w:eastAsia="Arial" w:hAnsi="Arial"/>
          <w:sz w:val="17"/>
          <w:szCs w:val="17"/>
          <w:u w:val="single" w:color="auto"/>
          <w:color w:val="auto"/>
        </w:rPr>
        <w:t>Section 3.01(k)</w:t>
      </w:r>
      <w:r>
        <w:rPr>
          <w:rFonts w:ascii="Arial" w:cs="Arial" w:eastAsia="Arial" w:hAnsi="Arial"/>
          <w:sz w:val="17"/>
          <w:szCs w:val="17"/>
          <w:color w:val="auto"/>
        </w:rPr>
        <w:t>, any Borrower may request that an Issuing Bank issue on or prior to the Stated Cash Collateralization Date a Letter of Credit with an expiration date that is beyond the LC Expiration Date (including as a result of an automatic renewal of a Letter of Credit for an additional period that would end after the LC Expiration Date) but in no event later than the one-year anniversary of the Maturity Date (each such Letter of Credit, an “</w:t>
      </w:r>
      <w:r>
        <w:rPr>
          <w:rFonts w:ascii="Arial" w:cs="Arial" w:eastAsia="Arial" w:hAnsi="Arial"/>
          <w:sz w:val="17"/>
          <w:szCs w:val="17"/>
          <w:u w:val="single" w:color="auto"/>
          <w:color w:val="auto"/>
        </w:rPr>
        <w:t>Extended Expiration Letter of Credit</w:t>
      </w:r>
      <w:r>
        <w:rPr>
          <w:rFonts w:ascii="Arial" w:cs="Arial" w:eastAsia="Arial" w:hAnsi="Arial"/>
          <w:sz w:val="17"/>
          <w:szCs w:val="17"/>
          <w:color w:val="auto"/>
        </w:rPr>
        <w:t>”), and such Issuing Bank may in its sole discretion, without the consent of the Administrative Agent or any of the Lenders, agree to issue such Extended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t>Expiration Letter of Credit (it being understood that no Issuing Bank shall be obligated to issue any Extended Expiration Letter of Credit). No Extended Expiration Letter of Credit may be issued after the Stated Cash Collateralization Date.</w:t>
      </w:r>
    </w:p>
    <w:p>
      <w:pPr>
        <w:spacing w:after="0" w:line="170" w:lineRule="exact"/>
        <w:rPr>
          <w:sz w:val="20"/>
          <w:szCs w:val="20"/>
          <w:color w:val="auto"/>
        </w:rPr>
      </w:pPr>
    </w:p>
    <w:p>
      <w:pPr>
        <w:jc w:val="both"/>
        <w:ind w:firstLine="1304"/>
        <w:spacing w:after="0" w:line="269" w:lineRule="auto"/>
        <w:tabs>
          <w:tab w:leader="none" w:pos="189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of the Dollar Equivalent amount of each LC Disbursement made by such Issuing Bank and not reimbursed by the Borrowers on the date due as provided in </w:t>
      </w:r>
      <w:r>
        <w:rPr>
          <w:rFonts w:ascii="Arial" w:cs="Arial" w:eastAsia="Arial" w:hAnsi="Arial"/>
          <w:sz w:val="17"/>
          <w:szCs w:val="17"/>
          <w:u w:val="single" w:color="auto"/>
          <w:color w:val="auto"/>
        </w:rPr>
        <w:t>Section 3.01(f)</w:t>
      </w:r>
      <w:r>
        <w:rPr>
          <w:rFonts w:ascii="Arial" w:cs="Arial" w:eastAsia="Arial" w:hAnsi="Arial"/>
          <w:sz w:val="17"/>
          <w:szCs w:val="17"/>
          <w:color w:val="auto"/>
        </w:rPr>
        <w:t>,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81" w:lineRule="exact"/>
        <w:rPr>
          <w:rFonts w:ascii="Arial" w:cs="Arial" w:eastAsia="Arial" w:hAnsi="Arial"/>
          <w:sz w:val="17"/>
          <w:szCs w:val="17"/>
          <w:color w:val="auto"/>
        </w:rPr>
      </w:pPr>
    </w:p>
    <w:p>
      <w:pPr>
        <w:jc w:val="both"/>
        <w:ind w:firstLine="1304"/>
        <w:spacing w:after="0" w:line="268" w:lineRule="auto"/>
        <w:tabs>
          <w:tab w:leader="none" w:pos="187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If any Issuing Bank shall make any LC Disbursement in respect of a Letter of Credit, the applicable Borrower that requested such Letter of Credit or that is otherwise an applicant for such Letter of Credit shall reimburse such LC Disbursement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If the applicable Borrower fails to make such payment when due and no other Borrower makes such payment, the Issuing Bank shall notify the Administrative Agent who shall notify each Lender of the applicable LC Disbursement, the payment then due from such Borrower in respect thereof and such Lender’s Applicable Percentage of the Dollar Equivalent thereof. Promptly following receipt of such notice, each Lender shall pay to the applicable Issuing Bank, in Dollars, its Applicable Percentage of the Dollar Equivalent of the payment then due from such Borrower, in the manner set forth in the immediately following sentence. Each Lender shall make each such payment to be made by it on the proposed date thereof by wire transfer of 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jc w:val="both"/>
        <w:ind w:left="-20" w:firstLine="1304"/>
        <w:spacing w:after="0" w:line="284" w:lineRule="auto"/>
        <w:tabs>
          <w:tab w:leader="none" w:pos="201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obligations to reimburse LC Disbursements as provided in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8" w:lineRule="exact"/>
        <w:rPr>
          <w:rFonts w:ascii="Arial" w:cs="Arial" w:eastAsia="Arial" w:hAnsi="Arial"/>
          <w:sz w:val="16"/>
          <w:szCs w:val="16"/>
          <w:color w:val="auto"/>
        </w:rPr>
      </w:pPr>
    </w:p>
    <w:p>
      <w:pPr>
        <w:jc w:val="both"/>
        <w:ind w:left="-20" w:firstLine="1304"/>
        <w:spacing w:after="0" w:line="255" w:lineRule="auto"/>
        <w:tabs>
          <w:tab w:leader="none" w:pos="193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within the period stipulated by terms and conditions of Letter of Credit, following its receipt thereof, examine all documents purporting to represent a demand for payment under a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Borrowers of their obligation to reimburse such Issuing Bank and the Lenders with respect to any such LC Disbursement.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08" w:name="page109"/>
    <w:bookmarkEnd w:id="108"/>
    <w:p>
      <w:pPr>
        <w:jc w:val="both"/>
        <w:ind w:left="-20" w:firstLine="1304"/>
        <w:spacing w:after="0" w:line="254" w:lineRule="auto"/>
        <w:tabs>
          <w:tab w:leader="none" w:pos="185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Borrowers fail to reimburse such LC Disbursement when due pursuant to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then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to reimburse such Issuing Bank shall be for the account of such Lender to the extent of such payment.</w:t>
      </w:r>
    </w:p>
    <w:p>
      <w:pPr>
        <w:spacing w:after="0" w:line="194" w:lineRule="exact"/>
        <w:rPr>
          <w:rFonts w:ascii="Arial" w:cs="Arial" w:eastAsia="Arial" w:hAnsi="Arial"/>
          <w:sz w:val="18"/>
          <w:szCs w:val="18"/>
          <w:color w:val="auto"/>
        </w:rPr>
      </w:pPr>
    </w:p>
    <w:p>
      <w:pPr>
        <w:ind w:left="1760" w:hanging="476"/>
        <w:spacing w:after="0"/>
        <w:tabs>
          <w:tab w:leader="none" w:pos="17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Modification and Termination of LC Commitments of Issuing Banks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1292"/>
        <w:spacing w:after="0" w:line="272" w:lineRule="auto"/>
        <w:tabs>
          <w:tab w:leader="none" w:pos="2554"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The LC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remove such Issuing Bank as an Issuing Bank from </w:t>
      </w:r>
      <w:r>
        <w:rPr>
          <w:rFonts w:ascii="Arial" w:cs="Arial" w:eastAsia="Arial" w:hAnsi="Arial"/>
          <w:sz w:val="17"/>
          <w:szCs w:val="17"/>
          <w:u w:val="single" w:color="auto"/>
          <w:color w:val="auto"/>
        </w:rPr>
        <w:t>Schedule 2.01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40" w:firstLine="1292"/>
        <w:spacing w:after="0" w:line="254" w:lineRule="auto"/>
        <w:tabs>
          <w:tab w:leader="none" w:pos="2565" w:val="left"/>
        </w:tabs>
        <w:numPr>
          <w:ilvl w:val="1"/>
          <w:numId w:val="81"/>
        </w:numPr>
        <w:rPr>
          <w:rFonts w:ascii="Arial" w:cs="Arial" w:eastAsia="Arial" w:hAnsi="Arial"/>
          <w:sz w:val="18"/>
          <w:szCs w:val="18"/>
          <w:color w:val="auto"/>
        </w:rPr>
      </w:pPr>
      <w:r>
        <w:rPr>
          <w:rFonts w:ascii="Arial" w:cs="Arial" w:eastAsia="Arial" w:hAnsi="Arial"/>
          <w:sz w:val="18"/>
          <w:szCs w:val="18"/>
          <w:color w:val="auto"/>
        </w:rPr>
        <w:t>By written notice to the Borrowers, each Issuing Bank may from time to time request that such Issuing Bank’s LC Commitment be increased, decreased or terminated. Within ten (10)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191" w:lineRule="exact"/>
        <w:rPr>
          <w:rFonts w:ascii="Arial" w:cs="Arial" w:eastAsia="Arial" w:hAnsi="Arial"/>
          <w:sz w:val="18"/>
          <w:szCs w:val="18"/>
          <w:color w:val="auto"/>
        </w:rPr>
      </w:pPr>
    </w:p>
    <w:p>
      <w:pPr>
        <w:ind w:left="1800" w:hanging="516"/>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20" w:hanging="488"/>
        <w:spacing w:after="0"/>
        <w:tabs>
          <w:tab w:leader="none" w:pos="2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1280" w:firstLine="652"/>
        <w:spacing w:after="0" w:line="286" w:lineRule="auto"/>
        <w:tabs>
          <w:tab w:leader="none" w:pos="2497"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any Event of Default shall occur and be continuing, on the Business Day that the Borrowers receive notice from the Administrative Agent or the Required Lenders (or, if the maturity has been accelerated, Lenders with LC Exposures representing greater than 50% of the Total LC Exposure) demanding the deposit of cash collateral pursuant to this paragraph;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09" w:name="page110"/>
    <w:bookmarkEnd w:id="109"/>
    <w:p>
      <w:pPr>
        <w:ind w:left="1764" w:hanging="468"/>
        <w:spacing w:after="0"/>
        <w:tabs>
          <w:tab w:leader="none" w:pos="1764"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on the Maturity Date or, if earlier, the termination of the Aggregate Commitments;</w:t>
      </w:r>
    </w:p>
    <w:p>
      <w:pPr>
        <w:spacing w:after="0" w:line="225" w:lineRule="exact"/>
        <w:rPr>
          <w:rFonts w:ascii="Arial" w:cs="Arial" w:eastAsia="Arial" w:hAnsi="Arial"/>
          <w:sz w:val="18"/>
          <w:szCs w:val="18"/>
          <w:color w:val="010000"/>
        </w:rPr>
      </w:pPr>
    </w:p>
    <w:p>
      <w:pPr>
        <w:ind w:left="1764" w:hanging="468"/>
        <w:spacing w:after="0"/>
        <w:tabs>
          <w:tab w:leader="none" w:pos="1764"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 xml:space="preserve">the Borrowers are required to cash collateralize LC Exposure pursuant to (I)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(II)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764" w:hanging="468"/>
        <w:spacing w:after="0"/>
        <w:tabs>
          <w:tab w:leader="none" w:pos="1764"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any Extended Expiration Letters of Credit are issued and outstanding on the Stated Cash Collateralization Date; or</w:t>
      </w:r>
    </w:p>
    <w:p>
      <w:pPr>
        <w:spacing w:after="0" w:line="236" w:lineRule="exact"/>
        <w:rPr>
          <w:rFonts w:ascii="Arial" w:cs="Arial" w:eastAsia="Arial" w:hAnsi="Arial"/>
          <w:sz w:val="17"/>
          <w:szCs w:val="17"/>
          <w:color w:val="010000"/>
        </w:rPr>
      </w:pPr>
    </w:p>
    <w:p>
      <w:pPr>
        <w:ind w:left="1804" w:hanging="508"/>
        <w:spacing w:after="0"/>
        <w:tabs>
          <w:tab w:leader="none" w:pos="18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Borrowers are required to cash collateralize LC Exposure pursuant to </w:t>
      </w:r>
      <w:r>
        <w:rPr>
          <w:rFonts w:ascii="Arial" w:cs="Arial" w:eastAsia="Arial" w:hAnsi="Arial"/>
          <w:sz w:val="18"/>
          <w:szCs w:val="18"/>
          <w:u w:val="single" w:color="auto"/>
          <w:color w:val="auto"/>
        </w:rPr>
        <w:t>Section 7.08(m)</w:t>
      </w:r>
      <w:r>
        <w:rPr>
          <w:rFonts w:ascii="Arial" w:cs="Arial" w:eastAsia="Arial" w:hAnsi="Arial"/>
          <w:sz w:val="18"/>
          <w:szCs w:val="18"/>
          <w:color w:val="auto"/>
        </w:rPr>
        <w:t>;</w:t>
      </w:r>
    </w:p>
    <w:p>
      <w:pPr>
        <w:spacing w:after="0" w:line="225" w:lineRule="exact"/>
        <w:rPr>
          <w:sz w:val="20"/>
          <w:szCs w:val="20"/>
          <w:color w:val="auto"/>
        </w:rPr>
      </w:pPr>
    </w:p>
    <w:p>
      <w:pPr>
        <w:jc w:val="both"/>
        <w:ind w:left="4"/>
        <w:spacing w:after="0" w:line="283" w:lineRule="auto"/>
        <w:rPr>
          <w:sz w:val="20"/>
          <w:szCs w:val="20"/>
          <w:color w:val="auto"/>
        </w:rPr>
      </w:pPr>
      <w:r>
        <w:rPr>
          <w:rFonts w:ascii="Arial" w:cs="Arial" w:eastAsia="Arial" w:hAnsi="Arial"/>
          <w:sz w:val="16"/>
          <w:szCs w:val="16"/>
          <w:color w:val="auto"/>
        </w:rPr>
        <w:t>then the Borrowers shall deposit in an account maintained with the Administrative Agent, in the name of the Administrative Agent and for the benefit of the Issuing Banks and the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(w)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immediately above, (1) 105% of the Total LC Exposure with respect to Letters of Credit that are denominated in an Alternative Currency and (2) 103% of the Total LC Exposure with respect to Letters of Credit that are denominated in U.S. Dollars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of the Borrower that requested, or is otherwise an applicant 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(x)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immediately above, an amount necessary to satisfy the requirements of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as the case may be, (y)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immediately above, 103% of the Total LC Exposure with respect to any Extended Expiration Letters of Credit on the Stated Cash Collateralization Date that are denominated in Dollars and 105% of the Dollar Equivalent of the Total LC Exposure with respect to any Extended Expiration Letters of Credit on the Stated Cash Collateralization Date that are denominated in Alternative Currencies, and (z) in the case of </w:t>
      </w:r>
      <w:r>
        <w:rPr>
          <w:rFonts w:ascii="Arial" w:cs="Arial" w:eastAsia="Arial" w:hAnsi="Arial"/>
          <w:sz w:val="16"/>
          <w:szCs w:val="16"/>
          <w:u w:val="single" w:color="auto"/>
          <w:color w:val="auto"/>
        </w:rPr>
        <w:t>clause</w:t>
      </w:r>
    </w:p>
    <w:p>
      <w:pPr>
        <w:spacing w:after="0" w:line="4" w:lineRule="exact"/>
        <w:rPr>
          <w:sz w:val="20"/>
          <w:szCs w:val="20"/>
          <w:color w:val="auto"/>
        </w:rPr>
      </w:pPr>
    </w:p>
    <w:p>
      <w:pPr>
        <w:jc w:val="both"/>
        <w:ind w:left="4" w:hanging="4"/>
        <w:spacing w:after="0" w:line="267" w:lineRule="auto"/>
        <w:tabs>
          <w:tab w:leader="none" w:pos="282" w:val="left"/>
        </w:tabs>
        <w:numPr>
          <w:ilvl w:val="0"/>
          <w:numId w:val="84"/>
        </w:numPr>
        <w:rPr>
          <w:rFonts w:ascii="Arial" w:cs="Arial" w:eastAsia="Arial" w:hAnsi="Arial"/>
          <w:sz w:val="17"/>
          <w:szCs w:val="17"/>
          <w:u w:val="single" w:color="auto"/>
          <w:color w:val="auto"/>
        </w:rPr>
      </w:pPr>
      <w:r>
        <w:rPr>
          <w:rFonts w:ascii="Arial" w:cs="Arial" w:eastAsia="Arial" w:hAnsi="Arial"/>
          <w:sz w:val="17"/>
          <w:szCs w:val="17"/>
          <w:color w:val="auto"/>
        </w:rPr>
        <w:t xml:space="preserve">immediately above, an amount equal to the amount required by </w:t>
      </w:r>
      <w:r>
        <w:rPr>
          <w:rFonts w:ascii="Arial" w:cs="Arial" w:eastAsia="Arial" w:hAnsi="Arial"/>
          <w:sz w:val="17"/>
          <w:szCs w:val="17"/>
          <w:u w:val="single" w:color="auto"/>
          <w:color w:val="auto"/>
        </w:rPr>
        <w:t>Section 7.08(m)</w:t>
      </w:r>
      <w:r>
        <w:rPr>
          <w:rFonts w:ascii="Arial" w:cs="Arial" w:eastAsia="Arial" w:hAnsi="Arial"/>
          <w:sz w:val="17"/>
          <w:szCs w:val="17"/>
          <w:color w:val="auto"/>
        </w:rPr>
        <w:t xml:space="preserve">. Any such deposits pursuant to this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or such other provisions under this Agreement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Arial" w:cs="Arial" w:eastAsia="Arial" w:hAnsi="Arial"/>
          <w:sz w:val="17"/>
          <w:szCs w:val="17"/>
          <w:u w:val="single" w:color="auto"/>
          <w:color w:val="auto"/>
        </w:rPr>
        <w:t>Section 3.01(f)</w:t>
      </w:r>
      <w:r>
        <w:rPr>
          <w:rFonts w:ascii="Arial" w:cs="Arial" w:eastAsia="Arial" w:hAnsi="Arial"/>
          <w:sz w:val="17"/>
          <w:szCs w:val="17"/>
          <w:color w:val="auto"/>
        </w:rPr>
        <w:t xml:space="preserve"> or, if the scheduled maturity date of the</w:t>
      </w:r>
    </w:p>
    <w:p>
      <w:pPr>
        <w:spacing w:after="0" w:line="18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110" w:name="page111"/>
    <w:bookmarkEnd w:id="110"/>
    <w:p>
      <w:pPr>
        <w:jc w:val="both"/>
        <w:ind w:left="640"/>
        <w:spacing w:after="0" w:line="268" w:lineRule="auto"/>
        <w:rPr>
          <w:sz w:val="20"/>
          <w:szCs w:val="20"/>
          <w:color w:val="auto"/>
        </w:rPr>
      </w:pPr>
      <w:r>
        <w:rPr>
          <w:rFonts w:ascii="Arial" w:cs="Arial" w:eastAsia="Arial" w:hAnsi="Arial"/>
          <w:sz w:val="17"/>
          <w:szCs w:val="17"/>
          <w:color w:val="auto"/>
        </w:rPr>
        <w:t xml:space="preserve">Obligations has been accelerated, be applied to satisfy other obligations of the Borrowers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cash collateral provided pursuant to clause (E) above shall be applied in accordance with clause (4) of the immediately succeeding sentence. If the Borrowers are required to provide an amount of cash collateral (1) as a result of the occurrence of an Event of Default, such amount (to the extent not applied as provided in this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shall be returned to the Borrowers within three Business Days after all Events of Default have been cured or waived, (2)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the Total LC Exposure is subsequently reduced to an amount less than the Aggregate Commitments, such cash collateral (to the extent not applied as provided in this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or a portion thereof shall be promptly returned to the Borrowers to the extent, and within three Business Days after determining, that the amount of the Total LC Exposure is less than the amount of the Aggregate Commitments, (3) as a result of any Extended Expiration Letters of Credit, such amount (to the extent not applied as provided in this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shall be returned to the Borrowers within three Business Days after each such Extended Expiration Letter of Credit has expired or terminated without any pending draw under such Extended Expiration Letter of Credit or (4) pursuant to </w:t>
      </w:r>
      <w:r>
        <w:rPr>
          <w:rFonts w:ascii="Arial" w:cs="Arial" w:eastAsia="Arial" w:hAnsi="Arial"/>
          <w:sz w:val="17"/>
          <w:szCs w:val="17"/>
          <w:u w:val="single" w:color="auto"/>
          <w:color w:val="auto"/>
        </w:rPr>
        <w:t>Section 7.08(m)</w:t>
      </w:r>
      <w:r>
        <w:rPr>
          <w:rFonts w:ascii="Arial" w:cs="Arial" w:eastAsia="Arial" w:hAnsi="Arial"/>
          <w:sz w:val="17"/>
          <w:szCs w:val="17"/>
          <w:color w:val="auto"/>
        </w:rPr>
        <w:t>, such cash collateral shall be held by the Collateral Agent shall be returned to the Borrowers within three Business Days after the earlier to occur of (a) the Step Down / Release Trigger Date and (b) the Discharge of the Revolving Credit Facility unless and to the extent on the date of such occurrence one of the events giving rise to the requirement for cash collateralization described in clauses (A), (B), (C) or (D) above shall have also occurred and the cash collateral therefor shall not have been delivered.</w:t>
      </w:r>
    </w:p>
    <w:p>
      <w:pPr>
        <w:spacing w:after="0" w:line="184" w:lineRule="exact"/>
        <w:rPr>
          <w:sz w:val="20"/>
          <w:szCs w:val="20"/>
          <w:color w:val="auto"/>
        </w:rPr>
      </w:pPr>
    </w:p>
    <w:p>
      <w:pPr>
        <w:jc w:val="both"/>
        <w:ind w:left="640" w:firstLine="1292"/>
        <w:spacing w:after="0" w:line="257" w:lineRule="auto"/>
        <w:tabs>
          <w:tab w:leader="none" w:pos="2467"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The obligations of each of the Borrowers and the Lenders under this Agreement and the other Loan Documents regarding Letters of Credit, including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after the Maturity Date and termination of this Agreement for so long as any LC Exposure exists (whether or not all or any portion of such LC Exposure has been cash collateralized as described in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Extended Expiration Letters of Credit, only the Borrowers and the applicable Issuing Banks’ obligations (and not those of any other Lender) shall so survive.</w:t>
      </w:r>
    </w:p>
    <w:p>
      <w:pPr>
        <w:spacing w:after="0" w:line="187" w:lineRule="exact"/>
        <w:rPr>
          <w:rFonts w:ascii="Arial" w:cs="Arial" w:eastAsia="Arial" w:hAnsi="Arial"/>
          <w:sz w:val="18"/>
          <w:szCs w:val="18"/>
          <w:color w:val="auto"/>
        </w:rPr>
      </w:pPr>
    </w:p>
    <w:p>
      <w:pPr>
        <w:jc w:val="both"/>
        <w:ind w:left="640" w:firstLine="1292"/>
        <w:spacing w:after="0" w:line="301" w:lineRule="auto"/>
        <w:tabs>
          <w:tab w:leader="none" w:pos="2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For the avoidance of doubt, each Lender confirms that its respective obligations (x)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(y) in respect of Letters of Credit shall be reinstated in full and apply if the delivery of any cash collateral pursuant to this </w:t>
      </w:r>
      <w:r>
        <w:rPr>
          <w:rFonts w:ascii="Arial" w:cs="Arial" w:eastAsia="Arial" w:hAnsi="Arial"/>
          <w:sz w:val="16"/>
          <w:szCs w:val="16"/>
          <w:u w:val="single" w:color="auto"/>
          <w:color w:val="auto"/>
        </w:rPr>
        <w:t>Section 3.01(k)</w:t>
      </w:r>
      <w:r>
        <w:rPr>
          <w:rFonts w:ascii="Arial" w:cs="Arial" w:eastAsia="Arial" w:hAnsi="Arial"/>
          <w:sz w:val="16"/>
          <w:szCs w:val="16"/>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or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9.01(j)</w:t>
      </w:r>
      <w:r>
        <w:rPr>
          <w:rFonts w:ascii="Arial" w:cs="Arial" w:eastAsia="Arial" w:hAnsi="Arial"/>
          <w:sz w:val="16"/>
          <w:szCs w:val="16"/>
          <w:color w:val="auto"/>
        </w:rPr>
        <w:t xml:space="preserve"> or otherwise.</w:t>
      </w:r>
    </w:p>
    <w:p>
      <w:pPr>
        <w:spacing w:after="0" w:line="157" w:lineRule="exact"/>
        <w:rPr>
          <w:rFonts w:ascii="Arial" w:cs="Arial" w:eastAsia="Arial" w:hAnsi="Arial"/>
          <w:sz w:val="16"/>
          <w:szCs w:val="16"/>
          <w:color w:val="auto"/>
        </w:rPr>
      </w:pPr>
    </w:p>
    <w:p>
      <w:pPr>
        <w:jc w:val="both"/>
        <w:ind w:left="-20" w:firstLine="1304"/>
        <w:spacing w:after="0" w:line="257" w:lineRule="auto"/>
        <w:tabs>
          <w:tab w:leader="none" w:pos="184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which shall be in a form reasonably satisfactory to the Borrowers and the Administrative Agent, shall set forth the LC Commitment of such Lender and shall be executed by such Lender,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11" w:name="page112"/>
    <w:bookmarkEnd w:id="111"/>
    <w:p>
      <w:pPr>
        <w:jc w:val="both"/>
        <w:spacing w:after="0" w:line="263" w:lineRule="auto"/>
        <w:rPr>
          <w:sz w:val="20"/>
          <w:szCs w:val="20"/>
          <w:color w:val="auto"/>
        </w:rPr>
      </w:pPr>
      <w:r>
        <w:rPr>
          <w:rFonts w:ascii="Arial" w:cs="Arial" w:eastAsia="Arial" w:hAnsi="Arial"/>
          <w:sz w:val="18"/>
          <w:szCs w:val="18"/>
          <w:color w:val="auto"/>
        </w:rPr>
        <w:t>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84" w:lineRule="exact"/>
        <w:rPr>
          <w:sz w:val="20"/>
          <w:szCs w:val="20"/>
          <w:color w:val="auto"/>
        </w:rPr>
      </w:pPr>
    </w:p>
    <w:p>
      <w:pPr>
        <w:jc w:val="both"/>
        <w:ind w:firstLine="1304"/>
        <w:spacing w:after="0" w:line="269" w:lineRule="auto"/>
        <w:tabs>
          <w:tab w:leader="none" w:pos="1979"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Account of Restricted Subsidiaries</w:t>
      </w:r>
      <w:r>
        <w:rPr>
          <w:rFonts w:ascii="Arial" w:cs="Arial" w:eastAsia="Arial" w:hAnsi="Arial"/>
          <w:sz w:val="17"/>
          <w:szCs w:val="17"/>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w:t>
      </w:r>
    </w:p>
    <w:p>
      <w:pPr>
        <w:spacing w:after="0" w:line="185" w:lineRule="exact"/>
        <w:rPr>
          <w:rFonts w:ascii="Arial" w:cs="Arial" w:eastAsia="Arial" w:hAnsi="Arial"/>
          <w:sz w:val="17"/>
          <w:szCs w:val="17"/>
          <w:color w:val="auto"/>
        </w:rPr>
      </w:pPr>
    </w:p>
    <w:p>
      <w:pPr>
        <w:jc w:val="both"/>
        <w:ind w:firstLine="1304"/>
        <w:spacing w:after="0" w:line="270" w:lineRule="auto"/>
        <w:tabs>
          <w:tab w:leader="none" w:pos="1821"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Simultaneously with the occurrence of the Effective Date, each of the Existing Letters of Credit shall be deemed issued under this Agreement (and shall comprise Letters of Credit under this Agreement and the other Loan Documents), and with respect to each such Existing Letter of Credit, the applicable Borrower specified on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with respect to such Existing Letter of Credit shall be deemed to be the applicant (or where no Borrower is specified on either Schedule 3.01 or any schedule to Amendment No. 1, all Borrowers shall be deemed to be the applicant thereof), and shall have the reimbursement obligations provided in </w:t>
      </w:r>
      <w:r>
        <w:rPr>
          <w:rFonts w:ascii="Arial" w:cs="Arial" w:eastAsia="Arial" w:hAnsi="Arial"/>
          <w:sz w:val="17"/>
          <w:szCs w:val="17"/>
          <w:u w:val="single" w:color="auto"/>
          <w:color w:val="auto"/>
        </w:rPr>
        <w:t>Section 3.01(f)</w:t>
      </w:r>
      <w:r>
        <w:rPr>
          <w:rFonts w:ascii="Arial" w:cs="Arial" w:eastAsia="Arial" w:hAnsi="Arial"/>
          <w:sz w:val="17"/>
          <w:szCs w:val="17"/>
          <w:color w:val="auto"/>
        </w:rPr>
        <w:t xml:space="preserve">, with respect thereto. Existing Letters of Credit shall be subject to all provisions contained herein (including, without limitation,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3.01(g)</w:t>
      </w:r>
      <w:r>
        <w:rPr>
          <w:rFonts w:ascii="Arial" w:cs="Arial" w:eastAsia="Arial" w:hAnsi="Arial"/>
          <w:sz w:val="17"/>
          <w:szCs w:val="17"/>
          <w:color w:val="auto"/>
        </w:rPr>
        <w:t>) and be secured by the Collateral pursuant to the Loan Documents. No Existing Letters of Credit issued by Standard Chartered Bank (or any of its Affiliates) (x) may be amended or modified without the approval of such Person, which approval may be given in its sole discretion and (y) shall be renewed or extended upon the expiration thereof in effect on the Effective Date.</w:t>
      </w:r>
    </w:p>
    <w:p>
      <w:pPr>
        <w:spacing w:after="0" w:line="180" w:lineRule="exact"/>
        <w:rPr>
          <w:rFonts w:ascii="Arial" w:cs="Arial" w:eastAsia="Arial" w:hAnsi="Arial"/>
          <w:sz w:val="17"/>
          <w:szCs w:val="17"/>
          <w:color w:val="auto"/>
        </w:rPr>
      </w:pPr>
    </w:p>
    <w:p>
      <w:pPr>
        <w:ind w:firstLine="1304"/>
        <w:spacing w:after="0" w:line="277" w:lineRule="auto"/>
        <w:tabs>
          <w:tab w:leader="none" w:pos="191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Minimum Denominations</w:t>
      </w:r>
      <w:r>
        <w:rPr>
          <w:rFonts w:ascii="Arial" w:cs="Arial" w:eastAsia="Arial" w:hAnsi="Arial"/>
          <w:sz w:val="18"/>
          <w:szCs w:val="18"/>
          <w:color w:val="auto"/>
        </w:rPr>
        <w:t>. Letters of Credit (other than Existing Letters of Credit) hereunder shall be issued in minimum face amounts of $25,000 (or if denominated in an Alternative Currency, the Dollar equivalent of $25,000).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010000"/>
        </w:rPr>
        <w:t>ARTICLE IV</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PAYMENTS; PRO RATA TREATMENT; TAXES</w:t>
      </w:r>
    </w:p>
    <w:p>
      <w:pPr>
        <w:spacing w:after="0" w:line="21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07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Each Borrower shall make each payment required to be made by it hereunder (including fees or reimbursement of LC Disbursements, or of amounts payable under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or otherwise) prior to 12:00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60 Wall Street, New York,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payments to be made directly to an Issuing Bank as expressly provided herein shall be made directly to such Issuing Bank, as applicable, and (ii) payments pursuant to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in respect of any Obligation (or of any breakage indemnity in respect of thereof) shall be made in Dollars; all other payments hereunder and under each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Notwithstanding the foregoing provisions of this Section, if, after the issuance of any Letter of Credit in any Alternative Currency, currency control or exchange regulations are imposed in the country which issues such currency with the result that the type of currency in which the Letter of Credit was issued (herein,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xml:space="preserve">”) no longer exists or for any reason the relevant Borrower is not able to make payment to the Issuing Bank in such original currency, or the terms of this Agreement require the conversion of such Letter of Credit or the related Letter of Credit Exposure into Dollars (including as required by </w:t>
      </w:r>
      <w:r>
        <w:rPr>
          <w:rFonts w:ascii="Arial" w:cs="Arial" w:eastAsia="Arial" w:hAnsi="Arial"/>
          <w:sz w:val="16"/>
          <w:szCs w:val="16"/>
          <w:u w:val="single" w:color="auto"/>
          <w:color w:val="auto"/>
        </w:rPr>
        <w:t>Sections 3.01(c)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3.01(e)</w:t>
      </w:r>
      <w:r>
        <w:rPr>
          <w:rFonts w:ascii="Arial" w:cs="Arial" w:eastAsia="Arial" w:hAnsi="Arial"/>
          <w:sz w:val="16"/>
          <w:szCs w:val="16"/>
          <w:color w:val="auto"/>
        </w:rPr>
        <w:t>), then all payments to be made by such Borrower hereunder in such currency shall instead be made when due in Dollars in an amount equal to the Dollar Equivalent (as of the date of repayment) of such payment due,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Letter of Credit denominated in an Alternative Currency that is not repaid to the Issuing Banks, the Administrative Agent or the Lenders, as the case may be, in the original currency.</w:t>
      </w:r>
    </w:p>
    <w:p>
      <w:pPr>
        <w:spacing w:after="0" w:line="394" w:lineRule="exact"/>
        <w:rPr>
          <w:rFonts w:ascii="Arial" w:cs="Arial" w:eastAsia="Arial" w:hAnsi="Arial"/>
          <w:sz w:val="16"/>
          <w:szCs w:val="16"/>
          <w:color w:val="auto"/>
        </w:rPr>
      </w:pPr>
    </w:p>
    <w:p>
      <w:pPr>
        <w:jc w:val="both"/>
        <w:ind w:firstLine="1304"/>
        <w:spacing w:after="0" w:line="259" w:lineRule="auto"/>
        <w:tabs>
          <w:tab w:leader="none" w:pos="18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8"/>
          <w:szCs w:val="18"/>
          <w:i w:val="1"/>
          <w:iCs w:val="1"/>
          <w:color w:val="auto"/>
        </w:rPr>
        <w:t>second</w:t>
      </w:r>
      <w:r>
        <w:rPr>
          <w:rFonts w:ascii="Arial" w:cs="Arial" w:eastAsia="Arial" w:hAnsi="Arial"/>
          <w:sz w:val="18"/>
          <w:szCs w:val="18"/>
          <w:color w:val="auto"/>
        </w:rPr>
        <w:t>, towards payment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3" w:name="page114"/>
    <w:bookmarkEnd w:id="113"/>
    <w:p>
      <w:pPr>
        <w:ind w:right="20"/>
        <w:spacing w:after="0" w:line="277" w:lineRule="auto"/>
        <w:rPr>
          <w:sz w:val="20"/>
          <w:szCs w:val="20"/>
          <w:color w:val="auto"/>
        </w:rPr>
      </w:pPr>
      <w:r>
        <w:rPr>
          <w:rFonts w:ascii="Arial" w:cs="Arial" w:eastAsia="Arial" w:hAnsi="Arial"/>
          <w:sz w:val="18"/>
          <w:szCs w:val="18"/>
          <w:color w:val="auto"/>
        </w:rPr>
        <w:t>principal and unreimbursed LC Disbursements then due hereunder, ratably among the parties entitled thereto in accordance with the amounts of principal and unreimbursed LC Disbursements then due to such parties.</w:t>
      </w:r>
    </w:p>
    <w:p>
      <w:pPr>
        <w:spacing w:after="0" w:line="170" w:lineRule="exact"/>
        <w:rPr>
          <w:sz w:val="20"/>
          <w:szCs w:val="20"/>
          <w:color w:val="auto"/>
        </w:rPr>
      </w:pPr>
    </w:p>
    <w:p>
      <w:pPr>
        <w:jc w:val="both"/>
        <w:ind w:firstLine="1304"/>
        <w:spacing w:after="0" w:line="286" w:lineRule="auto"/>
        <w:tabs>
          <w:tab w:leader="none" w:pos="1817"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Obligation or participations in LC Disbursements resulting in such Lender receiving payment of a greater proportion of the aggregate amount of its participations in LC Disbursements and accrued fees thereon (excluding any fees payable to such Lender in its role as an Issuing Bank) than the proportion received by any other Lender, then the Lender receiving such greater proportion shall purchase (for cash at face value) participations in LC Disbursements of other Lenders to the extent necessary so that the benefit of all such payments shall be shared by the Lenders ratably in accordance with the aggregate amount of principal of and accrued interest on their respective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3" w:lineRule="exact"/>
        <w:rPr>
          <w:rFonts w:ascii="Arial" w:cs="Arial" w:eastAsia="Arial" w:hAnsi="Arial"/>
          <w:sz w:val="16"/>
          <w:szCs w:val="16"/>
          <w:color w:val="auto"/>
        </w:rPr>
      </w:pPr>
    </w:p>
    <w:p>
      <w:pPr>
        <w:jc w:val="both"/>
        <w:ind w:firstLine="1304"/>
        <w:spacing w:after="0" w:line="271" w:lineRule="auto"/>
        <w:tabs>
          <w:tab w:leader="none" w:pos="1843"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8" w:lineRule="exact"/>
        <w:rPr>
          <w:rFonts w:ascii="Arial" w:cs="Arial" w:eastAsia="Arial" w:hAnsi="Arial"/>
          <w:sz w:val="17"/>
          <w:szCs w:val="17"/>
          <w:color w:val="auto"/>
        </w:rPr>
      </w:pPr>
    </w:p>
    <w:p>
      <w:pPr>
        <w:jc w:val="both"/>
        <w:ind w:firstLine="1304"/>
        <w:spacing w:after="0" w:line="296" w:lineRule="auto"/>
        <w:tabs>
          <w:tab w:leader="none" w:pos="21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If any Lender shall fail to make any payment required to be made by it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11.04(a)</w:t>
      </w:r>
      <w:r>
        <w:rPr>
          <w:rFonts w:ascii="Arial" w:cs="Arial" w:eastAsia="Arial" w:hAnsi="Arial"/>
          <w:sz w:val="16"/>
          <w:szCs w:val="16"/>
          <w:color w:val="auto"/>
        </w:rPr>
        <w:t>,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 xml:space="preserve">Lender under any such Section,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in any order as determined by the Administrative Agent in its discretion.</w:t>
      </w:r>
    </w:p>
    <w:p>
      <w:pPr>
        <w:spacing w:after="0" w:line="24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Taxes/Additional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18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the Borrowers under any Loan Document shall be made free and clear of and without deduction or withholding for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94" w:lineRule="exact"/>
        <w:rPr>
          <w:rFonts w:ascii="Arial" w:cs="Arial" w:eastAsia="Arial" w:hAnsi="Arial"/>
          <w:sz w:val="18"/>
          <w:szCs w:val="18"/>
          <w:color w:val="auto"/>
        </w:rPr>
      </w:pPr>
    </w:p>
    <w:p>
      <w:pPr>
        <w:jc w:val="both"/>
        <w:ind w:firstLine="1304"/>
        <w:spacing w:after="0" w:line="270" w:lineRule="auto"/>
        <w:tabs>
          <w:tab w:leader="none" w:pos="197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Borrowers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shall not be liable for any penalties, interest and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80" w:lineRule="exact"/>
        <w:rPr>
          <w:rFonts w:ascii="Arial" w:cs="Arial" w:eastAsia="Arial" w:hAnsi="Arial"/>
          <w:sz w:val="17"/>
          <w:szCs w:val="17"/>
          <w:color w:val="auto"/>
        </w:rPr>
      </w:pPr>
    </w:p>
    <w:p>
      <w:pPr>
        <w:jc w:val="both"/>
        <w:ind w:firstLine="1304"/>
        <w:spacing w:after="0" w:line="270" w:lineRule="auto"/>
        <w:tabs>
          <w:tab w:leader="none" w:pos="1911"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5" w:name="page116"/>
    <w:bookmarkEnd w:id="115"/>
    <w:p>
      <w:pPr>
        <w:jc w:val="both"/>
        <w:ind w:left="-8" w:firstLine="1304"/>
        <w:spacing w:after="0" w:line="268" w:lineRule="auto"/>
        <w:tabs>
          <w:tab w:leader="none" w:pos="1910"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sole discretion, that it has received a refund of any Taxes paid by a Borrower or with respect to which a Borrower has paid additional amounts pursuant to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it shall pay over such refund to such Borrower (but only to the extent of indemnity payments made, or additional amounts paid, by such Borrower under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Borrower, upon the request of the Administrative Agent or such Lender, agrees to repay promptly the amount paid over to such Borrower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in no event will the indemnified party be required to pay any amount to an indemnifying party pursuant to this </w:t>
      </w:r>
      <w:r>
        <w:rPr>
          <w:rFonts w:ascii="Arial" w:cs="Arial" w:eastAsia="Arial" w:hAnsi="Arial"/>
          <w:sz w:val="17"/>
          <w:szCs w:val="17"/>
          <w:u w:val="single" w:color="auto"/>
          <w:color w:val="auto"/>
        </w:rPr>
        <w:t>paragraph (d)</w:t>
      </w:r>
      <w:r>
        <w:rPr>
          <w:rFonts w:ascii="Arial" w:cs="Arial" w:eastAsia="Arial" w:hAnsi="Arial"/>
          <w:sz w:val="17"/>
          <w:szCs w:val="17"/>
          <w:color w:val="auto"/>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6" w:lineRule="exact"/>
        <w:rPr>
          <w:rFonts w:ascii="Arial" w:cs="Arial" w:eastAsia="Arial" w:hAnsi="Arial"/>
          <w:sz w:val="17"/>
          <w:szCs w:val="17"/>
          <w:color w:val="auto"/>
        </w:rPr>
      </w:pPr>
    </w:p>
    <w:p>
      <w:pPr>
        <w:jc w:val="both"/>
        <w:ind w:left="-8" w:firstLine="1304"/>
        <w:spacing w:after="0" w:line="284" w:lineRule="auto"/>
        <w:tabs>
          <w:tab w:leader="none" w:pos="1832"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w:t>
      </w:r>
    </w:p>
    <w:p>
      <w:pPr>
        <w:spacing w:after="0" w:line="4" w:lineRule="exact"/>
        <w:rPr>
          <w:rFonts w:ascii="Arial" w:cs="Arial" w:eastAsia="Arial" w:hAnsi="Arial"/>
          <w:sz w:val="16"/>
          <w:szCs w:val="16"/>
          <w:color w:val="auto"/>
        </w:rPr>
      </w:pPr>
    </w:p>
    <w:p>
      <w:pPr>
        <w:jc w:val="both"/>
        <w:ind w:left="-8" w:firstLine="8"/>
        <w:spacing w:after="0" w:line="267" w:lineRule="auto"/>
        <w:tabs>
          <w:tab w:leader="none" w:pos="30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16" w:name="page117"/>
    <w:bookmarkEnd w:id="116"/>
    <w:p>
      <w:pPr>
        <w:jc w:val="both"/>
        <w:spacing w:after="0" w:line="254" w:lineRule="auto"/>
        <w:rPr>
          <w:sz w:val="20"/>
          <w:szCs w:val="20"/>
          <w:color w:val="auto"/>
        </w:rPr>
      </w:pPr>
      <w:r>
        <w:rPr>
          <w:rFonts w:ascii="Arial" w:cs="Arial" w:eastAsia="Arial" w:hAnsi="Arial"/>
          <w:sz w:val="18"/>
          <w:szCs w:val="18"/>
          <w:color w:val="auto"/>
        </w:rPr>
        <w:t>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192" w:lineRule="exact"/>
        <w:rPr>
          <w:sz w:val="20"/>
          <w:szCs w:val="20"/>
          <w:color w:val="auto"/>
        </w:rPr>
      </w:pPr>
    </w:p>
    <w:p>
      <w:pPr>
        <w:jc w:val="both"/>
        <w:ind w:firstLine="1304"/>
        <w:spacing w:after="0" w:line="289" w:lineRule="auto"/>
        <w:tabs>
          <w:tab w:leader="none" w:pos="1877"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Arial" w:cs="Arial" w:eastAsia="Arial" w:hAnsi="Arial"/>
          <w:sz w:val="16"/>
          <w:szCs w:val="16"/>
          <w:u w:val="single" w:color="auto"/>
          <w:color w:val="auto"/>
        </w:rPr>
        <w:t>Section 11.05(c)</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 (f)</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304"/>
        <w:spacing w:after="0" w:line="279" w:lineRule="auto"/>
        <w:tabs>
          <w:tab w:leader="none" w:pos="1829"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71" w:lineRule="exact"/>
        <w:rPr>
          <w:rFonts w:ascii="Arial" w:cs="Arial" w:eastAsia="Arial" w:hAnsi="Arial"/>
          <w:sz w:val="17"/>
          <w:szCs w:val="17"/>
          <w:color w:val="auto"/>
        </w:rPr>
      </w:pPr>
    </w:p>
    <w:p>
      <w:pPr>
        <w:jc w:val="both"/>
        <w:ind w:firstLine="1304"/>
        <w:spacing w:after="0" w:line="271" w:lineRule="auto"/>
        <w:tabs>
          <w:tab w:leader="none" w:pos="1982"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(including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Specified Event of Default occurs within 90 days following any such transfer, assignment, participation or sub-participation, the Swiss Obligors shall be required to make such tax gross up, tax indemnity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7" w:name="page118"/>
    <w:bookmarkEnd w:id="117"/>
    <w:p>
      <w:pPr>
        <w:jc w:val="both"/>
        <w:spacing w:after="0" w:line="263" w:lineRule="auto"/>
        <w:rPr>
          <w:sz w:val="20"/>
          <w:szCs w:val="20"/>
          <w:color w:val="auto"/>
        </w:rPr>
      </w:pPr>
      <w:r>
        <w:rPr>
          <w:rFonts w:ascii="Arial" w:cs="Arial" w:eastAsia="Arial" w:hAnsi="Arial"/>
          <w:sz w:val="18"/>
          <w:szCs w:val="18"/>
          <w:color w:val="auto"/>
        </w:rPr>
        <w:t>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184" w:lineRule="exact"/>
        <w:rPr>
          <w:sz w:val="20"/>
          <w:szCs w:val="20"/>
          <w:color w:val="auto"/>
        </w:rPr>
      </w:pPr>
    </w:p>
    <w:p>
      <w:pPr>
        <w:ind w:left="1780" w:hanging="476"/>
        <w:spacing w:after="0"/>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VAT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4" w:lineRule="auto"/>
        <w:tabs>
          <w:tab w:leader="none" w:pos="2522"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94" w:lineRule="exact"/>
        <w:rPr>
          <w:rFonts w:ascii="Arial" w:cs="Arial" w:eastAsia="Arial" w:hAnsi="Arial"/>
          <w:sz w:val="18"/>
          <w:szCs w:val="18"/>
          <w:color w:val="auto"/>
        </w:rPr>
      </w:pPr>
    </w:p>
    <w:p>
      <w:pPr>
        <w:jc w:val="both"/>
        <w:ind w:left="660" w:firstLine="1292"/>
        <w:spacing w:after="0" w:line="259" w:lineRule="auto"/>
        <w:tabs>
          <w:tab w:leader="none" w:pos="25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Lender or Administrative Agent (the “</w:t>
      </w:r>
      <w:r>
        <w:rPr>
          <w:rFonts w:ascii="Arial" w:cs="Arial" w:eastAsia="Arial" w:hAnsi="Arial"/>
          <w:sz w:val="18"/>
          <w:szCs w:val="18"/>
          <w:u w:val="single" w:color="auto"/>
          <w:color w:val="auto"/>
        </w:rPr>
        <w:t>Supplier</w:t>
      </w:r>
      <w:r>
        <w:rPr>
          <w:rFonts w:ascii="Arial" w:cs="Arial" w:eastAsia="Arial" w:hAnsi="Arial"/>
          <w:sz w:val="18"/>
          <w:szCs w:val="18"/>
          <w:color w:val="auto"/>
        </w:rPr>
        <w:t>”) to any other Lender or Administrative Agent (the “</w:t>
      </w:r>
      <w:r>
        <w:rPr>
          <w:rFonts w:ascii="Arial" w:cs="Arial" w:eastAsia="Arial" w:hAnsi="Arial"/>
          <w:sz w:val="18"/>
          <w:szCs w:val="18"/>
          <w:u w:val="single" w:color="auto"/>
          <w:color w:val="auto"/>
        </w:rPr>
        <w:t>Supply Recipient</w:t>
      </w:r>
      <w:r>
        <w:rPr>
          <w:rFonts w:ascii="Arial" w:cs="Arial" w:eastAsia="Arial" w:hAnsi="Arial"/>
          <w:sz w:val="18"/>
          <w:szCs w:val="18"/>
          <w:color w:val="auto"/>
        </w:rPr>
        <w:t>”) under a Loan Document, and any party other than the Supply Recipient (the “</w:t>
      </w:r>
      <w:r>
        <w:rPr>
          <w:rFonts w:ascii="Arial" w:cs="Arial" w:eastAsia="Arial" w:hAnsi="Arial"/>
          <w:sz w:val="18"/>
          <w:szCs w:val="18"/>
          <w:u w:val="single" w:color="auto"/>
          <w:color w:val="auto"/>
        </w:rPr>
        <w:t>Relevant Party</w:t>
      </w:r>
      <w:r>
        <w:rPr>
          <w:rFonts w:ascii="Arial" w:cs="Arial" w:eastAsia="Arial" w:hAnsi="Arial"/>
          <w:sz w:val="18"/>
          <w:szCs w:val="18"/>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87" w:lineRule="exact"/>
        <w:rPr>
          <w:sz w:val="20"/>
          <w:szCs w:val="20"/>
          <w:color w:val="auto"/>
        </w:rPr>
      </w:pPr>
    </w:p>
    <w:p>
      <w:pPr>
        <w:jc w:val="both"/>
        <w:ind w:left="1300" w:firstLine="652"/>
        <w:spacing w:after="0" w:line="257" w:lineRule="auto"/>
        <w:tabs>
          <w:tab w:leader="none" w:pos="2477"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 xml:space="preserve">where the Supplier is the person required to account to the relevant Governmental Authority for the VAT, the Relevant Party must also pay to the Supplier (at the same time as paying that amount) an additional amount equal to the amount of VAT; the Supply Recipient must (where this </w:t>
      </w:r>
      <w:r>
        <w:rPr>
          <w:rFonts w:ascii="Arial" w:cs="Arial" w:eastAsia="Arial" w:hAnsi="Arial"/>
          <w:sz w:val="18"/>
          <w:szCs w:val="18"/>
          <w:u w:val="single" w:color="auto"/>
          <w:color w:val="auto"/>
        </w:rPr>
        <w:t>subsection (ii)(A)</w:t>
      </w:r>
      <w:r>
        <w:rPr>
          <w:rFonts w:ascii="Arial" w:cs="Arial" w:eastAsia="Arial" w:hAnsi="Arial"/>
          <w:sz w:val="18"/>
          <w:szCs w:val="18"/>
          <w:color w:val="auto"/>
        </w:rPr>
        <w:t xml:space="preserve">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187" w:lineRule="exact"/>
        <w:rPr>
          <w:rFonts w:ascii="Arial" w:cs="Arial" w:eastAsia="Arial" w:hAnsi="Arial"/>
          <w:sz w:val="18"/>
          <w:szCs w:val="18"/>
          <w:color w:val="010000"/>
        </w:rPr>
      </w:pPr>
    </w:p>
    <w:p>
      <w:pPr>
        <w:jc w:val="both"/>
        <w:ind w:left="1300" w:firstLine="652"/>
        <w:spacing w:after="0" w:line="259" w:lineRule="auto"/>
        <w:tabs>
          <w:tab w:leader="none" w:pos="248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where the Supply Recipient is the person required to account to the relevant Governmental Authority for the 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187" w:lineRule="exact"/>
        <w:rPr>
          <w:sz w:val="20"/>
          <w:szCs w:val="20"/>
          <w:color w:val="auto"/>
        </w:rPr>
      </w:pPr>
    </w:p>
    <w:p>
      <w:pPr>
        <w:jc w:val="both"/>
        <w:ind w:left="660" w:firstLine="1292"/>
        <w:spacing w:after="0" w:line="259" w:lineRule="auto"/>
        <w:tabs>
          <w:tab w:leader="none" w:pos="24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8" w:name="page119"/>
    <w:bookmarkEnd w:id="118"/>
    <w:p>
      <w:pPr>
        <w:ind w:left="640"/>
        <w:spacing w:after="0"/>
        <w:rPr>
          <w:sz w:val="20"/>
          <w:szCs w:val="20"/>
          <w:color w:val="auto"/>
        </w:rPr>
      </w:pPr>
      <w:r>
        <w:rPr>
          <w:rFonts w:ascii="Arial" w:cs="Arial" w:eastAsia="Arial" w:hAnsi="Arial"/>
          <w:sz w:val="18"/>
          <w:szCs w:val="18"/>
          <w:color w:val="auto"/>
        </w:rPr>
        <w:t>entitled to credit or repayment in respect of such VAT from the relevant Governmental Authority.</w:t>
      </w:r>
    </w:p>
    <w:p>
      <w:pPr>
        <w:spacing w:after="0" w:line="225" w:lineRule="exact"/>
        <w:rPr>
          <w:sz w:val="20"/>
          <w:szCs w:val="20"/>
          <w:color w:val="auto"/>
        </w:rPr>
      </w:pPr>
    </w:p>
    <w:p>
      <w:pPr>
        <w:jc w:val="both"/>
        <w:ind w:left="640" w:firstLine="1292"/>
        <w:spacing w:after="0" w:line="291" w:lineRule="auto"/>
        <w:tabs>
          <w:tab w:leader="none" w:pos="2472"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Any reference in this </w:t>
      </w:r>
      <w:r>
        <w:rPr>
          <w:rFonts w:ascii="Arial" w:cs="Arial" w:eastAsia="Arial" w:hAnsi="Arial"/>
          <w:sz w:val="16"/>
          <w:szCs w:val="16"/>
          <w:u w:val="single" w:color="auto"/>
          <w:color w:val="auto"/>
        </w:rPr>
        <w:t>Section 4.02(i)</w:t>
      </w:r>
      <w:r>
        <w:rPr>
          <w:rFonts w:ascii="Arial" w:cs="Arial" w:eastAsia="Arial" w:hAnsi="Arial"/>
          <w:sz w:val="16"/>
          <w:szCs w:val="16"/>
          <w:color w:val="auto"/>
        </w:rPr>
        <w:t xml:space="preserve">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spacing w:after="0" w:line="166" w:lineRule="exact"/>
        <w:rPr>
          <w:rFonts w:ascii="Arial" w:cs="Arial" w:eastAsia="Arial" w:hAnsi="Arial"/>
          <w:sz w:val="16"/>
          <w:szCs w:val="16"/>
          <w:color w:val="auto"/>
        </w:rPr>
      </w:pPr>
    </w:p>
    <w:p>
      <w:pPr>
        <w:jc w:val="both"/>
        <w:ind w:left="640" w:firstLine="1292"/>
        <w:spacing w:after="0" w:line="259" w:lineRule="auto"/>
        <w:tabs>
          <w:tab w:leader="none" w:pos="24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86" w:lineRule="exact"/>
        <w:rPr>
          <w:rFonts w:ascii="Arial" w:cs="Arial" w:eastAsia="Arial" w:hAnsi="Arial"/>
          <w:sz w:val="18"/>
          <w:szCs w:val="18"/>
          <w:color w:val="auto"/>
        </w:rPr>
      </w:pPr>
    </w:p>
    <w:p>
      <w:pPr>
        <w:jc w:val="both"/>
        <w:ind w:left="640" w:firstLine="1292"/>
        <w:spacing w:after="0" w:line="263" w:lineRule="auto"/>
        <w:tabs>
          <w:tab w:leader="none" w:pos="25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4.02(i)</w:t>
      </w:r>
      <w:r>
        <w:rPr>
          <w:rFonts w:ascii="Arial" w:cs="Arial" w:eastAsia="Arial" w:hAnsi="Arial"/>
          <w:sz w:val="18"/>
          <w:szCs w:val="18"/>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84"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54" w:lineRule="auto"/>
        <w:tabs>
          <w:tab w:leader="none" w:pos="184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then such Lender shall use reasonable efforts to designate a different lending office for funding or booking its Letters of Credit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4.02</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94" w:lineRule="exact"/>
        <w:rPr>
          <w:rFonts w:ascii="Arial" w:cs="Arial" w:eastAsia="Arial" w:hAnsi="Arial"/>
          <w:sz w:val="18"/>
          <w:szCs w:val="18"/>
          <w:color w:val="auto"/>
        </w:rPr>
      </w:pPr>
    </w:p>
    <w:p>
      <w:pPr>
        <w:jc w:val="both"/>
        <w:ind w:left="-20" w:firstLine="1304"/>
        <w:spacing w:after="0" w:line="279" w:lineRule="auto"/>
        <w:tabs>
          <w:tab w:leader="none" w:pos="1848"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(including for Taxes under </w:t>
      </w:r>
      <w:r>
        <w:rPr>
          <w:rFonts w:ascii="Arial" w:cs="Arial" w:eastAsia="Arial" w:hAnsi="Arial"/>
          <w:sz w:val="17"/>
          <w:szCs w:val="17"/>
          <w:u w:val="single" w:color="auto"/>
          <w:color w:val="auto"/>
        </w:rPr>
        <w:t>Section 2.07(a)(iii)</w:t>
      </w:r>
      <w:r>
        <w:rPr>
          <w:rFonts w:ascii="Arial" w:cs="Arial" w:eastAsia="Arial" w:hAnsi="Arial"/>
          <w:sz w:val="17"/>
          <w:szCs w:val="17"/>
          <w:color w:val="auto"/>
        </w:rPr>
        <w:t xml:space="preserve">), or (ii) a Borrower is required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or (iii) any Lender becomes a Defaulting Lender, or (iv) any Lender becomes a Swiss Non-Qualifying Lender (but only if such event causes a breach of the Swiss Non-Bank Rules), or (v) any Lender fails to provide its consent to a Redomestication under the laws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19" w:name="page120"/>
    <w:bookmarkEnd w:id="119"/>
    <w:p>
      <w:pPr>
        <w:jc w:val="both"/>
        <w:spacing w:after="0" w:line="268" w:lineRule="auto"/>
        <w:rPr>
          <w:sz w:val="20"/>
          <w:szCs w:val="20"/>
          <w:color w:val="auto"/>
        </w:rPr>
      </w:pPr>
      <w:r>
        <w:rPr>
          <w:rFonts w:ascii="Arial" w:cs="Arial" w:eastAsia="Arial" w:hAnsi="Arial"/>
          <w:sz w:val="17"/>
          <w:szCs w:val="17"/>
          <w:color w:val="auto"/>
        </w:rPr>
        <w:t xml:space="preserve">a jurisdiction (other than England and Wales, Scotland and Northern Ireland,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its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Arial" w:cs="Arial" w:eastAsia="Arial" w:hAnsi="Arial"/>
          <w:sz w:val="17"/>
          <w:szCs w:val="17"/>
          <w:u w:val="single" w:color="auto"/>
          <w:color w:val="auto"/>
        </w:rPr>
        <w:t>Section 4.03(b)</w:t>
      </w:r>
      <w:r>
        <w:rPr>
          <w:rFonts w:ascii="Arial" w:cs="Arial" w:eastAsia="Arial" w:hAnsi="Arial"/>
          <w:sz w:val="17"/>
          <w:szCs w:val="17"/>
          <w:color w:val="auto"/>
        </w:rPr>
        <w:t xml:space="preserve"> if it does not execute and deliver an Assignment and Assumption to the Administrative Agent within one Business Day after having received a written request therefor.</w:t>
      </w:r>
    </w:p>
    <w:p>
      <w:pPr>
        <w:spacing w:after="0" w:line="18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Financial Assistance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811"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and to the extent a Swiss Obligor becomes liable under this Agreement or any other Loan Document for obligations of any other Obligor (other than the wholly owned direct or indirect subsidiaries of such Swiss Obligor) (the “</w:t>
      </w:r>
      <w:r>
        <w:rPr>
          <w:rFonts w:ascii="Arial" w:cs="Arial" w:eastAsia="Arial" w:hAnsi="Arial"/>
          <w:sz w:val="17"/>
          <w:szCs w:val="17"/>
          <w:u w:val="single" w:color="auto"/>
          <w:color w:val="auto"/>
        </w:rPr>
        <w:t>Restricted Obligations</w:t>
      </w:r>
      <w:r>
        <w:rPr>
          <w:rFonts w:ascii="Arial" w:cs="Arial" w:eastAsia="Arial" w:hAnsi="Arial"/>
          <w:sz w:val="17"/>
          <w:szCs w:val="17"/>
          <w:color w:val="auto"/>
        </w:rPr>
        <w:t>”) and if complying with such obligations would constitute a repayment of capital (</w:t>
      </w:r>
      <w:r>
        <w:rPr>
          <w:rFonts w:ascii="Arial" w:cs="Arial" w:eastAsia="Arial" w:hAnsi="Arial"/>
          <w:sz w:val="17"/>
          <w:szCs w:val="17"/>
          <w:i w:val="1"/>
          <w:iCs w:val="1"/>
          <w:color w:val="auto"/>
        </w:rPr>
        <w:t>Einlagerückgewähr</w:t>
      </w:r>
      <w:r>
        <w:rPr>
          <w:rFonts w:ascii="Arial" w:cs="Arial" w:eastAsia="Arial" w:hAnsi="Arial"/>
          <w:sz w:val="17"/>
          <w:szCs w:val="17"/>
          <w:color w:val="auto"/>
        </w:rPr>
        <w:t>), a violation of the legally protected reserves (</w:t>
      </w:r>
      <w:r>
        <w:rPr>
          <w:rFonts w:ascii="Arial" w:cs="Arial" w:eastAsia="Arial" w:hAnsi="Arial"/>
          <w:sz w:val="17"/>
          <w:szCs w:val="17"/>
          <w:i w:val="1"/>
          <w:iCs w:val="1"/>
          <w:color w:val="auto"/>
        </w:rPr>
        <w:t>gesetzlich geschützte Reserven</w:t>
      </w:r>
      <w:r>
        <w:rPr>
          <w:rFonts w:ascii="Arial" w:cs="Arial" w:eastAsia="Arial" w:hAnsi="Arial"/>
          <w:sz w:val="17"/>
          <w:szCs w:val="17"/>
          <w:color w:val="auto"/>
        </w:rPr>
        <w:t>) or the payment of a (constructive) dividend (</w:t>
      </w:r>
      <w:r>
        <w:rPr>
          <w:rFonts w:ascii="Arial" w:cs="Arial" w:eastAsia="Arial" w:hAnsi="Arial"/>
          <w:sz w:val="17"/>
          <w:szCs w:val="17"/>
          <w:i w:val="1"/>
          <w:iCs w:val="1"/>
          <w:color w:val="auto"/>
        </w:rPr>
        <w:t>Gewinnausschüttung</w:t>
      </w:r>
      <w:r>
        <w:rPr>
          <w:rFonts w:ascii="Arial" w:cs="Arial" w:eastAsia="Arial" w:hAnsi="Arial"/>
          <w:sz w:val="17"/>
          <w:szCs w:val="17"/>
          <w:color w:val="auto"/>
        </w:rPr>
        <w:t>) by such Swiss Obligor or would otherwise be restricted under Swiss law and practice then applicable, such Swiss Obligor’s aggregate liability for Restricted Obligations shall not exceed the amount of the Swiss Obligor’s freely disposable equity (</w:t>
      </w:r>
      <w:r>
        <w:rPr>
          <w:rFonts w:ascii="Arial" w:cs="Arial" w:eastAsia="Arial" w:hAnsi="Arial"/>
          <w:sz w:val="17"/>
          <w:szCs w:val="17"/>
          <w:i w:val="1"/>
          <w:iCs w:val="1"/>
          <w:color w:val="auto"/>
        </w:rPr>
        <w:t>frei verfügbares Eigenkapital</w:t>
      </w:r>
      <w:r>
        <w:rPr>
          <w:rFonts w:ascii="Arial" w:cs="Arial" w:eastAsia="Arial" w:hAnsi="Arial"/>
          <w:sz w:val="17"/>
          <w:szCs w:val="17"/>
          <w:color w:val="auto"/>
        </w:rPr>
        <w:t>) at the time it becomes liable including, without limitation, any statutory reserves which can be transferred into unrestricted, distributable reserves, in accordance with Swiss law (the “</w:t>
      </w:r>
      <w:r>
        <w:rPr>
          <w:rFonts w:ascii="Arial" w:cs="Arial" w:eastAsia="Arial" w:hAnsi="Arial"/>
          <w:sz w:val="17"/>
          <w:szCs w:val="17"/>
          <w:u w:val="single" w:color="auto"/>
          <w:color w:val="auto"/>
        </w:rPr>
        <w:t>Freely Disposable Amount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79" w:lineRule="auto"/>
        <w:tabs>
          <w:tab w:leader="none" w:pos="1862"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t>amounts borrowed under any Loan Document which are on-lent to the Swiss Obligor or to wholly owned direct or indirect subsidiaries of the Swiss Obligor.</w:t>
      </w:r>
    </w:p>
    <w:p>
      <w:pPr>
        <w:spacing w:after="0" w:line="170" w:lineRule="exact"/>
        <w:rPr>
          <w:sz w:val="20"/>
          <w:szCs w:val="20"/>
          <w:color w:val="auto"/>
        </w:rPr>
      </w:pPr>
    </w:p>
    <w:p>
      <w:pPr>
        <w:jc w:val="both"/>
        <w:ind w:firstLine="1304"/>
        <w:spacing w:after="0" w:line="296" w:lineRule="auto"/>
        <w:tabs>
          <w:tab w:leader="none" w:pos="183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Arial" w:cs="Arial" w:eastAsia="Arial" w:hAnsi="Arial"/>
          <w:sz w:val="16"/>
          <w:szCs w:val="16"/>
          <w:i w:val="1"/>
          <w:iCs w:val="1"/>
          <w:color w:val="auto"/>
        </w:rPr>
        <w:t>nicht betriebsnotwendig</w:t>
      </w:r>
      <w:r>
        <w:rPr>
          <w:rFonts w:ascii="Arial" w:cs="Arial" w:eastAsia="Arial" w:hAnsi="Arial"/>
          <w:sz w:val="16"/>
          <w:szCs w:val="16"/>
          <w:color w:val="auto"/>
        </w:rPr>
        <w:t xml:space="preserve">) and (ii) reduce its share capital to the minimum allowed under then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steps are permitted under the Loan Documents.</w:t>
      </w:r>
    </w:p>
    <w:p>
      <w:pPr>
        <w:spacing w:after="0" w:line="161" w:lineRule="exact"/>
        <w:rPr>
          <w:rFonts w:ascii="Arial" w:cs="Arial" w:eastAsia="Arial" w:hAnsi="Arial"/>
          <w:sz w:val="16"/>
          <w:szCs w:val="16"/>
          <w:color w:val="auto"/>
        </w:rPr>
      </w:pPr>
    </w:p>
    <w:p>
      <w:pPr>
        <w:jc w:val="both"/>
        <w:ind w:firstLine="1304"/>
        <w:spacing w:after="0" w:line="269" w:lineRule="auto"/>
        <w:tabs>
          <w:tab w:leader="none" w:pos="185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spacing w:after="0" w:line="185" w:lineRule="exact"/>
        <w:rPr>
          <w:rFonts w:ascii="Arial" w:cs="Arial" w:eastAsia="Arial" w:hAnsi="Arial"/>
          <w:sz w:val="17"/>
          <w:szCs w:val="17"/>
          <w:color w:val="auto"/>
        </w:rPr>
      </w:pPr>
    </w:p>
    <w:p>
      <w:pPr>
        <w:ind w:left="1860" w:hanging="556"/>
        <w:spacing w:after="0"/>
        <w:tabs>
          <w:tab w:leader="none" w:pos="18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so required under applicable law (including tax treaties) at the time it is required to make a payment under this Agreement,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Swiss Obligor:</w:t>
      </w:r>
    </w:p>
    <w:p>
      <w:pPr>
        <w:spacing w:after="0" w:line="210" w:lineRule="exact"/>
        <w:rPr>
          <w:rFonts w:ascii="Arial" w:cs="Arial" w:eastAsia="Arial" w:hAnsi="Arial"/>
          <w:sz w:val="16"/>
          <w:szCs w:val="16"/>
          <w:color w:val="auto"/>
        </w:rPr>
      </w:pPr>
    </w:p>
    <w:p>
      <w:pPr>
        <w:jc w:val="both"/>
        <w:ind w:left="660" w:firstLine="1292"/>
        <w:spacing w:after="0" w:line="263" w:lineRule="auto"/>
        <w:tabs>
          <w:tab w:leader="none" w:pos="25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83" w:lineRule="exact"/>
        <w:rPr>
          <w:rFonts w:ascii="Arial" w:cs="Arial" w:eastAsia="Arial" w:hAnsi="Arial"/>
          <w:sz w:val="18"/>
          <w:szCs w:val="18"/>
          <w:color w:val="auto"/>
        </w:rPr>
      </w:pPr>
    </w:p>
    <w:p>
      <w:pPr>
        <w:jc w:val="both"/>
        <w:ind w:left="660" w:firstLine="1292"/>
        <w:spacing w:after="0" w:line="279" w:lineRule="auto"/>
        <w:tabs>
          <w:tab w:leader="none" w:pos="251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shall deduct the Swiss withholding tax at such rate (being 35% on the date hereof) as in force from time to time if the notification procedure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does not apply; or shall deduct the Swiss withholding tax at the reduced rate resulting after discharge of part of such tax by notification if the notification procedure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applies for a part of the Swiss withholding tax only; and shall pay within the time allowed any such taxes deducted to the Swiss Federal Tax Administration; and</w:t>
      </w:r>
    </w:p>
    <w:p>
      <w:pPr>
        <w:spacing w:after="0" w:line="171" w:lineRule="exact"/>
        <w:rPr>
          <w:rFonts w:ascii="Arial" w:cs="Arial" w:eastAsia="Arial" w:hAnsi="Arial"/>
          <w:sz w:val="17"/>
          <w:szCs w:val="17"/>
          <w:color w:val="auto"/>
        </w:rPr>
      </w:pPr>
    </w:p>
    <w:p>
      <w:pPr>
        <w:ind w:left="660" w:firstLine="1292"/>
        <w:spacing w:after="0" w:line="277" w:lineRule="auto"/>
        <w:tabs>
          <w:tab w:leader="none" w:pos="250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shall promptly notify the Administrative Agent that such notification or, as the case may be, deduction has been made, and provide the Administrative Agent with evidence that such a notification of the Swiss Federal Tax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7"/>
          <w:szCs w:val="17"/>
          <w:color w:val="auto"/>
        </w:rPr>
        <w:t>Administration has been made or, as the case may be, such taxes deducted have been paid to the Swiss Federal Tax Administration.</w:t>
      </w:r>
    </w:p>
    <w:p>
      <w:pPr>
        <w:spacing w:after="0" w:line="237" w:lineRule="exact"/>
        <w:rPr>
          <w:sz w:val="20"/>
          <w:szCs w:val="20"/>
          <w:color w:val="auto"/>
        </w:rPr>
      </w:pPr>
    </w:p>
    <w:p>
      <w:pPr>
        <w:jc w:val="both"/>
        <w:ind w:firstLine="1304"/>
        <w:spacing w:after="0" w:line="263" w:lineRule="auto"/>
        <w:tabs>
          <w:tab w:leader="none" w:pos="18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183" w:lineRule="exact"/>
        <w:rPr>
          <w:rFonts w:ascii="Arial" w:cs="Arial" w:eastAsia="Arial" w:hAnsi="Arial"/>
          <w:sz w:val="18"/>
          <w:szCs w:val="18"/>
          <w:color w:val="auto"/>
        </w:rPr>
      </w:pPr>
    </w:p>
    <w:p>
      <w:pPr>
        <w:ind w:left="2440" w:hanging="488"/>
        <w:spacing w:after="0"/>
        <w:tabs>
          <w:tab w:leader="none" w:pos="2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request a refund of the Swiss withholding tax under applicable law (including tax treaties), and</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pay to the Administrative Agent upon receipt any amount so refunded.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Administrative Agent shall co-operate with the Swiss Obligor to secure such refund.</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99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UK Limitation</w:t>
      </w:r>
      <w:r>
        <w:rPr>
          <w:rFonts w:ascii="Arial" w:cs="Arial" w:eastAsia="Arial" w:hAnsi="Arial"/>
          <w:sz w:val="18"/>
          <w:szCs w:val="18"/>
          <w:color w:val="auto"/>
        </w:rPr>
        <w:t>. Notwithstanding anything to the contrary in this Agreement, this guarantee, indemnity or other obligation provided under this Agreement by a Guarantor incorporated under the laws of England and Wales does not apply to any liability to 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Conditions Precedent to the Effective Date</w:t>
      </w:r>
      <w:r>
        <w:rPr>
          <w:rFonts w:ascii="Arial" w:cs="Arial" w:eastAsia="Arial" w:hAnsi="Arial"/>
          <w:sz w:val="18"/>
          <w:szCs w:val="18"/>
          <w:color w:val="auto"/>
        </w:rPr>
        <w:t>. The obligation of each Issuing Bank to issue any Letter of Credit (including any deemed issuance of Existing Letters of Credit), on or after the Effective Date for the account of any Borrower is subject to satisfaction of the following conditions:</w:t>
      </w:r>
    </w:p>
    <w:p>
      <w:pPr>
        <w:spacing w:after="0" w:line="184" w:lineRule="exact"/>
        <w:rPr>
          <w:sz w:val="20"/>
          <w:szCs w:val="20"/>
          <w:color w:val="auto"/>
        </w:rPr>
      </w:pPr>
    </w:p>
    <w:p>
      <w:pPr>
        <w:ind w:left="2140" w:hanging="836"/>
        <w:spacing w:after="0"/>
        <w:tabs>
          <w:tab w:leader="none" w:pos="21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Administrative Agent shall have received the following, all in form and substance reasonably satisfactory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480" w:right="3260" w:hanging="3528"/>
        <w:spacing w:after="0" w:line="527" w:lineRule="auto"/>
        <w:tabs>
          <w:tab w:leader="none" w:pos="24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Agreement executed by each Person listed on the signature pages hereof;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2" w:name="page123"/>
    <w:bookmarkEnd w:id="122"/>
    <w:p>
      <w:pPr>
        <w:ind w:left="1320" w:hanging="488"/>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Affiliate Guaranty executed by each Guarantor existing as of the Effective Date;</w:t>
      </w:r>
    </w:p>
    <w:p>
      <w:pPr>
        <w:spacing w:after="0" w:line="225" w:lineRule="exact"/>
        <w:rPr>
          <w:rFonts w:ascii="Arial" w:cs="Arial" w:eastAsia="Arial" w:hAnsi="Arial"/>
          <w:sz w:val="18"/>
          <w:szCs w:val="18"/>
          <w:color w:val="auto"/>
        </w:rPr>
      </w:pPr>
    </w:p>
    <w:p>
      <w:pPr>
        <w:ind w:left="1320" w:hanging="488"/>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Intercreditor Agreement executed by each Person listed on the signature pages thereof;</w:t>
      </w:r>
    </w:p>
    <w:p>
      <w:pPr>
        <w:spacing w:after="0" w:line="225" w:lineRule="exact"/>
        <w:rPr>
          <w:rFonts w:ascii="Arial" w:cs="Arial" w:eastAsia="Arial" w:hAnsi="Arial"/>
          <w:sz w:val="18"/>
          <w:szCs w:val="18"/>
          <w:color w:val="auto"/>
        </w:rPr>
      </w:pPr>
    </w:p>
    <w:p>
      <w:pPr>
        <w:jc w:val="both"/>
        <w:ind w:left="-460" w:firstLine="1292"/>
        <w:spacing w:after="0" w:line="269" w:lineRule="auto"/>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issuance (or deemed issuance) of any Letter of Credit, (C) that it and each other Obligor constitute a group of companies for the purposes of section 243 of the Companies Act 2014 of Ireland, (D) confirming that its entry into the Loan Documents does not constitute unlawful financial assistance for the purposes of Section 82 of the Companies Act 2014 of Ireland, and (E) that no notice pursuant to Section 1002 of the Taxes Consolidation Act 1997 (as from time to time amended, replaced or re-enacted) has been served on Parent by the Irish Revenue Commissioners;</w:t>
      </w:r>
    </w:p>
    <w:p>
      <w:pPr>
        <w:spacing w:after="0" w:line="185" w:lineRule="exact"/>
        <w:rPr>
          <w:rFonts w:ascii="Arial" w:cs="Arial" w:eastAsia="Arial" w:hAnsi="Arial"/>
          <w:sz w:val="17"/>
          <w:szCs w:val="17"/>
          <w:color w:val="auto"/>
        </w:rPr>
      </w:pPr>
    </w:p>
    <w:p>
      <w:pPr>
        <w:jc w:val="both"/>
        <w:ind w:left="-460" w:firstLine="1292"/>
        <w:spacing w:after="0" w:line="286" w:lineRule="auto"/>
        <w:tabs>
          <w:tab w:leader="none" w:pos="152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certificate of the secretary or an assistant secretary or other Responsible Officer of each Obligor (other than any Obligor incorporated in England and Wales) (and in the case of a Luxembourg Obligor, a manager (</w:t>
      </w:r>
      <w:r>
        <w:rPr>
          <w:rFonts w:ascii="Arial" w:cs="Arial" w:eastAsia="Arial" w:hAnsi="Arial"/>
          <w:sz w:val="16"/>
          <w:szCs w:val="16"/>
          <w:i w:val="1"/>
          <w:iCs w:val="1"/>
          <w:color w:val="auto"/>
        </w:rPr>
        <w:t>gérant</w:t>
      </w:r>
      <w:r>
        <w:rPr>
          <w:rFonts w:ascii="Arial" w:cs="Arial" w:eastAsia="Arial" w:hAnsi="Arial"/>
          <w:sz w:val="16"/>
          <w:szCs w:val="16"/>
          <w:color w:val="auto"/>
        </w:rPr>
        <w:t>)), dated the Effective Date and certifying (A) true and complete copies of the constitution or memorandum, articles of association or memorandum of association, by-laws, the deed or certificate of incorporation, certified or original excerpt from the commercial register and any other organizational documents, as applicable, each as amended and in effect on the Effective Date, of such Obligor (other than any Obligor incorporated in England and Wales),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 this Agreement, (C) the absence of any proceedings for the bankruptcy, dissolution, liquidation or winding up of such Obligor (and in the case of a Luxembourg Obligor, that it is not subject to insolvency proceedings such as bankruptcy (</w:t>
      </w:r>
      <w:r>
        <w:rPr>
          <w:rFonts w:ascii="Arial" w:cs="Arial" w:eastAsia="Arial" w:hAnsi="Arial"/>
          <w:sz w:val="16"/>
          <w:szCs w:val="16"/>
          <w:i w:val="1"/>
          <w:iCs w:val="1"/>
          <w:color w:val="auto"/>
        </w:rPr>
        <w:t>faillite</w:t>
      </w:r>
      <w:r>
        <w:rPr>
          <w:rFonts w:ascii="Arial" w:cs="Arial" w:eastAsia="Arial" w:hAnsi="Arial"/>
          <w:sz w:val="16"/>
          <w:szCs w:val="16"/>
          <w:color w:val="auto"/>
        </w:rPr>
        <w:t>), compulsory liquidation (</w:t>
      </w:r>
      <w:r>
        <w:rPr>
          <w:rFonts w:ascii="Arial" w:cs="Arial" w:eastAsia="Arial" w:hAnsi="Arial"/>
          <w:sz w:val="16"/>
          <w:szCs w:val="16"/>
          <w:i w:val="1"/>
          <w:iCs w:val="1"/>
          <w:color w:val="auto"/>
        </w:rPr>
        <w:t>liquidation judiciaire</w:t>
      </w:r>
      <w:r>
        <w:rPr>
          <w:rFonts w:ascii="Arial" w:cs="Arial" w:eastAsia="Arial" w:hAnsi="Arial"/>
          <w:sz w:val="16"/>
          <w:szCs w:val="16"/>
          <w:color w:val="auto"/>
        </w:rPr>
        <w:t>), voluntary liquidation (</w:t>
      </w:r>
      <w:r>
        <w:rPr>
          <w:rFonts w:ascii="Arial" w:cs="Arial" w:eastAsia="Arial" w:hAnsi="Arial"/>
          <w:sz w:val="16"/>
          <w:szCs w:val="16"/>
          <w:i w:val="1"/>
          <w:iCs w:val="1"/>
          <w:color w:val="auto"/>
        </w:rPr>
        <w:t>liquidation volontaire</w:t>
      </w:r>
      <w:r>
        <w:rPr>
          <w:rFonts w:ascii="Arial" w:cs="Arial" w:eastAsia="Arial" w:hAnsi="Arial"/>
          <w:sz w:val="16"/>
          <w:szCs w:val="16"/>
          <w:color w:val="auto"/>
        </w:rPr>
        <w:t>), winding-up, moratorium, composition with creditors (</w:t>
      </w:r>
      <w:r>
        <w:rPr>
          <w:rFonts w:ascii="Arial" w:cs="Arial" w:eastAsia="Arial" w:hAnsi="Arial"/>
          <w:sz w:val="16"/>
          <w:szCs w:val="16"/>
          <w:i w:val="1"/>
          <w:iCs w:val="1"/>
          <w:color w:val="auto"/>
        </w:rPr>
        <w:t>gestion contrôlé</w:t>
      </w:r>
      <w:r>
        <w:rPr>
          <w:rFonts w:ascii="Arial" w:cs="Arial" w:eastAsia="Arial" w:hAnsi="Arial"/>
          <w:sz w:val="16"/>
          <w:szCs w:val="16"/>
          <w:color w:val="auto"/>
        </w:rPr>
        <w:t>), suspension of payments (</w:t>
      </w:r>
      <w:r>
        <w:rPr>
          <w:rFonts w:ascii="Arial" w:cs="Arial" w:eastAsia="Arial" w:hAnsi="Arial"/>
          <w:sz w:val="16"/>
          <w:szCs w:val="16"/>
          <w:i w:val="1"/>
          <w:iCs w:val="1"/>
          <w:color w:val="auto"/>
        </w:rPr>
        <w:t>sursis de paiement</w:t>
      </w:r>
      <w:r>
        <w:rPr>
          <w:rFonts w:ascii="Arial" w:cs="Arial" w:eastAsia="Arial" w:hAnsi="Arial"/>
          <w:sz w:val="16"/>
          <w:szCs w:val="16"/>
          <w:color w:val="auto"/>
        </w:rPr>
        <w:t>), voluntary arrangement with creditors (</w:t>
      </w:r>
      <w:r>
        <w:rPr>
          <w:rFonts w:ascii="Arial" w:cs="Arial" w:eastAsia="Arial" w:hAnsi="Arial"/>
          <w:sz w:val="16"/>
          <w:szCs w:val="16"/>
          <w:i w:val="1"/>
          <w:iCs w:val="1"/>
          <w:color w:val="auto"/>
        </w:rPr>
        <w:t>concordate préventif</w:t>
      </w:r>
    </w:p>
    <w:p>
      <w:pPr>
        <w:spacing w:after="0" w:line="16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23" w:name="page124"/>
    <w:bookmarkEnd w:id="123"/>
    <w:p>
      <w:pPr>
        <w:jc w:val="both"/>
        <w:spacing w:after="0" w:line="272" w:lineRule="auto"/>
        <w:rPr>
          <w:sz w:val="20"/>
          <w:szCs w:val="20"/>
          <w:color w:val="auto"/>
        </w:rPr>
      </w:pPr>
      <w:r>
        <w:rPr>
          <w:rFonts w:ascii="Arial" w:cs="Arial" w:eastAsia="Arial" w:hAnsi="Arial"/>
          <w:sz w:val="17"/>
          <w:szCs w:val="17"/>
          <w:color w:val="auto"/>
        </w:rPr>
        <w:t xml:space="preserve">de la faillite), fraudulent conveyance, general settlement with creditors, 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 (E) if required by applicable law or customary market practice in the jurisdiction, certifying that the guaranteeing or securing of the Commitments would not cause a guarantee or security limit binding on such Obligor to be exceeded, and (F) that each document provided by such Obligor pursuant to </w:t>
      </w:r>
      <w:r>
        <w:rPr>
          <w:rFonts w:ascii="Arial" w:cs="Arial" w:eastAsia="Arial" w:hAnsi="Arial"/>
          <w:sz w:val="17"/>
          <w:szCs w:val="17"/>
          <w:u w:val="single" w:color="auto"/>
          <w:color w:val="auto"/>
        </w:rPr>
        <w:t>Section 5.01(a)(i)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5.01(a)(xi)</w:t>
      </w:r>
      <w:r>
        <w:rPr>
          <w:rFonts w:ascii="Arial" w:cs="Arial" w:eastAsia="Arial" w:hAnsi="Arial"/>
          <w:sz w:val="17"/>
          <w:szCs w:val="17"/>
          <w:color w:val="auto"/>
        </w:rPr>
        <w:t xml:space="preserve"> is correct, complete and in full force and effect as at a date no earlier than the date of this Agreement;</w:t>
      </w:r>
    </w:p>
    <w:p>
      <w:pPr>
        <w:spacing w:after="0" w:line="177" w:lineRule="exact"/>
        <w:rPr>
          <w:sz w:val="20"/>
          <w:szCs w:val="20"/>
          <w:color w:val="auto"/>
        </w:rPr>
      </w:pPr>
    </w:p>
    <w:p>
      <w:pPr>
        <w:jc w:val="both"/>
        <w:ind w:firstLine="1292"/>
        <w:spacing w:after="0" w:line="268" w:lineRule="auto"/>
        <w:tabs>
          <w:tab w:leader="none" w:pos="185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 (2) authorizing a specified person or persons to execute the Loan Documents to which it is a party on its behalf; (3) 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 (D) a specimen of the signature of each person authorised by the resolution referred to in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Arial" w:cs="Arial" w:eastAsia="Arial" w:hAnsi="Arial"/>
          <w:sz w:val="17"/>
          <w:szCs w:val="17"/>
          <w:u w:val="single" w:color="auto"/>
          <w:color w:val="auto"/>
        </w:rPr>
        <w:t>paragraph (vi)</w:t>
      </w:r>
      <w:r>
        <w:rPr>
          <w:rFonts w:ascii="Arial" w:cs="Arial" w:eastAsia="Arial" w:hAnsi="Arial"/>
          <w:sz w:val="17"/>
          <w:szCs w:val="17"/>
          <w:color w:val="auto"/>
        </w:rPr>
        <w:t xml:space="preserve"> is correct, complete and (to the extent executed) in full force and effect and has not been amended or superseded as at a date no earlier than the Effective Date;</w:t>
      </w:r>
    </w:p>
    <w:p>
      <w:pPr>
        <w:spacing w:after="0" w:line="184" w:lineRule="exact"/>
        <w:rPr>
          <w:rFonts w:ascii="Arial" w:cs="Arial" w:eastAsia="Arial" w:hAnsi="Arial"/>
          <w:sz w:val="17"/>
          <w:szCs w:val="17"/>
          <w:color w:val="auto"/>
        </w:rPr>
      </w:pPr>
    </w:p>
    <w:p>
      <w:pPr>
        <w:jc w:val="both"/>
        <w:ind w:firstLine="1292"/>
        <w:spacing w:after="0" w:line="271" w:lineRule="auto"/>
        <w:tabs>
          <w:tab w:leader="none" w:pos="184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WIL-Bermuda, (C) Baker McKenzie, Geneva, special Swiss counsel to certain of the Obligors, (D) Matheson, special Irish counsel to Parent, (E) Dentons Canada LLP, special British Columbia, Alberta and Ontario counsel to certain of the Obligors, Stewart McKelvey, special Nova Scotia and Newfoundland counsel to certain of the Obligors, MLT Aikins LLP, special Saskatchewan counsel to certain of the Obligors and Thompson Dorfman Sweatman LLP, special Manitoba counsel to certain of the Obligors, (F) Baker &amp; McKenzie LLP, special Luxembourg counsel to certain of the Obligors, (G) Conyers Dill &amp; Pearman, special British Virgin Islands counsel to certain of the Obligors, (H) Sidley</w:t>
      </w:r>
    </w:p>
    <w:p>
      <w:pPr>
        <w:spacing w:after="0" w:line="17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24" w:name="page125"/>
    <w:bookmarkEnd w:id="124"/>
    <w:p>
      <w:pPr>
        <w:jc w:val="both"/>
        <w:spacing w:after="0" w:line="255" w:lineRule="auto"/>
        <w:rPr>
          <w:sz w:val="20"/>
          <w:szCs w:val="20"/>
          <w:color w:val="auto"/>
        </w:rPr>
      </w:pPr>
      <w:r>
        <w:rPr>
          <w:rFonts w:ascii="Arial" w:cs="Arial" w:eastAsia="Arial" w:hAnsi="Arial"/>
          <w:sz w:val="18"/>
          <w:szCs w:val="18"/>
          <w:color w:val="auto"/>
        </w:rPr>
        <w:t>Austin LLP, special English counsel to the Administrative Agent, (I) Jones Walker LLP, special Louisiana counsel to Weatherford U.S., L.P., (J) Norton Rose Fulbright, special Australian counsel to the Administrative Agent, (K) BAHR, special Norwegian counsel to the Administrative Agent, (L) Baker &amp; McKenzie Amsterdam N.V., special Dutch counsel to certain of the Obligors, (M) Holland &amp; Hart LLP, special Nevada and Wyoming counsel to certain of the Obligors, (N) Baker &amp; McKenzie, special German counsel to certain of the Obligors, and (O) Arias, Fábrega &amp; Fábrega, special Panamanian counsel to certain of the Obligors, in each case, given upon the express instruction of the applicable Obligor(s), as applicable;</w:t>
      </w:r>
    </w:p>
    <w:p>
      <w:pPr>
        <w:spacing w:after="0" w:line="192" w:lineRule="exact"/>
        <w:rPr>
          <w:sz w:val="20"/>
          <w:szCs w:val="20"/>
          <w:color w:val="auto"/>
        </w:rPr>
      </w:pPr>
    </w:p>
    <w:p>
      <w:pPr>
        <w:ind w:firstLine="1292"/>
        <w:spacing w:after="0" w:line="342" w:lineRule="auto"/>
        <w:tabs>
          <w:tab w:leader="none" w:pos="184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certificate of a Principal Financial Officer of Parent certifying that, after giving effect to the Transactions (as defined in this Agreement on the Effective Date), the Parent and its Subsidiaries on a consolidated basis are Solvent as of the Effective Date;</w:t>
      </w:r>
    </w:p>
    <w:p>
      <w:pPr>
        <w:spacing w:after="0" w:line="123" w:lineRule="exact"/>
        <w:rPr>
          <w:rFonts w:ascii="Arial" w:cs="Arial" w:eastAsia="Arial" w:hAnsi="Arial"/>
          <w:sz w:val="16"/>
          <w:szCs w:val="16"/>
          <w:color w:val="auto"/>
        </w:rPr>
      </w:pPr>
    </w:p>
    <w:p>
      <w:pPr>
        <w:jc w:val="both"/>
        <w:ind w:firstLine="1292"/>
        <w:spacing w:after="0" w:line="268" w:lineRule="auto"/>
        <w:tabs>
          <w:tab w:leader="none" w:pos="203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good standing and qualification to do business as a foreign entity, of each Obligor (other than any Obligor incorporated in England and Wales) in each jurisdiction in which the ownership of its properties or the conduct of its business requires such qualification and where the failure to so qualify would, individually or collectively, have a Material Adverse Effect, (C) to the extent not covered by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Arial" w:cs="Arial" w:eastAsia="Arial" w:hAnsi="Arial"/>
          <w:sz w:val="17"/>
          <w:szCs w:val="17"/>
          <w:i w:val="1"/>
          <w:iCs w:val="1"/>
          <w:color w:val="auto"/>
        </w:rPr>
        <w:t>Registre de Commerce et des Sociétés</w:t>
      </w:r>
      <w:r>
        <w:rPr>
          <w:rFonts w:ascii="Arial" w:cs="Arial" w:eastAsia="Arial" w:hAnsi="Arial"/>
          <w:sz w:val="17"/>
          <w:szCs w:val="17"/>
          <w:color w:val="auto"/>
        </w:rPr>
        <w:t>) in Luxembourg (the “</w:t>
      </w:r>
      <w:r>
        <w:rPr>
          <w:rFonts w:ascii="Arial" w:cs="Arial" w:eastAsia="Arial" w:hAnsi="Arial"/>
          <w:sz w:val="17"/>
          <w:szCs w:val="17"/>
          <w:u w:val="single" w:color="auto"/>
          <w:color w:val="auto"/>
        </w:rPr>
        <w:t>RCS</w:t>
      </w:r>
      <w:r>
        <w:rPr>
          <w:rFonts w:ascii="Arial" w:cs="Arial" w:eastAsia="Arial" w:hAnsi="Arial"/>
          <w:sz w:val="17"/>
          <w:szCs w:val="17"/>
          <w:color w:val="auto"/>
        </w:rPr>
        <w:t>”) as at a date no earlier than the Effective Date and an up-to-date, true and complete electronic excerpt of the RCS as at a date no earlier than the Effective Date;</w:t>
      </w:r>
    </w:p>
    <w:p>
      <w:pPr>
        <w:spacing w:after="0" w:line="181" w:lineRule="exact"/>
        <w:rPr>
          <w:rFonts w:ascii="Arial" w:cs="Arial" w:eastAsia="Arial" w:hAnsi="Arial"/>
          <w:sz w:val="17"/>
          <w:szCs w:val="17"/>
          <w:color w:val="auto"/>
        </w:rPr>
      </w:pPr>
    </w:p>
    <w:p>
      <w:pPr>
        <w:ind w:firstLine="1292"/>
        <w:spacing w:after="0" w:line="277" w:lineRule="auto"/>
        <w:tabs>
          <w:tab w:leader="none" w:pos="184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U.S. Security Agreement and the Canadian Security Agreement dated as of the Effective Date, in each case executed by each Obligor listed on the signature pages thereof;</w:t>
      </w:r>
    </w:p>
    <w:p>
      <w:pPr>
        <w:spacing w:after="0" w:line="170" w:lineRule="exact"/>
        <w:rPr>
          <w:rFonts w:ascii="Arial" w:cs="Arial" w:eastAsia="Arial" w:hAnsi="Arial"/>
          <w:sz w:val="18"/>
          <w:szCs w:val="18"/>
          <w:color w:val="auto"/>
        </w:rPr>
      </w:pPr>
    </w:p>
    <w:p>
      <w:pPr>
        <w:ind w:firstLine="1292"/>
        <w:spacing w:after="0" w:line="277" w:lineRule="auto"/>
        <w:tabs>
          <w:tab w:leader="none" w:pos="18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Pledge Agreement governed by the laws of the Province of Alberta executed by Weatherford Holdings (Switzerland) Gmbh and pledging the Capital Stock of Weatherford Canada Ltd.;</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25" w:name="page126"/>
    <w:bookmarkEnd w:id="125"/>
    <w:p>
      <w:pPr>
        <w:ind w:left="1880" w:hanging="588"/>
        <w:spacing w:after="0"/>
        <w:tabs>
          <w:tab w:leader="none" w:pos="1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English Security Documents, in each case executed by each Obligor listed on the signature pages thereof;</w:t>
      </w:r>
    </w:p>
    <w:p>
      <w:pPr>
        <w:spacing w:after="0" w:line="225" w:lineRule="exact"/>
        <w:rPr>
          <w:rFonts w:ascii="Arial" w:cs="Arial" w:eastAsia="Arial" w:hAnsi="Arial"/>
          <w:sz w:val="18"/>
          <w:szCs w:val="18"/>
          <w:color w:val="auto"/>
        </w:rPr>
      </w:pPr>
    </w:p>
    <w:p>
      <w:pPr>
        <w:ind w:left="1980" w:hanging="688"/>
        <w:spacing w:after="0"/>
        <w:tabs>
          <w:tab w:leader="none" w:pos="19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all British Virgin Islands Security Documents, in each case executed by each Obligor listed on the signature pages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1292"/>
        <w:spacing w:after="0" w:line="255" w:lineRule="auto"/>
        <w:tabs>
          <w:tab w:leader="none" w:pos="18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spacing w:after="0" w:line="192" w:lineRule="exact"/>
        <w:rPr>
          <w:rFonts w:ascii="Arial" w:cs="Arial" w:eastAsia="Arial" w:hAnsi="Arial"/>
          <w:sz w:val="18"/>
          <w:szCs w:val="18"/>
          <w:color w:val="auto"/>
        </w:rPr>
      </w:pPr>
    </w:p>
    <w:p>
      <w:pPr>
        <w:jc w:val="both"/>
        <w:ind w:firstLine="1292"/>
        <w:spacing w:after="0" w:line="259" w:lineRule="auto"/>
        <w:tabs>
          <w:tab w:leader="none" w:pos="19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extent available in the applicable jurisdiction(s), 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w:t>
      </w:r>
    </w:p>
    <w:p>
      <w:pPr>
        <w:spacing w:after="0" w:line="186" w:lineRule="exact"/>
        <w:rPr>
          <w:rFonts w:ascii="Arial" w:cs="Arial" w:eastAsia="Arial" w:hAnsi="Arial"/>
          <w:sz w:val="18"/>
          <w:szCs w:val="18"/>
          <w:color w:val="auto"/>
        </w:rPr>
      </w:pPr>
    </w:p>
    <w:p>
      <w:pPr>
        <w:jc w:val="both"/>
        <w:ind w:firstLine="1292"/>
        <w:spacing w:after="0" w:line="286" w:lineRule="auto"/>
        <w:tabs>
          <w:tab w:leader="none" w:pos="193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statement from the principal representative and insurance manager of WOFS, addressed to the board of directors of WOFS confirming, in connection with WOFS’ entry into the Affiliate Guaranty, compliance with the solvency margins and ratios applicable to WOFS in accordance with the Bermuda Insurance Act 1978 (as amended) and regulations promulgated thereunder;</w:t>
      </w:r>
    </w:p>
    <w:p>
      <w:pPr>
        <w:spacing w:after="0" w:line="165" w:lineRule="exact"/>
        <w:rPr>
          <w:rFonts w:ascii="Arial" w:cs="Arial" w:eastAsia="Arial" w:hAnsi="Arial"/>
          <w:sz w:val="17"/>
          <w:szCs w:val="17"/>
          <w:color w:val="auto"/>
        </w:rPr>
      </w:pPr>
    </w:p>
    <w:p>
      <w:pPr>
        <w:jc w:val="both"/>
        <w:ind w:firstLine="1292"/>
        <w:spacing w:after="0" w:line="288" w:lineRule="auto"/>
        <w:tabs>
          <w:tab w:leader="none" w:pos="193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 certificate of a director of Weatherford Australia Pty Limited, dated the Effective Date and confirming that (A) the resolutions referred to in </w:t>
      </w:r>
      <w:r>
        <w:rPr>
          <w:rFonts w:ascii="Arial" w:cs="Arial" w:eastAsia="Arial" w:hAnsi="Arial"/>
          <w:sz w:val="16"/>
          <w:szCs w:val="16"/>
          <w:u w:val="single" w:color="auto"/>
          <w:color w:val="auto"/>
        </w:rPr>
        <w:t>Section 5.01(a)(v)</w:t>
      </w:r>
      <w:r>
        <w:rPr>
          <w:rFonts w:ascii="Arial" w:cs="Arial" w:eastAsia="Arial" w:hAnsi="Arial"/>
          <w:sz w:val="16"/>
          <w:szCs w:val="16"/>
          <w:color w:val="auto"/>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spacing w:after="0" w:line="16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26" w:name="page127"/>
    <w:bookmarkEnd w:id="126"/>
    <w:p>
      <w:pPr>
        <w:jc w:val="both"/>
        <w:ind w:left="640" w:firstLine="1292"/>
        <w:spacing w:after="0" w:line="263" w:lineRule="auto"/>
        <w:tabs>
          <w:tab w:leader="none" w:pos="254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w:t>
      </w:r>
    </w:p>
    <w:p>
      <w:pPr>
        <w:spacing w:after="0" w:line="183" w:lineRule="exact"/>
        <w:rPr>
          <w:rFonts w:ascii="Arial" w:cs="Arial" w:eastAsia="Arial" w:hAnsi="Arial"/>
          <w:sz w:val="18"/>
          <w:szCs w:val="18"/>
          <w:color w:val="auto"/>
        </w:rPr>
      </w:pPr>
    </w:p>
    <w:p>
      <w:pPr>
        <w:jc w:val="both"/>
        <w:ind w:left="640" w:firstLine="1292"/>
        <w:spacing w:after="0" w:line="257" w:lineRule="auto"/>
        <w:tabs>
          <w:tab w:leader="none" w:pos="253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the extent available in the applicable jurisdiction(s), (I) 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searches against Parent in the Companies Registration Office, Dublin, the High Court Central Office and all other relevant registries;</w:t>
      </w:r>
    </w:p>
    <w:p>
      <w:pPr>
        <w:spacing w:after="0" w:line="187" w:lineRule="exact"/>
        <w:rPr>
          <w:rFonts w:ascii="Arial" w:cs="Arial" w:eastAsia="Arial" w:hAnsi="Arial"/>
          <w:sz w:val="18"/>
          <w:szCs w:val="18"/>
          <w:color w:val="auto"/>
        </w:rPr>
      </w:pPr>
    </w:p>
    <w:p>
      <w:pPr>
        <w:ind w:left="-20" w:right="20" w:firstLine="1304"/>
        <w:spacing w:after="0" w:line="277" w:lineRule="auto"/>
        <w:tabs>
          <w:tab w:leader="none" w:pos="18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Aggregate Commitments on the Effective Date shall be at least $150,000,000 (or such other amount as may be agreed by the Required Consenting Noteholders (as such term is defined in the Plan of Reorganization)).</w:t>
      </w:r>
    </w:p>
    <w:p>
      <w:pPr>
        <w:spacing w:after="0" w:line="170" w:lineRule="exact"/>
        <w:rPr>
          <w:rFonts w:ascii="Arial" w:cs="Arial" w:eastAsia="Arial" w:hAnsi="Arial"/>
          <w:sz w:val="18"/>
          <w:szCs w:val="18"/>
          <w:color w:val="auto"/>
        </w:rPr>
      </w:pPr>
    </w:p>
    <w:p>
      <w:pPr>
        <w:jc w:val="both"/>
        <w:ind w:left="-20" w:firstLine="1304"/>
        <w:spacing w:after="0" w:line="279" w:lineRule="auto"/>
        <w:tabs>
          <w:tab w:leader="none" w:pos="20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Administrative Agent shall have received evidence reasonably satisfactory to it that all material consents of (i) each Governmental Authority and (ii) each other Person, if any, including any lenders under any bilateral credit facility of Parent and its Subsidiaries, in each case required to be received by the Obligors in connection with the Letters of Credit issued or to be issued hereunder, and the execution, delivery and performance of this Agreement and the other Loan Documents to which any Obligor is a party, have been satisfactorily obtained.</w:t>
      </w:r>
    </w:p>
    <w:p>
      <w:pPr>
        <w:spacing w:after="0" w:line="171" w:lineRule="exact"/>
        <w:rPr>
          <w:rFonts w:ascii="Arial" w:cs="Arial" w:eastAsia="Arial" w:hAnsi="Arial"/>
          <w:sz w:val="17"/>
          <w:szCs w:val="17"/>
          <w:color w:val="auto"/>
        </w:rPr>
      </w:pPr>
    </w:p>
    <w:p>
      <w:pPr>
        <w:ind w:left="-20" w:firstLine="1304"/>
        <w:spacing w:after="0" w:line="277" w:lineRule="auto"/>
        <w:tabs>
          <w:tab w:leader="none" w:pos="20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the conditions precedent to the effectiveness of the Exit ABL Credit Agreement as set forth in Section 3.1 thereof have been satisfied or waived.</w:t>
      </w:r>
    </w:p>
    <w:p>
      <w:pPr>
        <w:spacing w:after="0" w:line="170" w:lineRule="exact"/>
        <w:rPr>
          <w:rFonts w:ascii="Arial" w:cs="Arial" w:eastAsia="Arial" w:hAnsi="Arial"/>
          <w:sz w:val="18"/>
          <w:szCs w:val="18"/>
          <w:color w:val="auto"/>
        </w:rPr>
      </w:pPr>
    </w:p>
    <w:p>
      <w:pPr>
        <w:jc w:val="both"/>
        <w:ind w:left="-20" w:firstLine="1304"/>
        <w:spacing w:after="0" w:line="286" w:lineRule="auto"/>
        <w:tabs>
          <w:tab w:leader="none" w:pos="19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Administrative Agent shall have received evidence reasonably satisfactory to it that (i) the conditions precedent to the effectiveness of the Plan of Reorganization as set forth therein shall have been satisfied or waived in accordance with the terms of the Plan of Reorganization, and (ii) the Plan Effective Date shall have occurred, or shall have occurred concurrently with the effectiveness of this Agreement.</w:t>
      </w:r>
    </w:p>
    <w:p>
      <w:pPr>
        <w:spacing w:after="0" w:line="165" w:lineRule="exact"/>
        <w:rPr>
          <w:rFonts w:ascii="Arial" w:cs="Arial" w:eastAsia="Arial" w:hAnsi="Arial"/>
          <w:sz w:val="17"/>
          <w:szCs w:val="17"/>
          <w:color w:val="auto"/>
        </w:rPr>
      </w:pPr>
    </w:p>
    <w:p>
      <w:pPr>
        <w:jc w:val="both"/>
        <w:ind w:left="-20" w:firstLine="1304"/>
        <w:spacing w:after="0" w:line="263" w:lineRule="auto"/>
        <w:tabs>
          <w:tab w:leader="none" w:pos="1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Joint Lead Arrangers shall have received evidence reasonably satisfactory to them that the Irish Scheme shall have been approved by the Irish High Court, or such other structure as is reasonably acceptable to the Joint Lead Arrangers, and has become effective in accordance with its terms, or will become effective concurrently with the effectiveness of this Agreement.</w:t>
      </w:r>
    </w:p>
    <w:p>
      <w:pPr>
        <w:spacing w:after="0" w:line="183" w:lineRule="exact"/>
        <w:rPr>
          <w:rFonts w:ascii="Arial" w:cs="Arial" w:eastAsia="Arial" w:hAnsi="Arial"/>
          <w:sz w:val="18"/>
          <w:szCs w:val="18"/>
          <w:color w:val="auto"/>
        </w:rPr>
      </w:pPr>
    </w:p>
    <w:p>
      <w:pPr>
        <w:jc w:val="both"/>
        <w:ind w:left="-20" w:right="20" w:firstLine="1304"/>
        <w:spacing w:after="0" w:line="259" w:lineRule="auto"/>
        <w:tabs>
          <w:tab w:leader="none" w:pos="193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Joint Lead Arrangers shall have received evidence reasonably satisfactory to them that a provisional liquidator of WIL-Bermuda has been appointed and the Bermuda Scheme has been sanctioned by the Bermuda court, or such other structure as is reasonably acceptable to the Joint Lead Arrangers, and has become effective in accordance with its terms, or will become effective concurrently with the effectiveness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27" w:name="page128"/>
    <w:bookmarkEnd w:id="127"/>
    <w:p>
      <w:pPr>
        <w:jc w:val="both"/>
        <w:ind w:left="-20" w:firstLine="1304"/>
        <w:spacing w:after="0" w:line="254" w:lineRule="auto"/>
        <w:tabs>
          <w:tab w:leader="none" w:pos="19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 All commitments and other obligations (other than contingent indemnification obligations as to which no claim has been received) with respect to the Prepetition Revolving Credit Claims, the Prepetition Term Loan Claims, the Prepetition A&amp;R Claims and the DIP Facility Claims (as each term is defined in the Plan of Reorganization) have been cancelled, and Indebtedness in respect of such Prepetition Revolving Credit Claims, Prepetition Term Loan Claims, Prepetition A&amp;R Claims and DIP Facility Claims has been satisfied in full, and (ii) all existing Liens in favor of the Prepetition Agents, the Prepetition Lenders, the DIP Agent and the DIP Lenders (as each term is defined in the Plan of Reorganization) and any other creditor with a Lien on the Collateral (except for Liens permitted by </w:t>
      </w:r>
      <w:r>
        <w:rPr>
          <w:rFonts w:ascii="Arial" w:cs="Arial" w:eastAsia="Arial" w:hAnsi="Arial"/>
          <w:sz w:val="18"/>
          <w:szCs w:val="18"/>
          <w:u w:val="single" w:color="auto"/>
          <w:color w:val="auto"/>
        </w:rPr>
        <w:t>Section 6.18</w:t>
      </w:r>
      <w:r>
        <w:rPr>
          <w:rFonts w:ascii="Arial" w:cs="Arial" w:eastAsia="Arial" w:hAnsi="Arial"/>
          <w:sz w:val="18"/>
          <w:szCs w:val="18"/>
          <w:color w:val="auto"/>
        </w:rPr>
        <w:t>) (subject to arrangements reasonably satisfactory to the Administrative Agent having been made for the applicable filings of terminations) have terminated, in each case effective prior to or concurrently with the effectiveness of this Agreement.</w:t>
      </w:r>
    </w:p>
    <w:p>
      <w:pPr>
        <w:spacing w:after="0" w:line="191" w:lineRule="exact"/>
        <w:rPr>
          <w:rFonts w:ascii="Arial" w:cs="Arial" w:eastAsia="Arial" w:hAnsi="Arial"/>
          <w:sz w:val="18"/>
          <w:szCs w:val="18"/>
          <w:color w:val="auto"/>
        </w:rPr>
      </w:pPr>
    </w:p>
    <w:p>
      <w:pPr>
        <w:jc w:val="both"/>
        <w:ind w:left="-20" w:firstLine="1304"/>
        <w:spacing w:after="0" w:line="279" w:lineRule="auto"/>
        <w:tabs>
          <w:tab w:leader="none" w:pos="178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After giving effect to the initial use of proceeds of the Exit ABL Credit Facility and the Exit Senior Notes (including the payment of all amounts associated with the Chapter 11 Cases), (a) minimum availability under the Exit ABL Credit Facility on the Effective Date is not less than $150,000,000, and (b) minimum availability under the Exit ABL Credit Facility plus unrestricted cash of the Obligors on the Effective Date (located in the United States, England, Canada, Norway, United Arab Emirates and Germany), is not less than $350,000,000.</w:t>
      </w:r>
    </w:p>
    <w:p>
      <w:pPr>
        <w:spacing w:after="0" w:line="171" w:lineRule="exact"/>
        <w:rPr>
          <w:rFonts w:ascii="Arial" w:cs="Arial" w:eastAsia="Arial" w:hAnsi="Arial"/>
          <w:sz w:val="17"/>
          <w:szCs w:val="17"/>
          <w:color w:val="auto"/>
        </w:rPr>
      </w:pPr>
    </w:p>
    <w:p>
      <w:pPr>
        <w:jc w:val="both"/>
        <w:ind w:left="-20" w:right="20" w:firstLine="1304"/>
        <w:spacing w:after="0" w:line="279" w:lineRule="auto"/>
        <w:tabs>
          <w:tab w:leader="none" w:pos="189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order confirming the Plan of Reorganization shall have become a Final Order (as defined in the Plan of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this </w:t>
      </w:r>
      <w:r>
        <w:rPr>
          <w:rFonts w:ascii="Arial" w:cs="Arial" w:eastAsia="Arial" w:hAnsi="Arial"/>
          <w:sz w:val="17"/>
          <w:szCs w:val="17"/>
          <w:u w:val="single" w:color="auto"/>
          <w:color w:val="auto"/>
        </w:rPr>
        <w:t>clause (j)</w:t>
      </w:r>
      <w:r>
        <w:rPr>
          <w:rFonts w:ascii="Arial" w:cs="Arial" w:eastAsia="Arial" w:hAnsi="Arial"/>
          <w:sz w:val="17"/>
          <w:szCs w:val="17"/>
          <w:color w:val="auto"/>
        </w:rPr>
        <w:t>, that certain appeal filed by GAMCO Asset Management Inc. in the United States District Court, docketed as 4:19-cv-4324 (the “</w:t>
      </w:r>
      <w:r>
        <w:rPr>
          <w:rFonts w:ascii="Arial" w:cs="Arial" w:eastAsia="Arial" w:hAnsi="Arial"/>
          <w:sz w:val="17"/>
          <w:szCs w:val="17"/>
          <w:u w:val="single" w:color="auto"/>
          <w:color w:val="auto"/>
        </w:rPr>
        <w:t>GAMCO Appeal</w:t>
      </w:r>
      <w:r>
        <w:rPr>
          <w:rFonts w:ascii="Arial" w:cs="Arial" w:eastAsia="Arial" w:hAnsi="Arial"/>
          <w:sz w:val="17"/>
          <w:szCs w:val="17"/>
          <w:color w:val="auto"/>
        </w:rPr>
        <w:t>”), shall not prevent such order from becoming a Final Order to the extent such order would otherwise be a Final Order but for the GAMCO Appeal), and such order shall not have been amended, modified, vacated, stayed or reversed.</w:t>
      </w:r>
    </w:p>
    <w:p>
      <w:pPr>
        <w:spacing w:after="0" w:line="171" w:lineRule="exact"/>
        <w:rPr>
          <w:rFonts w:ascii="Arial" w:cs="Arial" w:eastAsia="Arial" w:hAnsi="Arial"/>
          <w:sz w:val="17"/>
          <w:szCs w:val="17"/>
          <w:color w:val="auto"/>
        </w:rPr>
      </w:pPr>
    </w:p>
    <w:p>
      <w:pPr>
        <w:jc w:val="both"/>
        <w:ind w:left="-20" w:firstLine="1304"/>
        <w:spacing w:after="0" w:line="263" w:lineRule="auto"/>
        <w:tabs>
          <w:tab w:leader="none" w:pos="192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shall be no adversary proceeding pending in the Bankruptcy Court, or litigation commenced outside of the Chapter 11 Cases that is not stayed pursuant to Section 362 of the Bankruptcy Code, seeking to enjoin or prevent the financing or the transactions contemplated under this Agreement.</w:t>
      </w:r>
    </w:p>
    <w:p>
      <w:pPr>
        <w:spacing w:after="0" w:line="183" w:lineRule="exact"/>
        <w:rPr>
          <w:rFonts w:ascii="Arial" w:cs="Arial" w:eastAsia="Arial" w:hAnsi="Arial"/>
          <w:sz w:val="18"/>
          <w:szCs w:val="18"/>
          <w:color w:val="auto"/>
        </w:rPr>
      </w:pPr>
    </w:p>
    <w:p>
      <w:pPr>
        <w:jc w:val="both"/>
        <w:ind w:left="-20" w:firstLine="1304"/>
        <w:spacing w:after="0" w:line="255" w:lineRule="auto"/>
        <w:tabs>
          <w:tab w:leader="none" w:pos="18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Joint Lead Arrangers shall have received evidence reasonably satisfactory to them that Parent and its Subsidiaries shall have no Indebtedness for borrowed money outstanding or otherwise incurred, or any letters of credit outstanding, other than in respect of (i) the Exit ABL Credit Agreement and this Agreement and the facilities thereunder and hereunder, (ii) the Exit Senior Notes in an aggregate principal amount not to exceed $2,100,000,000, (iii) up to $415,000,000 of outstanding letters of credit or reimbursement obligations under letters of credit, pursuant to bilateral facilities or otherwise, and (iv) certain Indebtedness in respect of Weatherford Industria e Comercio Ltd. in respect of an equipment loan, in an amount not exceeding $500,000.</w:t>
      </w:r>
    </w:p>
    <w:p>
      <w:pPr>
        <w:spacing w:after="0" w:line="192" w:lineRule="exact"/>
        <w:rPr>
          <w:rFonts w:ascii="Arial" w:cs="Arial" w:eastAsia="Arial" w:hAnsi="Arial"/>
          <w:sz w:val="18"/>
          <w:szCs w:val="18"/>
          <w:color w:val="auto"/>
        </w:rPr>
      </w:pPr>
    </w:p>
    <w:p>
      <w:pPr>
        <w:jc w:val="both"/>
        <w:ind w:left="-20" w:firstLine="1304"/>
        <w:spacing w:after="0" w:line="259" w:lineRule="auto"/>
        <w:tabs>
          <w:tab w:leader="none" w:pos="18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Lenders shall have received (i) audited consolidated financial statements of Parent for the Fiscal Years ended December 31, 2018 and December 31, 2017,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28" w:name="page129"/>
    <w:bookmarkEnd w:id="128"/>
    <w:p>
      <w:pPr>
        <w:jc w:val="both"/>
        <w:spacing w:after="0" w:line="263" w:lineRule="auto"/>
        <w:rPr>
          <w:sz w:val="20"/>
          <w:szCs w:val="20"/>
          <w:color w:val="auto"/>
        </w:rPr>
      </w:pPr>
      <w:r>
        <w:rPr>
          <w:rFonts w:ascii="Arial" w:cs="Arial" w:eastAsia="Arial" w:hAnsi="Arial"/>
          <w:sz w:val="18"/>
          <w:szCs w:val="18"/>
          <w:color w:val="auto"/>
        </w:rPr>
        <w:t>quarterly period ended subsequent to December 31, 2018,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spacing w:after="0" w:line="184" w:lineRule="exact"/>
        <w:rPr>
          <w:sz w:val="20"/>
          <w:szCs w:val="20"/>
          <w:color w:val="auto"/>
        </w:rPr>
      </w:pPr>
    </w:p>
    <w:p>
      <w:pPr>
        <w:jc w:val="both"/>
        <w:ind w:firstLine="1304"/>
        <w:spacing w:after="0" w:line="259" w:lineRule="auto"/>
        <w:tabs>
          <w:tab w:leader="none" w:pos="18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or any other Loan Document.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8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8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Certificates of insurance (other than for any Obligor incorporated in England and Wales) listing the Administrative Agent as (x) loss payee for the property casualty insurance policies of the Obligors (other than the UK Obligors), together with loss payable endorsements and (y) additional insured with respect to the liability insurance of the Obligors (other than the UK Obligors), together with additional insured endorsements, shall have been provided.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Conditions Precedent to All Credit Events</w:t>
      </w:r>
      <w:r>
        <w:rPr>
          <w:rFonts w:ascii="Arial" w:cs="Arial" w:eastAsia="Arial" w:hAnsi="Arial"/>
          <w:sz w:val="18"/>
          <w:szCs w:val="18"/>
          <w:color w:val="auto"/>
        </w:rPr>
        <w:t>. The obligation of any Issuing Bank to issue, amend, renew or extend (including deemed issuance) any Letter of Credit on or after the Effective Date is subject to the further conditions precedent that, on the date such Letter of Credit is issued, amended, renewed or extended:</w:t>
      </w:r>
    </w:p>
    <w:p>
      <w:pPr>
        <w:spacing w:after="0" w:line="184" w:lineRule="exact"/>
        <w:rPr>
          <w:sz w:val="20"/>
          <w:szCs w:val="20"/>
          <w:color w:val="auto"/>
        </w:rPr>
      </w:pPr>
    </w:p>
    <w:p>
      <w:pPr>
        <w:jc w:val="both"/>
        <w:ind w:firstLine="1304"/>
        <w:spacing w:after="0" w:line="272" w:lineRule="auto"/>
        <w:tabs>
          <w:tab w:leader="none" w:pos="182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issuance, amendment, renewal or extension of such Letter of Credit, except to the extent any such representations and warranties are expressly limited to an earlier date, in which case, on and as of the date of such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9" w:name="page130"/>
    <w:bookmarkEnd w:id="129"/>
    <w:p>
      <w:pPr>
        <w:jc w:val="both"/>
        <w:ind w:firstLine="1304"/>
        <w:spacing w:after="0" w:line="301" w:lineRule="auto"/>
        <w:tabs>
          <w:tab w:leader="none" w:pos="184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applicable Issuing Bank shall have received (i) in the case of an issuance, amendment, renewal or extension of a Letter of Credit, a Letter of Credit Request as required by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by the time and on the Business Day specified in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(ii)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spacing w:after="0" w:line="157" w:lineRule="exact"/>
        <w:rPr>
          <w:rFonts w:ascii="Arial" w:cs="Arial" w:eastAsia="Arial" w:hAnsi="Arial"/>
          <w:sz w:val="16"/>
          <w:szCs w:val="16"/>
          <w:color w:val="auto"/>
        </w:rPr>
      </w:pPr>
    </w:p>
    <w:p>
      <w:pPr>
        <w:ind w:right="20" w:firstLine="1304"/>
        <w:spacing w:after="0" w:line="277" w:lineRule="auto"/>
        <w:tabs>
          <w:tab w:leader="none" w:pos="18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After giving effect to the issuance, amendment, renewal or extension of such Letter of Credit, the Dollar Equivalent of the Total LC Exposure shall not exceed the Aggregate Commitments.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To the extent a Defaulting Lender exists at the time of such issuance, amendment, renewal or extension, such Defaulting Lender’s LC Exposure in respect of such Letter of Credit shall be cash collateralized to the extent required by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of this Agreement, or otherwise secured to the reasonable satisfaction of the applicable Issuing Bank.</w:t>
      </w:r>
    </w:p>
    <w:p>
      <w:pPr>
        <w:spacing w:after="0" w:line="183" w:lineRule="exact"/>
        <w:rPr>
          <w:rFonts w:ascii="Arial" w:cs="Arial" w:eastAsia="Arial" w:hAnsi="Arial"/>
          <w:sz w:val="18"/>
          <w:szCs w:val="18"/>
          <w:color w:val="auto"/>
        </w:rPr>
      </w:pPr>
    </w:p>
    <w:p>
      <w:pPr>
        <w:ind w:firstLine="1304"/>
        <w:spacing w:after="0" w:line="277" w:lineRule="auto"/>
        <w:tabs>
          <w:tab w:leader="none" w:pos="18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issuance, amendment, renewal or extension of such Letter of Credit.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2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such Letter of Credit is denominated in an Alternative Currency, the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such applicable Issuing Bank, would make it impractical for such Letter of Credit to be denominated in the relevant Alternative Currency.</w:t>
      </w:r>
    </w:p>
    <w:p>
      <w:pPr>
        <w:spacing w:after="0" w:line="186" w:lineRule="exact"/>
        <w:rPr>
          <w:rFonts w:ascii="Arial" w:cs="Arial" w:eastAsia="Arial" w:hAnsi="Arial"/>
          <w:sz w:val="18"/>
          <w:szCs w:val="18"/>
          <w:color w:val="auto"/>
        </w:rPr>
      </w:pPr>
    </w:p>
    <w:p>
      <w:pPr>
        <w:ind w:firstLine="1304"/>
        <w:spacing w:after="0" w:line="277" w:lineRule="auto"/>
        <w:tabs>
          <w:tab w:leader="none" w:pos="18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issuance, amendment, renewal or extension of such Letter of Credit shall not violate any Requirement of Law nor any policy of the applicable Issuing Bank in effect at such time and generally applicable to letters of credit.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acceptance of the benefits of each Letter of Credit and any amendment, renewal, or extension thereof shall constitute a representation and warranty by each of the Obligors to each of the Lenders that all of the conditions specified in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have been satisfied as of that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Party represents and warrants to the Lenders, the Issuing Banks and the Administrative Agent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Each Obligor and each Restricted Subsidiary (a) is a company, corporation, partnership 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0" w:name="page131"/>
    <w:bookmarkEnd w:id="130"/>
    <w:p>
      <w:pPr>
        <w:jc w:val="both"/>
        <w:spacing w:after="0" w:line="254" w:lineRule="auto"/>
        <w:rPr>
          <w:sz w:val="20"/>
          <w:szCs w:val="20"/>
          <w:color w:val="auto"/>
        </w:rPr>
      </w:pPr>
      <w:r>
        <w:rPr>
          <w:rFonts w:ascii="Arial" w:cs="Arial" w:eastAsia="Arial" w:hAnsi="Arial"/>
          <w:sz w:val="18"/>
          <w:szCs w:val="18"/>
          <w:color w:val="auto"/>
        </w:rPr>
        <w:t>of a Luxembourg Obligor, for the purposes of the European Insolvency Regulation, its “centre of main interests” (as that term is used in article 3(1) of the European Insolvency Regulation) is located at its registered office (</w:t>
      </w:r>
      <w:r>
        <w:rPr>
          <w:rFonts w:ascii="Arial" w:cs="Arial" w:eastAsia="Arial" w:hAnsi="Arial"/>
          <w:sz w:val="18"/>
          <w:szCs w:val="18"/>
          <w:i w:val="1"/>
          <w:iCs w:val="1"/>
          <w:color w:val="auto"/>
        </w:rPr>
        <w:t>siège statutaire</w:t>
      </w:r>
      <w:r>
        <w:rPr>
          <w:rFonts w:ascii="Arial" w:cs="Arial" w:eastAsia="Arial" w:hAnsi="Arial"/>
          <w:sz w:val="18"/>
          <w:szCs w:val="18"/>
          <w:color w:val="auto"/>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Authorization, Validity, Etc.</w:t>
      </w:r>
      <w:r>
        <w:rPr>
          <w:rFonts w:ascii="Arial" w:cs="Arial" w:eastAsia="Arial" w:hAnsi="Arial"/>
          <w:sz w:val="16"/>
          <w:szCs w:val="16"/>
          <w:color w:val="auto"/>
        </w:rPr>
        <w:t xml:space="preserve"> Each Obligor has the corporate and, as applicable, any other power and authority to execute, deliver and perform its obligations hereunder and under the other Loan Documents to which it is a party and to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Governmental Consents, Etc.</w:t>
      </w:r>
      <w:r>
        <w:rPr>
          <w:rFonts w:ascii="Arial" w:cs="Arial" w:eastAsia="Arial" w:hAnsi="Arial"/>
          <w:sz w:val="18"/>
          <w:szCs w:val="18"/>
          <w:color w:val="auto"/>
        </w:rPr>
        <w:t xml:space="preserve">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No Breach or Violation of Law or Agreements</w:t>
      </w:r>
      <w:r>
        <w:rPr>
          <w:rFonts w:ascii="Arial" w:cs="Arial" w:eastAsia="Arial" w:hAnsi="Arial"/>
          <w:sz w:val="17"/>
          <w:szCs w:val="17"/>
          <w:color w:val="auto"/>
        </w:rPr>
        <w:t>.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Exit Senior Notes or the Exit Senior Notes Indenture, the Senior Secured Notes or the Senior Secured Notes Indenture or (ii) any other indenture, agreement or other instrument (including, without limitation,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1" w:name="page132"/>
    <w:bookmarkEnd w:id="131"/>
    <w:p>
      <w:pPr>
        <w:jc w:val="both"/>
        <w:spacing w:after="0" w:line="286" w:lineRule="auto"/>
        <w:rPr>
          <w:sz w:val="20"/>
          <w:szCs w:val="20"/>
          <w:color w:val="auto"/>
        </w:rPr>
      </w:pPr>
      <w:r>
        <w:rPr>
          <w:rFonts w:ascii="Arial" w:cs="Arial" w:eastAsia="Arial" w:hAnsi="Arial"/>
          <w:sz w:val="17"/>
          <w:szCs w:val="17"/>
          <w:color w:val="auto"/>
        </w:rPr>
        <w:t xml:space="preserve">any Revolving Credit Document) to which it or any of its Restricted Subsidiaries is party or by which any property or asset of it or any of its Restricted Subsidiaries is bound or to which it is subject, except for breaches, violations and defaults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that collectively for the Obligors would not have a Material Adverse Effect, or (c) will violate any provision of the organizational documents or by-laws of any Obligor.</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6.05</w:t>
      </w:r>
      <w:r>
        <w:rPr>
          <w:rFonts w:ascii="Arial" w:cs="Arial" w:eastAsia="Arial" w:hAnsi="Arial"/>
          <w:sz w:val="18"/>
          <w:szCs w:val="18"/>
          <w:color w:val="auto"/>
        </w:rPr>
        <w:t>,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spacing w:after="0" w:line="18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Information; No Material Adverse Change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87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177" w:lineRule="exact"/>
        <w:rPr>
          <w:rFonts w:ascii="Arial" w:cs="Arial" w:eastAsia="Arial" w:hAnsi="Arial"/>
          <w:sz w:val="17"/>
          <w:szCs w:val="17"/>
          <w:color w:val="auto"/>
        </w:rPr>
      </w:pPr>
    </w:p>
    <w:p>
      <w:pPr>
        <w:jc w:val="both"/>
        <w:ind w:firstLine="1304"/>
        <w:spacing w:after="0" w:line="279" w:lineRule="auto"/>
        <w:tabs>
          <w:tab w:leader="none" w:pos="188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Parent has heretofore furnished to the Lenders its consolidated balance sheet and statements of income, stockholders equity and cash flows as of and for the Fiscal Years ended December 31, 2018 and December 31, 2017,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spacing w:after="0" w:line="171" w:lineRule="exact"/>
        <w:rPr>
          <w:rFonts w:ascii="Arial" w:cs="Arial" w:eastAsia="Arial" w:hAnsi="Arial"/>
          <w:sz w:val="17"/>
          <w:szCs w:val="17"/>
          <w:color w:val="auto"/>
        </w:rPr>
      </w:pPr>
    </w:p>
    <w:p>
      <w:pPr>
        <w:ind w:firstLine="1304"/>
        <w:spacing w:after="0" w:line="277" w:lineRule="auto"/>
        <w:tabs>
          <w:tab w:leader="none" w:pos="186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has been no material adverse change since July 3, 2019 in the financial condition, business, assets or operations of Parent and its Restricted Subsidiaries, taken as a whole.</w:t>
      </w:r>
    </w:p>
    <w:p>
      <w:pPr>
        <w:spacing w:after="0" w:line="17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Investment Company Act; Margin Regulations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83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Neither any Obligor nor any of its Restricted Subsidiaries is, or is regulated as, an “investment company”, as such term is defined in the Investment Company Act of 1940 (as adopted in the United States), as amended.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any Letters of Credit issued hereunder will be used to purchase or carry any such margin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2" w:name="page133"/>
    <w:bookmarkEnd w:id="132"/>
    <w:p>
      <w:pPr>
        <w:spacing w:after="0" w:line="277" w:lineRule="auto"/>
        <w:rPr>
          <w:sz w:val="20"/>
          <w:szCs w:val="20"/>
          <w:color w:val="auto"/>
        </w:rPr>
      </w:pPr>
      <w:r>
        <w:rPr>
          <w:rFonts w:ascii="Arial" w:cs="Arial" w:eastAsia="Arial" w:hAnsi="Arial"/>
          <w:sz w:val="18"/>
          <w:szCs w:val="18"/>
          <w:color w:val="auto"/>
        </w:rPr>
        <w:t>or to extend credit to others for the purpose of purchasing or carrying any such margin stock or for any purpose that violates, or is inconsistent with, the provisions of Regulation T, U or X.</w:t>
      </w:r>
    </w:p>
    <w:p>
      <w:pPr>
        <w:spacing w:after="0" w:line="17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ERISA; Canadian Defined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194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Obligor and each ERISA Affiliate has maintained and administered each Plan and Foreign Plan in compliance with all applicable laws and the terms of each such Plan or Foreign Plan, except for such instances of noncompliance that, when taken together with all other such instances of noncompliance, have not resulted in and would not reasonably be expected to have a Material Adverse Effect.</w:t>
      </w:r>
    </w:p>
    <w:p>
      <w:pPr>
        <w:spacing w:after="0" w:line="165" w:lineRule="exact"/>
        <w:rPr>
          <w:rFonts w:ascii="Arial" w:cs="Arial" w:eastAsia="Arial" w:hAnsi="Arial"/>
          <w:sz w:val="17"/>
          <w:szCs w:val="17"/>
          <w:color w:val="auto"/>
        </w:rPr>
      </w:pPr>
    </w:p>
    <w:p>
      <w:pPr>
        <w:ind w:firstLine="1304"/>
        <w:spacing w:after="0" w:line="277" w:lineRule="auto"/>
        <w:tabs>
          <w:tab w:leader="none" w:pos="18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that are reasonably expected to occur, could reasonably be expected to have a Material Adverse Effect.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0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None of the assets of the Obligors constitute “plan assets” (within the meaning of the Plan Asset Regulations).</w:t>
      </w:r>
    </w:p>
    <w:p>
      <w:pPr>
        <w:spacing w:after="0" w:line="225" w:lineRule="exact"/>
        <w:rPr>
          <w:rFonts w:ascii="Arial" w:cs="Arial" w:eastAsia="Arial" w:hAnsi="Arial"/>
          <w:sz w:val="18"/>
          <w:szCs w:val="18"/>
          <w:color w:val="auto"/>
        </w:rPr>
      </w:pPr>
    </w:p>
    <w:p>
      <w:pPr>
        <w:ind w:left="1840" w:hanging="536"/>
        <w:spacing w:after="0"/>
        <w:tabs>
          <w:tab w:leader="none" w:pos="18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 Obligor sponsors, administers, participates in or contributes to, or has any liabilities or obligations in respect of, any Canadian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Benefit Plan.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6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6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6" w:lineRule="exact"/>
        <w:rPr>
          <w:rFonts w:ascii="Arial" w:cs="Arial" w:eastAsia="Arial" w:hAnsi="Arial"/>
          <w:sz w:val="18"/>
          <w:szCs w:val="18"/>
          <w:color w:val="auto"/>
        </w:rPr>
      </w:pPr>
    </w:p>
    <w:p>
      <w:pPr>
        <w:ind w:firstLine="1304"/>
        <w:spacing w:after="0" w:line="308" w:lineRule="auto"/>
        <w:tabs>
          <w:tab w:leader="none" w:pos="186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neither Parent nor any of its Subsidiaries (i) has failed to comply with any Environmental Law or to obtain, maintain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comply with any permit, license or other approval required for the conduct of Parent’s or any of its Subsidiaries’ business under any Environmental Law,</w:t>
      </w:r>
    </w:p>
    <w:p>
      <w:pPr>
        <w:spacing w:after="0" w:line="46" w:lineRule="exact"/>
        <w:rPr>
          <w:sz w:val="20"/>
          <w:szCs w:val="20"/>
          <w:color w:val="auto"/>
        </w:rPr>
      </w:pPr>
    </w:p>
    <w:p>
      <w:pPr>
        <w:ind w:left="280" w:hanging="272"/>
        <w:spacing w:after="0"/>
        <w:tabs>
          <w:tab w:leader="none" w:pos="2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is liable for any Environmental Liability, (iii) has received notice of any claim against or affecting it with respect to any Environmental Liability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has knowledge of any facts or circumstances that would give rise to any Environmental Liability against or affecting it.</w:t>
      </w:r>
    </w:p>
    <w:p>
      <w:pPr>
        <w:spacing w:after="0" w:line="210" w:lineRule="exact"/>
        <w:rPr>
          <w:rFonts w:ascii="Arial" w:cs="Arial" w:eastAsia="Arial" w:hAnsi="Arial"/>
          <w:sz w:val="18"/>
          <w:szCs w:val="18"/>
          <w:color w:val="auto"/>
        </w:rPr>
      </w:pPr>
    </w:p>
    <w:p>
      <w:pPr>
        <w:ind w:firstLine="1304"/>
        <w:spacing w:after="0" w:line="277" w:lineRule="auto"/>
        <w:tabs>
          <w:tab w:leader="none" w:pos="184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of the Effective Date, the information included in the Beneficial Ownership Certification (if any such certificate was required to be delivered by any Borrower under the Beneficial Ownership Regulation) is true and correct in all respects.</w:t>
      </w:r>
    </w:p>
    <w:p>
      <w:pPr>
        <w:spacing w:after="0" w:line="17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w:t>
      </w:r>
    </w:p>
    <w:p>
      <w:pPr>
        <w:spacing w:after="0" w:line="22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182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Arial" w:cs="Arial" w:eastAsia="Arial" w:hAnsi="Arial"/>
          <w:sz w:val="18"/>
          <w:szCs w:val="18"/>
          <w:u w:val="single" w:color="auto"/>
          <w:color w:val="auto"/>
        </w:rPr>
        <w:t>Schedule 6.12</w:t>
      </w:r>
      <w:r>
        <w:rPr>
          <w:rFonts w:ascii="Arial" w:cs="Arial" w:eastAsia="Arial" w:hAnsi="Arial"/>
          <w:sz w:val="18"/>
          <w:szCs w:val="18"/>
          <w:color w:val="auto"/>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established hereby, is a Sanctioned Person. No issuance of the Letters of Credit or any other transaction contemplated by this Agreement will violate any Anti-Corruption Laws or any Sanctions applicable to any party hereto.</w:t>
      </w:r>
    </w:p>
    <w:p>
      <w:pPr>
        <w:spacing w:after="0" w:line="191" w:lineRule="exact"/>
        <w:rPr>
          <w:rFonts w:ascii="Arial" w:cs="Arial" w:eastAsia="Arial" w:hAnsi="Arial"/>
          <w:sz w:val="18"/>
          <w:szCs w:val="18"/>
          <w:color w:val="auto"/>
        </w:rPr>
      </w:pPr>
    </w:p>
    <w:p>
      <w:pPr>
        <w:jc w:val="both"/>
        <w:ind w:firstLine="1304"/>
        <w:spacing w:after="0" w:line="255" w:lineRule="auto"/>
        <w:tabs>
          <w:tab w:leader="none" w:pos="182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To the extent that any representation contained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made by any Obligor incorporated or organized under the laws of Germany or a resident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of the German Foreign Trade Act (</w:t>
      </w:r>
      <w:r>
        <w:rPr>
          <w:rFonts w:ascii="Arial" w:cs="Arial" w:eastAsia="Arial" w:hAnsi="Arial"/>
          <w:sz w:val="18"/>
          <w:szCs w:val="18"/>
          <w:i w:val="1"/>
          <w:iCs w:val="1"/>
          <w:color w:val="auto"/>
        </w:rPr>
        <w:t>Auβenwirtschaftgesetz</w:t>
      </w:r>
      <w:r>
        <w:rPr>
          <w:rFonts w:ascii="Arial" w:cs="Arial" w:eastAsia="Arial" w:hAnsi="Arial"/>
          <w:sz w:val="18"/>
          <w:szCs w:val="18"/>
          <w:color w:val="auto"/>
        </w:rPr>
        <w:t>)) would result in a violation of or conflict with or liability under either EU Regulation (EC) 2271/96 or section 7 of the German Foreign Trade Ordinance (</w:t>
      </w:r>
      <w:r>
        <w:rPr>
          <w:rFonts w:ascii="Arial" w:cs="Arial" w:eastAsia="Arial" w:hAnsi="Arial"/>
          <w:sz w:val="18"/>
          <w:szCs w:val="18"/>
          <w:i w:val="1"/>
          <w:iCs w:val="1"/>
          <w:color w:val="auto"/>
        </w:rPr>
        <w:t>Außenwirtschaftsverordnung</w:t>
      </w:r>
      <w:r>
        <w:rPr>
          <w:rFonts w:ascii="Arial" w:cs="Arial" w:eastAsia="Arial" w:hAnsi="Arial"/>
          <w:sz w:val="18"/>
          <w:szCs w:val="18"/>
          <w:color w:val="auto"/>
        </w:rPr>
        <w:t>) (in connection with the German Foreign Trade Act (</w:t>
      </w:r>
      <w:r>
        <w:rPr>
          <w:rFonts w:ascii="Arial" w:cs="Arial" w:eastAsia="Arial" w:hAnsi="Arial"/>
          <w:sz w:val="18"/>
          <w:szCs w:val="18"/>
          <w:i w:val="1"/>
          <w:iCs w:val="1"/>
          <w:color w:val="auto"/>
        </w:rPr>
        <w:t>Außenwirtschaftsgesetz</w:t>
      </w:r>
      <w:r>
        <w:rPr>
          <w:rFonts w:ascii="Arial" w:cs="Arial" w:eastAsia="Arial" w:hAnsi="Arial"/>
          <w:sz w:val="18"/>
          <w:szCs w:val="18"/>
          <w:color w:val="auto"/>
        </w:rPr>
        <w:t xml:space="preserve"> (AWG)) or any similar anti-boycott statute, the Required Lenders will, upon the request of the respective Obligor, enter into bona fide discussions with such Obligor regarding the implementation of procedures to mitigate any such conflict or violation.</w:t>
      </w:r>
    </w:p>
    <w:p>
      <w:pPr>
        <w:spacing w:after="0" w:line="19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311" w:lineRule="auto"/>
        <w:tabs>
          <w:tab w:leader="none" w:pos="193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Each of Parent and its Restricted Subsidiaries has good and marketable title to, or valid leasehold interests in, all its real and personal property material to its business, except for (i) Liens permitted by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(ii) minor defects in title that do not, and could not reasonably be expected to, interfere with its ability to conduct its business as currently conducted or to utilize such properties for their intended purposes.</w:t>
      </w:r>
    </w:p>
    <w:p>
      <w:pPr>
        <w:spacing w:after="0" w:line="148" w:lineRule="exact"/>
        <w:rPr>
          <w:rFonts w:ascii="Arial" w:cs="Arial" w:eastAsia="Arial" w:hAnsi="Arial"/>
          <w:sz w:val="16"/>
          <w:szCs w:val="16"/>
          <w:color w:val="auto"/>
        </w:rPr>
      </w:pPr>
    </w:p>
    <w:p>
      <w:pPr>
        <w:ind w:right="20" w:firstLine="1304"/>
        <w:spacing w:after="0" w:line="277" w:lineRule="auto"/>
        <w:tabs>
          <w:tab w:leader="none" w:pos="18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of Parent and its Restricted Subsidiaries owns, or is licensed to use, all Intellectual Property material to its business, and the use thereof and the operation of their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4" w:name="page135"/>
    <w:bookmarkEnd w:id="134"/>
    <w:p>
      <w:pPr>
        <w:jc w:val="both"/>
        <w:spacing w:after="0" w:line="277" w:lineRule="auto"/>
        <w:rPr>
          <w:sz w:val="20"/>
          <w:szCs w:val="20"/>
          <w:color w:val="auto"/>
        </w:rPr>
      </w:pPr>
      <w:r>
        <w:rPr>
          <w:rFonts w:ascii="Arial" w:cs="Arial" w:eastAsia="Arial" w:hAnsi="Arial"/>
          <w:sz w:val="18"/>
          <w:szCs w:val="18"/>
          <w:color w:val="auto"/>
        </w:rPr>
        <w:t>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No Restrictive Agreements</w:t>
      </w:r>
      <w:r>
        <w:rPr>
          <w:rFonts w:ascii="Arial" w:cs="Arial" w:eastAsia="Arial" w:hAnsi="Arial"/>
          <w:sz w:val="18"/>
          <w:szCs w:val="18"/>
          <w:color w:val="auto"/>
        </w:rPr>
        <w:t xml:space="preserve">. Parent and its Restricted Subsidiaries are not subject to any Restrictive Agreements other than Restrictive Agreements permitted by </w:t>
      </w:r>
      <w:r>
        <w:rPr>
          <w:rFonts w:ascii="Arial" w:cs="Arial" w:eastAsia="Arial" w:hAnsi="Arial"/>
          <w:sz w:val="18"/>
          <w:szCs w:val="18"/>
          <w:u w:val="single" w:color="auto"/>
          <w:color w:val="auto"/>
        </w:rPr>
        <w:t>Section 8.11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after the consummation of the Transactions to occur on the Effective Date, Parent and its Subsidiaries, taken as a whole, are and will be Solvent.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Insurance</w:t>
      </w:r>
      <w:r>
        <w:rPr>
          <w:rFonts w:ascii="Arial" w:cs="Arial" w:eastAsia="Arial" w:hAnsi="Arial"/>
          <w:sz w:val="18"/>
          <w:szCs w:val="18"/>
          <w:color w:val="auto"/>
        </w:rPr>
        <w:t>. Parent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Rank of Obligations</w:t>
      </w:r>
      <w:r>
        <w:rPr>
          <w:rFonts w:ascii="Arial" w:cs="Arial" w:eastAsia="Arial" w:hAnsi="Arial"/>
          <w:sz w:val="18"/>
          <w:szCs w:val="18"/>
          <w:color w:val="auto"/>
        </w:rPr>
        <w:t>. The Indebtedness of each Obligor under the Loan Documents to which it is a party rank at least equally with all of the senior and unsecured unsubordinated Indebtedness of such Obligor, except Indebtedness mandatorily (and not consensually) preferred by applicable law, and ahead of all Subordinated Indebtedness, if any, of such Obligor.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There are no Liens on any of the assets of Parent or any Restricted Subsidiary other than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Liens that are being released on the Effective Date.</w:t>
      </w:r>
    </w:p>
    <w:p>
      <w:pPr>
        <w:spacing w:after="0" w:line="17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6.19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The provisions of this Agreement and the other Loan Documents, including but not limited to the English Security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 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and recordation contemplated by the Collateral Documents, in each case, in the appropriate filing offices), and having priority over all other Liens on the Collateral except in the case of</w:t>
      </w:r>
    </w:p>
    <w:p>
      <w:pPr>
        <w:spacing w:after="0" w:line="5" w:lineRule="exact"/>
        <w:rPr>
          <w:sz w:val="20"/>
          <w:szCs w:val="20"/>
          <w:color w:val="auto"/>
        </w:rPr>
      </w:pPr>
    </w:p>
    <w:p>
      <w:pPr>
        <w:ind w:left="5480" w:right="3460" w:hanging="5472"/>
        <w:spacing w:after="0" w:line="511" w:lineRule="auto"/>
        <w:tabs>
          <w:tab w:leader="none" w:pos="2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(b) Liens perfected only by possession (including possession of any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certificate of title) to the extent the Administrative Agent has not obtained or does not maintain possession of such Collateral.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u w:val="single" w:color="auto"/>
          <w:color w:val="auto"/>
        </w:rPr>
        <w:t>Capital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6.20(a)</w:t>
      </w:r>
      <w:r>
        <w:rPr>
          <w:rFonts w:ascii="Arial" w:cs="Arial" w:eastAsia="Arial" w:hAnsi="Arial"/>
          <w:sz w:val="16"/>
          <w:szCs w:val="16"/>
          <w:color w:val="auto"/>
        </w:rPr>
        <w:t xml:space="preserve"> sets forth a complete and accurate description of the authorized Capital Stock of Parent as of the Effective Date immediately after giving effect to the Transactions, by class, and, as of the Effective Date immediately after giving effect to the Transactions, a description of the number of shares of each such class that are issued and outstanding. </w:t>
      </w:r>
      <w:r>
        <w:rPr>
          <w:rFonts w:ascii="Arial" w:cs="Arial" w:eastAsia="Arial" w:hAnsi="Arial"/>
          <w:sz w:val="16"/>
          <w:szCs w:val="16"/>
          <w:u w:val="single" w:color="auto"/>
          <w:color w:val="auto"/>
        </w:rPr>
        <w:t>Schedule 6.20(b)</w:t>
      </w:r>
      <w:r>
        <w:rPr>
          <w:rFonts w:ascii="Arial" w:cs="Arial" w:eastAsia="Arial" w:hAnsi="Arial"/>
          <w:sz w:val="16"/>
          <w:szCs w:val="16"/>
          <w:color w:val="auto"/>
        </w:rPr>
        <w:t xml:space="preserve"> (as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(ii) the number and the percentage of the outstanding shares of each class of Capital Stock owned directly by the parent (or parents) of each such Obligor and (iii) the number and the percentage of the outstanding shares of each class of Capital Stock held by any Obligor in any other Subsidiary. All of the outstanding Capital Stock of each Obligor has been validly issued and is fully paid and non-assessable.</w:t>
      </w:r>
    </w:p>
    <w:p>
      <w:pPr>
        <w:spacing w:after="0" w:line="16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6.21</w:t>
      </w:r>
      <w:r>
        <w:rPr>
          <w:sz w:val="20"/>
          <w:szCs w:val="20"/>
          <w:color w:val="auto"/>
        </w:rPr>
        <w:tab/>
      </w:r>
      <w:r>
        <w:rPr>
          <w:rFonts w:ascii="Arial" w:cs="Arial" w:eastAsia="Arial" w:hAnsi="Arial"/>
          <w:sz w:val="16"/>
          <w:szCs w:val="16"/>
          <w:u w:val="single" w:color="auto"/>
          <w:color w:val="auto"/>
        </w:rPr>
        <w:t>EEA Financial Institutions</w:t>
      </w:r>
      <w:r>
        <w:rPr>
          <w:rFonts w:ascii="Arial" w:cs="Arial" w:eastAsia="Arial" w:hAnsi="Arial"/>
          <w:sz w:val="16"/>
          <w:szCs w:val="16"/>
          <w:color w:val="auto"/>
        </w:rPr>
        <w:t>. No Obligor is an EEA Financial Institution.</w:t>
      </w:r>
    </w:p>
    <w:p>
      <w:pPr>
        <w:spacing w:after="0" w:line="22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6.22</w:t>
      </w:r>
      <w:r>
        <w:rPr>
          <w:sz w:val="20"/>
          <w:szCs w:val="20"/>
          <w:color w:val="auto"/>
        </w:rPr>
        <w:tab/>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Each Swiss Obligor is in compliance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representation if the permitted number of Swiss Non-Qualifying Lenders is exceeded solely by reason of:</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a failure by one or more Lenders or Participants to comply with their obligations under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 confirmation made by one or more Lenders or Participants to be one single Swiss Non-Qualifying Lender is incorrect;</w:t>
      </w:r>
    </w:p>
    <w:p>
      <w:pPr>
        <w:spacing w:after="0" w:line="248" w:lineRule="exact"/>
        <w:rPr>
          <w:rFonts w:ascii="Arial" w:cs="Arial" w:eastAsia="Arial" w:hAnsi="Arial"/>
          <w:sz w:val="16"/>
          <w:szCs w:val="16"/>
          <w:color w:val="auto"/>
        </w:rPr>
      </w:pPr>
    </w:p>
    <w:p>
      <w:pPr>
        <w:ind w:left="660" w:firstLine="1292"/>
        <w:spacing w:after="0" w:line="277" w:lineRule="auto"/>
        <w:tabs>
          <w:tab w:leader="none" w:pos="255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is confirmed to be a Swiss Qualifying Lender) as a result of any reason attributable to such Lender or Participant; or</w:t>
      </w:r>
    </w:p>
    <w:p>
      <w:pPr>
        <w:spacing w:after="0" w:line="170" w:lineRule="exact"/>
        <w:rPr>
          <w:rFonts w:ascii="Arial" w:cs="Arial" w:eastAsia="Arial" w:hAnsi="Arial"/>
          <w:sz w:val="18"/>
          <w:szCs w:val="18"/>
          <w:color w:val="auto"/>
        </w:rPr>
      </w:pPr>
    </w:p>
    <w:p>
      <w:pPr>
        <w:ind w:left="660" w:firstLine="1292"/>
        <w:spacing w:after="0" w:line="277" w:lineRule="auto"/>
        <w:tabs>
          <w:tab w:leader="none" w:pos="25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 assignment or participation of any Commitments or LC Exposure under this Agreement to a Swiss Non-Qualifying Lender after the occurrence of an Event of Default.</w:t>
      </w:r>
    </w:p>
    <w:p>
      <w:pPr>
        <w:spacing w:after="0" w:line="170" w:lineRule="exact"/>
        <w:rPr>
          <w:rFonts w:ascii="Arial" w:cs="Arial" w:eastAsia="Arial" w:hAnsi="Arial"/>
          <w:sz w:val="18"/>
          <w:szCs w:val="18"/>
          <w:color w:val="auto"/>
        </w:rPr>
      </w:pPr>
    </w:p>
    <w:p>
      <w:pPr>
        <w:ind w:right="20" w:firstLine="1304"/>
        <w:spacing w:after="0" w:line="277" w:lineRule="auto"/>
        <w:tabs>
          <w:tab w:leader="none" w:pos="182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6.22</w:t>
      </w:r>
      <w:r>
        <w:rPr>
          <w:rFonts w:ascii="Arial" w:cs="Arial" w:eastAsia="Arial" w:hAnsi="Arial"/>
          <w:sz w:val="18"/>
          <w:szCs w:val="18"/>
          <w:color w:val="auto"/>
        </w:rPr>
        <w:t>, each Swiss Obligor shall assume that the aggregate number of Lenders or Participants under this Agreement which are Swiss Non-Qualifying Lenders is ten (10).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6.23 </w:t>
      </w:r>
      <w:r>
        <w:rPr>
          <w:rFonts w:ascii="Arial" w:cs="Arial" w:eastAsia="Arial" w:hAnsi="Arial"/>
          <w:sz w:val="18"/>
          <w:szCs w:val="18"/>
          <w:u w:val="single" w:color="auto"/>
          <w:color w:val="auto"/>
        </w:rPr>
        <w:t>Dutch Fiscal Unity</w:t>
      </w:r>
      <w:r>
        <w:rPr>
          <w:rFonts w:ascii="Arial" w:cs="Arial" w:eastAsia="Arial" w:hAnsi="Arial"/>
          <w:sz w:val="18"/>
          <w:szCs w:val="18"/>
          <w:color w:val="auto"/>
        </w:rPr>
        <w:t>. Any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 Obligor forms part consists of Obligors and/or Restricted Subsidiaries only.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6" w:name="page137"/>
    <w:bookmarkEnd w:id="136"/>
    <w:p>
      <w:pPr>
        <w:jc w:val="both"/>
        <w:ind w:firstLine="648"/>
        <w:spacing w:after="0" w:line="286" w:lineRule="auto"/>
        <w:rPr>
          <w:sz w:val="20"/>
          <w:szCs w:val="20"/>
          <w:color w:val="auto"/>
        </w:rPr>
      </w:pPr>
      <w:r>
        <w:rPr>
          <w:rFonts w:ascii="Arial" w:cs="Arial" w:eastAsia="Arial" w:hAnsi="Arial"/>
          <w:sz w:val="17"/>
          <w:szCs w:val="17"/>
          <w:color w:val="auto"/>
        </w:rPr>
        <w:t>SECTION 6.24 only and does not have Administrative Agent.</w:t>
      </w:r>
    </w:p>
    <w:p>
      <w:pPr>
        <w:spacing w:after="0" w:line="20" w:lineRule="exact"/>
        <w:rPr>
          <w:sz w:val="20"/>
          <w:szCs w:val="20"/>
          <w:color w:val="auto"/>
        </w:rPr>
      </w:pPr>
      <w:r>
        <w:rPr>
          <w:sz w:val="20"/>
          <w:szCs w:val="20"/>
          <w:color w:val="auto"/>
        </w:rPr>
        <w:br w:type="column"/>
      </w:r>
    </w:p>
    <w:p>
      <w:pPr>
        <w:ind w:firstLine="445"/>
        <w:spacing w:after="0" w:line="342" w:lineRule="auto"/>
        <w:rPr>
          <w:sz w:val="20"/>
          <w:szCs w:val="20"/>
          <w:color w:val="auto"/>
        </w:rPr>
      </w:pPr>
      <w:r>
        <w:rPr>
          <w:rFonts w:ascii="Arial" w:cs="Arial" w:eastAsia="Arial" w:hAnsi="Arial"/>
          <w:sz w:val="16"/>
          <w:szCs w:val="16"/>
          <w:u w:val="single" w:color="auto"/>
          <w:color w:val="auto"/>
        </w:rPr>
        <w:t>Tax Residency</w:t>
      </w:r>
      <w:r>
        <w:rPr>
          <w:rFonts w:ascii="Arial" w:cs="Arial" w:eastAsia="Arial" w:hAnsi="Arial"/>
          <w:sz w:val="16"/>
          <w:szCs w:val="16"/>
          <w:color w:val="auto"/>
        </w:rPr>
        <w:t>. Each Obligor organized under the laws of the Netherlands is resident for tax purposes in the Netherlands a permanent establishment or other taxable presence outside the Netherlands, unless with the prior written consent of the</w:t>
      </w:r>
    </w:p>
    <w:p>
      <w:pPr>
        <w:spacing w:after="0" w:line="339" w:lineRule="exact"/>
        <w:rPr>
          <w:sz w:val="20"/>
          <w:szCs w:val="20"/>
          <w:color w:val="auto"/>
        </w:rPr>
      </w:pPr>
    </w:p>
    <w:p>
      <w:pPr>
        <w:sectPr>
          <w:pgSz w:w="11900" w:h="16838" w:orient="portrait"/>
          <w:cols w:equalWidth="0" w:num="2">
            <w:col w:w="1820" w:space="80"/>
            <w:col w:w="9340"/>
          </w:cols>
          <w:pgMar w:left="320" w:top="584" w:right="339" w:bottom="1440" w:gutter="0" w:footer="0" w:header="0"/>
        </w:sectPr>
      </w:pPr>
    </w:p>
    <w:p>
      <w:pPr>
        <w:ind w:firstLine="648"/>
        <w:spacing w:after="0" w:line="277" w:lineRule="auto"/>
        <w:rPr>
          <w:sz w:val="20"/>
          <w:szCs w:val="20"/>
          <w:color w:val="auto"/>
        </w:rPr>
      </w:pPr>
      <w:r>
        <w:rPr>
          <w:rFonts w:ascii="Arial" w:cs="Arial" w:eastAsia="Arial" w:hAnsi="Arial"/>
          <w:sz w:val="18"/>
          <w:szCs w:val="18"/>
          <w:color w:val="auto"/>
        </w:rPr>
        <w:t xml:space="preserve">SECTION 6.25 </w:t>
      </w:r>
      <w:r>
        <w:rPr>
          <w:rFonts w:ascii="Arial" w:cs="Arial" w:eastAsia="Arial" w:hAnsi="Arial"/>
          <w:sz w:val="18"/>
          <w:szCs w:val="18"/>
          <w:u w:val="single" w:color="auto"/>
          <w:color w:val="auto"/>
        </w:rPr>
        <w:t>Status as a Holding Company</w:t>
      </w:r>
      <w:r>
        <w:rPr>
          <w:rFonts w:ascii="Arial" w:cs="Arial" w:eastAsia="Arial" w:hAnsi="Arial"/>
          <w:sz w:val="18"/>
          <w:szCs w:val="18"/>
          <w:color w:val="auto"/>
        </w:rPr>
        <w:t>. Parent does not have any operating assets or engage in any business other than any customary business of a holding company and ordinary course business operations of Parent in existence prior to the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Information Covenants</w:t>
      </w:r>
      <w:r>
        <w:rPr>
          <w:rFonts w:ascii="Arial" w:cs="Arial" w:eastAsia="Arial" w:hAnsi="Arial"/>
          <w:sz w:val="16"/>
          <w:szCs w:val="16"/>
          <w:color w:val="auto"/>
        </w:rPr>
        <w:t>. Each Obligor Party shall furnish or cause to be furnished to the Administrative Agent:</w:t>
      </w:r>
    </w:p>
    <w:p>
      <w:pPr>
        <w:spacing w:after="0" w:line="225" w:lineRule="exact"/>
        <w:rPr>
          <w:sz w:val="20"/>
          <w:szCs w:val="20"/>
          <w:color w:val="auto"/>
        </w:rPr>
      </w:pPr>
    </w:p>
    <w:p>
      <w:pPr>
        <w:jc w:val="both"/>
        <w:ind w:firstLine="1304"/>
        <w:spacing w:after="0" w:line="288" w:lineRule="auto"/>
        <w:tabs>
          <w:tab w:leader="none" w:pos="184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Upon the earlier to occur of (i) five Business Days after being filed with the SEC and (ii) the date that is the deadline to file with SEC, the quarterly report on Form 10-Q, or its equivalent, of Parent for such Fiscal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Obligor Parties shall be deemed to have furnished said quarterly report on Form 10-Q for purposes of this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spacing w:after="0" w:line="168" w:lineRule="exact"/>
        <w:rPr>
          <w:rFonts w:ascii="Arial" w:cs="Arial" w:eastAsia="Arial" w:hAnsi="Arial"/>
          <w:sz w:val="16"/>
          <w:szCs w:val="16"/>
          <w:color w:val="auto"/>
        </w:rPr>
      </w:pPr>
    </w:p>
    <w:p>
      <w:pPr>
        <w:jc w:val="both"/>
        <w:ind w:firstLine="1304"/>
        <w:spacing w:after="0" w:line="253" w:lineRule="auto"/>
        <w:tabs>
          <w:tab w:leader="none" w:pos="18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Upon the earlier to occur of (i) five Business Days after being filed with the SEC and (ii) the date that is the deadline to file with the SEC, the annual report on Form 10-K, or its equivalent, of Parent for such Fiscal Year, certified by KPMG LLP or other independent certified public accountants of recognized national standing reasonably acceptable to the Administrative Agent and the Required Lenders, whose certification shall be without qualification or scope limitation;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Obligor Parties shall be deemed to have furnished said annual report on Form 10-K for purposes of this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Parent’s audited consolidated balance sheet, income statement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37" w:name="page138"/>
    <w:bookmarkEnd w:id="137"/>
    <w:p>
      <w:pPr>
        <w:jc w:val="both"/>
        <w:spacing w:after="0" w:line="257" w:lineRule="auto"/>
        <w:rPr>
          <w:sz w:val="20"/>
          <w:szCs w:val="20"/>
          <w:color w:val="auto"/>
        </w:rPr>
      </w:pPr>
      <w:r>
        <w:rPr>
          <w:rFonts w:ascii="Arial" w:cs="Arial" w:eastAsia="Arial" w:hAnsi="Arial"/>
          <w:sz w:val="18"/>
          <w:szCs w:val="18"/>
          <w:color w:val="auto"/>
        </w:rPr>
        <w:t>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188" w:lineRule="exact"/>
        <w:rPr>
          <w:sz w:val="20"/>
          <w:szCs w:val="20"/>
          <w:color w:val="auto"/>
        </w:rPr>
      </w:pPr>
    </w:p>
    <w:p>
      <w:pPr>
        <w:jc w:val="both"/>
        <w:ind w:firstLine="1304"/>
        <w:spacing w:after="0" w:line="255" w:lineRule="auto"/>
        <w:tabs>
          <w:tab w:leader="none" w:pos="181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spacing w:after="0" w:line="192" w:lineRule="exact"/>
        <w:rPr>
          <w:rFonts w:ascii="Arial" w:cs="Arial" w:eastAsia="Arial" w:hAnsi="Arial"/>
          <w:sz w:val="18"/>
          <w:szCs w:val="18"/>
          <w:color w:val="auto"/>
        </w:rPr>
      </w:pPr>
    </w:p>
    <w:p>
      <w:pPr>
        <w:ind w:left="1820" w:hanging="516"/>
        <w:spacing w:after="0"/>
        <w:tabs>
          <w:tab w:leader="none" w:pos="1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w:t>
      </w:r>
    </w:p>
    <w:p>
      <w:pPr>
        <w:spacing w:after="0" w:line="225" w:lineRule="exact"/>
        <w:rPr>
          <w:rFonts w:ascii="Arial" w:cs="Arial" w:eastAsia="Arial" w:hAnsi="Arial"/>
          <w:sz w:val="18"/>
          <w:szCs w:val="18"/>
          <w:color w:val="auto"/>
        </w:rPr>
      </w:pPr>
    </w:p>
    <w:p>
      <w:pPr>
        <w:jc w:val="both"/>
        <w:ind w:left="660" w:firstLine="1292"/>
        <w:spacing w:after="0" w:line="271" w:lineRule="auto"/>
        <w:tabs>
          <w:tab w:leader="none" w:pos="245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 (B) 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spacing w:after="0" w:line="178" w:lineRule="exact"/>
        <w:rPr>
          <w:rFonts w:ascii="Arial" w:cs="Arial" w:eastAsia="Arial" w:hAnsi="Arial"/>
          <w:sz w:val="17"/>
          <w:szCs w:val="17"/>
          <w:color w:val="auto"/>
        </w:rPr>
      </w:pPr>
    </w:p>
    <w:p>
      <w:pPr>
        <w:ind w:left="2460" w:hanging="508"/>
        <w:spacing w:after="0"/>
        <w:tabs>
          <w:tab w:leader="none" w:pos="24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Obligor Party obtains knowledge of the occurrence of any event or condition which constitutes a Default or an Event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Default; or</w:t>
      </w:r>
    </w:p>
    <w:p>
      <w:pPr>
        <w:spacing w:after="0" w:line="210" w:lineRule="exact"/>
        <w:rPr>
          <w:rFonts w:ascii="Arial" w:cs="Arial" w:eastAsia="Arial" w:hAnsi="Arial"/>
          <w:sz w:val="16"/>
          <w:szCs w:val="16"/>
          <w:color w:val="auto"/>
        </w:rPr>
      </w:pPr>
    </w:p>
    <w:p>
      <w:pPr>
        <w:ind w:left="2440" w:hanging="488"/>
        <w:spacing w:after="0"/>
        <w:tabs>
          <w:tab w:leader="none" w:pos="24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Obligor Party obtains knowledge of the occurrence of a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notice of such event, condition, occurrence or development, specifying the nature thereof.</w:t>
      </w:r>
    </w:p>
    <w:p>
      <w:pPr>
        <w:spacing w:after="0" w:line="225" w:lineRule="exact"/>
        <w:rPr>
          <w:sz w:val="20"/>
          <w:szCs w:val="20"/>
          <w:color w:val="auto"/>
        </w:rPr>
      </w:pPr>
    </w:p>
    <w:p>
      <w:pPr>
        <w:jc w:val="both"/>
        <w:ind w:right="20" w:firstLine="1304"/>
        <w:spacing w:after="0" w:line="263" w:lineRule="auto"/>
        <w:tabs>
          <w:tab w:leader="none" w:pos="20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Within five Business Days after the delivery of the financial statements provided for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7.01(b)</w:t>
      </w:r>
      <w:r>
        <w:rPr>
          <w:rFonts w:ascii="Arial" w:cs="Arial" w:eastAsia="Arial" w:hAnsi="Arial"/>
          <w:sz w:val="18"/>
          <w:szCs w:val="18"/>
          <w:color w:val="auto"/>
        </w:rPr>
        <w:t>, (i) a Compliance Certificate with respect to the fiscal period covered by such financial statements and (ii) a report setting forth the amount of cash and Unrestricted Cash of Parent on a consolidated basis as of the date of such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8" w:name="page139"/>
    <w:bookmarkEnd w:id="138"/>
    <w:p>
      <w:pPr>
        <w:ind w:left="1840" w:hanging="536"/>
        <w:spacing w:after="0"/>
        <w:tabs>
          <w:tab w:leader="none" w:pos="18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Promptly, and in any event within 30 days after any Responsible Officer of such Obligor Party obtains knowledge thereof,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11" w:lineRule="exact"/>
        <w:rPr>
          <w:sz w:val="20"/>
          <w:szCs w:val="20"/>
          <w:color w:val="auto"/>
        </w:rPr>
      </w:pPr>
    </w:p>
    <w:p>
      <w:pPr>
        <w:ind w:left="2540" w:hanging="588"/>
        <w:spacing w:after="0"/>
        <w:tabs>
          <w:tab w:leader="none" w:pos="2540" w:val="left"/>
        </w:tabs>
        <w:numPr>
          <w:ilvl w:val="3"/>
          <w:numId w:val="129"/>
        </w:numPr>
        <w:rPr>
          <w:rFonts w:ascii="Arial" w:cs="Arial" w:eastAsia="Arial" w:hAnsi="Arial"/>
          <w:sz w:val="17"/>
          <w:szCs w:val="17"/>
          <w:color w:val="auto"/>
        </w:rPr>
      </w:pPr>
      <w:r>
        <w:rPr>
          <w:rFonts w:ascii="Arial" w:cs="Arial" w:eastAsia="Arial" w:hAnsi="Arial"/>
          <w:sz w:val="17"/>
          <w:szCs w:val="17"/>
          <w:color w:val="auto"/>
        </w:rPr>
        <w:t>the occurrence or expected occurrence of (A) any ERISA Event with respect to any Plan or any Multiemployer Plan,</w:t>
      </w:r>
    </w:p>
    <w:p>
      <w:pPr>
        <w:spacing w:after="0" w:line="34" w:lineRule="exact"/>
        <w:rPr>
          <w:rFonts w:ascii="Arial" w:cs="Arial" w:eastAsia="Arial" w:hAnsi="Arial"/>
          <w:sz w:val="17"/>
          <w:szCs w:val="17"/>
          <w:color w:val="auto"/>
        </w:rPr>
      </w:pPr>
    </w:p>
    <w:p>
      <w:pPr>
        <w:ind w:left="660" w:hanging="4"/>
        <w:spacing w:after="0" w:line="290" w:lineRule="auto"/>
        <w:tabs>
          <w:tab w:leader="none" w:pos="95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spacing w:after="0" w:line="161" w:lineRule="exact"/>
        <w:rPr>
          <w:rFonts w:ascii="Arial" w:cs="Arial" w:eastAsia="Arial" w:hAnsi="Arial"/>
          <w:sz w:val="17"/>
          <w:szCs w:val="17"/>
          <w:color w:val="auto"/>
        </w:rPr>
      </w:pPr>
    </w:p>
    <w:p>
      <w:pPr>
        <w:jc w:val="both"/>
        <w:ind w:left="660" w:firstLine="1292"/>
        <w:spacing w:after="0" w:line="257" w:lineRule="auto"/>
        <w:tabs>
          <w:tab w:leader="none" w:pos="2539" w:val="left"/>
        </w:tabs>
        <w:numPr>
          <w:ilvl w:val="3"/>
          <w:numId w:val="130"/>
        </w:numPr>
        <w:rPr>
          <w:rFonts w:ascii="Arial" w:cs="Arial" w:eastAsia="Arial" w:hAnsi="Arial"/>
          <w:sz w:val="18"/>
          <w:szCs w:val="18"/>
          <w:color w:val="auto"/>
        </w:rPr>
      </w:pPr>
      <w:r>
        <w:rPr>
          <w:rFonts w:ascii="Arial" w:cs="Arial" w:eastAsia="Arial" w:hAnsi="Arial"/>
          <w:sz w:val="18"/>
          <w:szCs w:val="18"/>
          <w:color w:val="auto"/>
        </w:rPr>
        <w:t>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896"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spacing w:after="0" w:line="183" w:lineRule="exact"/>
        <w:rPr>
          <w:rFonts w:ascii="Arial" w:cs="Arial" w:eastAsia="Arial" w:hAnsi="Arial"/>
          <w:sz w:val="18"/>
          <w:szCs w:val="18"/>
          <w:color w:val="auto"/>
        </w:rPr>
      </w:pPr>
    </w:p>
    <w:p>
      <w:pPr>
        <w:jc w:val="both"/>
        <w:ind w:firstLine="1304"/>
        <w:spacing w:after="0" w:line="291" w:lineRule="auto"/>
        <w:tabs>
          <w:tab w:leader="none" w:pos="1562" w:val="left"/>
        </w:tabs>
        <w:numPr>
          <w:ilvl w:val="2"/>
          <w:numId w:val="130"/>
        </w:numPr>
        <w:rPr>
          <w:rFonts w:ascii="Arial" w:cs="Arial" w:eastAsia="Arial" w:hAnsi="Arial"/>
          <w:sz w:val="16"/>
          <w:szCs w:val="16"/>
          <w:color w:val="auto"/>
        </w:rPr>
      </w:pPr>
      <w:r>
        <w:rPr>
          <w:rFonts w:ascii="Arial" w:cs="Arial" w:eastAsia="Arial" w:hAnsi="Arial"/>
          <w:sz w:val="16"/>
          <w:szCs w:val="16"/>
          <w:color w:val="auto"/>
        </w:rPr>
        <w:t>(i) Within 30 days after the consummation of any Collateral Transfer resulting in Book Value of Assets of greater than $25,000,000 ceasing to be LC Priority Collateral, (A) written notice of such Collateral Transfer (including the book value of the LC Priority Collateral so transferred),</w:t>
      </w:r>
    </w:p>
    <w:p>
      <w:pPr>
        <w:jc w:val="both"/>
        <w:ind w:firstLine="8"/>
        <w:spacing w:after="0" w:line="273" w:lineRule="auto"/>
        <w:tabs>
          <w:tab w:leader="none" w:pos="28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 certificate of a Principal Financial Officer of an Obligor Party, certifying that after giving effect to such Collateral Transfer, the Book Value of Assets with respect to all remaining LC Priority Collateral is no less than $1,000,000,000 and (C) a reasonably detailed calculation demonstrating Parent’s calculation of such Book Value of Assets and (ii) within five Business Days after the delivery of the financial statements provided for in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7.01(b)</w:t>
      </w:r>
      <w:r>
        <w:rPr>
          <w:rFonts w:ascii="Arial" w:cs="Arial" w:eastAsia="Arial" w:hAnsi="Arial"/>
          <w:sz w:val="17"/>
          <w:szCs w:val="17"/>
          <w:color w:val="auto"/>
        </w:rPr>
        <w:t>, a calculation of the Book Value of Assets as of the end of the fiscal period covered by such financial statements.</w:t>
      </w:r>
    </w:p>
    <w:p>
      <w:pPr>
        <w:spacing w:after="0" w:line="176" w:lineRule="exact"/>
        <w:rPr>
          <w:rFonts w:ascii="Arial" w:cs="Arial" w:eastAsia="Arial" w:hAnsi="Arial"/>
          <w:sz w:val="17"/>
          <w:szCs w:val="17"/>
          <w:color w:val="auto"/>
        </w:rPr>
      </w:pPr>
    </w:p>
    <w:p>
      <w:pPr>
        <w:jc w:val="both"/>
        <w:ind w:firstLine="1304"/>
        <w:spacing w:after="0" w:line="311" w:lineRule="auto"/>
        <w:tabs>
          <w:tab w:leader="none" w:pos="1826" w:val="left"/>
        </w:tabs>
        <w:numPr>
          <w:ilvl w:val="2"/>
          <w:numId w:val="131"/>
        </w:numPr>
        <w:rPr>
          <w:rFonts w:ascii="Arial" w:cs="Arial" w:eastAsia="Arial" w:hAnsi="Arial"/>
          <w:sz w:val="16"/>
          <w:szCs w:val="16"/>
          <w:color w:val="auto"/>
        </w:rPr>
      </w:pPr>
      <w:r>
        <w:rPr>
          <w:rFonts w:ascii="Arial" w:cs="Arial" w:eastAsia="Arial" w:hAnsi="Arial"/>
          <w:sz w:val="16"/>
          <w:szCs w:val="16"/>
          <w:color w:val="auto"/>
        </w:rPr>
        <w:t>Promptly, and in any event within five (5) Business Days after, notices of default sent to or from the Obligors in connection with the Senior Secured Notes, Exit Senior Notes Indenture, the Revolving Credit Documents or any amendment, supplement or other modification to the Senior Secured Notes Indenture, the Exit Senior Notes Indenture, any Revolving Credit Document or any documents related to any of the foregoing.</w:t>
      </w:r>
    </w:p>
    <w:p>
      <w:pPr>
        <w:spacing w:after="0" w:line="148" w:lineRule="exact"/>
        <w:rPr>
          <w:rFonts w:ascii="Arial" w:cs="Arial" w:eastAsia="Arial" w:hAnsi="Arial"/>
          <w:sz w:val="16"/>
          <w:szCs w:val="16"/>
          <w:color w:val="auto"/>
        </w:rPr>
      </w:pPr>
    </w:p>
    <w:p>
      <w:pPr>
        <w:jc w:val="both"/>
        <w:ind w:firstLine="1304"/>
        <w:spacing w:after="0" w:line="296" w:lineRule="auto"/>
        <w:tabs>
          <w:tab w:leader="none" w:pos="1815" w:val="left"/>
        </w:tabs>
        <w:numPr>
          <w:ilvl w:val="2"/>
          <w:numId w:val="131"/>
        </w:numPr>
        <w:rPr>
          <w:rFonts w:ascii="Arial" w:cs="Arial" w:eastAsia="Arial" w:hAnsi="Arial"/>
          <w:sz w:val="16"/>
          <w:szCs w:val="16"/>
          <w:color w:val="auto"/>
        </w:rPr>
      </w:pPr>
      <w:r>
        <w:rPr>
          <w:rFonts w:ascii="Arial" w:cs="Arial" w:eastAsia="Arial" w:hAnsi="Arial"/>
          <w:sz w:val="16"/>
          <w:szCs w:val="16"/>
          <w:color w:val="auto"/>
        </w:rPr>
        <w:t xml:space="preserve">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non-public information obtained by any Person pursuant to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18"/>
          <w:szCs w:val="18"/>
          <w:color w:val="auto"/>
        </w:rPr>
        <w:t xml:space="preserve">request shall be treated as confidential information in accordance with </w:t>
      </w:r>
      <w:r>
        <w:rPr>
          <w:rFonts w:ascii="Arial" w:cs="Arial" w:eastAsia="Arial" w:hAnsi="Arial"/>
          <w:sz w:val="18"/>
          <w:szCs w:val="18"/>
          <w:u w:val="single" w:color="auto"/>
          <w:color w:val="auto"/>
        </w:rPr>
        <w:t>Section 11.06</w:t>
      </w:r>
      <w:r>
        <w:rPr>
          <w:rFonts w:ascii="Arial" w:cs="Arial" w:eastAsia="Arial" w:hAnsi="Arial"/>
          <w:sz w:val="18"/>
          <w:szCs w:val="18"/>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Books, Records and Inspections</w:t>
      </w:r>
      <w:r>
        <w:rPr>
          <w:rFonts w:ascii="Arial" w:cs="Arial" w:eastAsia="Arial" w:hAnsi="Arial"/>
          <w:sz w:val="17"/>
          <w:szCs w:val="17"/>
          <w:color w:val="auto"/>
        </w:rPr>
        <w:t xml:space="preserve">.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17"/>
          <w:szCs w:val="17"/>
          <w:u w:val="single" w:color="auto"/>
          <w:color w:val="auto"/>
        </w:rPr>
        <w:t>Section 11.06</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Parent and its Restricted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Subsidiaries (taken as a whole), as such customary industry practice may change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the meaning of Section 9-104 of the UCC) with respect to such deposit account by the Administrative Agent on behalf of the Secured Parties.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 Party or such Restricted Subsidiary, as applicable, except for</w:t>
      </w:r>
    </w:p>
    <w:p>
      <w:pPr>
        <w:spacing w:after="0" w:line="2" w:lineRule="exact"/>
        <w:rPr>
          <w:sz w:val="20"/>
          <w:szCs w:val="20"/>
          <w:color w:val="auto"/>
        </w:rPr>
      </w:pPr>
    </w:p>
    <w:p>
      <w:pPr>
        <w:jc w:val="both"/>
        <w:ind w:firstLine="8"/>
        <w:spacing w:after="0" w:line="255" w:lineRule="auto"/>
        <w:tabs>
          <w:tab w:leader="none" w:pos="2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Existence</w:t>
      </w:r>
      <w:r>
        <w:rPr>
          <w:rFonts w:ascii="Arial" w:cs="Arial" w:eastAsia="Arial" w:hAnsi="Arial"/>
          <w:sz w:val="17"/>
          <w:szCs w:val="17"/>
          <w:color w:val="auto"/>
        </w:rPr>
        <w:t xml:space="preserve">. Except as expressly permitted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ERISA Compliance</w:t>
      </w:r>
      <w:r>
        <w:rPr>
          <w:rFonts w:ascii="Arial" w:cs="Arial" w:eastAsia="Arial" w:hAnsi="Arial"/>
          <w:sz w:val="17"/>
          <w:szCs w:val="17"/>
          <w:color w:val="auto"/>
        </w:rPr>
        <w:t>. Parent and each Borrower shall, and shall cause each ERISA Affiliate to, comply with respect to each Plan, Multiemployer Plan and Foreign Plan, with all applicable provisions of applicable laws and the terms of each such Plan, Multiemployer Plan or Foreign Plan, except to the extent that any failure to comply would not reasonably be expected to have a Material Adverse Effect.</w:t>
      </w:r>
    </w:p>
    <w:p>
      <w:pPr>
        <w:spacing w:after="0" w:line="16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Compliance with Laws and Material Contractual Obligations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190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Parent will, and will cause each of its Restricted Subsidiaries to, (i) comply with the laws, rules, regulations and orders of any Governmental Authority applicable to it or its property (including Environmental Laws) and (ii) perform its obligations under agreements to which it is a party, except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where the failure to do so, individually or in the aggregate, could not reasonably be expected to result in a Material Adverse Effect. Parent will maintain in effect and enforce policies and procedures designed to ensure compliance by Parent, its Subsidiaries and their respective directors, officers, employees and agents with Anti-Corruption Laws and applicable Sanctions.</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85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To the extent that any obligation contained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made by any Obligor incorporated or organized under the laws of Germany or a resident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of the German Foreign Trade Act (</w:t>
      </w:r>
      <w:r>
        <w:rPr>
          <w:rFonts w:ascii="Arial" w:cs="Arial" w:eastAsia="Arial" w:hAnsi="Arial"/>
          <w:sz w:val="18"/>
          <w:szCs w:val="18"/>
          <w:i w:val="1"/>
          <w:iCs w:val="1"/>
          <w:color w:val="auto"/>
        </w:rPr>
        <w:t>Auβenwirtschaftgesetz</w:t>
      </w:r>
      <w:r>
        <w:rPr>
          <w:rFonts w:ascii="Arial" w:cs="Arial" w:eastAsia="Arial" w:hAnsi="Arial"/>
          <w:sz w:val="18"/>
          <w:szCs w:val="18"/>
          <w:color w:val="auto"/>
        </w:rPr>
        <w:t>)) would result in a violation of or conflict with or liability under either EU Regulation (EC) 2271/96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18"/>
          <w:szCs w:val="18"/>
          <w:color w:val="auto"/>
        </w:rPr>
        <w:t>or section 7 of the German Foreign Trade Ordinance (</w:t>
      </w:r>
      <w:r>
        <w:rPr>
          <w:rFonts w:ascii="Arial" w:cs="Arial" w:eastAsia="Arial" w:hAnsi="Arial"/>
          <w:sz w:val="18"/>
          <w:szCs w:val="18"/>
          <w:i w:val="1"/>
          <w:iCs w:val="1"/>
          <w:u w:val="single" w:color="auto"/>
          <w:color w:val="auto"/>
        </w:rPr>
        <w:t>Außenwirtschaftsverordnung</w:t>
      </w:r>
      <w:r>
        <w:rPr>
          <w:rFonts w:ascii="Arial" w:cs="Arial" w:eastAsia="Arial" w:hAnsi="Arial"/>
          <w:sz w:val="18"/>
          <w:szCs w:val="18"/>
          <w:color w:val="auto"/>
        </w:rPr>
        <w:t>) (in connection with the German Foreign Trade Act (</w:t>
      </w:r>
      <w:r>
        <w:rPr>
          <w:rFonts w:ascii="Arial" w:cs="Arial" w:eastAsia="Arial" w:hAnsi="Arial"/>
          <w:sz w:val="18"/>
          <w:szCs w:val="18"/>
          <w:i w:val="1"/>
          <w:iCs w:val="1"/>
          <w:color w:val="auto"/>
        </w:rPr>
        <w:t>Außenwirtschaftsgesetz</w:t>
      </w:r>
      <w:r>
        <w:rPr>
          <w:rFonts w:ascii="Arial" w:cs="Arial" w:eastAsia="Arial" w:hAnsi="Arial"/>
          <w:sz w:val="18"/>
          <w:szCs w:val="18"/>
          <w:color w:val="auto"/>
        </w:rPr>
        <w:t xml:space="preserve"> (AWG)) or any similar anti-boycott statute, such Obligor shall implement procedures to mitigate any such conflict or violation to the reasonable satisfaction of the Required Lenders.</w:t>
      </w:r>
    </w:p>
    <w:p>
      <w:pPr>
        <w:spacing w:after="0" w:line="18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Additional Guarantors; Additional Specified Jurisdictions; Additional Cash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1959"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If (i) as of the time of delivery of a Compliance Certificate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it is determined that any Restricted Subsidiary is a Material Specified Subsidiary that is organized in a Specified Jurisdiction, or (ii) any Restricted Subsidiary Guarantees or otherwise becomes an obligor in respect of Indebtedness or other obligations in respect of the Senior Secured Notes, a Revolving Credit Facility or any other third party Indebtedness for borrowed money of an Obligor in an aggregate principal amount in excess of $20,000,000, Parent shall (A) with respect to a determination made pursuant to </w:t>
      </w:r>
      <w:r>
        <w:rPr>
          <w:rFonts w:ascii="Arial" w:cs="Arial" w:eastAsia="Arial" w:hAnsi="Arial"/>
          <w:sz w:val="17"/>
          <w:szCs w:val="17"/>
          <w:u w:val="single" w:color="auto"/>
          <w:color w:val="auto"/>
        </w:rPr>
        <w:t>Section 7.08(a)(i)</w:t>
      </w:r>
      <w:r>
        <w:rPr>
          <w:rFonts w:ascii="Arial" w:cs="Arial" w:eastAsia="Arial" w:hAnsi="Arial"/>
          <w:sz w:val="17"/>
          <w:szCs w:val="17"/>
          <w:color w:val="auto"/>
        </w:rPr>
        <w:t xml:space="preserve"> 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Arial" w:cs="Arial" w:eastAsia="Arial" w:hAnsi="Arial"/>
          <w:sz w:val="17"/>
          <w:szCs w:val="17"/>
          <w:u w:val="single" w:color="auto"/>
          <w:color w:val="auto"/>
        </w:rPr>
        <w:t>Section 7.08(b)</w:t>
      </w:r>
      <w:r>
        <w:rPr>
          <w:rFonts w:ascii="Arial" w:cs="Arial" w:eastAsia="Arial" w:hAnsi="Arial"/>
          <w:sz w:val="17"/>
          <w:szCs w:val="17"/>
          <w:color w:val="auto"/>
        </w:rPr>
        <w:t xml:space="preserve">, as such time period may be extended by the Administrative Agent in its sole discretion), or (B) with respect to any Guarantee provided pursuant to </w:t>
      </w:r>
      <w:r>
        <w:rPr>
          <w:rFonts w:ascii="Arial" w:cs="Arial" w:eastAsia="Arial" w:hAnsi="Arial"/>
          <w:sz w:val="17"/>
          <w:szCs w:val="17"/>
          <w:u w:val="single" w:color="auto"/>
          <w:color w:val="auto"/>
        </w:rPr>
        <w:t>Section 7.08(a)(</w:t>
      </w:r>
      <w:r>
        <w:rPr>
          <w:rFonts w:ascii="Arial" w:cs="Arial" w:eastAsia="Arial" w:hAnsi="Arial"/>
          <w:sz w:val="17"/>
          <w:szCs w:val="17"/>
          <w:color w:val="auto"/>
        </w:rPr>
        <w:t xml:space="preserve">ii) 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81" w:lineRule="exact"/>
        <w:rPr>
          <w:rFonts w:ascii="Arial" w:cs="Arial" w:eastAsia="Arial" w:hAnsi="Arial"/>
          <w:sz w:val="17"/>
          <w:szCs w:val="17"/>
          <w:color w:val="auto"/>
        </w:rPr>
      </w:pPr>
    </w:p>
    <w:p>
      <w:pPr>
        <w:jc w:val="both"/>
        <w:ind w:firstLine="1304"/>
        <w:spacing w:after="0" w:line="279" w:lineRule="auto"/>
        <w:tabs>
          <w:tab w:leader="none" w:pos="1982"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If, in the most recent Compliance Certificate delivered pursuant to </w:t>
      </w:r>
      <w:r>
        <w:rPr>
          <w:rFonts w:ascii="Arial" w:cs="Arial" w:eastAsia="Arial" w:hAnsi="Arial"/>
          <w:sz w:val="17"/>
          <w:szCs w:val="17"/>
          <w:u w:val="single" w:color="auto"/>
          <w:color w:val="auto"/>
        </w:rPr>
        <w:t>Section 7.01(e)</w:t>
      </w:r>
      <w:r>
        <w:rPr>
          <w:rFonts w:ascii="Arial" w:cs="Arial" w:eastAsia="Arial" w:hAnsi="Arial"/>
          <w:sz w:val="17"/>
          <w:szCs w:val="17"/>
          <w:color w:val="auto"/>
        </w:rPr>
        <w:t>,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Parent, which designation shall be deemed to take effect on the Business Day such designation is made.</w:t>
      </w:r>
    </w:p>
    <w:p>
      <w:pPr>
        <w:spacing w:after="0" w:line="171" w:lineRule="exact"/>
        <w:rPr>
          <w:rFonts w:ascii="Arial" w:cs="Arial" w:eastAsia="Arial" w:hAnsi="Arial"/>
          <w:sz w:val="17"/>
          <w:szCs w:val="17"/>
          <w:color w:val="auto"/>
        </w:rPr>
      </w:pPr>
    </w:p>
    <w:p>
      <w:pPr>
        <w:jc w:val="both"/>
        <w:ind w:firstLine="1304"/>
        <w:spacing w:after="0" w:line="286" w:lineRule="auto"/>
        <w:tabs>
          <w:tab w:leader="none" w:pos="184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As promptly as possible but in any event within 45 days (or such later date as may be agreed upon by the Administrative Agent) after any Person becomes an Obligor pursuant to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subject to the Intercreditor Agreement, all of the issued and outstanding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2" w:name="page143"/>
    <w:bookmarkEnd w:id="142"/>
    <w:p>
      <w:pPr>
        <w:jc w:val="both"/>
        <w:spacing w:after="0" w:line="272" w:lineRule="auto"/>
        <w:rPr>
          <w:sz w:val="20"/>
          <w:szCs w:val="20"/>
          <w:color w:val="auto"/>
        </w:rPr>
      </w:pPr>
      <w:r>
        <w:rPr>
          <w:rFonts w:ascii="Arial" w:cs="Arial" w:eastAsia="Arial" w:hAnsi="Arial"/>
          <w:sz w:val="17"/>
          <w:szCs w:val="17"/>
          <w:color w:val="auto"/>
        </w:rPr>
        <w:t>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177" w:lineRule="exact"/>
        <w:rPr>
          <w:sz w:val="20"/>
          <w:szCs w:val="20"/>
          <w:color w:val="auto"/>
        </w:rPr>
      </w:pPr>
    </w:p>
    <w:p>
      <w:pPr>
        <w:jc w:val="both"/>
        <w:ind w:firstLine="1304"/>
        <w:spacing w:after="0" w:line="286" w:lineRule="auto"/>
        <w:tabs>
          <w:tab w:leader="none" w:pos="18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As promptly as possible but in any event within 45 days (or such later date as may be agreed upon by the Administrative Agent) after (i) an Obligor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 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(ii) to the extent not covered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immediately above, an Obligor acquires or holds Capital Stock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each Pledged 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167" w:lineRule="exact"/>
        <w:rPr>
          <w:rFonts w:ascii="Arial" w:cs="Arial" w:eastAsia="Arial" w:hAnsi="Arial"/>
          <w:sz w:val="16"/>
          <w:szCs w:val="16"/>
          <w:color w:val="auto"/>
        </w:rPr>
      </w:pPr>
    </w:p>
    <w:p>
      <w:pPr>
        <w:jc w:val="both"/>
        <w:ind w:firstLine="1304"/>
        <w:spacing w:after="0" w:line="273" w:lineRule="auto"/>
        <w:tabs>
          <w:tab w:leader="none" w:pos="186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Within 120 days after the Effective Date (or such later date as the Administrative Agent may agree in its sole discretion), Parent shall, and shall cause each Obligor that owns Material Real Property as of the Effective Date to, deliver Mortgages and Real Estate Deliverables with respect to such Material Real Property (and, to the extent not constituting Material Real Property, the Effective Date Real Property) to the Administrative Agent. Notwithstanding the foregoing, the Administrative Agent (in consultation with the Lenders) may waive the requirement contained in this </w:t>
      </w:r>
      <w:r>
        <w:rPr>
          <w:rFonts w:ascii="Arial" w:cs="Arial" w:eastAsia="Arial" w:hAnsi="Arial"/>
          <w:sz w:val="17"/>
          <w:szCs w:val="17"/>
          <w:u w:val="single" w:color="auto"/>
          <w:color w:val="auto"/>
        </w:rPr>
        <w:t>Section 7.08(e)</w:t>
      </w:r>
      <w:r>
        <w:rPr>
          <w:rFonts w:ascii="Arial" w:cs="Arial" w:eastAsia="Arial" w:hAnsi="Arial"/>
          <w:sz w:val="17"/>
          <w:szCs w:val="17"/>
          <w:color w:val="auto"/>
        </w:rPr>
        <w:t xml:space="preserve"> with respect to any parcel of Material Real Property if, as a result of flood, environmental or other due diligence conducted with respect to such Material Real Property, the Administrative Agent determines (in consultation with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3" w:name="page144"/>
    <w:bookmarkEnd w:id="143"/>
    <w:p>
      <w:pPr>
        <w:jc w:val="both"/>
        <w:spacing w:after="0" w:line="301" w:lineRule="auto"/>
        <w:rPr>
          <w:sz w:val="20"/>
          <w:szCs w:val="20"/>
          <w:color w:val="auto"/>
        </w:rPr>
      </w:pPr>
      <w:r>
        <w:rPr>
          <w:rFonts w:ascii="Arial" w:cs="Arial" w:eastAsia="Arial" w:hAnsi="Arial"/>
          <w:sz w:val="16"/>
          <w:szCs w:val="16"/>
          <w:color w:val="auto"/>
        </w:rPr>
        <w:t xml:space="preserve">Lenders) that the cost of, or risk associated with, obtaining a Mortgage with respect to such Material Real Property is excessive in relation to the benefit to the Secured Parties of the security to be afforded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57" w:lineRule="exact"/>
        <w:rPr>
          <w:sz w:val="20"/>
          <w:szCs w:val="20"/>
          <w:color w:val="auto"/>
        </w:rPr>
      </w:pPr>
    </w:p>
    <w:p>
      <w:pPr>
        <w:jc w:val="both"/>
        <w:ind w:firstLine="1304"/>
        <w:spacing w:after="0" w:line="289" w:lineRule="auto"/>
        <w:tabs>
          <w:tab w:leader="none" w:pos="192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Arial" w:cs="Arial" w:eastAsia="Arial" w:hAnsi="Arial"/>
          <w:sz w:val="16"/>
          <w:szCs w:val="16"/>
          <w:u w:val="single" w:color="auto"/>
          <w:color w:val="auto"/>
        </w:rPr>
        <w:t>Section 7.08(f)</w:t>
      </w:r>
      <w:r>
        <w:rPr>
          <w:rFonts w:ascii="Arial" w:cs="Arial" w:eastAsia="Arial" w:hAnsi="Arial"/>
          <w:sz w:val="16"/>
          <w:szCs w:val="16"/>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66" w:lineRule="exact"/>
        <w:rPr>
          <w:rFonts w:ascii="Arial" w:cs="Arial" w:eastAsia="Arial" w:hAnsi="Arial"/>
          <w:sz w:val="16"/>
          <w:szCs w:val="16"/>
          <w:color w:val="auto"/>
        </w:rPr>
      </w:pPr>
    </w:p>
    <w:p>
      <w:pPr>
        <w:jc w:val="both"/>
        <w:ind w:firstLine="1304"/>
        <w:spacing w:after="0" w:line="289" w:lineRule="auto"/>
        <w:tabs>
          <w:tab w:leader="none" w:pos="191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66" w:lineRule="exact"/>
        <w:rPr>
          <w:rFonts w:ascii="Arial" w:cs="Arial" w:eastAsia="Arial" w:hAnsi="Arial"/>
          <w:sz w:val="16"/>
          <w:szCs w:val="16"/>
          <w:color w:val="auto"/>
        </w:rPr>
      </w:pPr>
    </w:p>
    <w:p>
      <w:pPr>
        <w:jc w:val="both"/>
        <w:ind w:firstLine="1304"/>
        <w:spacing w:after="0" w:line="259" w:lineRule="auto"/>
        <w:tabs>
          <w:tab w:leader="none" w:pos="183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any Intellectual Property registration or application is acquired or filed by an Obligor after the Effective Date, Parent will notify the Administrative Agent thereof, and, within 60 days after such acquisition or filing (or such later date as the Administrative Agent may agree in its sole discretion), to the extent reasonably requested by the Administrative Agent, such Obligor shall execute and deliver the related IP Short Forms to the Administrative Agent.</w:t>
      </w:r>
    </w:p>
    <w:p>
      <w:pPr>
        <w:spacing w:after="0" w:line="186" w:lineRule="exact"/>
        <w:rPr>
          <w:rFonts w:ascii="Arial" w:cs="Arial" w:eastAsia="Arial" w:hAnsi="Arial"/>
          <w:sz w:val="18"/>
          <w:szCs w:val="18"/>
          <w:color w:val="auto"/>
        </w:rPr>
      </w:pPr>
    </w:p>
    <w:p>
      <w:pPr>
        <w:ind w:firstLine="1304"/>
        <w:spacing w:after="0" w:line="277" w:lineRule="auto"/>
        <w:tabs>
          <w:tab w:leader="none" w:pos="188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At any time, at its option, and with the consent of the Administrative Agent (such consent not to be unreasonably withheld or delayed), Parent may cause any Subsidiary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4" w:name="page145"/>
    <w:bookmarkEnd w:id="144"/>
    <w:p>
      <w:pPr>
        <w:jc w:val="both"/>
        <w:ind w:left="-8" w:firstLine="8"/>
        <w:spacing w:after="0" w:line="288" w:lineRule="auto"/>
        <w:tabs>
          <w:tab w:leader="none" w:pos="21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Arial" w:cs="Arial" w:eastAsia="Arial" w:hAnsi="Arial"/>
          <w:sz w:val="16"/>
          <w:szCs w:val="16"/>
          <w:u w:val="single" w:color="auto"/>
          <w:color w:val="auto"/>
        </w:rPr>
        <w:t>Section 5.02(a)</w:t>
      </w:r>
      <w:r>
        <w:rPr>
          <w:rFonts w:ascii="Arial" w:cs="Arial" w:eastAsia="Arial" w:hAnsi="Arial"/>
          <w:sz w:val="16"/>
          <w:szCs w:val="16"/>
          <w:color w:val="auto"/>
        </w:rPr>
        <w:t>, and (iii) 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16"/>
          <w:szCs w:val="16"/>
          <w:u w:val="single" w:color="auto"/>
          <w:color w:val="auto"/>
        </w:rPr>
        <w:t>Added Guarantor</w:t>
      </w:r>
      <w:r>
        <w:rPr>
          <w:rFonts w:ascii="Arial" w:cs="Arial" w:eastAsia="Arial" w:hAnsi="Arial"/>
          <w:sz w:val="16"/>
          <w:szCs w:val="16"/>
          <w:color w:val="auto"/>
        </w:rPr>
        <w:t>”). Notwithstanding anything to the contrary herein, no Added Guarantor shall become a party to any Collateral Document except as elected by Parent and consented to by the Administrative Agent.</w:t>
      </w:r>
    </w:p>
    <w:p>
      <w:pPr>
        <w:spacing w:after="0" w:line="168" w:lineRule="exact"/>
        <w:rPr>
          <w:rFonts w:ascii="Arial" w:cs="Arial" w:eastAsia="Arial" w:hAnsi="Arial"/>
          <w:sz w:val="16"/>
          <w:szCs w:val="16"/>
          <w:color w:val="auto"/>
        </w:rPr>
      </w:pPr>
    </w:p>
    <w:p>
      <w:pPr>
        <w:jc w:val="both"/>
        <w:ind w:left="-8" w:firstLine="1304"/>
        <w:spacing w:after="0" w:line="269" w:lineRule="auto"/>
        <w:tabs>
          <w:tab w:leader="none" w:pos="1849"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(including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Patriot Act searches, OFAC/PEP searches and customary individual background checks for such Surviving Person or Subsidiary, the results of which shall be satisfactory to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delays with respect to the delivery, execution or effectiveness of any Loan Document or other deliverable caused by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shall not constitute a Default or an Event of Default.</w:t>
      </w:r>
    </w:p>
    <w:p>
      <w:pPr>
        <w:spacing w:after="0" w:line="181" w:lineRule="exact"/>
        <w:rPr>
          <w:rFonts w:ascii="Arial" w:cs="Arial" w:eastAsia="Arial" w:hAnsi="Arial"/>
          <w:sz w:val="17"/>
          <w:szCs w:val="17"/>
          <w:color w:val="auto"/>
        </w:rPr>
      </w:pPr>
    </w:p>
    <w:p>
      <w:pPr>
        <w:jc w:val="both"/>
        <w:ind w:left="-8" w:firstLine="1304"/>
        <w:spacing w:after="0" w:line="286" w:lineRule="auto"/>
        <w:tabs>
          <w:tab w:leader="none" w:pos="18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Collateral Document, the Obligors shall not be required to take any actions to grant or perfect the security interests of the Administrative Agent in any Capital Stock in any Foreign Subsidiary, joint venture or non-Wholly-Owned Subsidiary that is a Subsidiary of an Obligor in any jurisdiction other than a Specified Jurisdiction.</w:t>
      </w:r>
    </w:p>
    <w:p>
      <w:pPr>
        <w:spacing w:after="0" w:line="165" w:lineRule="exact"/>
        <w:rPr>
          <w:rFonts w:ascii="Arial" w:cs="Arial" w:eastAsia="Arial" w:hAnsi="Arial"/>
          <w:sz w:val="17"/>
          <w:szCs w:val="17"/>
          <w:color w:val="auto"/>
        </w:rPr>
      </w:pPr>
    </w:p>
    <w:p>
      <w:pPr>
        <w:jc w:val="both"/>
        <w:ind w:left="-8" w:firstLine="1304"/>
        <w:spacing w:after="0" w:line="286" w:lineRule="auto"/>
        <w:tabs>
          <w:tab w:leader="none" w:pos="187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Arial" w:cs="Arial" w:eastAsia="Arial" w:hAnsi="Arial"/>
          <w:sz w:val="17"/>
          <w:szCs w:val="17"/>
          <w:u w:val="single" w:color="auto"/>
          <w:color w:val="auto"/>
        </w:rPr>
        <w:t>Insurance Act</w:t>
      </w:r>
      <w:r>
        <w:rPr>
          <w:rFonts w:ascii="Arial" w:cs="Arial" w:eastAsia="Arial" w:hAnsi="Arial"/>
          <w:sz w:val="17"/>
          <w:szCs w:val="17"/>
          <w:color w:val="auto"/>
        </w:rPr>
        <w:t>”) and remains in compliance with sections 31A through 31C of the Insurance Act.</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45" w:name="page146"/>
    <w:bookmarkEnd w:id="145"/>
    <w:p>
      <w:pPr>
        <w:jc w:val="both"/>
        <w:ind w:firstLine="1680"/>
        <w:spacing w:after="0" w:line="254" w:lineRule="auto"/>
        <w:tabs>
          <w:tab w:leader="none" w:pos="229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As soon as practicable but in no event more than one Business Day after the Revolving Credit Facility Effective Date, the Borrowers shall deposit in the LC Collateral Account as cash collateral in accordance with </w:t>
      </w:r>
      <w:r>
        <w:rPr>
          <w:rFonts w:ascii="Arial" w:cs="Arial" w:eastAsia="Arial" w:hAnsi="Arial"/>
          <w:sz w:val="18"/>
          <w:szCs w:val="18"/>
          <w:u w:val="single" w:color="auto"/>
          <w:color w:val="auto"/>
        </w:rPr>
        <w:t>Section 3.01(k)(i)(E)</w:t>
      </w:r>
      <w:r>
        <w:rPr>
          <w:rFonts w:ascii="Arial" w:cs="Arial" w:eastAsia="Arial" w:hAnsi="Arial"/>
          <w:sz w:val="18"/>
          <w:szCs w:val="18"/>
          <w:color w:val="auto"/>
        </w:rPr>
        <w:t xml:space="preserve"> an amount equal to $50,000,000;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cash so deposited pursuant to this </w:t>
      </w:r>
      <w:r>
        <w:rPr>
          <w:rFonts w:ascii="Arial" w:cs="Arial" w:eastAsia="Arial" w:hAnsi="Arial"/>
          <w:sz w:val="18"/>
          <w:szCs w:val="18"/>
          <w:u w:val="single" w:color="auto"/>
          <w:color w:val="auto"/>
        </w:rPr>
        <w:t>Section 7.08(m)</w:t>
      </w:r>
      <w:r>
        <w:rPr>
          <w:rFonts w:ascii="Arial" w:cs="Arial" w:eastAsia="Arial" w:hAnsi="Arial"/>
          <w:sz w:val="18"/>
          <w:szCs w:val="18"/>
          <w:color w:val="auto"/>
        </w:rPr>
        <w:t xml:space="preserve"> shall cash collateralize the LC Exposure and be held, invested and applied by the Administrative Agent in a manner consistent with the investment and other procedures described in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(ii) the Administrative Agent shall return to the Borrowers in accordance with, and to the extent required by, </w:t>
      </w:r>
      <w:r>
        <w:rPr>
          <w:rFonts w:ascii="Arial" w:cs="Arial" w:eastAsia="Arial" w:hAnsi="Arial"/>
          <w:sz w:val="18"/>
          <w:szCs w:val="18"/>
          <w:u w:val="single" w:color="auto"/>
          <w:color w:val="auto"/>
        </w:rPr>
        <w:t>Section 3.01(k)(i)</w:t>
      </w:r>
      <w:r>
        <w:rPr>
          <w:rFonts w:ascii="Arial" w:cs="Arial" w:eastAsia="Arial" w:hAnsi="Arial"/>
          <w:sz w:val="18"/>
          <w:szCs w:val="18"/>
          <w:color w:val="auto"/>
        </w:rPr>
        <w:t xml:space="preserve"> any Specified Cash Collateral and (iii) from and after the earlier to occur of (A) the Step Down / Release Trigger Date and (B) the Discharge of the Revolving Credit Facility, the Borrowers shall have no obligation to provide, and the Administrative Agent shall not hold (subject to the time period for the return thereof contemplated by </w:t>
      </w:r>
      <w:r>
        <w:rPr>
          <w:rFonts w:ascii="Arial" w:cs="Arial" w:eastAsia="Arial" w:hAnsi="Arial"/>
          <w:sz w:val="18"/>
          <w:szCs w:val="18"/>
          <w:u w:val="single" w:color="auto"/>
          <w:color w:val="auto"/>
        </w:rPr>
        <w:t>Section 3.01(k)(i)</w:t>
      </w:r>
      <w:r>
        <w:rPr>
          <w:rFonts w:ascii="Arial" w:cs="Arial" w:eastAsia="Arial" w:hAnsi="Arial"/>
          <w:sz w:val="18"/>
          <w:szCs w:val="18"/>
          <w:color w:val="auto"/>
        </w:rPr>
        <w:t xml:space="preserve">), cash collateral under this </w:t>
      </w:r>
      <w:r>
        <w:rPr>
          <w:rFonts w:ascii="Arial" w:cs="Arial" w:eastAsia="Arial" w:hAnsi="Arial"/>
          <w:sz w:val="18"/>
          <w:szCs w:val="18"/>
          <w:u w:val="single" w:color="auto"/>
          <w:color w:val="auto"/>
        </w:rPr>
        <w:t>Section 7.08(m)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3.01(k)(i)(E)</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u w:val="single" w:color="auto"/>
          <w:color w:val="auto"/>
        </w:rPr>
        <w:t>Designation of Unrestricted Subsidiaries; Redesignation of Unrestricted Subsidiaries as Restricted Subsidiaries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 xml:space="preserve">Unless designated as an Unrestricted Subsidiary pursuant to this </w:t>
      </w:r>
      <w:r>
        <w:rPr>
          <w:rFonts w:ascii="Arial" w:cs="Arial" w:eastAsia="Arial" w:hAnsi="Arial"/>
          <w:sz w:val="16"/>
          <w:szCs w:val="16"/>
          <w:u w:val="single" w:color="auto"/>
          <w:color w:val="auto"/>
        </w:rPr>
        <w:t>Section 7.09</w:t>
      </w:r>
      <w:r>
        <w:rPr>
          <w:rFonts w:ascii="Arial" w:cs="Arial" w:eastAsia="Arial" w:hAnsi="Arial"/>
          <w:sz w:val="16"/>
          <w:szCs w:val="16"/>
          <w:color w:val="auto"/>
        </w:rPr>
        <w:t>, each Subsidiary shall be classified as a Restricted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jc w:val="both"/>
        <w:ind w:firstLine="1304"/>
        <w:spacing w:after="0" w:line="263" w:lineRule="auto"/>
        <w:tabs>
          <w:tab w:leader="none" w:pos="18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If Parent designates any Subsidiary as an Unrestricted Subsidiary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below, Parent shall be deemed to have made an Investment in such Unrestricted Subsidiary in an amount equal to the fair market value as of the date of such designation of the consolidated assets of such Subsidiary.</w:t>
      </w:r>
    </w:p>
    <w:p>
      <w:pPr>
        <w:spacing w:after="0" w:line="183" w:lineRule="exact"/>
        <w:rPr>
          <w:rFonts w:ascii="Arial" w:cs="Arial" w:eastAsia="Arial" w:hAnsi="Arial"/>
          <w:sz w:val="18"/>
          <w:szCs w:val="18"/>
          <w:color w:val="auto"/>
        </w:rPr>
      </w:pPr>
    </w:p>
    <w:p>
      <w:pPr>
        <w:ind w:firstLine="1304"/>
        <w:spacing w:after="0" w:line="277" w:lineRule="auto"/>
        <w:tabs>
          <w:tab w:leader="none" w:pos="1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and after the Amendment No. 1 Effective Date, Parent may not designate any Subsidiary to be an Unrestricted Subsidiary without the written consent of the Administrative Agent.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1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8"/>
          <w:szCs w:val="18"/>
          <w:u w:val="single" w:color="auto"/>
          <w:color w:val="auto"/>
        </w:rPr>
        <w:t>Section 7.09(d)</w:t>
      </w:r>
      <w:r>
        <w:rPr>
          <w:rFonts w:ascii="Arial" w:cs="Arial" w:eastAsia="Arial" w:hAnsi="Arial"/>
          <w:sz w:val="18"/>
          <w:szCs w:val="18"/>
          <w:color w:val="auto"/>
        </w:rPr>
        <w:t xml:space="preserve"> (in addition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any other relevant provisions herein).</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Notwithstanding the foregoing or anything to the contrary contained herein, no Obligor may be an Unrestricted Subsidiary.</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7.10</w:t>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83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Each Swiss Obligor shall comply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covenant if the permitted number of Swiss Non-Qualifying Lenders is exceeded solely by reason of:</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a failure by one or more Lenders or Participants to comply with their obligations under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11.25</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440" w:hanging="488"/>
        <w:spacing w:after="0"/>
        <w:tabs>
          <w:tab w:leader="none" w:pos="24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 confirmation made by one or more Lenders or Participants to be one single Swiss Non-Qualifying Lender is incorrect;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6" w:name="page147"/>
    <w:bookmarkEnd w:id="146"/>
    <w:p>
      <w:pPr>
        <w:jc w:val="both"/>
        <w:ind w:left="660" w:firstLine="1292"/>
        <w:spacing w:after="0" w:line="259" w:lineRule="auto"/>
        <w:tabs>
          <w:tab w:leader="none" w:pos="2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186" w:lineRule="exact"/>
        <w:rPr>
          <w:rFonts w:ascii="Arial" w:cs="Arial" w:eastAsia="Arial" w:hAnsi="Arial"/>
          <w:sz w:val="18"/>
          <w:szCs w:val="18"/>
          <w:color w:val="auto"/>
        </w:rPr>
      </w:pPr>
    </w:p>
    <w:p>
      <w:pPr>
        <w:ind w:left="660" w:right="20" w:firstLine="1292"/>
        <w:spacing w:after="0" w:line="277" w:lineRule="auto"/>
        <w:tabs>
          <w:tab w:leader="none" w:pos="255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 assignment or participation of any Commitments or LC Exposure under this Agreement to a Swiss Non-Qualifying Lender after the occurrence of an Event of Default.</w:t>
      </w:r>
    </w:p>
    <w:p>
      <w:pPr>
        <w:spacing w:after="0" w:line="170" w:lineRule="exact"/>
        <w:rPr>
          <w:rFonts w:ascii="Arial" w:cs="Arial" w:eastAsia="Arial" w:hAnsi="Arial"/>
          <w:sz w:val="18"/>
          <w:szCs w:val="18"/>
          <w:color w:val="auto"/>
        </w:rPr>
      </w:pPr>
    </w:p>
    <w:p>
      <w:pPr>
        <w:ind w:firstLine="1304"/>
        <w:spacing w:after="0" w:line="277" w:lineRule="auto"/>
        <w:tabs>
          <w:tab w:leader="none" w:pos="19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7.10</w:t>
      </w:r>
      <w:r>
        <w:rPr>
          <w:rFonts w:ascii="Arial" w:cs="Arial" w:eastAsia="Arial" w:hAnsi="Arial"/>
          <w:sz w:val="18"/>
          <w:szCs w:val="18"/>
          <w:color w:val="auto"/>
        </w:rPr>
        <w:t>, each Swiss Obligor shall assume that the aggregate number of Lenders and Participants under this Agreement which are Swiss Non-Qualifying Lenders is ten.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Post-Closing Grant and Perfection Requirements Matters</w:t>
      </w:r>
      <w:r>
        <w:rPr>
          <w:rFonts w:ascii="Arial" w:cs="Arial" w:eastAsia="Arial" w:hAnsi="Arial"/>
          <w:sz w:val="18"/>
          <w:szCs w:val="18"/>
          <w:color w:val="auto"/>
        </w:rPr>
        <w:t xml:space="preserve">. Parent shall, and shall cause each Restricted Subsidiary to, satisfy each requirement set forth on </w:t>
      </w:r>
      <w:r>
        <w:rPr>
          <w:rFonts w:ascii="Arial" w:cs="Arial" w:eastAsia="Arial" w:hAnsi="Arial"/>
          <w:sz w:val="18"/>
          <w:szCs w:val="18"/>
          <w:u w:val="single" w:color="auto"/>
          <w:color w:val="auto"/>
        </w:rPr>
        <w:t>Schedule 7.11</w:t>
      </w:r>
      <w:r>
        <w:rPr>
          <w:rFonts w:ascii="Arial" w:cs="Arial" w:eastAsia="Arial" w:hAnsi="Arial"/>
          <w:sz w:val="18"/>
          <w:szCs w:val="18"/>
          <w:color w:val="auto"/>
        </w:rPr>
        <w:t xml:space="preserve"> on or before the date set forth on such Schedule (or such later date as the Administrative Agent may agree in its sole discretion).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Status as a Holding Company</w:t>
      </w:r>
      <w:r>
        <w:rPr>
          <w:rFonts w:ascii="Arial" w:cs="Arial" w:eastAsia="Arial" w:hAnsi="Arial"/>
          <w:sz w:val="18"/>
          <w:szCs w:val="18"/>
          <w:color w:val="auto"/>
        </w:rPr>
        <w:t>. Parent shall not have any operating assets or engage in any business other than any customary business of a holding company and ordinary course business operations of Parent in existence prior to the Effective Date.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Lender Meeting</w:t>
      </w:r>
      <w:r>
        <w:rPr>
          <w:rFonts w:ascii="Arial" w:cs="Arial" w:eastAsia="Arial" w:hAnsi="Arial"/>
          <w:sz w:val="17"/>
          <w:szCs w:val="17"/>
          <w:color w:val="auto"/>
        </w:rPr>
        <w:t>. Parent will, within 90 days after the close of each Fiscal Year of Parent, at the request of Administrative Agent or of the Required Lenders and upon reasonable prior notice, hold a conference call (at a mutually agreeable time) with all Lenders who choose to attend such conference call during which the financial results of the previous Fiscal Year and the financial condition of the Obligors and their Subsidiaries and the projections presented for the current Fiscal Year shall be reviewed; provided that the foregoing requirement may be satisfied by public earnings calls for all shareholders that are open to the Administrative Agent and the Lenders.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xml:space="preserve">.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excepted (except where the failure to so maintain and preserve assets could not reasonably be expected to result in a Material Adverse Effect).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7.15 </w:t>
      </w:r>
      <w:r>
        <w:rPr>
          <w:rFonts w:ascii="Arial" w:cs="Arial" w:eastAsia="Arial" w:hAnsi="Arial"/>
          <w:sz w:val="17"/>
          <w:szCs w:val="17"/>
          <w:u w:val="single" w:color="auto"/>
          <w:color w:val="auto"/>
        </w:rPr>
        <w:t>Morgan Stanley Letters of Credit</w:t>
      </w:r>
      <w:r>
        <w:rPr>
          <w:rFonts w:ascii="Arial" w:cs="Arial" w:eastAsia="Arial" w:hAnsi="Arial"/>
          <w:sz w:val="17"/>
          <w:szCs w:val="17"/>
          <w:color w:val="auto"/>
        </w:rPr>
        <w:t>. The Borrowers agree that within 180 days of the Amendment No. 1 Effective Date (or such later date as Morgan Stanley may agree), they shall, or shall cause their applicable subsidiaries to, replace, terminate or otherwise modify Letters of Credit issued by Morgan Stanley as Issuing Bank such that Morgan Stanley’s LC Commitment shall be equal or greater than the Dollar Equivalent of the aggregate undrawn amount of all outstanding Letters of Credit at such time issued by Morgan Stanley (plus any Dollar Equivalent amounts of LC Disbursements by Morgan Stanley that have not yet been reimbursed by or on behalf of the Borrowers at such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010000"/>
        </w:rPr>
        <w:t>ARTICLE VIII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Parent shall not, and shall not permit any Restricted Subsidiary to, create, incur, assume or permit to exist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1820" w:hanging="516"/>
        <w:spacing w:after="0"/>
        <w:tabs>
          <w:tab w:leader="none" w:pos="1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8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Indebtedness of the Obligors incurred under any Revolving Credit Facility and any Permitted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as of the Revolving Credit Facility Effective Date, (A) such indebtedness shall have a stated maturity date no sooner than the Maturity Date and (B) the NBV of Assets Ratio (calculated on a pro forma basis after giving effect to such incurrence) shall not be less than (1) if the Step Down / Release Trigger Date shall not have occurred, 3.00 to 1.00 or (2) if the Step Down / Release Trigger Date shall have occurred or occurs on such date, 2.50 to 1.00 and (ii) the aggregate principal amount of such Indebtedness (including undrawn or available committed amounts thereunder), taken together, shall not exceed $400,000,000 at any time outstanding;</w:t>
      </w:r>
    </w:p>
    <w:p>
      <w:pPr>
        <w:spacing w:after="0" w:line="192" w:lineRule="exact"/>
        <w:rPr>
          <w:rFonts w:ascii="Arial" w:cs="Arial" w:eastAsia="Arial" w:hAnsi="Arial"/>
          <w:sz w:val="18"/>
          <w:szCs w:val="18"/>
          <w:color w:val="auto"/>
        </w:rPr>
      </w:pPr>
    </w:p>
    <w:p>
      <w:pPr>
        <w:ind w:left="1820" w:hanging="516"/>
        <w:spacing w:after="0"/>
        <w:tabs>
          <w:tab w:leader="none" w:pos="1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Permitted Existing Indebtedness and Permitted Refinancing Indebtedness in respect thereof;</w:t>
      </w:r>
    </w:p>
    <w:p>
      <w:pPr>
        <w:spacing w:after="0" w:line="225" w:lineRule="exact"/>
        <w:rPr>
          <w:rFonts w:ascii="Arial" w:cs="Arial" w:eastAsia="Arial" w:hAnsi="Arial"/>
          <w:sz w:val="18"/>
          <w:szCs w:val="18"/>
          <w:color w:val="auto"/>
        </w:rPr>
      </w:pPr>
    </w:p>
    <w:p>
      <w:pPr>
        <w:jc w:val="both"/>
        <w:ind w:firstLine="1304"/>
        <w:spacing w:after="0" w:line="288" w:lineRule="auto"/>
        <w:tabs>
          <w:tab w:leader="none" w:pos="196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Indebtedness arising from intercompany loans and advances owing by (i) any Obligor to any other Obligor, (ii) 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 the aggregate amount of all such loans (by type, not by the borrower) made from and after the Effective Date, together with all such loans made from and after the Effective Date pursuant to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 the aggregate amount of all such loans (by type, not by the borrower) made from and after the Effective Date, together with all such loans made from and after the Effective Date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does not exceed $55,000,000 outstanding at any one time, and (B) at the time of the making of such loan, no Event of Default has occurred and is continuing or would result therefrom;</w:t>
      </w:r>
    </w:p>
    <w:p>
      <w:pPr>
        <w:spacing w:after="0" w:line="168" w:lineRule="exact"/>
        <w:rPr>
          <w:rFonts w:ascii="Arial" w:cs="Arial" w:eastAsia="Arial" w:hAnsi="Arial"/>
          <w:sz w:val="16"/>
          <w:szCs w:val="16"/>
          <w:color w:val="auto"/>
        </w:rPr>
      </w:pPr>
    </w:p>
    <w:p>
      <w:pPr>
        <w:ind w:firstLine="1304"/>
        <w:spacing w:after="0" w:line="277" w:lineRule="auto"/>
        <w:tabs>
          <w:tab w:leader="none" w:pos="191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Indebtedness of the Obligors incurred under the Exit Senior Notes in an aggregate principal amount not to exceed at any time outstanding $2,100,000,000 and Permitted Refinancing Indebtedness in respect thereof;</w:t>
      </w:r>
    </w:p>
    <w:p>
      <w:pPr>
        <w:spacing w:after="0" w:line="170" w:lineRule="exact"/>
        <w:rPr>
          <w:rFonts w:ascii="Arial" w:cs="Arial" w:eastAsia="Arial" w:hAnsi="Arial"/>
          <w:sz w:val="18"/>
          <w:szCs w:val="18"/>
          <w:color w:val="auto"/>
        </w:rPr>
      </w:pPr>
    </w:p>
    <w:p>
      <w:pPr>
        <w:ind w:firstLine="1304"/>
        <w:spacing w:after="0" w:line="277" w:lineRule="auto"/>
        <w:tabs>
          <w:tab w:leader="none" w:pos="18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unsecured guarantees with respect to the Indebtedness of any Obligor or one of their Restricted Subsidiaries, to the extent that the Person that is obligated under such guaranty could have incurred such underlying Indebtedness;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8" w:name="page149"/>
    <w:bookmarkEnd w:id="148"/>
    <w:p>
      <w:pPr>
        <w:jc w:val="both"/>
        <w:ind w:left="-8" w:firstLine="1304"/>
        <w:spacing w:after="0" w:line="259" w:lineRule="auto"/>
        <w:tabs>
          <w:tab w:leader="none" w:pos="189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Indebtedness does not at any time exceed $200,000,000;</w:t>
      </w:r>
    </w:p>
    <w:p>
      <w:pPr>
        <w:spacing w:after="0" w:line="186" w:lineRule="exact"/>
        <w:rPr>
          <w:rFonts w:ascii="Arial" w:cs="Arial" w:eastAsia="Arial" w:hAnsi="Arial"/>
          <w:sz w:val="18"/>
          <w:szCs w:val="18"/>
          <w:color w:val="auto"/>
        </w:rPr>
      </w:pPr>
    </w:p>
    <w:p>
      <w:pPr>
        <w:ind w:left="1892" w:hanging="596"/>
        <w:spacing w:after="0"/>
        <w:tabs>
          <w:tab w:leader="none" w:pos="189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Unsecured Specified Senior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as a condition to incurring any such Specified Senior Indebtedness,</w:t>
      </w:r>
    </w:p>
    <w:p>
      <w:pPr>
        <w:spacing w:after="0" w:line="46" w:lineRule="exact"/>
        <w:rPr>
          <w:rFonts w:ascii="Arial" w:cs="Arial" w:eastAsia="Arial" w:hAnsi="Arial"/>
          <w:sz w:val="16"/>
          <w:szCs w:val="16"/>
          <w:color w:val="auto"/>
        </w:rPr>
      </w:pPr>
    </w:p>
    <w:p>
      <w:pPr>
        <w:jc w:val="both"/>
        <w:ind w:left="-8" w:firstLine="8"/>
        <w:spacing w:after="0" w:line="290" w:lineRule="auto"/>
        <w:tabs>
          <w:tab w:leader="none" w:pos="29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16"/>
          <w:szCs w:val="16"/>
          <w:u w:val="single" w:color="auto"/>
          <w:color w:val="auto"/>
        </w:rPr>
        <w:t>Section 8.01(h)</w:t>
      </w:r>
      <w:r>
        <w:rPr>
          <w:rFonts w:ascii="Arial" w:cs="Arial" w:eastAsia="Arial" w:hAnsi="Arial"/>
          <w:sz w:val="16"/>
          <w:szCs w:val="16"/>
          <w:color w:val="auto"/>
        </w:rPr>
        <w:t xml:space="preserve"> would not exceed $200,000,000 at any time, and (C)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4.25 to 1.00, if such Indebtedness is incurred on or prior to the second anniversary of the Effective Date, and 3.75 to 1.00 if such Indebtedness is incurred at any time thereafter, and (ii) as of the date of incurrence, such Indebtedness shall have a stated maturity date no sooner than 91 days after the Maturity Date;</w:t>
      </w:r>
    </w:p>
    <w:p>
      <w:pPr>
        <w:spacing w:after="0" w:line="163" w:lineRule="exact"/>
        <w:rPr>
          <w:rFonts w:ascii="Arial" w:cs="Arial" w:eastAsia="Arial" w:hAnsi="Arial"/>
          <w:sz w:val="16"/>
          <w:szCs w:val="16"/>
          <w:color w:val="auto"/>
        </w:rPr>
      </w:pPr>
    </w:p>
    <w:p>
      <w:pPr>
        <w:jc w:val="both"/>
        <w:ind w:left="-8" w:firstLine="1304"/>
        <w:spacing w:after="0" w:line="271" w:lineRule="auto"/>
        <w:tabs>
          <w:tab w:leader="none" w:pos="1873"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unsecured Indebtedness incurred by an Obligor or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4.25 to 1.00, if such Indebtedness is incurred on or prior to the second anniversary of the Effective Date, and 3.75 to 1.00 if such Indebtedness is incurred at any time thereafter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$45,000,000, as of the date of incurrence, such Indebtedness shall have a stated maturity date no sooner than 91 days after the Maturity Date;</w:t>
      </w:r>
    </w:p>
    <w:p>
      <w:pPr>
        <w:spacing w:after="0" w:line="178" w:lineRule="exact"/>
        <w:rPr>
          <w:rFonts w:ascii="Arial" w:cs="Arial" w:eastAsia="Arial" w:hAnsi="Arial"/>
          <w:sz w:val="17"/>
          <w:szCs w:val="17"/>
          <w:color w:val="auto"/>
        </w:rPr>
      </w:pPr>
    </w:p>
    <w:p>
      <w:pPr>
        <w:jc w:val="both"/>
        <w:ind w:left="-8" w:firstLine="1304"/>
        <w:spacing w:after="0" w:line="279" w:lineRule="auto"/>
        <w:tabs>
          <w:tab w:leader="none" w:pos="192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unsecured Subordinated Indebtedness of any Obligor (other than Subordinated Indebtedness consisting of Guarantees by any Obligor of Indebtedness incurred pursuant to </w:t>
      </w:r>
      <w:r>
        <w:rPr>
          <w:rFonts w:ascii="Arial" w:cs="Arial" w:eastAsia="Arial" w:hAnsi="Arial"/>
          <w:sz w:val="17"/>
          <w:szCs w:val="17"/>
          <w:u w:val="single" w:color="auto"/>
          <w:color w:val="auto"/>
        </w:rPr>
        <w:t>Section 8.01(c)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8.01(i)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Maturity Date;</w:t>
      </w:r>
    </w:p>
    <w:p>
      <w:pPr>
        <w:spacing w:after="0" w:line="171" w:lineRule="exact"/>
        <w:rPr>
          <w:rFonts w:ascii="Arial" w:cs="Arial" w:eastAsia="Arial" w:hAnsi="Arial"/>
          <w:sz w:val="17"/>
          <w:szCs w:val="17"/>
          <w:color w:val="auto"/>
        </w:rPr>
      </w:pPr>
    </w:p>
    <w:p>
      <w:pPr>
        <w:jc w:val="both"/>
        <w:ind w:left="-8" w:firstLine="1304"/>
        <w:spacing w:after="0" w:line="257" w:lineRule="auto"/>
        <w:tabs>
          <w:tab w:leader="none" w:pos="183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prior to or within 90 days after such acquisition or the completion of such construction or improvement and (ii) the aggregate</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 xml:space="preserve">principal amount of Indebtedness incurred pursuant to this </w:t>
      </w:r>
      <w:r>
        <w:rPr>
          <w:rFonts w:ascii="Arial" w:cs="Arial" w:eastAsia="Arial" w:hAnsi="Arial"/>
          <w:sz w:val="18"/>
          <w:szCs w:val="18"/>
          <w:u w:val="single" w:color="auto"/>
          <w:color w:val="auto"/>
        </w:rPr>
        <w:t>Section 8.01(k)</w:t>
      </w:r>
      <w:r>
        <w:rPr>
          <w:rFonts w:ascii="Arial" w:cs="Arial" w:eastAsia="Arial" w:hAnsi="Arial"/>
          <w:sz w:val="18"/>
          <w:szCs w:val="18"/>
          <w:color w:val="auto"/>
        </w:rPr>
        <w:t xml:space="preserve"> shall not at any time exceed $175,000,000;</w:t>
      </w:r>
    </w:p>
    <w:p>
      <w:pPr>
        <w:spacing w:after="0" w:line="225" w:lineRule="exact"/>
        <w:rPr>
          <w:sz w:val="20"/>
          <w:szCs w:val="20"/>
          <w:color w:val="auto"/>
        </w:rPr>
      </w:pPr>
    </w:p>
    <w:p>
      <w:pPr>
        <w:ind w:firstLine="1304"/>
        <w:spacing w:after="0" w:line="277" w:lineRule="auto"/>
        <w:tabs>
          <w:tab w:leader="none" w:pos="197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Indebtedness incurred to finance insurance premiums of any Restricted Subsidiary in the ordinary course of business in an aggregate principal amount not to exceed the amount of such insurance premiums;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5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86" w:lineRule="exact"/>
        <w:rPr>
          <w:rFonts w:ascii="Arial" w:cs="Arial" w:eastAsia="Arial" w:hAnsi="Arial"/>
          <w:sz w:val="18"/>
          <w:szCs w:val="18"/>
          <w:color w:val="auto"/>
        </w:rPr>
      </w:pPr>
    </w:p>
    <w:p>
      <w:pPr>
        <w:ind w:left="1940" w:hanging="636"/>
        <w:spacing w:after="0"/>
        <w:tabs>
          <w:tab w:leader="none" w:pos="19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other Indebtedness in an aggregate principal amount at any time outstanding pursuant to this </w:t>
      </w:r>
      <w:r>
        <w:rPr>
          <w:rFonts w:ascii="Arial" w:cs="Arial" w:eastAsia="Arial" w:hAnsi="Arial"/>
          <w:sz w:val="16"/>
          <w:szCs w:val="16"/>
          <w:u w:val="single" w:color="auto"/>
          <w:color w:val="auto"/>
        </w:rPr>
        <w:t>Section 8.01(n)</w:t>
      </w:r>
      <w:r>
        <w:rPr>
          <w:rFonts w:ascii="Arial" w:cs="Arial" w:eastAsia="Arial" w:hAnsi="Arial"/>
          <w:sz w:val="16"/>
          <w:szCs w:val="16"/>
          <w:color w:val="auto"/>
        </w:rPr>
        <w:t xml:space="preserve"> not in excess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$10,000,000;</w:t>
      </w:r>
    </w:p>
    <w:p>
      <w:pPr>
        <w:spacing w:after="0" w:line="210" w:lineRule="exact"/>
        <w:rPr>
          <w:rFonts w:ascii="Arial" w:cs="Arial" w:eastAsia="Arial" w:hAnsi="Arial"/>
          <w:sz w:val="16"/>
          <w:szCs w:val="16"/>
          <w:color w:val="auto"/>
        </w:rPr>
      </w:pPr>
    </w:p>
    <w:p>
      <w:pPr>
        <w:ind w:firstLine="1304"/>
        <w:spacing w:after="0" w:line="308" w:lineRule="auto"/>
        <w:tabs>
          <w:tab w:leader="none" w:pos="184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46" w:lineRule="exact"/>
        <w:rPr>
          <w:rFonts w:ascii="Arial" w:cs="Arial" w:eastAsia="Arial" w:hAnsi="Arial"/>
          <w:sz w:val="17"/>
          <w:szCs w:val="17"/>
          <w:color w:val="auto"/>
        </w:rPr>
      </w:pPr>
    </w:p>
    <w:p>
      <w:pPr>
        <w:jc w:val="both"/>
        <w:ind w:firstLine="1304"/>
        <w:spacing w:after="0" w:line="288" w:lineRule="auto"/>
        <w:tabs>
          <w:tab w:leader="none" w:pos="198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Indebtedness of any Obligor in the form of bonds, including pursuant to the Senior Secured Notes Indenture and Permitted Refinancing Indebtedness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Maturity Date, (iii) such Indebtedness shall not provide for any payment of principal or any scheduled or mandatory prepayments or redemptions on any date sooner than 91 days after the Maturity Date (other than any change of control offer, customary offers or prepayments for bonds or customary acceleration rights after an event of default), (iv) any secured Indebtedness incurred pursuant to this </w:t>
      </w:r>
      <w:r>
        <w:rPr>
          <w:rFonts w:ascii="Arial" w:cs="Arial" w:eastAsia="Arial" w:hAnsi="Arial"/>
          <w:sz w:val="16"/>
          <w:szCs w:val="16"/>
          <w:u w:val="single" w:color="auto"/>
          <w:color w:val="auto"/>
        </w:rPr>
        <w:t>Section 8.01(p)</w:t>
      </w:r>
      <w:r>
        <w:rPr>
          <w:rFonts w:ascii="Arial" w:cs="Arial" w:eastAsia="Arial" w:hAnsi="Arial"/>
          <w:sz w:val="16"/>
          <w:szCs w:val="16"/>
          <w:color w:val="auto"/>
        </w:rPr>
        <w:t xml:space="preserve"> may only be secured by a lien on the Collateral pursuant to an intercreditor agreement in form and substance reasonably satisfactory to the Administrative Agent (it being understood that the Amendment No. 1 Intercreditor Agreement described in clause (a) of the definition of “Intercreditor Agreement” is reasonably satisfactory to the Administrative Agent), and (v) the aggregate principal amount of all Indebtedness incurred pursuant to this </w:t>
      </w:r>
      <w:r>
        <w:rPr>
          <w:rFonts w:ascii="Arial" w:cs="Arial" w:eastAsia="Arial" w:hAnsi="Arial"/>
          <w:sz w:val="16"/>
          <w:szCs w:val="16"/>
          <w:u w:val="single" w:color="auto"/>
          <w:color w:val="auto"/>
        </w:rPr>
        <w:t>Section 8.01(p)</w:t>
      </w:r>
      <w:r>
        <w:rPr>
          <w:rFonts w:ascii="Arial" w:cs="Arial" w:eastAsia="Arial" w:hAnsi="Arial"/>
          <w:sz w:val="16"/>
          <w:szCs w:val="16"/>
          <w:color w:val="auto"/>
        </w:rPr>
        <w:t>, including any outstanding notes issued pursuant to the Senior Secured Notes Indenture, would not exceed $600,000,000 at any time;</w:t>
      </w:r>
    </w:p>
    <w:p>
      <w:pPr>
        <w:spacing w:after="0" w:line="168" w:lineRule="exact"/>
        <w:rPr>
          <w:rFonts w:ascii="Arial" w:cs="Arial" w:eastAsia="Arial" w:hAnsi="Arial"/>
          <w:sz w:val="16"/>
          <w:szCs w:val="16"/>
          <w:color w:val="auto"/>
        </w:rPr>
      </w:pPr>
    </w:p>
    <w:p>
      <w:pPr>
        <w:jc w:val="both"/>
        <w:ind w:firstLine="1304"/>
        <w:spacing w:after="0" w:line="287" w:lineRule="auto"/>
        <w:tabs>
          <w:tab w:leader="none" w:pos="187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w:t>
      </w:r>
    </w:p>
    <w:p>
      <w:pPr>
        <w:spacing w:after="0" w:line="2" w:lineRule="exact"/>
        <w:rPr>
          <w:rFonts w:ascii="Arial" w:cs="Arial" w:eastAsia="Arial" w:hAnsi="Arial"/>
          <w:sz w:val="16"/>
          <w:szCs w:val="16"/>
          <w:color w:val="auto"/>
        </w:rPr>
      </w:pPr>
    </w:p>
    <w:p>
      <w:pPr>
        <w:ind w:firstLine="8"/>
        <w:spacing w:after="0" w:line="260" w:lineRule="auto"/>
        <w:tabs>
          <w:tab w:leader="none" w:pos="27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0" w:name="page151"/>
    <w:bookmarkEnd w:id="150"/>
    <w:p>
      <w:pPr>
        <w:ind w:left="1800" w:hanging="496"/>
        <w:spacing w:after="0"/>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in the form of Permitted Intercompany Treasury Management Transactions; and</w:t>
      </w:r>
    </w:p>
    <w:p>
      <w:pPr>
        <w:spacing w:after="0" w:line="225" w:lineRule="exact"/>
        <w:rPr>
          <w:rFonts w:ascii="Arial" w:cs="Arial" w:eastAsia="Arial" w:hAnsi="Arial"/>
          <w:sz w:val="18"/>
          <w:szCs w:val="18"/>
          <w:color w:val="auto"/>
        </w:rPr>
      </w:pPr>
    </w:p>
    <w:p>
      <w:pPr>
        <w:ind w:firstLine="1304"/>
        <w:spacing w:after="0" w:line="277" w:lineRule="auto"/>
        <w:tabs>
          <w:tab w:leader="none" w:pos="18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in the form of Permitted Intercompany Specified Transactions, so long as at the time of incurrence, no Default or Event of Default then exists or would arise as a result of the applicable transaction;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8.01</w:t>
      </w:r>
      <w:r>
        <w:rPr>
          <w:rFonts w:ascii="Arial" w:cs="Arial" w:eastAsia="Arial" w:hAnsi="Arial"/>
          <w:sz w:val="18"/>
          <w:szCs w:val="18"/>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7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9" w:lineRule="auto"/>
        <w:tabs>
          <w:tab w:leader="none" w:pos="181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or Restricted Subsidiary or (ii) any non-Affiliate to facilitate any acquisition or Disposition otherwise permitted by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and, in the case of a Person that is an Unrestricted Subsidiary immediately prior to such merger, consolidation or amalgamation, </w:t>
      </w:r>
      <w:r>
        <w:rPr>
          <w:rFonts w:ascii="Arial" w:cs="Arial" w:eastAsia="Arial" w:hAnsi="Arial"/>
          <w:sz w:val="16"/>
          <w:szCs w:val="16"/>
          <w:u w:val="single" w:color="auto"/>
          <w:color w:val="auto"/>
        </w:rPr>
        <w:t>Section 7.09</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304"/>
        <w:spacing w:after="0" w:line="269" w:lineRule="auto"/>
        <w:tabs>
          <w:tab w:leader="none" w:pos="182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this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shall not prohibit any Redomestication;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a Redomestication of Parent of the type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 (A) Patriot Act searches, OFAC/PEP searches and customary individual background checks for each applicable Person and (B) customary certificates regarding beneficial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1" w:name="page152"/>
    <w:bookmarkEnd w:id="151"/>
    <w:p>
      <w:pPr>
        <w:spacing w:after="0" w:line="277" w:lineRule="auto"/>
        <w:rPr>
          <w:sz w:val="20"/>
          <w:szCs w:val="20"/>
          <w:color w:val="auto"/>
        </w:rPr>
      </w:pPr>
      <w:r>
        <w:rPr>
          <w:rFonts w:ascii="Arial" w:cs="Arial" w:eastAsia="Arial" w:hAnsi="Arial"/>
          <w:sz w:val="18"/>
          <w:szCs w:val="18"/>
          <w:color w:val="auto"/>
        </w:rPr>
        <w:t>ownership or control in connection with applicable “beneficial ownership” rules and regulations in respect of the Obligors, in each case, the results of which shall be satisfactory to the Administrative Agent.</w:t>
      </w:r>
    </w:p>
    <w:p>
      <w:pPr>
        <w:spacing w:after="0" w:line="170" w:lineRule="exact"/>
        <w:rPr>
          <w:sz w:val="20"/>
          <w:szCs w:val="20"/>
          <w:color w:val="auto"/>
        </w:rPr>
      </w:pPr>
    </w:p>
    <w:p>
      <w:pPr>
        <w:jc w:val="both"/>
        <w:ind w:firstLine="1304"/>
        <w:spacing w:after="0" w:line="269" w:lineRule="auto"/>
        <w:tabs>
          <w:tab w:leader="none" w:pos="191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any Restricted Subsidiary to, wind up, liquidate or dissolve;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thereof and immediately after giving effect 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Arial" w:cs="Arial" w:eastAsia="Arial" w:hAnsi="Arial"/>
          <w:sz w:val="17"/>
          <w:szCs w:val="17"/>
          <w:u w:val="single" w:color="auto"/>
          <w:color w:val="auto"/>
        </w:rPr>
        <w:t>Section 7.08(d)</w:t>
      </w:r>
      <w:r>
        <w:rPr>
          <w:rFonts w:ascii="Arial" w:cs="Arial" w:eastAsia="Arial" w:hAnsi="Arial"/>
          <w:sz w:val="17"/>
          <w:szCs w:val="17"/>
          <w:color w:val="auto"/>
        </w:rPr>
        <w:t>) and (4) such other documentation as the Administrative Agent may reasonably request.</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Material Change in Business</w:t>
      </w:r>
      <w:r>
        <w:rPr>
          <w:rFonts w:ascii="Arial" w:cs="Arial" w:eastAsia="Arial" w:hAnsi="Arial"/>
          <w:sz w:val="18"/>
          <w:szCs w:val="18"/>
          <w:color w:val="auto"/>
        </w:rPr>
        <w:t>. Parent and its Restricted Subsidiaries (taken as a whole) shall not engage in any material business substantially different from those businesses of Parent and its Subsidiaries described in the Form 10-K of Parent for the Fiscal Year ended December 31, 2018, and any business reasonably related, ancillary or complementary thereto.</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Liens</w:t>
      </w:r>
      <w:r>
        <w:rPr>
          <w:rFonts w:ascii="Arial" w:cs="Arial" w:eastAsia="Arial" w:hAnsi="Arial"/>
          <w:sz w:val="18"/>
          <w:szCs w:val="18"/>
          <w:color w:val="auto"/>
        </w:rPr>
        <w:t>. Parent shall not, and shall not permit any Restricted Subsidiary to, create, incur, assume or permit to exist any Lien on any property or asset now owned or hereafter acquired by it, except:</w:t>
      </w:r>
    </w:p>
    <w:p>
      <w:pPr>
        <w:spacing w:after="0" w:line="170" w:lineRule="exact"/>
        <w:rPr>
          <w:sz w:val="20"/>
          <w:szCs w:val="20"/>
          <w:color w:val="auto"/>
        </w:rPr>
      </w:pPr>
    </w:p>
    <w:p>
      <w:pPr>
        <w:ind w:left="1820" w:hanging="516"/>
        <w:spacing w:after="0"/>
        <w:tabs>
          <w:tab w:leader="none" w:pos="18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85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 Liens arising under the Exit ABL Credit Documents in respect of cash that is collateralizing letters of credit issued thereunder or letters of credit originally issued under the Exit ABL Credit Documents that are cash collateralized directly with the issuing bank thereof or their designee through arrangements satisfactory to such parties, and (ii) Liens arising under the Revolving Credit Documents that secure the Indebtedness permitted by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and Swap Obligations and Banking Services Obligations secured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under this clause (ii) will at all times be subject to the terms of each applicable Intercreditor Agreement;</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firstLine="1304"/>
        <w:spacing w:after="0" w:line="308" w:lineRule="auto"/>
        <w:tabs>
          <w:tab w:leader="none" w:pos="182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of Parent or any Restricted Subsidiary existing on the date hereof and set forth in </w:t>
      </w:r>
      <w:r>
        <w:rPr>
          <w:rFonts w:ascii="Arial" w:cs="Arial" w:eastAsia="Arial" w:hAnsi="Arial"/>
          <w:sz w:val="17"/>
          <w:szCs w:val="17"/>
          <w:u w:val="single" w:color="auto"/>
          <w:color w:val="auto"/>
        </w:rPr>
        <w:t>Schedule 8.04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or asset of Parent or any Restricted Subsidiary and (ii) such Lien shall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secure only those obligations that it secures on the date hereof and Permitted Refinancing Indebtedness in respect thereof;</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7"/>
          <w:szCs w:val="17"/>
          <w:color w:val="auto"/>
        </w:rPr>
        <w:t>(e)</w:t>
      </w:r>
      <w:r>
        <w:rPr>
          <w:sz w:val="20"/>
          <w:szCs w:val="20"/>
          <w:color w:val="auto"/>
        </w:rPr>
        <w:tab/>
      </w:r>
      <w:r>
        <w:rPr>
          <w:rFonts w:ascii="Arial" w:cs="Arial" w:eastAsia="Arial" w:hAnsi="Arial"/>
          <w:sz w:val="17"/>
          <w:szCs w:val="17"/>
          <w:color w:val="auto"/>
        </w:rPr>
        <w:t>precautionary Liens on Receivables and Receivables Related Security arising in connection with Permitted Factoring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jc w:val="both"/>
        <w:ind w:firstLine="1304"/>
        <w:spacing w:after="0" w:line="301" w:lineRule="auto"/>
        <w:tabs>
          <w:tab w:leader="none" w:pos="191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(and deposit accounts in which such cash and Cash Equivalents are held), granted in the ordinary course of business,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pro forma effect to the application of such Lien, Parent would be in compliance with the covenant set forth in </w:t>
      </w:r>
      <w:r>
        <w:rPr>
          <w:rFonts w:ascii="Arial" w:cs="Arial" w:eastAsia="Arial" w:hAnsi="Arial"/>
          <w:sz w:val="16"/>
          <w:szCs w:val="16"/>
          <w:u w:val="single" w:color="auto"/>
          <w:color w:val="auto"/>
        </w:rPr>
        <w:t>Section 8.09(a)</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820" w:hanging="516"/>
        <w:spacing w:after="0"/>
        <w:tabs>
          <w:tab w:leader="none" w:pos="18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Liens in accordance with, and securing Indebtedness permitted by, </w:t>
      </w:r>
      <w:r>
        <w:rPr>
          <w:rFonts w:ascii="Arial" w:cs="Arial" w:eastAsia="Arial" w:hAnsi="Arial"/>
          <w:sz w:val="18"/>
          <w:szCs w:val="18"/>
          <w:u w:val="single" w:color="auto"/>
          <w:color w:val="auto"/>
        </w:rPr>
        <w:t>Section 8.01(p)</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firstLine="1304"/>
        <w:spacing w:after="0" w:line="277" w:lineRule="auto"/>
        <w:tabs>
          <w:tab w:leader="none" w:pos="188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on assets so long as the aggregate principal amount of the Indebtedness and other obligations secured by such Liens does not at any time exceed $15,000,000;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Asset Dispositions</w:t>
      </w:r>
      <w:r>
        <w:rPr>
          <w:rFonts w:ascii="Arial" w:cs="Arial" w:eastAsia="Arial" w:hAnsi="Arial"/>
          <w:sz w:val="18"/>
          <w:szCs w:val="18"/>
          <w:color w:val="auto"/>
        </w:rPr>
        <w:t>. Parent shall not, and shall not permit any Restricted Subsidiary to, Dispose of any assets to any Person, except that:</w:t>
      </w:r>
    </w:p>
    <w:p>
      <w:pPr>
        <w:spacing w:after="0" w:line="170" w:lineRule="exact"/>
        <w:rPr>
          <w:sz w:val="20"/>
          <w:szCs w:val="20"/>
          <w:color w:val="auto"/>
        </w:rPr>
      </w:pPr>
    </w:p>
    <w:p>
      <w:pPr>
        <w:ind w:left="1820" w:hanging="516"/>
        <w:spacing w:after="0"/>
        <w:tabs>
          <w:tab w:leader="none" w:pos="1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Obligor may Dispose of assets to any Obligor that is a Wholly-Owned Subsidiary;</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Restricted Subsidiary that is not an Obligor may Dispose of assets to an Obligor;</w:t>
      </w:r>
    </w:p>
    <w:p>
      <w:pPr>
        <w:spacing w:after="0" w:line="225" w:lineRule="exact"/>
        <w:rPr>
          <w:rFonts w:ascii="Arial" w:cs="Arial" w:eastAsia="Arial" w:hAnsi="Arial"/>
          <w:sz w:val="18"/>
          <w:szCs w:val="18"/>
          <w:color w:val="auto"/>
        </w:rPr>
      </w:pPr>
    </w:p>
    <w:p>
      <w:pPr>
        <w:jc w:val="both"/>
        <w:ind w:firstLine="1304"/>
        <w:spacing w:after="0" w:line="301" w:lineRule="auto"/>
        <w:tabs>
          <w:tab w:leader="none" w:pos="189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any Obligor may Dispose of assets to any other Obligor that is not a Wholly-Owned Subsidiary and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value of all assets Disposed of in reliance on this </w:t>
      </w:r>
      <w:r>
        <w:rPr>
          <w:rFonts w:ascii="Arial" w:cs="Arial" w:eastAsia="Arial" w:hAnsi="Arial"/>
          <w:sz w:val="16"/>
          <w:szCs w:val="16"/>
          <w:u w:val="single" w:color="auto"/>
          <w:color w:val="auto"/>
        </w:rPr>
        <w:t>Section 8.05(c)</w:t>
      </w:r>
      <w:r>
        <w:rPr>
          <w:rFonts w:ascii="Arial" w:cs="Arial" w:eastAsia="Arial" w:hAnsi="Arial"/>
          <w:sz w:val="16"/>
          <w:szCs w:val="16"/>
          <w:color w:val="auto"/>
        </w:rPr>
        <w:t xml:space="preserve"> (net of the value of any such assets subsequently transferred to any Obligor by an Obligor that is not a Wholly-Owned Subsidiary) since the Effective Date shall not exceed (i) $25,000,000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up to an additional $25,000,000 so long as, at the time of such Disposition, no Default or Event of Default shall have occurred and be continuing;</w:t>
      </w:r>
    </w:p>
    <w:p>
      <w:pPr>
        <w:spacing w:after="0" w:line="157" w:lineRule="exact"/>
        <w:rPr>
          <w:rFonts w:ascii="Arial" w:cs="Arial" w:eastAsia="Arial" w:hAnsi="Arial"/>
          <w:sz w:val="16"/>
          <w:szCs w:val="16"/>
          <w:color w:val="auto"/>
        </w:rPr>
      </w:pPr>
    </w:p>
    <w:p>
      <w:pPr>
        <w:ind w:left="1820" w:hanging="516"/>
        <w:spacing w:after="0"/>
        <w:tabs>
          <w:tab w:leader="none" w:pos="1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Specified Disposition shall be permitted;</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Parent and its Restricted Subsidiaries may Dispose of inventory or obsolete or worn-out property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firstLine="1304"/>
        <w:spacing w:after="0" w:line="277" w:lineRule="auto"/>
        <w:tabs>
          <w:tab w:leader="none" w:pos="190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make Investments permitted by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and Restricted Payments permitted by </w:t>
      </w:r>
      <w:r>
        <w:rPr>
          <w:rFonts w:ascii="Arial" w:cs="Arial" w:eastAsia="Arial" w:hAnsi="Arial"/>
          <w:sz w:val="18"/>
          <w:szCs w:val="18"/>
          <w:u w:val="single" w:color="auto"/>
          <w:color w:val="auto"/>
        </w:rPr>
        <w:t>Section 8.08</w:t>
      </w:r>
      <w:r>
        <w:rPr>
          <w:rFonts w:ascii="Arial" w:cs="Arial" w:eastAsia="Arial" w:hAnsi="Arial"/>
          <w:sz w:val="18"/>
          <w:szCs w:val="18"/>
          <w:color w:val="auto"/>
        </w:rPr>
        <w:t>, in each case to the extent constituting Dispositions;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3" w:name="page154"/>
    <w:bookmarkEnd w:id="153"/>
    <w:p>
      <w:pPr>
        <w:jc w:val="both"/>
        <w:ind w:left="-8" w:firstLine="1304"/>
        <w:spacing w:after="0" w:line="286" w:lineRule="auto"/>
        <w:tabs>
          <w:tab w:leader="none" w:pos="1829"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w:t>
      </w:r>
    </w:p>
    <w:p>
      <w:pPr>
        <w:spacing w:after="0" w:line="165" w:lineRule="exact"/>
        <w:rPr>
          <w:rFonts w:ascii="Arial" w:cs="Arial" w:eastAsia="Arial" w:hAnsi="Arial"/>
          <w:sz w:val="17"/>
          <w:szCs w:val="17"/>
          <w:color w:val="auto"/>
        </w:rPr>
      </w:pPr>
    </w:p>
    <w:p>
      <w:pPr>
        <w:ind w:left="-8" w:firstLine="1304"/>
        <w:spacing w:after="0" w:line="277" w:lineRule="auto"/>
        <w:tabs>
          <w:tab w:leader="none" w:pos="187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Disposition of assets resulting from a casualty event or condemnation proceeding, expropriation or other involuntary taking by a Governmental Authority shall be permitted;</w:t>
      </w:r>
    </w:p>
    <w:p>
      <w:pPr>
        <w:spacing w:after="0" w:line="170" w:lineRule="exact"/>
        <w:rPr>
          <w:rFonts w:ascii="Arial" w:cs="Arial" w:eastAsia="Arial" w:hAnsi="Arial"/>
          <w:sz w:val="18"/>
          <w:szCs w:val="18"/>
          <w:color w:val="auto"/>
        </w:rPr>
      </w:pPr>
    </w:p>
    <w:p>
      <w:pPr>
        <w:ind w:left="-8" w:firstLine="1304"/>
        <w:spacing w:after="0" w:line="277" w:lineRule="auto"/>
        <w:tabs>
          <w:tab w:leader="none" w:pos="177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Parent and its Restricted Subsidiaries may grant in the ordinary course of business any license of Intellectual Property that does not interfere in any material respect with the business of Parent or any of its Restricted Subsidiaries;</w:t>
      </w:r>
    </w:p>
    <w:p>
      <w:pPr>
        <w:spacing w:after="0" w:line="170" w:lineRule="exact"/>
        <w:rPr>
          <w:rFonts w:ascii="Arial" w:cs="Arial" w:eastAsia="Arial" w:hAnsi="Arial"/>
          <w:sz w:val="18"/>
          <w:szCs w:val="18"/>
          <w:color w:val="auto"/>
        </w:rPr>
      </w:pPr>
    </w:p>
    <w:p>
      <w:pPr>
        <w:jc w:val="both"/>
        <w:ind w:left="-8" w:firstLine="1304"/>
        <w:spacing w:after="0" w:line="273" w:lineRule="auto"/>
        <w:tabs>
          <w:tab w:leader="none" w:pos="1881"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Parent, and if requested by the Administrative Agent, Parent shall deliver a certificate of a Principal Financial Officer of Parent certifying as to the foregoing), and (iv) after giving pro forma effect to such Disposition, Parent and its Restricted Subsidiaries would be in compliance with the covenant set forth in </w:t>
      </w:r>
      <w:r>
        <w:rPr>
          <w:rFonts w:ascii="Arial" w:cs="Arial" w:eastAsia="Arial" w:hAnsi="Arial"/>
          <w:sz w:val="17"/>
          <w:szCs w:val="17"/>
          <w:u w:val="single" w:color="auto"/>
          <w:color w:val="auto"/>
        </w:rPr>
        <w:t>Section 8.09(a)</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8" w:firstLine="1304"/>
        <w:spacing w:after="0" w:line="291" w:lineRule="auto"/>
        <w:tabs>
          <w:tab w:leader="none" w:pos="182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Dispositions of surplus property in the ordinary course of business shall be permitted so long as the aggregate fair market value of all such surplus property Disposed of pursuant to this </w:t>
      </w:r>
      <w:r>
        <w:rPr>
          <w:rFonts w:ascii="Arial" w:cs="Arial" w:eastAsia="Arial" w:hAnsi="Arial"/>
          <w:sz w:val="16"/>
          <w:szCs w:val="16"/>
          <w:u w:val="single" w:color="auto"/>
          <w:color w:val="auto"/>
        </w:rPr>
        <w:t>Section 8.05(k)</w:t>
      </w:r>
      <w:r>
        <w:rPr>
          <w:rFonts w:ascii="Arial" w:cs="Arial" w:eastAsia="Arial" w:hAnsi="Arial"/>
          <w:sz w:val="16"/>
          <w:szCs w:val="16"/>
          <w:color w:val="auto"/>
        </w:rPr>
        <w:t xml:space="preserve"> does not exceed (i) $35,000,000 from the Effective Date through December 31, 2020,</w:t>
      </w:r>
    </w:p>
    <w:p>
      <w:pPr>
        <w:ind w:left="272" w:hanging="272"/>
        <w:spacing w:after="0"/>
        <w:tabs>
          <w:tab w:leader="none" w:pos="27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$30,000,000 during the Fiscal Year ending December 31, 2021, and (iii) $25,000,000 during any Fiscal Year thereafter;</w:t>
      </w:r>
    </w:p>
    <w:p>
      <w:pPr>
        <w:spacing w:after="0" w:line="210" w:lineRule="exact"/>
        <w:rPr>
          <w:rFonts w:ascii="Arial" w:cs="Arial" w:eastAsia="Arial" w:hAnsi="Arial"/>
          <w:sz w:val="18"/>
          <w:szCs w:val="18"/>
          <w:color w:val="auto"/>
        </w:rPr>
      </w:pPr>
    </w:p>
    <w:p>
      <w:pPr>
        <w:ind w:left="-8" w:firstLine="1304"/>
        <w:spacing w:after="0" w:line="342" w:lineRule="auto"/>
        <w:tabs>
          <w:tab w:leader="none" w:pos="1896" w:val="left"/>
        </w:tabs>
        <w:numPr>
          <w:ilvl w:val="1"/>
          <w:numId w:val="156"/>
        </w:numPr>
        <w:rPr>
          <w:rFonts w:ascii="Arial" w:cs="Arial" w:eastAsia="Arial" w:hAnsi="Arial"/>
          <w:sz w:val="16"/>
          <w:szCs w:val="16"/>
          <w:color w:val="auto"/>
        </w:rPr>
      </w:pPr>
      <w:r>
        <w:rPr>
          <w:rFonts w:ascii="Arial" w:cs="Arial" w:eastAsia="Arial" w:hAnsi="Arial"/>
          <w:sz w:val="16"/>
          <w:szCs w:val="16"/>
          <w:color w:val="auto"/>
        </w:rPr>
        <w:t>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23" w:lineRule="exact"/>
        <w:rPr>
          <w:rFonts w:ascii="Arial" w:cs="Arial" w:eastAsia="Arial" w:hAnsi="Arial"/>
          <w:sz w:val="16"/>
          <w:szCs w:val="16"/>
          <w:color w:val="auto"/>
        </w:rPr>
      </w:pPr>
    </w:p>
    <w:p>
      <w:pPr>
        <w:ind w:left="1872" w:hanging="576"/>
        <w:spacing w:after="0"/>
        <w:tabs>
          <w:tab w:leader="none" w:pos="187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leases of real or personal property in the ordinary course of business shall be permitted;</w:t>
      </w:r>
    </w:p>
    <w:p>
      <w:pPr>
        <w:spacing w:after="0" w:line="225" w:lineRule="exact"/>
        <w:rPr>
          <w:rFonts w:ascii="Arial" w:cs="Arial" w:eastAsia="Arial" w:hAnsi="Arial"/>
          <w:sz w:val="18"/>
          <w:szCs w:val="18"/>
          <w:color w:val="auto"/>
        </w:rPr>
      </w:pPr>
    </w:p>
    <w:p>
      <w:pPr>
        <w:ind w:left="1812" w:hanging="516"/>
        <w:spacing w:after="0"/>
        <w:tabs>
          <w:tab w:leader="none" w:pos="181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Permitted Intercompany Treasury Management Transactions;</w:t>
      </w:r>
    </w:p>
    <w:p>
      <w:pPr>
        <w:spacing w:after="0" w:line="225" w:lineRule="exact"/>
        <w:rPr>
          <w:rFonts w:ascii="Arial" w:cs="Arial" w:eastAsia="Arial" w:hAnsi="Arial"/>
          <w:sz w:val="18"/>
          <w:szCs w:val="18"/>
          <w:color w:val="auto"/>
        </w:rPr>
      </w:pPr>
    </w:p>
    <w:p>
      <w:pPr>
        <w:ind w:left="-8" w:right="20" w:firstLine="1304"/>
        <w:spacing w:after="0" w:line="277" w:lineRule="auto"/>
        <w:tabs>
          <w:tab w:leader="none" w:pos="182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Dispositions constituting Permitted Intercompany Specified Transactions, so long as at the time of such Disposition, no Default or Event of Default then exists or would arise as a result of the applicable transaction; and</w:t>
      </w:r>
    </w:p>
    <w:p>
      <w:pPr>
        <w:spacing w:after="0" w:line="170" w:lineRule="exact"/>
        <w:rPr>
          <w:rFonts w:ascii="Arial" w:cs="Arial" w:eastAsia="Arial" w:hAnsi="Arial"/>
          <w:sz w:val="18"/>
          <w:szCs w:val="18"/>
          <w:color w:val="auto"/>
        </w:rPr>
      </w:pPr>
    </w:p>
    <w:p>
      <w:pPr>
        <w:ind w:left="-8" w:firstLine="1304"/>
        <w:spacing w:after="0" w:line="277" w:lineRule="auto"/>
        <w:tabs>
          <w:tab w:leader="none" w:pos="193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Parent and its Restricted Subsidiaries may Dispose of any personal or real property with a fair market value not in excess of $2,500,000 in any Fiscal Year.</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54" w:name="page155"/>
    <w:bookmarkEnd w:id="154"/>
    <w:p>
      <w:pPr>
        <w:ind w:left="660"/>
        <w:spacing w:after="0"/>
        <w:tabs>
          <w:tab w:leader="none" w:pos="242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Parent shall not, and shall not permit any Restricted Subsidiary to, make any Investments in any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11" w:lineRule="exact"/>
        <w:rPr>
          <w:sz w:val="20"/>
          <w:szCs w:val="20"/>
          <w:color w:val="auto"/>
        </w:rPr>
      </w:pPr>
    </w:p>
    <w:p>
      <w:pPr>
        <w:ind w:left="1820" w:hanging="516"/>
        <w:spacing w:after="0"/>
        <w:tabs>
          <w:tab w:leader="none" w:pos="1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8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 Investments in Subsidiaries in existence on the Effective Date and (ii) other Investments in existence on the Effective Date and described on </w:t>
      </w:r>
      <w:r>
        <w:rPr>
          <w:rFonts w:ascii="Arial" w:cs="Arial" w:eastAsia="Arial" w:hAnsi="Arial"/>
          <w:sz w:val="18"/>
          <w:szCs w:val="18"/>
          <w:u w:val="single" w:color="auto"/>
          <w:color w:val="auto"/>
        </w:rPr>
        <w:t>Schedule 8.06</w:t>
      </w:r>
      <w:r>
        <w:rPr>
          <w:rFonts w:ascii="Arial" w:cs="Arial" w:eastAsia="Arial" w:hAnsi="Arial"/>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Investments by any Obligor in any other Obligor that is a Wholly-Owned Subsidiary;</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Investments by any Restricted Subsidiary that is not an Obligor in any Obligor or any Restricted Subsidiary;</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3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 Investments in Unrestricted Subsidiaries, and (ii) Investments by any Obligor in any Obligor that is not a Wholly-Owned Subsidiary and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Investments made pursuant to this </w:t>
      </w:r>
      <w:r>
        <w:rPr>
          <w:rFonts w:ascii="Arial" w:cs="Arial" w:eastAsia="Arial" w:hAnsi="Arial"/>
          <w:sz w:val="18"/>
          <w:szCs w:val="18"/>
          <w:u w:val="single" w:color="auto"/>
          <w:color w:val="auto"/>
        </w:rPr>
        <w:t>Section 8.06(f)</w:t>
      </w:r>
      <w:r>
        <w:rPr>
          <w:rFonts w:ascii="Arial" w:cs="Arial" w:eastAsia="Arial" w:hAnsi="Arial"/>
          <w:sz w:val="18"/>
          <w:szCs w:val="18"/>
          <w:color w:val="auto"/>
        </w:rPr>
        <w:t xml:space="preserve"> and then outstanding since the Effective Date, shall not exceed $25,000,000;</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2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83" w:lineRule="exact"/>
        <w:rPr>
          <w:rFonts w:ascii="Arial" w:cs="Arial" w:eastAsia="Arial" w:hAnsi="Arial"/>
          <w:sz w:val="18"/>
          <w:szCs w:val="18"/>
          <w:color w:val="auto"/>
        </w:rPr>
      </w:pPr>
    </w:p>
    <w:p>
      <w:pPr>
        <w:ind w:right="20" w:firstLine="1304"/>
        <w:spacing w:after="0" w:line="277" w:lineRule="auto"/>
        <w:tabs>
          <w:tab w:leader="none" w:pos="203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Investments by any Obligor or Restricted Subsidiary in overnight time deposits in Argentina;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Investments shall not exceed $50,000,000 at any time outstanding;</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this Section, Guarantees permitted by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Investments received in consideration for a Disposition permitted by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advances and loans shall not exceed $2,500,000 at any time outstanding;</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79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5" w:name="page156"/>
    <w:bookmarkEnd w:id="155"/>
    <w:p>
      <w:pPr>
        <w:ind w:left="1880" w:hanging="576"/>
        <w:spacing w:after="0"/>
        <w:tabs>
          <w:tab w:leader="none" w:pos="1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Investments consisting of Swap Agreements permitted under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additional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thereof and immediately after giving effect thereto, (i) the amount of all such Investments made pursuant to this </w:t>
      </w:r>
      <w:r>
        <w:rPr>
          <w:rFonts w:ascii="Arial" w:cs="Arial" w:eastAsia="Arial" w:hAnsi="Arial"/>
          <w:sz w:val="18"/>
          <w:szCs w:val="18"/>
          <w:u w:val="single" w:color="auto"/>
          <w:color w:val="auto"/>
        </w:rPr>
        <w:t>Section 8.06(n)</w:t>
      </w:r>
      <w:r>
        <w:rPr>
          <w:rFonts w:ascii="Arial" w:cs="Arial" w:eastAsia="Arial" w:hAnsi="Arial"/>
          <w:sz w:val="18"/>
          <w:szCs w:val="18"/>
          <w:color w:val="auto"/>
        </w:rPr>
        <w:t xml:space="preserve"> in the aggregate does not exceed $200,000,000 and (ii) no Default or Event of Default shall have occurred and be continuing;</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Investments constituting Permitted Intercompany Treasury Management Transactions; and</w:t>
      </w:r>
    </w:p>
    <w:p>
      <w:pPr>
        <w:spacing w:after="0" w:line="225" w:lineRule="exact"/>
        <w:rPr>
          <w:rFonts w:ascii="Arial" w:cs="Arial" w:eastAsia="Arial" w:hAnsi="Arial"/>
          <w:sz w:val="18"/>
          <w:szCs w:val="18"/>
          <w:color w:val="auto"/>
        </w:rPr>
      </w:pPr>
    </w:p>
    <w:p>
      <w:pPr>
        <w:ind w:firstLine="1304"/>
        <w:spacing w:after="0" w:line="277" w:lineRule="auto"/>
        <w:tabs>
          <w:tab w:leader="none" w:pos="184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Investments constituting Permitted Intercompany Specified Transactions, so long as at the time of such Investment, no Default or Event of Default then exists or would arise as a result of the applicable transaction.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Swap Agreements</w:t>
      </w:r>
      <w:r>
        <w:rPr>
          <w:rFonts w:ascii="Arial" w:cs="Arial" w:eastAsia="Arial" w:hAnsi="Arial"/>
          <w:sz w:val="18"/>
          <w:szCs w:val="18"/>
          <w:color w:val="auto"/>
        </w:rPr>
        <w:t>. Parent shall not, and shall not permit any Restricted Subsidiary to, enter into any Swap Agreement, except (a) 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and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Parent shall not, and shall not permit any Restricted Subsidiary to, declare or make, or agree to pay or make, directly or indirectly, any Restricted Payment, except:</w:t>
      </w:r>
    </w:p>
    <w:p>
      <w:pPr>
        <w:spacing w:after="0" w:line="170" w:lineRule="exact"/>
        <w:rPr>
          <w:sz w:val="20"/>
          <w:szCs w:val="20"/>
          <w:color w:val="auto"/>
        </w:rPr>
      </w:pPr>
    </w:p>
    <w:p>
      <w:pPr>
        <w:ind w:left="1940" w:hanging="636"/>
        <w:spacing w:after="0"/>
        <w:tabs>
          <w:tab w:leader="none" w:pos="19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Parent may declare and pay dividends on its Capital Stock payable solely in additional Capital Stock (other than Disqualified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firstLine="1304"/>
        <w:spacing w:after="0" w:line="308" w:lineRule="auto"/>
        <w:tabs>
          <w:tab w:leader="none" w:pos="187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Parent and its Restricted Subsidiaries may make Restricted Payments in exchange for, or out of the proceeds received from, any substantially concurrent issuance (other than to a Subsidiary) of additional Capital Stock of Parent (other than Disqualified Capital Stock);</w:t>
      </w:r>
    </w:p>
    <w:p>
      <w:pPr>
        <w:spacing w:after="0" w:line="146" w:lineRule="exact"/>
        <w:rPr>
          <w:rFonts w:ascii="Arial" w:cs="Arial" w:eastAsia="Arial" w:hAnsi="Arial"/>
          <w:sz w:val="17"/>
          <w:szCs w:val="17"/>
          <w:color w:val="auto"/>
        </w:rPr>
      </w:pPr>
    </w:p>
    <w:p>
      <w:pPr>
        <w:jc w:val="both"/>
        <w:ind w:firstLine="1304"/>
        <w:spacing w:after="0" w:line="273" w:lineRule="auto"/>
        <w:tabs>
          <w:tab w:leader="none" w:pos="198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 Restricted Subsidiaries that are Wholly-Owned Subsidiaries and Obligors may declare and pay dividends or make other distributions on account of their Capital Stock so long as, if an Obligor is making such payment or distribution, the ultimate recipient of such payment or distribution (directly or indirectly, with receipt occurring substantially contemporaneously with the making of such payment or distribution) is an Obligor, and (ii) 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long as no Default or Event of Default then exists or would arise as a result of the applicable transaction;</w:t>
      </w:r>
    </w:p>
    <w:p>
      <w:pPr>
        <w:spacing w:after="0" w:line="225" w:lineRule="exact"/>
        <w:rPr>
          <w:sz w:val="20"/>
          <w:szCs w:val="20"/>
          <w:color w:val="auto"/>
        </w:rPr>
      </w:pPr>
    </w:p>
    <w:p>
      <w:pPr>
        <w:ind w:firstLine="1304"/>
        <w:spacing w:after="0" w:line="277" w:lineRule="auto"/>
        <w:tabs>
          <w:tab w:leader="none" w:pos="18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Parent and its Restricted Subsidiaries may make any prepayments under this Agreement and the Revolving Credit Documents in accordance with the terms thereof;</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has occurred and is continuing at the time thereof or immediately after giving effect thereto, Parent and its Restricted Subsidiaries may Redeem any Senior Secured Notes, Exit Senior Notes or other senior notes, in each case, with the proceeds of (a) Permitted Refinancing Indebtedness or (b) Indebtedness incurred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(i),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8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in any case, that the aggregate cash consideration paid for all such redemptions, repurchases or other acquisitions or retirements shall not exceed $10,000,000 during any calendar year;</w:t>
      </w:r>
    </w:p>
    <w:p>
      <w:pPr>
        <w:spacing w:after="0" w:line="192" w:lineRule="exact"/>
        <w:rPr>
          <w:rFonts w:ascii="Arial" w:cs="Arial" w:eastAsia="Arial" w:hAnsi="Arial"/>
          <w:sz w:val="18"/>
          <w:szCs w:val="18"/>
          <w:color w:val="auto"/>
        </w:rPr>
      </w:pPr>
    </w:p>
    <w:p>
      <w:pPr>
        <w:jc w:val="both"/>
        <w:ind w:firstLine="1304"/>
        <w:spacing w:after="0" w:line="273" w:lineRule="auto"/>
        <w:tabs>
          <w:tab w:leader="none" w:pos="182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77" w:lineRule="exact"/>
        <w:rPr>
          <w:rFonts w:ascii="Arial" w:cs="Arial" w:eastAsia="Arial" w:hAnsi="Arial"/>
          <w:sz w:val="17"/>
          <w:szCs w:val="17"/>
          <w:color w:val="auto"/>
        </w:rPr>
      </w:pPr>
    </w:p>
    <w:p>
      <w:pPr>
        <w:ind w:left="1820" w:hanging="516"/>
        <w:spacing w:after="0"/>
        <w:tabs>
          <w:tab w:leader="none" w:pos="1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Parent and each Restricted Subsidiary may make payments of cash in lieu of issuing fractional Capital Stock;</w:t>
      </w:r>
    </w:p>
    <w:p>
      <w:pPr>
        <w:spacing w:after="0" w:line="225" w:lineRule="exact"/>
        <w:rPr>
          <w:rFonts w:ascii="Arial" w:cs="Arial" w:eastAsia="Arial" w:hAnsi="Arial"/>
          <w:sz w:val="18"/>
          <w:szCs w:val="18"/>
          <w:color w:val="auto"/>
        </w:rPr>
      </w:pPr>
    </w:p>
    <w:p>
      <w:pPr>
        <w:ind w:right="20" w:firstLine="1304"/>
        <w:spacing w:after="0" w:line="342" w:lineRule="auto"/>
        <w:tabs>
          <w:tab w:leader="none" w:pos="179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Each Restricted Subsidiary that is not a Wholly-Owned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16"/>
          <w:szCs w:val="16"/>
          <w:u w:val="single" w:color="auto"/>
          <w:color w:val="auto"/>
        </w:rPr>
        <w:t>Sections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8.05</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1304"/>
        <w:spacing w:after="0" w:line="277" w:lineRule="auto"/>
        <w:tabs>
          <w:tab w:leader="none" w:pos="198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Restricted Payments constituting Permitted Intercompany Specified Transactions, so long as at the time of such Restricted Payment no Default or Event of Default then exists or would arise as a result of the applicable transaction;</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Restricted Payments constituting Permitted Intercompany Treasury Management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7" w:name="page158"/>
    <w:bookmarkEnd w:id="157"/>
    <w:p>
      <w:pPr>
        <w:jc w:val="both"/>
        <w:ind w:firstLine="1304"/>
        <w:spacing w:after="0" w:line="255" w:lineRule="auto"/>
        <w:tabs>
          <w:tab w:leader="none" w:pos="190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make other Restricted Payments described in clause (c) of the definition thereof, it being understood that no equity or dividend payments or other distributions in respect of Capital Stock may be made pursuant to this </w:t>
      </w:r>
      <w:r>
        <w:rPr>
          <w:rFonts w:ascii="Arial" w:cs="Arial" w:eastAsia="Arial" w:hAnsi="Arial"/>
          <w:sz w:val="18"/>
          <w:szCs w:val="18"/>
          <w:u w:val="single" w:color="auto"/>
          <w:color w:val="auto"/>
        </w:rPr>
        <w:t>Section 8.08(l)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thereof and immediately after giving effect thereto, (i) the amount of all such Restricted Payments made after the Amendment No. 2 Effective Date pursuant to this </w:t>
      </w:r>
      <w:r>
        <w:rPr>
          <w:rFonts w:ascii="Arial" w:cs="Arial" w:eastAsia="Arial" w:hAnsi="Arial"/>
          <w:sz w:val="18"/>
          <w:szCs w:val="18"/>
          <w:u w:val="single" w:color="auto"/>
          <w:color w:val="auto"/>
        </w:rPr>
        <w:t>Section 8.08(l)</w:t>
      </w:r>
      <w:r>
        <w:rPr>
          <w:rFonts w:ascii="Arial" w:cs="Arial" w:eastAsia="Arial" w:hAnsi="Arial"/>
          <w:sz w:val="18"/>
          <w:szCs w:val="18"/>
          <w:color w:val="auto"/>
        </w:rPr>
        <w:t xml:space="preserve"> in the aggregate shall not exceed $500,000,000 (together with the amount of accrued and unpaid interest, premiums and reasonable expenses paid in connection with such Restricted Payments), (ii) no Default or Event of Default shall have occurred and be continuing and (iii) the Aggregate Liquidity is at least $400,000,000;</w:t>
      </w:r>
    </w:p>
    <w:p>
      <w:pPr>
        <w:spacing w:after="0" w:line="192" w:lineRule="exact"/>
        <w:rPr>
          <w:rFonts w:ascii="Arial" w:cs="Arial" w:eastAsia="Arial" w:hAnsi="Arial"/>
          <w:sz w:val="18"/>
          <w:szCs w:val="18"/>
          <w:color w:val="auto"/>
        </w:rPr>
      </w:pPr>
    </w:p>
    <w:p>
      <w:pPr>
        <w:jc w:val="both"/>
        <w:ind w:firstLine="1304"/>
        <w:spacing w:after="0" w:line="296" w:lineRule="auto"/>
        <w:tabs>
          <w:tab w:leader="none" w:pos="192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 no Default or Event of Default then exists or would arise as a result of the applicable transaction, and (y) to the extent such intercompany loans or advances are subject to the Intercompany Subordination Agreement, such repayment or prepayment shall not violate the terms thereof; and</w:t>
      </w:r>
    </w:p>
    <w:p>
      <w:pPr>
        <w:spacing w:after="0" w:line="161" w:lineRule="exact"/>
        <w:rPr>
          <w:rFonts w:ascii="Arial" w:cs="Arial" w:eastAsia="Arial" w:hAnsi="Arial"/>
          <w:sz w:val="16"/>
          <w:szCs w:val="16"/>
          <w:color w:val="auto"/>
        </w:rPr>
      </w:pPr>
    </w:p>
    <w:p>
      <w:pPr>
        <w:ind w:right="20" w:firstLine="1304"/>
        <w:spacing w:after="0" w:line="342" w:lineRule="auto"/>
        <w:tabs>
          <w:tab w:leader="none" w:pos="2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so long as no Default or Event of Default has occurred and is continuing at the time thereof or immediately after giving effect thereto, Parent and its Restricted Subsidiaries may Redeem Senior Secured Notes with the net cash proceeds of any sale of Notes Priority Collateral.</w:t>
      </w:r>
    </w:p>
    <w:p>
      <w:pPr>
        <w:spacing w:after="0" w:line="12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Parent shall not, at any time, permit Aggregate Liquidity to be less than $300,000,000.</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969"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NBV of Assets Ratio</w:t>
      </w:r>
      <w:r>
        <w:rPr>
          <w:rFonts w:ascii="Arial" w:cs="Arial" w:eastAsia="Arial" w:hAnsi="Arial"/>
          <w:sz w:val="18"/>
          <w:szCs w:val="18"/>
          <w:color w:val="auto"/>
        </w:rPr>
        <w:t xml:space="preserve">. Parent shall not, as of the last day of any Fiscal Quarter for which financial statements are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(commencing with the first Fiscal Quarter ending after the Revolving Credit Facility Effective Date), permit the NBV of Assets Ratio to be less than (i) if the Step Down / Release Trigger Date shall not have occurred, 3.00 to 1.00 or (ii) if the Step Down / Release Trigger Date shall have occurred or occurs on such date, 2.50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8.09(b)</w:t>
      </w:r>
      <w:r>
        <w:rPr>
          <w:rFonts w:ascii="Arial" w:cs="Arial" w:eastAsia="Arial" w:hAnsi="Arial"/>
          <w:sz w:val="18"/>
          <w:szCs w:val="18"/>
          <w:color w:val="auto"/>
        </w:rPr>
        <w:t xml:space="preserve"> shall cease to apply from and after the Discharge of the Revolving Credit Facility.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Limitation on Transactions with Affiliates</w:t>
      </w:r>
      <w:r>
        <w:rPr>
          <w:rFonts w:ascii="Arial" w:cs="Arial" w:eastAsia="Arial" w:hAnsi="Arial"/>
          <w:sz w:val="18"/>
          <w:szCs w:val="18"/>
          <w:color w:val="auto"/>
        </w:rPr>
        <w:t>.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 (b) 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8" w:name="page159"/>
    <w:bookmarkEnd w:id="158"/>
    <w:p>
      <w:pPr>
        <w:jc w:val="both"/>
        <w:spacing w:after="0" w:line="272" w:lineRule="auto"/>
        <w:rPr>
          <w:sz w:val="20"/>
          <w:szCs w:val="20"/>
          <w:color w:val="auto"/>
        </w:rPr>
      </w:pPr>
      <w:r>
        <w:rPr>
          <w:rFonts w:ascii="Arial" w:cs="Arial" w:eastAsia="Arial" w:hAnsi="Arial"/>
          <w:sz w:val="17"/>
          <w:szCs w:val="17"/>
          <w:color w:val="auto"/>
        </w:rPr>
        <w:t xml:space="preserve">this covenant shall not apply to (i) Investments in Unrestricted Subsidiaries permitted by </w:t>
      </w:r>
      <w:r>
        <w:rPr>
          <w:rFonts w:ascii="Arial" w:cs="Arial" w:eastAsia="Arial" w:hAnsi="Arial"/>
          <w:sz w:val="17"/>
          <w:szCs w:val="17"/>
          <w:u w:val="single" w:color="auto"/>
          <w:color w:val="auto"/>
        </w:rPr>
        <w:t>Section 8.06</w:t>
      </w:r>
      <w:r>
        <w:rPr>
          <w:rFonts w:ascii="Arial" w:cs="Arial" w:eastAsia="Arial" w:hAnsi="Arial"/>
          <w:sz w:val="17"/>
          <w:szCs w:val="17"/>
          <w:color w:val="auto"/>
        </w:rPr>
        <w:t>;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Intellectual Property.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Parent shall not, and shall not permit any Restricted Subsidiary to, directly or indirectly, enter into, incur, create or permit to exist any Restrictive Agreement, except for:</w:t>
      </w:r>
    </w:p>
    <w:p>
      <w:pPr>
        <w:spacing w:after="0" w:line="170" w:lineRule="exact"/>
        <w:rPr>
          <w:sz w:val="20"/>
          <w:szCs w:val="20"/>
          <w:color w:val="auto"/>
        </w:rPr>
      </w:pPr>
    </w:p>
    <w:p>
      <w:pPr>
        <w:ind w:firstLine="1304"/>
        <w:spacing w:after="0" w:line="277" w:lineRule="auto"/>
        <w:tabs>
          <w:tab w:leader="none" w:pos="18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limitations or restrictions contained in any Loan Document, the Senior Secured Notes Indenture, any Revolving Credit Documents and the Exit Senior Notes Indenture;</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limitations or restrictions existing under or by reason of any Requirement of Law;</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81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apply only to the Restricted Subsidiary that is, or assets that are, the subject of such Disposition and such Disposition is permitted hereunder;</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96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limitations or restrictions contained in contracts and agreements outstanding on the Effective Date and renewals, extensions, refinancings or replacements thereof identified on </w:t>
      </w:r>
      <w:r>
        <w:rPr>
          <w:rFonts w:ascii="Arial" w:cs="Arial" w:eastAsia="Arial" w:hAnsi="Arial"/>
          <w:sz w:val="18"/>
          <w:szCs w:val="18"/>
          <w:u w:val="single" w:color="auto"/>
          <w:color w:val="auto"/>
        </w:rPr>
        <w:t>Schedule 8.11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restrictions set forth in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92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187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 the definition of “Restrictive Agreements” shall not apply to restrictions or conditions imposed by any agreement relating to secured Indebtedness permitted by this Agreement or Liens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if such restrictions or conditions apply only to the property or assets securing such Indebtedness or (ii) customary restrictions or limitations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leases or other contracts restricting the assignment thereof or the assignment of the property that is the subject of such lease;</w:t>
      </w:r>
    </w:p>
    <w:p>
      <w:pPr>
        <w:spacing w:after="0" w:line="225" w:lineRule="exact"/>
        <w:rPr>
          <w:sz w:val="20"/>
          <w:szCs w:val="20"/>
          <w:color w:val="auto"/>
        </w:rPr>
      </w:pPr>
    </w:p>
    <w:p>
      <w:pPr>
        <w:jc w:val="both"/>
        <w:ind w:firstLine="1304"/>
        <w:spacing w:after="0" w:line="263" w:lineRule="auto"/>
        <w:tabs>
          <w:tab w:leader="none" w:pos="182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customary restrictions and conditions contained in Permitted Factoring Transaction Documents; and</w:t>
      </w:r>
    </w:p>
    <w:p>
      <w:pPr>
        <w:spacing w:after="0" w:line="225" w:lineRule="exact"/>
        <w:rPr>
          <w:rFonts w:ascii="Arial" w:cs="Arial" w:eastAsia="Arial" w:hAnsi="Arial"/>
          <w:sz w:val="18"/>
          <w:szCs w:val="18"/>
          <w:color w:val="auto"/>
        </w:rPr>
      </w:pPr>
    </w:p>
    <w:p>
      <w:pPr>
        <w:ind w:right="20" w:firstLine="1304"/>
        <w:spacing w:after="0" w:line="308" w:lineRule="auto"/>
        <w:tabs>
          <w:tab w:leader="none" w:pos="183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limitations or restrictions contained in the definitive documentation for any Indebtedness permitted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limitations and restrictions, taken as a whole, are not materially more restrictive than those set forth in this Agreement .</w:t>
      </w:r>
    </w:p>
    <w:p>
      <w:pPr>
        <w:spacing w:after="0" w:line="14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3" w:lineRule="auto"/>
        <w:tabs>
          <w:tab w:leader="none" w:pos="18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Parent and the Borrowers shall not, and Parent shall not permit any of its other Subsidiaries to, arrange for the issuance of any Letters of Credit for any purpose other than general corporate purposes of Parent and its Restricted Subsidiaries (to the extent otherwise permitted hereunder).</w:t>
      </w:r>
    </w:p>
    <w:p>
      <w:pPr>
        <w:spacing w:after="0" w:line="183" w:lineRule="exact"/>
        <w:rPr>
          <w:rFonts w:ascii="Arial" w:cs="Arial" w:eastAsia="Arial" w:hAnsi="Arial"/>
          <w:sz w:val="18"/>
          <w:szCs w:val="18"/>
          <w:color w:val="auto"/>
        </w:rPr>
      </w:pPr>
    </w:p>
    <w:p>
      <w:pPr>
        <w:jc w:val="both"/>
        <w:ind w:firstLine="1304"/>
        <w:spacing w:after="0" w:line="271" w:lineRule="auto"/>
        <w:tabs>
          <w:tab w:leader="none" w:pos="1827" w:val="left"/>
        </w:tabs>
        <w:numPr>
          <w:ilvl w:val="0"/>
          <w:numId w:val="166"/>
        </w:numPr>
        <w:rPr>
          <w:rFonts w:ascii="Arial" w:cs="Arial" w:eastAsia="Arial" w:hAnsi="Arial"/>
          <w:sz w:val="17"/>
          <w:szCs w:val="17"/>
          <w:color w:val="auto"/>
        </w:rPr>
      </w:pPr>
      <w:r>
        <w:rPr>
          <w:rFonts w:ascii="Arial" w:cs="Arial" w:eastAsia="Arial" w:hAnsi="Arial"/>
          <w:sz w:val="17"/>
          <w:szCs w:val="17"/>
          <w:color w:val="auto"/>
        </w:rPr>
        <w:t>Parent shall not, nor shall it permit any of its Subsidiaries to, use any Letter of Credit or the proceeds of any Letter of Credit under this Agreement directly or indirectly for the purpose of buying or carrying any “margin stock” within the meaning of Regulation U (herein called “</w:t>
      </w:r>
      <w:r>
        <w:rPr>
          <w:rFonts w:ascii="Arial" w:cs="Arial" w:eastAsia="Arial" w:hAnsi="Arial"/>
          <w:sz w:val="17"/>
          <w:szCs w:val="17"/>
          <w:u w:val="single" w:color="auto"/>
          <w:color w:val="auto"/>
        </w:rPr>
        <w:t>margin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or for the purpose of reducing or retiring 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 the meaning of Regulation U. Parent shall not, nor shall it permit any of its Subsidiaries to, take any action which would cause this Agreement or any other Loan Document to violate Regulation T, U or X.</w:t>
      </w:r>
    </w:p>
    <w:p>
      <w:pPr>
        <w:spacing w:after="0" w:line="178" w:lineRule="exact"/>
        <w:rPr>
          <w:rFonts w:ascii="Arial" w:cs="Arial" w:eastAsia="Arial" w:hAnsi="Arial"/>
          <w:sz w:val="17"/>
          <w:szCs w:val="17"/>
          <w:color w:val="auto"/>
        </w:rPr>
      </w:pPr>
    </w:p>
    <w:p>
      <w:pPr>
        <w:jc w:val="both"/>
        <w:ind w:firstLine="1304"/>
        <w:spacing w:after="0" w:line="296" w:lineRule="auto"/>
        <w:tabs>
          <w:tab w:leader="none" w:pos="188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 Borrower will request any Letters of Credit, and Parent shall not use or otherwise make available, and shall procure that its Subsidiaries and its or their respective directors, officers, employees and agents shall not use or otherwise make available, any Letters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6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8.13</w:t>
      </w:r>
      <w:r>
        <w:rPr>
          <w:sz w:val="20"/>
          <w:szCs w:val="20"/>
          <w:color w:val="auto"/>
        </w:rPr>
        <w:tab/>
      </w:r>
      <w:r>
        <w:rPr>
          <w:rFonts w:ascii="Arial" w:cs="Arial" w:eastAsia="Arial" w:hAnsi="Arial"/>
          <w:sz w:val="16"/>
          <w:szCs w:val="16"/>
          <w:u w:val="single" w:color="auto"/>
          <w:color w:val="auto"/>
        </w:rPr>
        <w:t>Changes to Fiscal Year</w:t>
      </w:r>
      <w:r>
        <w:rPr>
          <w:rFonts w:ascii="Arial" w:cs="Arial" w:eastAsia="Arial" w:hAnsi="Arial"/>
          <w:sz w:val="16"/>
          <w:szCs w:val="16"/>
          <w:color w:val="auto"/>
        </w:rPr>
        <w:t>. Parent will not change its Fiscal Year from the basis in effect on the Effective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0" w:name="page161"/>
    <w:bookmarkEnd w:id="160"/>
    <w:p>
      <w:pPr>
        <w:jc w:val="both"/>
        <w:ind w:firstLine="648"/>
        <w:spacing w:after="0" w:line="289"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Amendments to Documents Governing Certain Indebtedness</w:t>
      </w:r>
      <w:r>
        <w:rPr>
          <w:rFonts w:ascii="Arial" w:cs="Arial" w:eastAsia="Arial" w:hAnsi="Arial"/>
          <w:sz w:val="16"/>
          <w:szCs w:val="16"/>
          <w:color w:val="auto"/>
        </w:rPr>
        <w:t>. Parent shall not, and shall not permit any Restricted Subsidiary to, amend or otherwise modify any of the documentation governing (a) (i) the Senior Secured Notes or any Permitted Refinancing Indebtedness in respect thereof, (ii) any Exit Senior Notes or senior notes in existence on the date hereof or Permitted Refinancing Indebtedness in respect thereof or (iii) any Revolving Credit Facility or any Permitted Refinancing Indebtedness thereof, in each case to the extent that any such amendment or other modification, taken as a whole, would be materially adverse to the Lenders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the avoidance of doubt, any amendment or other modification in order to incorporate the replacement of the Adjusted LIBO Rate or the LIBO Rate (or the equivalent terms in any Revolving Credit Facility) shall be deemed to not be materially adverse to the Lenders), (b) except as permitted by </w:t>
      </w:r>
      <w:r>
        <w:rPr>
          <w:rFonts w:ascii="Arial" w:cs="Arial" w:eastAsia="Arial" w:hAnsi="Arial"/>
          <w:sz w:val="16"/>
          <w:szCs w:val="16"/>
          <w:u w:val="single" w:color="auto"/>
          <w:color w:val="auto"/>
        </w:rPr>
        <w:t>Section 8.01(i)(iii)</w:t>
      </w:r>
      <w:r>
        <w:rPr>
          <w:rFonts w:ascii="Arial" w:cs="Arial" w:eastAsia="Arial" w:hAnsi="Arial"/>
          <w:sz w:val="16"/>
          <w:szCs w:val="16"/>
          <w:color w:val="auto"/>
        </w:rPr>
        <w:t xml:space="preserve">, any unsecured Indebtedness incurred pursuant to </w:t>
      </w:r>
      <w:r>
        <w:rPr>
          <w:rFonts w:ascii="Arial" w:cs="Arial" w:eastAsia="Arial" w:hAnsi="Arial"/>
          <w:sz w:val="16"/>
          <w:szCs w:val="16"/>
          <w:u w:val="single" w:color="auto"/>
          <w:color w:val="auto"/>
        </w:rPr>
        <w:t>Section 8.01(i)</w:t>
      </w:r>
      <w:r>
        <w:rPr>
          <w:rFonts w:ascii="Arial" w:cs="Arial" w:eastAsia="Arial" w:hAnsi="Arial"/>
          <w:sz w:val="16"/>
          <w:szCs w:val="16"/>
          <w:color w:val="auto"/>
        </w:rPr>
        <w:t xml:space="preserve"> to reduce the stated maturity of any such Indebtedness to be sooner than 91 days after the Maturity Date or (c) any Subordinated Indebtedness incurred pursuant to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to amend or otherwise modify the subordination terms of such Indebtedness in a manner adverse to the Lenders.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Limitation on Equity Issuances</w:t>
      </w:r>
      <w:r>
        <w:rPr>
          <w:rFonts w:ascii="Arial" w:cs="Arial" w:eastAsia="Arial" w:hAnsi="Arial"/>
          <w:sz w:val="18"/>
          <w:szCs w:val="18"/>
          <w:color w:val="auto"/>
        </w:rPr>
        <w:t>. Parent will not issue or sell any of its Capital Stock, except for the issuance or sale of Qualified Capital Stock.</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Book Value of Assets</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Parent shall not, and shall not permit any Restricted Subsidiary to, directly or indirectly, consummate any Permitted Acquisition, Permitted Intercompany Treasury Management Transactions, Permitted Intercompany Specified Transactions, Permitted Factoring Transactions, designation of an Unrestricted Subsidiary pursuant to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or any of the transactions contemplated by </w:t>
      </w:r>
      <w:r>
        <w:rPr>
          <w:rFonts w:ascii="Arial" w:cs="Arial" w:eastAsia="Arial" w:hAnsi="Arial"/>
          <w:sz w:val="17"/>
          <w:szCs w:val="17"/>
          <w:u w:val="single" w:color="auto"/>
          <w:color w:val="auto"/>
        </w:rPr>
        <w:t>Section 8.01(d)(iv)</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8.01(d)(v)</w:t>
      </w:r>
      <w:r>
        <w:rPr>
          <w:rFonts w:ascii="Arial" w:cs="Arial" w:eastAsia="Arial" w:hAnsi="Arial"/>
          <w:sz w:val="17"/>
          <w:szCs w:val="17"/>
          <w:color w:val="auto"/>
        </w:rPr>
        <w:t xml:space="preserve">, </w:t>
      </w:r>
      <w:r>
        <w:rPr>
          <w:rFonts w:ascii="Arial" w:cs="Arial" w:eastAsia="Arial" w:hAnsi="Arial"/>
          <w:sz w:val="17"/>
          <w:szCs w:val="17"/>
          <w:u w:val="single" w:color="auto"/>
          <w:color w:val="auto"/>
        </w:rPr>
        <w:t>8.02(c)(ii)</w:t>
      </w:r>
      <w:r>
        <w:rPr>
          <w:rFonts w:ascii="Arial" w:cs="Arial" w:eastAsia="Arial" w:hAnsi="Arial"/>
          <w:sz w:val="17"/>
          <w:szCs w:val="17"/>
          <w:color w:val="auto"/>
        </w:rPr>
        <w:t xml:space="preserve"> (other than in the case of any winding up, liquidation or dissolution of a Restricted Subsidiary all of the Capital Stock of which is directly owned by one or more Obligors), </w:t>
      </w:r>
      <w:r>
        <w:rPr>
          <w:rFonts w:ascii="Arial" w:cs="Arial" w:eastAsia="Arial" w:hAnsi="Arial"/>
          <w:sz w:val="17"/>
          <w:szCs w:val="17"/>
          <w:u w:val="single" w:color="auto"/>
          <w:color w:val="auto"/>
        </w:rPr>
        <w:t>8.05(c)(ii)</w:t>
      </w:r>
      <w:r>
        <w:rPr>
          <w:rFonts w:ascii="Arial" w:cs="Arial" w:eastAsia="Arial" w:hAnsi="Arial"/>
          <w:sz w:val="17"/>
          <w:szCs w:val="17"/>
          <w:color w:val="auto"/>
        </w:rPr>
        <w:t xml:space="preserve">, </w:t>
      </w:r>
      <w:r>
        <w:rPr>
          <w:rFonts w:ascii="Arial" w:cs="Arial" w:eastAsia="Arial" w:hAnsi="Arial"/>
          <w:sz w:val="17"/>
          <w:szCs w:val="17"/>
          <w:u w:val="single" w:color="auto"/>
          <w:color w:val="auto"/>
        </w:rPr>
        <w:t>8.05(j)</w:t>
      </w:r>
      <w:r>
        <w:rPr>
          <w:rFonts w:ascii="Arial" w:cs="Arial" w:eastAsia="Arial" w:hAnsi="Arial"/>
          <w:sz w:val="17"/>
          <w:szCs w:val="17"/>
          <w:color w:val="auto"/>
        </w:rPr>
        <w:t xml:space="preserve">, </w:t>
      </w:r>
      <w:r>
        <w:rPr>
          <w:rFonts w:ascii="Arial" w:cs="Arial" w:eastAsia="Arial" w:hAnsi="Arial"/>
          <w:sz w:val="17"/>
          <w:szCs w:val="17"/>
          <w:u w:val="single" w:color="auto"/>
          <w:color w:val="auto"/>
        </w:rPr>
        <w:t>8.06(n)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8.08(c)(ii)</w:t>
      </w:r>
      <w:r>
        <w:rPr>
          <w:rFonts w:ascii="Arial" w:cs="Arial" w:eastAsia="Arial" w:hAnsi="Arial"/>
          <w:sz w:val="17"/>
          <w:szCs w:val="17"/>
          <w:color w:val="auto"/>
        </w:rPr>
        <w:t xml:space="preserve">, </w:t>
      </w:r>
      <w:r>
        <w:rPr>
          <w:rFonts w:ascii="Arial" w:cs="Arial" w:eastAsia="Arial" w:hAnsi="Arial"/>
          <w:sz w:val="17"/>
          <w:szCs w:val="17"/>
          <w:u w:val="single" w:color="auto"/>
          <w:color w:val="auto"/>
        </w:rPr>
        <w:t>8.08(e)</w:t>
      </w:r>
      <w:r>
        <w:rPr>
          <w:rFonts w:ascii="Arial" w:cs="Arial" w:eastAsia="Arial" w:hAnsi="Arial"/>
          <w:sz w:val="17"/>
          <w:szCs w:val="17"/>
          <w:color w:val="auto"/>
        </w:rPr>
        <w:t xml:space="preserve">, </w:t>
      </w:r>
      <w:r>
        <w:rPr>
          <w:rFonts w:ascii="Arial" w:cs="Arial" w:eastAsia="Arial" w:hAnsi="Arial"/>
          <w:sz w:val="17"/>
          <w:szCs w:val="17"/>
          <w:u w:val="single" w:color="auto"/>
          <w:color w:val="auto"/>
        </w:rPr>
        <w:t>8.08(l)</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8.08(m)</w:t>
      </w:r>
      <w:r>
        <w:rPr>
          <w:rFonts w:ascii="Arial" w:cs="Arial" w:eastAsia="Arial" w:hAnsi="Arial"/>
          <w:sz w:val="17"/>
          <w:szCs w:val="17"/>
          <w:color w:val="auto"/>
        </w:rPr>
        <w:t xml:space="preserve"> if, after giving effect thereto, the Book Value of Assets would be less than $1,000,000,000.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Events of Default and Remedies</w:t>
      </w:r>
      <w:r>
        <w:rPr>
          <w:rFonts w:ascii="Arial" w:cs="Arial" w:eastAsia="Arial" w:hAnsi="Arial"/>
          <w:sz w:val="16"/>
          <w:szCs w:val="16"/>
          <w:color w:val="auto"/>
        </w:rPr>
        <w:t>. If any of the following events (“</w:t>
      </w:r>
      <w:r>
        <w:rPr>
          <w:rFonts w:ascii="Arial" w:cs="Arial" w:eastAsia="Arial" w:hAnsi="Arial"/>
          <w:sz w:val="16"/>
          <w:szCs w:val="16"/>
          <w:u w:val="single" w:color="auto"/>
          <w:color w:val="auto"/>
        </w:rPr>
        <w:t>Events of Default</w:t>
      </w:r>
      <w:r>
        <w:rPr>
          <w:rFonts w:ascii="Arial" w:cs="Arial" w:eastAsia="Arial" w:hAnsi="Arial"/>
          <w:sz w:val="16"/>
          <w:szCs w:val="16"/>
          <w:color w:val="auto"/>
        </w:rPr>
        <w:t>”) shall occur and be continuing:</w:t>
      </w:r>
    </w:p>
    <w:p>
      <w:pPr>
        <w:spacing w:after="0" w:line="225" w:lineRule="exact"/>
        <w:rPr>
          <w:sz w:val="20"/>
          <w:szCs w:val="20"/>
          <w:color w:val="auto"/>
        </w:rPr>
      </w:pPr>
    </w:p>
    <w:p>
      <w:pPr>
        <w:jc w:val="both"/>
        <w:ind w:firstLine="1304"/>
        <w:spacing w:after="0" w:line="257" w:lineRule="auto"/>
        <w:tabs>
          <w:tab w:leader="none" w:pos="18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or (ii) any interest on any Obligation, any fee or any other amount (other than an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9.01(a)</w:t>
      </w:r>
      <w:r>
        <w:rPr>
          <w:rFonts w:ascii="Arial" w:cs="Arial" w:eastAsia="Arial" w:hAnsi="Arial"/>
          <w:sz w:val="18"/>
          <w:szCs w:val="18"/>
          <w:color w:val="auto"/>
        </w:rPr>
        <w:t>) payable hereunder or any other Loan Document shall not be paid within five (5) Business Days following the date on which the payment of interest, fee or such other amount is due; or</w:t>
      </w:r>
    </w:p>
    <w:p>
      <w:pPr>
        <w:spacing w:after="0" w:line="187" w:lineRule="exact"/>
        <w:rPr>
          <w:rFonts w:ascii="Arial" w:cs="Arial" w:eastAsia="Arial" w:hAnsi="Arial"/>
          <w:sz w:val="18"/>
          <w:szCs w:val="18"/>
          <w:color w:val="auto"/>
        </w:rPr>
      </w:pPr>
    </w:p>
    <w:p>
      <w:pPr>
        <w:ind w:firstLine="1304"/>
        <w:spacing w:after="0" w:line="342" w:lineRule="auto"/>
        <w:tabs>
          <w:tab w:leader="none" w:pos="193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for purposes of </w:t>
      </w:r>
      <w:r>
        <w:rPr>
          <w:rFonts w:ascii="Arial" w:cs="Arial" w:eastAsia="Arial" w:hAnsi="Arial"/>
          <w:sz w:val="16"/>
          <w:szCs w:val="16"/>
          <w:u w:val="single" w:color="auto"/>
          <w:color w:val="auto"/>
        </w:rPr>
        <w:t>Article V</w:t>
      </w:r>
      <w:r>
        <w:rPr>
          <w:rFonts w:ascii="Arial" w:cs="Arial" w:eastAsia="Arial" w:hAnsi="Arial"/>
          <w:sz w:val="16"/>
          <w:szCs w:val="16"/>
          <w:color w:val="auto"/>
        </w:rPr>
        <w:t>, deemed made by or on behalf of Parent or any Subsidiary herein or in any other Loan Document or in any document, certificate or financial statement delivered in connection with this Agreement or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1" w:name="page162"/>
    <w:bookmarkEnd w:id="161"/>
    <w:p>
      <w:pPr>
        <w:ind w:right="20"/>
        <w:spacing w:after="0" w:line="277" w:lineRule="auto"/>
        <w:rPr>
          <w:sz w:val="20"/>
          <w:szCs w:val="20"/>
          <w:color w:val="auto"/>
        </w:rPr>
      </w:pPr>
      <w:r>
        <w:rPr>
          <w:rFonts w:ascii="Arial" w:cs="Arial" w:eastAsia="Arial" w:hAnsi="Arial"/>
          <w:sz w:val="18"/>
          <w:szCs w:val="18"/>
          <w:color w:val="auto"/>
        </w:rPr>
        <w:t>other Loan Document shall prove to have been untrue in any material respect (or, to the extent qualified by materiality or reference to Material Adverse Effect, in all respects) as of the date of issuance or making or deemed making thereof; or</w:t>
      </w:r>
    </w:p>
    <w:p>
      <w:pPr>
        <w:spacing w:after="0" w:line="170" w:lineRule="exact"/>
        <w:rPr>
          <w:sz w:val="20"/>
          <w:szCs w:val="20"/>
          <w:color w:val="auto"/>
        </w:rPr>
      </w:pPr>
    </w:p>
    <w:p>
      <w:pPr>
        <w:ind w:firstLine="1304"/>
        <w:spacing w:after="0" w:line="308" w:lineRule="auto"/>
        <w:tabs>
          <w:tab w:leader="none" w:pos="181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any Obligor shall fail to (i) perform or observe any covenant, condition or agreement contained in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(with respect to the existence of any Obligor), Section 7.08(m) or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(ii) fail to give any notice required by </w:t>
      </w:r>
      <w:r>
        <w:rPr>
          <w:rFonts w:ascii="Arial" w:cs="Arial" w:eastAsia="Arial" w:hAnsi="Arial"/>
          <w:sz w:val="17"/>
          <w:szCs w:val="17"/>
          <w:u w:val="single" w:color="auto"/>
          <w:color w:val="auto"/>
        </w:rPr>
        <w:t>Section 7.01(d)(ii)</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jc w:val="both"/>
        <w:ind w:firstLine="1304"/>
        <w:spacing w:after="0" w:line="291" w:lineRule="auto"/>
        <w:tabs>
          <w:tab w:leader="none" w:pos="183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(i) any Obligor shall fail to give any notice required by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(other than with respect to the existence of any Obligor),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7.14</w:t>
      </w:r>
      <w:r>
        <w:rPr>
          <w:rFonts w:ascii="Arial" w:cs="Arial" w:eastAsia="Arial" w:hAnsi="Arial"/>
          <w:sz w:val="16"/>
          <w:szCs w:val="16"/>
          <w:color w:val="auto"/>
        </w:rPr>
        <w:t>, and, in any event, such failure shall remain unremedied for fifteen (15)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166" w:lineRule="exact"/>
        <w:rPr>
          <w:rFonts w:ascii="Arial" w:cs="Arial" w:eastAsia="Arial" w:hAnsi="Arial"/>
          <w:sz w:val="16"/>
          <w:szCs w:val="16"/>
          <w:color w:val="auto"/>
        </w:rPr>
      </w:pPr>
    </w:p>
    <w:p>
      <w:pPr>
        <w:jc w:val="both"/>
        <w:ind w:firstLine="1304"/>
        <w:spacing w:after="0" w:line="301" w:lineRule="auto"/>
        <w:tabs>
          <w:tab w:leader="none" w:pos="186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Parent or any Obligor shall fail to perform or observe any other term, covenant or agreement contained in this Agreement (other than those specified in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9.01(c)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9.01(d)</w:t>
      </w:r>
      <w:r>
        <w:rPr>
          <w:rFonts w:ascii="Arial" w:cs="Arial" w:eastAsia="Arial" w:hAnsi="Arial"/>
          <w:sz w:val="16"/>
          <w:szCs w:val="16"/>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57" w:lineRule="exact"/>
        <w:rPr>
          <w:rFonts w:ascii="Arial" w:cs="Arial" w:eastAsia="Arial" w:hAnsi="Arial"/>
          <w:sz w:val="16"/>
          <w:szCs w:val="16"/>
          <w:color w:val="auto"/>
        </w:rPr>
      </w:pPr>
    </w:p>
    <w:p>
      <w:pPr>
        <w:jc w:val="both"/>
        <w:ind w:firstLine="1304"/>
        <w:spacing w:after="0" w:line="272" w:lineRule="auto"/>
        <w:tabs>
          <w:tab w:leader="none" w:pos="185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there is (i) an event of default with respect to any Material Indebtedness, and such default (A) occurs at the final maturity of the obligations thereunder, or (B) results in a right by the holder of such Material Indebtedness, irrespective of whether exercised, to accelerate the maturity of such Obligor’s or its Restricted Subsidiary’s obligations thereunder, or (ii) an event of default under (A) the Senior Secured Notes Indenture (B) the Exit Senior Notes Indenture or (C) any Revolving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event of default under any financial maintenance covenant included in any of the Revolving Credit Documents shall not constitute an Event of Default under this </w:t>
      </w:r>
      <w:r>
        <w:rPr>
          <w:rFonts w:ascii="Arial" w:cs="Arial" w:eastAsia="Arial" w:hAnsi="Arial"/>
          <w:sz w:val="17"/>
          <w:szCs w:val="17"/>
          <w:u w:val="single" w:color="auto"/>
          <w:color w:val="auto"/>
        </w:rPr>
        <w:t>Section 9.01(f)</w:t>
      </w:r>
      <w:r>
        <w:rPr>
          <w:rFonts w:ascii="Arial" w:cs="Arial" w:eastAsia="Arial" w:hAnsi="Arial"/>
          <w:sz w:val="17"/>
          <w:szCs w:val="17"/>
          <w:color w:val="auto"/>
        </w:rPr>
        <w:t xml:space="preserve"> unless (x) the loans under any Revolving Credit Facility have become due prior to scheduled maturity or (y) the administrative agent, collateral agent or secured parties under such Revolving Credit Documents have commenced enforcement actions with respect thereto; or</w:t>
      </w:r>
    </w:p>
    <w:p>
      <w:pPr>
        <w:spacing w:after="0" w:line="177" w:lineRule="exact"/>
        <w:rPr>
          <w:rFonts w:ascii="Arial" w:cs="Arial" w:eastAsia="Arial" w:hAnsi="Arial"/>
          <w:sz w:val="17"/>
          <w:szCs w:val="17"/>
          <w:color w:val="auto"/>
        </w:rPr>
      </w:pPr>
    </w:p>
    <w:p>
      <w:pPr>
        <w:ind w:left="1820" w:hanging="516"/>
        <w:spacing w:after="0"/>
        <w:tabs>
          <w:tab w:leader="none" w:pos="1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Insolvency Proceeding is commenced by an Obligor or any of its Material Subsidiaries;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2" w:name="page163"/>
    <w:bookmarkEnd w:id="162"/>
    <w:p>
      <w:pPr>
        <w:jc w:val="both"/>
        <w:ind w:left="-20" w:firstLine="1304"/>
        <w:spacing w:after="0" w:line="255" w:lineRule="auto"/>
        <w:tabs>
          <w:tab w:leader="none" w:pos="18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its Material Subsidiary, or (e) an order for relief shall have been issued or entered therein; or</w:t>
      </w:r>
    </w:p>
    <w:p>
      <w:pPr>
        <w:spacing w:after="0" w:line="192" w:lineRule="exact"/>
        <w:rPr>
          <w:rFonts w:ascii="Arial" w:cs="Arial" w:eastAsia="Arial" w:hAnsi="Arial"/>
          <w:sz w:val="18"/>
          <w:szCs w:val="18"/>
          <w:color w:val="auto"/>
        </w:rPr>
      </w:pPr>
    </w:p>
    <w:p>
      <w:pPr>
        <w:jc w:val="both"/>
        <w:ind w:left="-20" w:firstLine="1304"/>
        <w:spacing w:after="0" w:line="269" w:lineRule="auto"/>
        <w:tabs>
          <w:tab w:leader="none" w:pos="188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 judgment or order for monetary damages shall be entered against any Obligor or any Restricted Subsidiary, which with other outstanding judgments and orders for 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judgment or order provides for any Obligor or any Restricted Subsidiary to make periodic payments over time, no Event of Default shall arise under this </w:t>
      </w:r>
      <w:r>
        <w:rPr>
          <w:rFonts w:ascii="Arial" w:cs="Arial" w:eastAsia="Arial" w:hAnsi="Arial"/>
          <w:sz w:val="17"/>
          <w:szCs w:val="17"/>
          <w:u w:val="single" w:color="auto"/>
          <w:color w:val="auto"/>
        </w:rPr>
        <w:t>clause (k)</w:t>
      </w:r>
      <w:r>
        <w:rPr>
          <w:rFonts w:ascii="Arial" w:cs="Arial" w:eastAsia="Arial" w:hAnsi="Arial"/>
          <w:sz w:val="17"/>
          <w:szCs w:val="17"/>
          <w:color w:val="auto"/>
        </w:rPr>
        <w:t xml:space="preserve"> 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spacing w:after="0" w:line="181" w:lineRule="exact"/>
        <w:rPr>
          <w:rFonts w:ascii="Arial" w:cs="Arial" w:eastAsia="Arial" w:hAnsi="Arial"/>
          <w:sz w:val="17"/>
          <w:szCs w:val="17"/>
          <w:color w:val="auto"/>
        </w:rPr>
      </w:pPr>
    </w:p>
    <w:p>
      <w:pPr>
        <w:jc w:val="both"/>
        <w:ind w:left="-20" w:firstLine="1304"/>
        <w:spacing w:after="0" w:line="275" w:lineRule="auto"/>
        <w:tabs>
          <w:tab w:leader="none" w:pos="188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and/or shall be declared to be null and void, or the validity or enforceability thereof shall be contested by any Obligor or any Obligor shall deny that it has any or further liability or obligation thereunder; or</w:t>
      </w:r>
    </w:p>
    <w:p>
      <w:pPr>
        <w:spacing w:after="0" w:line="176" w:lineRule="exact"/>
        <w:rPr>
          <w:rFonts w:ascii="Arial" w:cs="Arial" w:eastAsia="Arial" w:hAnsi="Arial"/>
          <w:sz w:val="17"/>
          <w:szCs w:val="17"/>
          <w:color w:val="auto"/>
        </w:rPr>
      </w:pPr>
    </w:p>
    <w:p>
      <w:pPr>
        <w:jc w:val="both"/>
        <w:ind w:left="-20" w:firstLine="1304"/>
        <w:spacing w:after="0" w:line="293" w:lineRule="auto"/>
        <w:tabs>
          <w:tab w:leader="none" w:pos="199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an Event of Default if the aggregate net book value of the Collateral with respect to which the Collateral Documents fail to create a valid and perfected security interest or other Lien does not exceed $5,000,000;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63" w:name="page164"/>
    <w:bookmarkEnd w:id="163"/>
    <w:p>
      <w:pPr>
        <w:jc w:val="both"/>
        <w:ind w:firstLine="1304"/>
        <w:spacing w:after="0" w:line="268" w:lineRule="auto"/>
        <w:tabs>
          <w:tab w:leader="none" w:pos="199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respect thereto which would reasonably be expected to result in payment by the Obligors during the term of this Agreement in excess of $30,000,000;</w:t>
      </w:r>
    </w:p>
    <w:p>
      <w:pPr>
        <w:spacing w:after="0" w:line="186" w:lineRule="exact"/>
        <w:rPr>
          <w:rFonts w:ascii="Arial" w:cs="Arial" w:eastAsia="Arial" w:hAnsi="Arial"/>
          <w:sz w:val="17"/>
          <w:szCs w:val="17"/>
          <w:color w:val="auto"/>
        </w:rPr>
      </w:pPr>
    </w:p>
    <w:p>
      <w:pPr>
        <w:jc w:val="both"/>
        <w:ind w:firstLine="1304"/>
        <w:spacing w:after="0" w:line="311" w:lineRule="auto"/>
        <w:tabs>
          <w:tab w:leader="none" w:pos="182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89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Change of Control shall occur, whether directly or indirectly;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then, and in every such event (other than an event with respect to any Obligor described in </w:t>
      </w:r>
      <w:r>
        <w:rPr>
          <w:rFonts w:ascii="Arial" w:cs="Arial" w:eastAsia="Arial" w:hAnsi="Arial"/>
          <w:sz w:val="18"/>
          <w:szCs w:val="18"/>
          <w:u w:val="single" w:color="auto"/>
          <w:color w:val="auto"/>
        </w:rPr>
        <w:t>Section 9.01(i)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9.01(j)</w:t>
      </w:r>
      <w:r>
        <w:rPr>
          <w:rFonts w:ascii="Arial" w:cs="Arial" w:eastAsia="Arial" w:hAnsi="Arial"/>
          <w:sz w:val="18"/>
          <w:szCs w:val="18"/>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84" w:lineRule="exact"/>
        <w:rPr>
          <w:sz w:val="20"/>
          <w:szCs w:val="20"/>
          <w:color w:val="auto"/>
        </w:rPr>
      </w:pPr>
    </w:p>
    <w:p>
      <w:pPr>
        <w:ind w:left="660" w:right="20" w:firstLine="1292"/>
        <w:spacing w:after="0" w:line="308" w:lineRule="auto"/>
        <w:tabs>
          <w:tab w:leader="none" w:pos="24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terminate the Commitments and the LC Commitments, and thereupon the Commitments and the LC Commitments shall terminate immediately, and terminate all obligations of each Issuing Bank to issue, amend or extend any Letter of Credit</w:t>
      </w:r>
    </w:p>
    <w:p>
      <w:pPr>
        <w:spacing w:after="0" w:line="146" w:lineRule="exact"/>
        <w:rPr>
          <w:rFonts w:ascii="Arial" w:cs="Arial" w:eastAsia="Arial" w:hAnsi="Arial"/>
          <w:sz w:val="17"/>
          <w:szCs w:val="17"/>
          <w:color w:val="auto"/>
        </w:rPr>
      </w:pPr>
    </w:p>
    <w:p>
      <w:pPr>
        <w:ind w:left="660" w:firstLine="1292"/>
        <w:spacing w:after="0" w:line="308" w:lineRule="auto"/>
        <w:tabs>
          <w:tab w:leader="none" w:pos="25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declare the Obligations then outstanding to be due and payable in whole (or in part, in which case any principal not so declared to be due and payable may thereafter be declared to be due and payable), and thereupon the Obligations so declared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4" w:name="page165"/>
    <w:bookmarkEnd w:id="164"/>
    <w:p>
      <w:pPr>
        <w:ind w:left="660"/>
        <w:spacing w:after="0" w:line="342" w:lineRule="auto"/>
        <w:rPr>
          <w:sz w:val="20"/>
          <w:szCs w:val="20"/>
          <w:color w:val="auto"/>
        </w:rPr>
      </w:pPr>
      <w:r>
        <w:rPr>
          <w:rFonts w:ascii="Arial" w:cs="Arial" w:eastAsia="Arial" w:hAnsi="Arial"/>
          <w:sz w:val="16"/>
          <w:szCs w:val="16"/>
          <w:color w:val="auto"/>
        </w:rPr>
        <w:t>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124" w:lineRule="exact"/>
        <w:rPr>
          <w:sz w:val="20"/>
          <w:szCs w:val="20"/>
          <w:color w:val="auto"/>
        </w:rPr>
      </w:pPr>
    </w:p>
    <w:p>
      <w:pPr>
        <w:jc w:val="both"/>
        <w:ind w:left="660" w:firstLine="1292"/>
        <w:spacing w:after="0" w:line="263" w:lineRule="auto"/>
        <w:tabs>
          <w:tab w:leader="none" w:pos="256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require the Borrowers deposit in the LC Collateral Account an additional amount in cash equal to (a) 103% of the Total LC Exposure in respect of Letters of Credit denominated in Dollars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105% of the Dollar Equivalent Total LC Exposure in respect of Letters of Credit denominated in Alternative Currencies in accordance with </w:t>
      </w:r>
      <w:r>
        <w:rPr>
          <w:rFonts w:ascii="Arial" w:cs="Arial" w:eastAsia="Arial" w:hAnsi="Arial"/>
          <w:sz w:val="18"/>
          <w:szCs w:val="18"/>
          <w:u w:val="single" w:color="auto"/>
          <w:color w:val="auto"/>
        </w:rPr>
        <w:t>Section 3.01(k)</w:t>
      </w:r>
      <w:r>
        <w:rPr>
          <w:rFonts w:ascii="Arial" w:cs="Arial" w:eastAsia="Arial" w:hAnsi="Arial"/>
          <w:sz w:val="18"/>
          <w:szCs w:val="18"/>
          <w:color w:val="auto"/>
        </w:rPr>
        <w: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And in case of any event with respect to any Obligor described in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9.01(j)</w:t>
      </w:r>
      <w:r>
        <w:rPr>
          <w:rFonts w:ascii="Arial" w:cs="Arial" w:eastAsia="Arial" w:hAnsi="Arial"/>
          <w:sz w:val="16"/>
          <w:szCs w:val="16"/>
          <w:color w:val="auto"/>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5" w:name="page166"/>
    <w:bookmarkEnd w:id="165"/>
    <w:p>
      <w:pPr>
        <w:jc w:val="both"/>
        <w:spacing w:after="0" w:line="273" w:lineRule="auto"/>
        <w:rPr>
          <w:sz w:val="20"/>
          <w:szCs w:val="20"/>
          <w:color w:val="auto"/>
        </w:rPr>
      </w:pPr>
      <w:r>
        <w:rPr>
          <w:rFonts w:ascii="Arial" w:cs="Arial" w:eastAsia="Arial" w:hAnsi="Arial"/>
          <w:sz w:val="17"/>
          <w:szCs w:val="17"/>
          <w:color w:val="auto"/>
        </w:rPr>
        <w:t>part of the obligations of the Obligors under the Loan Documents,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Defaulting Lender shall exercise any such right of setoff, (x) all amounts so set off shall be paid over immediately to the Administrative Agent for further application and/or cash collateralization pursuant to </w:t>
      </w:r>
      <w:r>
        <w:rPr>
          <w:rFonts w:ascii="Arial" w:cs="Arial" w:eastAsia="Arial" w:hAnsi="Arial"/>
          <w:sz w:val="16"/>
          <w:szCs w:val="16"/>
          <w:u w:val="single" w:color="auto"/>
          <w:color w:val="auto"/>
        </w:rPr>
        <w:t>Section 4.01(e)</w:t>
      </w:r>
      <w:r>
        <w:rPr>
          <w:rFonts w:ascii="Arial" w:cs="Arial" w:eastAsia="Arial" w:hAnsi="Arial"/>
          <w:sz w:val="16"/>
          <w:szCs w:val="16"/>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Arial" w:cs="Arial" w:eastAsia="Arial" w:hAnsi="Arial"/>
          <w:sz w:val="16"/>
          <w:szCs w:val="16"/>
          <w:u w:val="single" w:color="auto"/>
          <w:color w:val="auto"/>
        </w:rPr>
        <w:t>Section 4.01(c)</w:t>
      </w:r>
      <w:r>
        <w:rPr>
          <w:rFonts w:ascii="Arial" w:cs="Arial" w:eastAsia="Arial" w:hAnsi="Arial"/>
          <w:sz w:val="16"/>
          <w:szCs w:val="16"/>
          <w:color w:val="auto"/>
        </w:rPr>
        <w: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6" w:name="page167"/>
    <w:bookmarkEnd w:id="166"/>
    <w:p>
      <w:pPr>
        <w:ind w:left="660"/>
        <w:spacing w:after="0"/>
        <w:tabs>
          <w:tab w:leader="none" w:pos="22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Application of Moneys During Continuation of Event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be distributed by the Administrative Agent and the LC Australian Collateral Agent (as applicable) on the dates selected by the Administrative Agent and the LC Australian Collateral Agent (as applicable) as follows:</w:t>
      </w:r>
    </w:p>
    <w:p>
      <w:pPr>
        <w:spacing w:after="0" w:line="187"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the unreimbursed expenses of the Administrative Agent and the LC Australian Collateral Agent (as applicable) to be reimbursed under the Loan Documents, or pursuant to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and to any unpaid fees owing under the Loan Documents by the Obligors to the Administrative Agent and the LC Australian Collateral Agent (as applicable) including under </w:t>
      </w:r>
      <w:r>
        <w:rPr>
          <w:rFonts w:ascii="Arial" w:cs="Arial" w:eastAsia="Arial" w:hAnsi="Arial"/>
          <w:sz w:val="17"/>
          <w:szCs w:val="17"/>
          <w:u w:val="single" w:color="auto"/>
          <w:color w:val="auto"/>
        </w:rPr>
        <w:t>Section 11.04</w:t>
      </w:r>
      <w:r>
        <w:rPr>
          <w:rFonts w:ascii="Arial" w:cs="Arial" w:eastAsia="Arial" w:hAnsi="Arial"/>
          <w:sz w:val="17"/>
          <w:szCs w:val="17"/>
          <w:color w:val="auto"/>
        </w:rPr>
        <w: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of the unreimbursed expenses for which any Lender is to be reimbursed pursuant to </w:t>
      </w:r>
      <w:r>
        <w:rPr>
          <w:rFonts w:ascii="Arial" w:cs="Arial" w:eastAsia="Arial" w:hAnsi="Arial"/>
          <w:sz w:val="18"/>
          <w:szCs w:val="18"/>
          <w:u w:val="single" w:color="auto"/>
          <w:color w:val="auto"/>
        </w:rPr>
        <w:t>Section 11.03;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ratable payment of all accrued and unpaid interest and fees on the Total LC Exposure;</w:t>
      </w:r>
    </w:p>
    <w:p>
      <w:pPr>
        <w:spacing w:after="0" w:line="225"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ratably, to secure the repayment and discharge of the outstanding amount of all Total LC Exposure in accordance with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and to the extent constituting Secured Obligations, any Banking Services Obligations and Swap Obligations, until all such LC Exposure, Banking Services Obligations and Swap Obligations shall have been paid in full;</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ratable payment of all other Secured Obligations, until all Secured Obligations shall have been paid in full; and</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to payment to the Obligors, or their respective successors or assigns, or as a court of competent jurisdiction may direct, of any surplus then remaining from such proceeds.</w:t>
      </w:r>
    </w:p>
    <w:p>
      <w:pPr>
        <w:spacing w:after="0" w:line="170" w:lineRule="exact"/>
        <w:rPr>
          <w:sz w:val="20"/>
          <w:szCs w:val="20"/>
          <w:color w:val="auto"/>
        </w:rPr>
      </w:pPr>
    </w:p>
    <w:p>
      <w:pPr>
        <w:jc w:val="both"/>
        <w:ind w:firstLine="1304"/>
        <w:spacing w:after="0" w:line="263" w:lineRule="auto"/>
        <w:tabs>
          <w:tab w:leader="none" w:pos="183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term “unpaid” as used in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mean all relevant Secured Obligations outstanding as of any such distribution date as to which prior distributions have not been made, after giving effect to any adjustments which are made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which the Administrative Agent shall have been notified.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88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7" w:name="page168"/>
    <w:bookmarkEnd w:id="167"/>
    <w:p>
      <w:pPr>
        <w:jc w:val="both"/>
        <w:spacing w:after="0" w:line="270" w:lineRule="auto"/>
        <w:rPr>
          <w:sz w:val="20"/>
          <w:szCs w:val="20"/>
          <w:color w:val="auto"/>
        </w:rPr>
      </w:pPr>
      <w:r>
        <w:rPr>
          <w:rFonts w:ascii="Arial" w:cs="Arial" w:eastAsia="Arial" w:hAnsi="Arial"/>
          <w:sz w:val="17"/>
          <w:szCs w:val="17"/>
          <w:color w:val="auto"/>
        </w:rPr>
        <w:t>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The provisions of this Article are solely for the benefit of the Administrative Agent and the Lenders, and neither the Borrowers nor any other 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81" w:lineRule="exact"/>
        <w:rPr>
          <w:sz w:val="20"/>
          <w:szCs w:val="20"/>
          <w:color w:val="auto"/>
        </w:rPr>
      </w:pPr>
    </w:p>
    <w:p>
      <w:pPr>
        <w:jc w:val="both"/>
        <w:ind w:firstLine="1304"/>
        <w:spacing w:after="0" w:line="259" w:lineRule="auto"/>
        <w:tabs>
          <w:tab w:leader="none" w:pos="185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86" w:lineRule="exact"/>
        <w:rPr>
          <w:rFonts w:ascii="Arial" w:cs="Arial" w:eastAsia="Arial" w:hAnsi="Arial"/>
          <w:sz w:val="18"/>
          <w:szCs w:val="18"/>
          <w:color w:val="auto"/>
        </w:rPr>
      </w:pPr>
    </w:p>
    <w:p>
      <w:pPr>
        <w:ind w:right="20" w:firstLine="1304"/>
        <w:spacing w:after="0" w:line="277" w:lineRule="auto"/>
        <w:tabs>
          <w:tab w:leader="none" w:pos="1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relation to Collateral which is subject to a Swiss Security Document, the Administrative Agent has caused the Exit ABL Administrative Agent to, subject to and in accordance with the provisions of the Intercreditor Agreement:</w:t>
      </w:r>
    </w:p>
    <w:p>
      <w:pPr>
        <w:spacing w:after="0" w:line="170" w:lineRule="exact"/>
        <w:rPr>
          <w:rFonts w:ascii="Arial" w:cs="Arial" w:eastAsia="Arial" w:hAnsi="Arial"/>
          <w:sz w:val="18"/>
          <w:szCs w:val="18"/>
          <w:color w:val="auto"/>
        </w:rPr>
      </w:pPr>
    </w:p>
    <w:p>
      <w:pPr>
        <w:ind w:left="660" w:firstLine="1292"/>
        <w:spacing w:after="0" w:line="277" w:lineRule="auto"/>
        <w:tabs>
          <w:tab w:leader="none" w:pos="254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hold and administer any non-accessory Collateral (</w:t>
      </w:r>
      <w:r>
        <w:rPr>
          <w:rFonts w:ascii="Arial" w:cs="Arial" w:eastAsia="Arial" w:hAnsi="Arial"/>
          <w:sz w:val="18"/>
          <w:szCs w:val="18"/>
          <w:i w:val="1"/>
          <w:iCs w:val="1"/>
          <w:color w:val="auto"/>
        </w:rPr>
        <w:t>nicht-akzessorische Sicherheit</w:t>
      </w:r>
      <w:r>
        <w:rPr>
          <w:rFonts w:ascii="Arial" w:cs="Arial" w:eastAsia="Arial" w:hAnsi="Arial"/>
          <w:sz w:val="18"/>
          <w:szCs w:val="18"/>
          <w:color w:val="auto"/>
        </w:rPr>
        <w:t>) governed by Swiss law as fiduciary (</w:t>
      </w:r>
      <w:r>
        <w:rPr>
          <w:rFonts w:ascii="Arial" w:cs="Arial" w:eastAsia="Arial" w:hAnsi="Arial"/>
          <w:sz w:val="18"/>
          <w:szCs w:val="18"/>
          <w:i w:val="1"/>
          <w:iCs w:val="1"/>
          <w:color w:val="auto"/>
        </w:rPr>
        <w:t>treuhänderisch</w:t>
      </w:r>
      <w:r>
        <w:rPr>
          <w:rFonts w:ascii="Arial" w:cs="Arial" w:eastAsia="Arial" w:hAnsi="Arial"/>
          <w:sz w:val="18"/>
          <w:szCs w:val="18"/>
          <w:color w:val="auto"/>
        </w:rPr>
        <w:t>) in its own name but for the benefit of the Secured Parties; and</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513" w:val="left"/>
        </w:tabs>
        <w:numPr>
          <w:ilvl w:val="1"/>
          <w:numId w:val="176"/>
        </w:numPr>
        <w:rPr>
          <w:rFonts w:ascii="Arial" w:cs="Arial" w:eastAsia="Arial" w:hAnsi="Arial"/>
          <w:sz w:val="18"/>
          <w:szCs w:val="18"/>
          <w:color w:val="auto"/>
        </w:rPr>
      </w:pPr>
      <w:r>
        <w:rPr>
          <w:rFonts w:ascii="Arial" w:cs="Arial" w:eastAsia="Arial" w:hAnsi="Arial"/>
          <w:sz w:val="18"/>
          <w:szCs w:val="18"/>
          <w:color w:val="auto"/>
        </w:rPr>
        <w:t>hold and administer any accessory Collateral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governed by Swiss law as direct representative (</w:t>
      </w:r>
      <w:r>
        <w:rPr>
          <w:rFonts w:ascii="Arial" w:cs="Arial" w:eastAsia="Arial" w:hAnsi="Arial"/>
          <w:sz w:val="18"/>
          <w:szCs w:val="18"/>
          <w:i w:val="1"/>
          <w:iCs w:val="1"/>
          <w:color w:val="auto"/>
        </w:rPr>
        <w:t>direkter Stellvertrete</w:t>
      </w:r>
      <w:r>
        <w:rPr>
          <w:rFonts w:ascii="Arial" w:cs="Arial" w:eastAsia="Arial" w:hAnsi="Arial"/>
          <w:sz w:val="18"/>
          <w:szCs w:val="18"/>
          <w:color w:val="auto"/>
        </w:rPr>
        <w:t>r) in the name and on behalf of the Secured Parties.</w:t>
      </w:r>
    </w:p>
    <w:p>
      <w:pPr>
        <w:spacing w:after="0" w:line="170" w:lineRule="exact"/>
        <w:rPr>
          <w:rFonts w:ascii="Arial" w:cs="Arial" w:eastAsia="Arial" w:hAnsi="Arial"/>
          <w:sz w:val="18"/>
          <w:szCs w:val="18"/>
          <w:color w:val="auto"/>
        </w:rPr>
      </w:pPr>
    </w:p>
    <w:p>
      <w:pPr>
        <w:ind w:firstLine="1304"/>
        <w:spacing w:after="0" w:line="277" w:lineRule="auto"/>
        <w:tabs>
          <w:tab w:leader="none" w:pos="193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Secured Party had appointed the Exit ABL Administrative Agent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and authorized the Exit ABL Administrative Agent (whether or not by or through employees or agents) to:</w:t>
      </w:r>
    </w:p>
    <w:p>
      <w:pPr>
        <w:spacing w:after="0" w:line="170" w:lineRule="exact"/>
        <w:rPr>
          <w:rFonts w:ascii="Arial" w:cs="Arial" w:eastAsia="Arial" w:hAnsi="Arial"/>
          <w:sz w:val="18"/>
          <w:szCs w:val="18"/>
          <w:color w:val="auto"/>
        </w:rPr>
      </w:pPr>
    </w:p>
    <w:p>
      <w:pPr>
        <w:jc w:val="both"/>
        <w:ind w:left="660" w:firstLine="1292"/>
        <w:spacing w:after="0" w:line="342" w:lineRule="auto"/>
        <w:tabs>
          <w:tab w:leader="none" w:pos="252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exercise such rights, remedies, powers and discretions as are specifically delegated to or conferred upon the Exit ABL Administrative Agent under the relevant Swiss Security Documents together with such powers and discretions as are reasonably incidental thereto;</w:t>
      </w:r>
    </w:p>
    <w:p>
      <w:pPr>
        <w:spacing w:after="0" w:line="123" w:lineRule="exact"/>
        <w:rPr>
          <w:rFonts w:ascii="Arial" w:cs="Arial" w:eastAsia="Arial" w:hAnsi="Arial"/>
          <w:sz w:val="16"/>
          <w:szCs w:val="16"/>
          <w:color w:val="auto"/>
        </w:rPr>
      </w:pPr>
    </w:p>
    <w:p>
      <w:pPr>
        <w:ind w:left="2540" w:hanging="588"/>
        <w:spacing w:after="0"/>
        <w:tabs>
          <w:tab w:leader="none" w:pos="25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take such action on its behalf as may from time to time be authorized under or in accordance with the relevant Swiss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Security Documents; and</w:t>
      </w:r>
    </w:p>
    <w:p>
      <w:pPr>
        <w:spacing w:after="0" w:line="210" w:lineRule="exact"/>
        <w:rPr>
          <w:rFonts w:ascii="Arial" w:cs="Arial" w:eastAsia="Arial" w:hAnsi="Arial"/>
          <w:sz w:val="16"/>
          <w:szCs w:val="16"/>
          <w:color w:val="auto"/>
        </w:rPr>
      </w:pPr>
    </w:p>
    <w:p>
      <w:pPr>
        <w:ind w:left="660" w:firstLine="1292"/>
        <w:spacing w:after="0" w:line="308" w:lineRule="auto"/>
        <w:tabs>
          <w:tab w:leader="none" w:pos="2552"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accept, enter into and execute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pledge or other creation of any accessory security right granted in favor of such Secured Party in connection with the Loan Documents under Swiss law and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8" w:name="page169"/>
    <w:bookmarkEnd w:id="168"/>
    <w:p>
      <w:pPr>
        <w:jc w:val="both"/>
        <w:ind w:left="660"/>
        <w:spacing w:after="0" w:line="286" w:lineRule="auto"/>
        <w:rPr>
          <w:sz w:val="20"/>
          <w:szCs w:val="20"/>
          <w:color w:val="auto"/>
        </w:rPr>
      </w:pPr>
      <w:r>
        <w:rPr>
          <w:rFonts w:ascii="Arial" w:cs="Arial" w:eastAsia="Arial" w:hAnsi="Arial"/>
          <w:sz w:val="17"/>
          <w:szCs w:val="17"/>
          <w:color w:val="auto"/>
        </w:rPr>
        <w:t>agree to and execute in its name and on its behalf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amendments, confirmations and/or alterations to any Swiss Security Document which creates a pledge or any other accessory security right (</w:t>
      </w:r>
      <w:r>
        <w:rPr>
          <w:rFonts w:ascii="Arial" w:cs="Arial" w:eastAsia="Arial" w:hAnsi="Arial"/>
          <w:sz w:val="17"/>
          <w:szCs w:val="17"/>
          <w:i w:val="1"/>
          <w:iCs w:val="1"/>
          <w:color w:val="auto"/>
        </w:rPr>
        <w:t>akzessorische Sicherheit</w:t>
      </w:r>
      <w:r>
        <w:rPr>
          <w:rFonts w:ascii="Arial" w:cs="Arial" w:eastAsia="Arial" w:hAnsi="Arial"/>
          <w:sz w:val="17"/>
          <w:szCs w:val="17"/>
          <w:color w:val="auto"/>
        </w:rPr>
        <w:t>) including the release or confirmation of release of such Collateral, all subject to the provisions of the Intercreditor Agreement.</w:t>
      </w:r>
    </w:p>
    <w:p>
      <w:pPr>
        <w:spacing w:after="0" w:line="165" w:lineRule="exact"/>
        <w:rPr>
          <w:sz w:val="20"/>
          <w:szCs w:val="20"/>
          <w:color w:val="auto"/>
        </w:rPr>
      </w:pPr>
    </w:p>
    <w:p>
      <w:pPr>
        <w:jc w:val="both"/>
        <w:ind w:firstLine="1304"/>
        <w:spacing w:after="0" w:line="263" w:lineRule="auto"/>
        <w:tabs>
          <w:tab w:leader="none" w:pos="189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effect as of the resignation of the Exit ABL Administrative Agent as Original Foreign Collateral Agent and in relation to Collateral which is subject to a Swiss Security Document, the Administrative Agent has caused the Foreign Collateral Agent to, subject to and in accordance with the provisions of the Intercreditor Agreement:</w:t>
      </w:r>
    </w:p>
    <w:p>
      <w:pPr>
        <w:spacing w:after="0" w:line="183" w:lineRule="exact"/>
        <w:rPr>
          <w:rFonts w:ascii="Arial" w:cs="Arial" w:eastAsia="Arial" w:hAnsi="Arial"/>
          <w:sz w:val="18"/>
          <w:szCs w:val="18"/>
          <w:color w:val="auto"/>
        </w:rPr>
      </w:pPr>
    </w:p>
    <w:p>
      <w:pPr>
        <w:ind w:left="660" w:firstLine="1292"/>
        <w:spacing w:after="0" w:line="277" w:lineRule="auto"/>
        <w:tabs>
          <w:tab w:leader="none" w:pos="254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hold and administer any non-accessory Collateral (</w:t>
      </w:r>
      <w:r>
        <w:rPr>
          <w:rFonts w:ascii="Arial" w:cs="Arial" w:eastAsia="Arial" w:hAnsi="Arial"/>
          <w:sz w:val="18"/>
          <w:szCs w:val="18"/>
          <w:i w:val="1"/>
          <w:iCs w:val="1"/>
          <w:color w:val="auto"/>
        </w:rPr>
        <w:t>nicht-akzessorische Sicherheit</w:t>
      </w:r>
      <w:r>
        <w:rPr>
          <w:rFonts w:ascii="Arial" w:cs="Arial" w:eastAsia="Arial" w:hAnsi="Arial"/>
          <w:sz w:val="18"/>
          <w:szCs w:val="18"/>
          <w:color w:val="auto"/>
        </w:rPr>
        <w:t>) governed by Swiss law as fiduciary (</w:t>
      </w:r>
      <w:r>
        <w:rPr>
          <w:rFonts w:ascii="Arial" w:cs="Arial" w:eastAsia="Arial" w:hAnsi="Arial"/>
          <w:sz w:val="18"/>
          <w:szCs w:val="18"/>
          <w:i w:val="1"/>
          <w:iCs w:val="1"/>
          <w:color w:val="auto"/>
        </w:rPr>
        <w:t>treuhänderisch</w:t>
      </w:r>
      <w:r>
        <w:rPr>
          <w:rFonts w:ascii="Arial" w:cs="Arial" w:eastAsia="Arial" w:hAnsi="Arial"/>
          <w:sz w:val="18"/>
          <w:szCs w:val="18"/>
          <w:color w:val="auto"/>
        </w:rPr>
        <w:t>) in its own name but for the benefit of the Secured Parties; and</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51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hold and administer any accessory Collateral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governed by Swiss law as direct representative (</w:t>
      </w:r>
      <w:r>
        <w:rPr>
          <w:rFonts w:ascii="Arial" w:cs="Arial" w:eastAsia="Arial" w:hAnsi="Arial"/>
          <w:sz w:val="18"/>
          <w:szCs w:val="18"/>
          <w:i w:val="1"/>
          <w:iCs w:val="1"/>
          <w:color w:val="auto"/>
        </w:rPr>
        <w:t>direkter Stellvertrete</w:t>
      </w:r>
      <w:r>
        <w:rPr>
          <w:rFonts w:ascii="Arial" w:cs="Arial" w:eastAsia="Arial" w:hAnsi="Arial"/>
          <w:sz w:val="18"/>
          <w:szCs w:val="18"/>
          <w:color w:val="auto"/>
        </w:rPr>
        <w:t>r) in the name and on behalf of the Secured Parties.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3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effect as of the resignation of the Exit ABL Administrative Agent as Original Foreign Collateral Agent, each Secured Party has appointed and hereby appoints the Foreign Collateral Agent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authorizing the Foreign Collateral Agent (whether or not by or through employees or agents) to:</w:t>
      </w:r>
    </w:p>
    <w:p>
      <w:pPr>
        <w:spacing w:after="0" w:line="183" w:lineRule="exact"/>
        <w:rPr>
          <w:rFonts w:ascii="Arial" w:cs="Arial" w:eastAsia="Arial" w:hAnsi="Arial"/>
          <w:sz w:val="18"/>
          <w:szCs w:val="18"/>
          <w:color w:val="auto"/>
        </w:rPr>
      </w:pPr>
    </w:p>
    <w:p>
      <w:pPr>
        <w:ind w:left="660" w:firstLine="1292"/>
        <w:spacing w:after="0" w:line="342" w:lineRule="auto"/>
        <w:tabs>
          <w:tab w:leader="none" w:pos="257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exercise such rights, remedies, powers and discretions as are specifically delegated to or conferred upon the Foreign Collateral Agent under the relevant Swiss Security Documents together with such powers and discretions as are reasonably incidental thereto;</w:t>
      </w:r>
    </w:p>
    <w:p>
      <w:pPr>
        <w:spacing w:after="0" w:line="123" w:lineRule="exact"/>
        <w:rPr>
          <w:rFonts w:ascii="Arial" w:cs="Arial" w:eastAsia="Arial" w:hAnsi="Arial"/>
          <w:sz w:val="16"/>
          <w:szCs w:val="16"/>
          <w:color w:val="auto"/>
        </w:rPr>
      </w:pPr>
    </w:p>
    <w:p>
      <w:pPr>
        <w:ind w:left="2540" w:hanging="588"/>
        <w:spacing w:after="0"/>
        <w:tabs>
          <w:tab w:leader="none" w:pos="254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take such action on its behalf as may from time to time be authorized under or in accordance with the relevant Swiss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Security Documents; and</w:t>
      </w:r>
    </w:p>
    <w:p>
      <w:pPr>
        <w:spacing w:after="0" w:line="210" w:lineRule="exact"/>
        <w:rPr>
          <w:rFonts w:ascii="Arial" w:cs="Arial" w:eastAsia="Arial" w:hAnsi="Arial"/>
          <w:sz w:val="16"/>
          <w:szCs w:val="16"/>
          <w:color w:val="auto"/>
        </w:rPr>
      </w:pPr>
    </w:p>
    <w:p>
      <w:pPr>
        <w:jc w:val="both"/>
        <w:ind w:left="660" w:firstLine="1292"/>
        <w:spacing w:after="0" w:line="275" w:lineRule="auto"/>
        <w:tabs>
          <w:tab w:leader="none" w:pos="2552"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accept, enter into and execute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amendments, confirmations and/or alterations to any Swiss Security Document which creates a pledge or any other accessory security right (</w:t>
      </w:r>
      <w:r>
        <w:rPr>
          <w:rFonts w:ascii="Arial" w:cs="Arial" w:eastAsia="Arial" w:hAnsi="Arial"/>
          <w:sz w:val="17"/>
          <w:szCs w:val="17"/>
          <w:i w:val="1"/>
          <w:iCs w:val="1"/>
          <w:color w:val="auto"/>
        </w:rPr>
        <w:t>akzessorische Sicherheit</w:t>
      </w:r>
      <w:r>
        <w:rPr>
          <w:rFonts w:ascii="Arial" w:cs="Arial" w:eastAsia="Arial" w:hAnsi="Arial"/>
          <w:sz w:val="17"/>
          <w:szCs w:val="17"/>
          <w:color w:val="auto"/>
        </w:rPr>
        <w:t>) including the release or confirmation of release of such Collateral, all subject to the provisions of the Intercreditor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Liability of Agents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9" w:name="page170"/>
    <w:bookmarkEnd w:id="169"/>
    <w:p>
      <w:pPr>
        <w:jc w:val="both"/>
        <w:spacing w:after="0" w:line="286" w:lineRule="auto"/>
        <w:rPr>
          <w:sz w:val="20"/>
          <w:szCs w:val="20"/>
          <w:color w:val="auto"/>
        </w:rPr>
      </w:pPr>
      <w:r>
        <w:rPr>
          <w:rFonts w:ascii="Arial" w:cs="Arial" w:eastAsia="Arial" w:hAnsi="Arial"/>
          <w:sz w:val="16"/>
          <w:szCs w:val="16"/>
          <w:color w:val="auto"/>
        </w:rPr>
        <w:t xml:space="preserve">required to exercise in writing as directed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elsewhere herein, other than those conditions requiring delivery of items expressly required to be delivered to the Administrative Agent.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Reliance by Agents</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provide a copy of any notice of Default or Event of Default provided to the Borrowers under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to each sub-agent.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0" w:name="page171"/>
    <w:bookmarkEnd w:id="170"/>
    <w:p>
      <w:pPr>
        <w:ind w:left="660"/>
        <w:spacing w:after="0"/>
        <w:tabs>
          <w:tab w:leader="none" w:pos="230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73" w:lineRule="auto"/>
        <w:tabs>
          <w:tab w:leader="none" w:pos="193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77" w:lineRule="exact"/>
        <w:rPr>
          <w:rFonts w:ascii="Arial" w:cs="Arial" w:eastAsia="Arial" w:hAnsi="Arial"/>
          <w:sz w:val="17"/>
          <w:szCs w:val="17"/>
          <w:color w:val="auto"/>
        </w:rPr>
      </w:pPr>
    </w:p>
    <w:p>
      <w:pPr>
        <w:jc w:val="both"/>
        <w:ind w:firstLine="1304"/>
        <w:spacing w:after="0" w:line="254" w:lineRule="auto"/>
        <w:tabs>
          <w:tab w:leader="none" w:pos="186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 addition, in the event that (i) the Person serving as the Administrative Agent is a Defaulting Lender, (ii) such Person has been replaced in its capacity as a Lender pursuant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and (iii) if such Person is an Issuing Bank, (A) the LC Commitment of such Person, as an Issuing Bank, has been terminated pursuant to </w:t>
      </w:r>
      <w:r>
        <w:rPr>
          <w:rFonts w:ascii="Arial" w:cs="Arial" w:eastAsia="Arial" w:hAnsi="Arial"/>
          <w:sz w:val="18"/>
          <w:szCs w:val="18"/>
          <w:u w:val="single" w:color="auto"/>
          <w:color w:val="auto"/>
        </w:rPr>
        <w:t>Section 3.01(j)</w:t>
      </w:r>
      <w:r>
        <w:rPr>
          <w:rFonts w:ascii="Arial" w:cs="Arial" w:eastAsia="Arial" w:hAnsi="Arial"/>
          <w:sz w:val="18"/>
          <w:szCs w:val="18"/>
          <w:color w:val="auto"/>
        </w:rPr>
        <w:t xml:space="preserve"> 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successor Administrative Agent selected by the Required Lenders, in consultation with the Borrowers, shall be appointed concurrently with such removal.</w:t>
      </w:r>
    </w:p>
    <w:p>
      <w:pPr>
        <w:spacing w:after="0" w:line="194" w:lineRule="exact"/>
        <w:rPr>
          <w:rFonts w:ascii="Arial" w:cs="Arial" w:eastAsia="Arial" w:hAnsi="Arial"/>
          <w:sz w:val="18"/>
          <w:szCs w:val="18"/>
          <w:color w:val="auto"/>
        </w:rPr>
      </w:pPr>
    </w:p>
    <w:p>
      <w:pPr>
        <w:jc w:val="both"/>
        <w:ind w:firstLine="1304"/>
        <w:spacing w:after="0" w:line="254" w:lineRule="auto"/>
        <w:tabs>
          <w:tab w:leader="none" w:pos="188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Arial" w:cs="Arial" w:eastAsia="Arial" w:hAnsi="Arial"/>
          <w:sz w:val="18"/>
          <w:szCs w:val="18"/>
          <w:u w:val="single" w:color="auto"/>
          <w:color w:val="auto"/>
        </w:rPr>
        <w:t>Sections 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Credit Decision</w:t>
      </w:r>
      <w:r>
        <w:rPr>
          <w:rFonts w:ascii="Arial" w:cs="Arial" w:eastAsia="Arial" w:hAnsi="Arial"/>
          <w:sz w:val="17"/>
          <w:szCs w:val="17"/>
          <w:color w:val="auto"/>
        </w:rPr>
        <w:t>. 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1" w:name="page172"/>
    <w:bookmarkEnd w:id="171"/>
    <w:p>
      <w:pPr>
        <w:jc w:val="both"/>
        <w:spacing w:after="0" w:line="277" w:lineRule="auto"/>
        <w:rPr>
          <w:sz w:val="20"/>
          <w:szCs w:val="20"/>
          <w:color w:val="auto"/>
        </w:rPr>
      </w:pPr>
      <w:r>
        <w:rPr>
          <w:rFonts w:ascii="Arial" w:cs="Arial" w:eastAsia="Arial" w:hAnsi="Arial"/>
          <w:sz w:val="18"/>
          <w:szCs w:val="18"/>
          <w:color w:val="auto"/>
        </w:rPr>
        <w:t>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Other Agents; Joint Lead Arrangers</w:t>
      </w:r>
      <w:r>
        <w:rPr>
          <w:rFonts w:ascii="Arial" w:cs="Arial" w:eastAsia="Arial" w:hAnsi="Arial"/>
          <w:sz w:val="18"/>
          <w:szCs w:val="18"/>
          <w:color w:val="auto"/>
        </w:rPr>
        <w:t>. Notwithstanding anything to the contrary contained herein, none of the Joint Lead Arrangers, Joint Bookrunners, Syndication Agent or Co</w:t>
      </w:r>
      <w:r>
        <w:rPr>
          <w:rFonts w:ascii="Arial" w:cs="Arial" w:eastAsia="Arial" w:hAnsi="Arial"/>
          <w:sz w:val="18"/>
          <w:szCs w:val="18"/>
          <w:b w:val="1"/>
          <w:bCs w:val="1"/>
          <w:color w:val="auto"/>
        </w:rPr>
        <w:t>-</w:t>
      </w:r>
      <w:r>
        <w:rPr>
          <w:rFonts w:ascii="Arial" w:cs="Arial" w:eastAsia="Arial" w:hAnsi="Arial"/>
          <w:sz w:val="18"/>
          <w:szCs w:val="18"/>
          <w:color w:val="auto"/>
        </w:rPr>
        <w:t>Documentation Agents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No Joint Venture</w:t>
      </w:r>
      <w:r>
        <w:rPr>
          <w:rFonts w:ascii="Arial" w:cs="Arial" w:eastAsia="Arial" w:hAnsi="Arial"/>
          <w:sz w:val="18"/>
          <w:szCs w:val="18"/>
          <w:color w:val="auto"/>
        </w:rPr>
        <w:t>.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any Obligations after the date such Obligation has become due and payable pursuant to the terms of this Agreement.</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Secured Party</w:t>
      </w:r>
      <w:r>
        <w:rPr>
          <w:rFonts w:ascii="Arial" w:cs="Arial" w:eastAsia="Arial" w:hAnsi="Arial"/>
          <w:sz w:val="16"/>
          <w:szCs w:val="16"/>
          <w:color w:val="auto"/>
        </w:rPr>
        <w:t xml:space="preserve">.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 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Collateral Documents governed by the laws of the Netherlands, the Administrative Agent shall act in its own name and for the benefit of the Secured Parties, but not as representative of the Secured Parties;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Collateral Documents governed by the laws of Australia, Deutsche Bank Trust Company Americas shall not act in its own name or for the benefit of the Secured Parties nor as representative of the Secured Parties but rather through a sub-agent appointed by the Administrative Agent in accordance with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jurisdiction in which Deutsche Bank Trust Company Americas is not able under applicable law or regulations to perform any of its duties as Administrative Agent or exercise its rights or powers as Administrative Agent under any Loan Document, Deutsche Bank Trust Company Americas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Arial" w:cs="Arial" w:eastAsia="Arial" w:hAnsi="Arial"/>
          <w:sz w:val="16"/>
          <w:szCs w:val="16"/>
          <w:u w:val="single" w:color="auto"/>
          <w:color w:val="auto"/>
        </w:rPr>
        <w:t>Section 10.04</w:t>
      </w:r>
      <w:r>
        <w:rPr>
          <w:rFonts w:ascii="Arial" w:cs="Arial" w:eastAsia="Arial" w:hAnsi="Arial"/>
          <w:sz w:val="16"/>
          <w:szCs w:val="16"/>
          <w:color w:val="auto"/>
        </w:rPr>
        <w:t>, to release any Lien granted to or held by the Administrative Agent or, as applicable, any such sub-agent upon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2" w:name="page173"/>
    <w:bookmarkEnd w:id="172"/>
    <w:p>
      <w:pPr>
        <w:jc w:val="both"/>
        <w:spacing w:after="0" w:line="267" w:lineRule="auto"/>
        <w:rPr>
          <w:sz w:val="20"/>
          <w:szCs w:val="20"/>
          <w:color w:val="auto"/>
        </w:rPr>
      </w:pPr>
      <w:r>
        <w:rPr>
          <w:rFonts w:ascii="Arial" w:cs="Arial" w:eastAsia="Arial" w:hAnsi="Arial"/>
          <w:sz w:val="17"/>
          <w:szCs w:val="17"/>
          <w:color w:val="auto"/>
        </w:rPr>
        <w:t xml:space="preserve">any Collateral (i) as described in </w:t>
      </w:r>
      <w:r>
        <w:rPr>
          <w:rFonts w:ascii="Arial" w:cs="Arial" w:eastAsia="Arial" w:hAnsi="Arial"/>
          <w:sz w:val="17"/>
          <w:szCs w:val="17"/>
          <w:u w:val="single" w:color="auto"/>
          <w:color w:val="auto"/>
        </w:rPr>
        <w:t>Section 11.01(c)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11.23</w:t>
      </w:r>
      <w:r>
        <w:rPr>
          <w:rFonts w:ascii="Arial" w:cs="Arial" w:eastAsia="Arial" w:hAnsi="Arial"/>
          <w:sz w:val="17"/>
          <w:szCs w:val="17"/>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Administrative Agent and, as applicable, any such sub-agent shall not be required to 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with respect to any Obligor under any federal, state or foreign bankruptcy, insolvency, receivership, administration, examinership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8" w:lineRule="exact"/>
        <w:rPr>
          <w:sz w:val="20"/>
          <w:szCs w:val="20"/>
          <w:color w:val="auto"/>
        </w:rPr>
      </w:pPr>
    </w:p>
    <w:p>
      <w:pPr>
        <w:jc w:val="both"/>
        <w:ind w:firstLine="1304"/>
        <w:spacing w:after="0" w:line="263" w:lineRule="auto"/>
        <w:tabs>
          <w:tab w:leader="none" w:pos="19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any custodian, receiver, assignee, trustee, administrator, examiner,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3" w:name="page174"/>
    <w:bookmarkEnd w:id="173"/>
    <w:p>
      <w:pPr>
        <w:jc w:val="both"/>
        <w:spacing w:after="0" w:line="277" w:lineRule="auto"/>
        <w:rPr>
          <w:sz w:val="20"/>
          <w:szCs w:val="20"/>
          <w:color w:val="auto"/>
        </w:rPr>
      </w:pPr>
      <w:r>
        <w:rPr>
          <w:rFonts w:ascii="Arial" w:cs="Arial" w:eastAsia="Arial" w:hAnsi="Arial"/>
          <w:sz w:val="18"/>
          <w:szCs w:val="18"/>
          <w:color w:val="auto"/>
        </w:rPr>
        <w:t xml:space="preserve">other Secured Parties, to pay to the Administrative Agent any amount due to it, in its capacity as the Administrative Agent, under the Loan Documents (including under </w:t>
      </w:r>
      <w:r>
        <w:rPr>
          <w:rFonts w:ascii="Arial" w:cs="Arial" w:eastAsia="Arial" w:hAnsi="Arial"/>
          <w:sz w:val="18"/>
          <w:szCs w:val="18"/>
          <w:u w:val="single" w:color="auto"/>
          <w:color w:val="auto"/>
        </w:rPr>
        <w:t>Sections 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Foreign Collateral Matters</w:t>
      </w:r>
      <w:r>
        <w:rPr>
          <w:rFonts w:ascii="Arial" w:cs="Arial" w:eastAsia="Arial" w:hAnsi="Arial"/>
          <w:sz w:val="17"/>
          <w:szCs w:val="17"/>
          <w:color w:val="auto"/>
        </w:rPr>
        <w:t>.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Arial" w:cs="Arial" w:eastAsia="Arial" w:hAnsi="Arial"/>
          <w:sz w:val="17"/>
          <w:szCs w:val="17"/>
          <w:u w:val="single" w:color="auto"/>
          <w:color w:val="auto"/>
        </w:rPr>
        <w:t>Hypothecary Representative</w:t>
      </w:r>
      <w:r>
        <w:rPr>
          <w:rFonts w:ascii="Arial" w:cs="Arial" w:eastAsia="Arial" w:hAnsi="Arial"/>
          <w:sz w:val="17"/>
          <w:szCs w:val="17"/>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In the event of the resignation of the Administrative Agent (which shall include its resignation as the Hypothecary Representative) and appointment of a successor Administrative Agent, such successor Administrative Agent shall also act as the Hypothecary Representative, as contemplated above.</w:t>
      </w:r>
    </w:p>
    <w:p>
      <w:pPr>
        <w:spacing w:after="0" w:line="179" w:lineRule="exact"/>
        <w:rPr>
          <w:sz w:val="20"/>
          <w:szCs w:val="20"/>
          <w:color w:val="auto"/>
        </w:rPr>
      </w:pPr>
    </w:p>
    <w:p>
      <w:pPr>
        <w:jc w:val="both"/>
        <w:ind w:firstLine="1304"/>
        <w:spacing w:after="0" w:line="271" w:lineRule="auto"/>
        <w:tabs>
          <w:tab w:leader="none" w:pos="187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 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spacing w:after="0" w:line="178" w:lineRule="exact"/>
        <w:rPr>
          <w:rFonts w:ascii="Arial" w:cs="Arial" w:eastAsia="Arial" w:hAnsi="Arial"/>
          <w:sz w:val="17"/>
          <w:szCs w:val="17"/>
          <w:color w:val="auto"/>
        </w:rPr>
      </w:pPr>
    </w:p>
    <w:p>
      <w:pPr>
        <w:ind w:left="1820" w:hanging="516"/>
        <w:spacing w:after="0"/>
        <w:tabs>
          <w:tab w:leader="none" w:pos="1820"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Scottish Appointment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 xml:space="preserve">The Administrative Agent declares that it holds in trust for the Secured Parties, on the terms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jc w:val="both"/>
        <w:ind w:firstLine="8"/>
        <w:spacing w:after="0" w:line="271" w:lineRule="auto"/>
        <w:tabs>
          <w:tab w:leader="none" w:pos="29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4" w:name="page175"/>
    <w:bookmarkEnd w:id="174"/>
    <w:p>
      <w:pPr>
        <w:spacing w:after="0" w:line="277" w:lineRule="auto"/>
        <w:rPr>
          <w:sz w:val="20"/>
          <w:szCs w:val="20"/>
          <w:color w:val="auto"/>
        </w:rPr>
      </w:pPr>
      <w:r>
        <w:rPr>
          <w:rFonts w:ascii="Arial" w:cs="Arial" w:eastAsia="Arial" w:hAnsi="Arial"/>
          <w:sz w:val="18"/>
          <w:szCs w:val="18"/>
          <w:color w:val="auto"/>
        </w:rPr>
        <w:t>any other amounts or property, whether rights, entitlements, choses in action or otherwise, actual or contingent, which the Administrative Agent is required by the terms of the Loan Documents to hold as trustee in trust for the Secured Parties.</w:t>
      </w:r>
    </w:p>
    <w:p>
      <w:pPr>
        <w:spacing w:after="0" w:line="170" w:lineRule="exact"/>
        <w:rPr>
          <w:sz w:val="20"/>
          <w:szCs w:val="20"/>
          <w:color w:val="auto"/>
        </w:rPr>
      </w:pPr>
    </w:p>
    <w:p>
      <w:pPr>
        <w:jc w:val="both"/>
        <w:ind w:firstLine="1952"/>
        <w:spacing w:after="0" w:line="254" w:lineRule="auto"/>
        <w:tabs>
          <w:tab w:leader="none" w:pos="24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Without prejudice to the other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indemnities and exclusions from liability as are prescribed in favor of the Administrative Agent in this Agreement, which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9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7"/>
          <w:szCs w:val="17"/>
          <w:u w:val="single" w:color="auto"/>
          <w:color w:val="auto"/>
        </w:rPr>
        <w:t>Credit Bid</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85" w:lineRule="auto"/>
        <w:tabs>
          <w:tab w:leader="none" w:pos="183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5" w:name="page176"/>
    <w:bookmarkEnd w:id="175"/>
    <w:p>
      <w:pPr>
        <w:jc w:val="both"/>
        <w:spacing w:after="0" w:line="268" w:lineRule="auto"/>
        <w:rPr>
          <w:sz w:val="20"/>
          <w:szCs w:val="20"/>
          <w:color w:val="auto"/>
        </w:rPr>
      </w:pPr>
      <w:r>
        <w:rPr>
          <w:rFonts w:ascii="Arial" w:cs="Arial" w:eastAsia="Arial" w:hAnsi="Arial"/>
          <w:sz w:val="17"/>
          <w:szCs w:val="17"/>
          <w:color w:val="auto"/>
        </w:rPr>
        <w:t xml:space="preserve">termination of this Agreement and without giving effect to the limitations on actions by the Required Lenders contained in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4" w:lineRule="exact"/>
        <w:rPr>
          <w:sz w:val="20"/>
          <w:szCs w:val="20"/>
          <w:color w:val="auto"/>
        </w:rPr>
      </w:pPr>
    </w:p>
    <w:p>
      <w:pPr>
        <w:jc w:val="both"/>
        <w:ind w:firstLine="1304"/>
        <w:spacing w:after="0" w:line="257" w:lineRule="auto"/>
        <w:tabs>
          <w:tab w:leader="none" w:pos="193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Without limiting the authority granted to the Administrative Agent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each Lender (including each Person that becomes a Lender hereunder pursuant to </w:t>
      </w:r>
      <w:r>
        <w:rPr>
          <w:rFonts w:ascii="Arial" w:cs="Arial" w:eastAsia="Arial" w:hAnsi="Arial"/>
          <w:sz w:val="18"/>
          <w:szCs w:val="18"/>
          <w:u w:val="single" w:color="auto"/>
          <w:color w:val="auto"/>
        </w:rPr>
        <w:t>Section 11.05</w:t>
      </w:r>
      <w:r>
        <w:rPr>
          <w:rFonts w:ascii="Arial" w:cs="Arial" w:eastAsia="Arial" w:hAnsi="Arial"/>
          <w:sz w:val="18"/>
          <w:szCs w:val="18"/>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Certain ERISA Matters; Lender Representations</w:t>
      </w:r>
      <w:r>
        <w:rPr>
          <w:rFonts w:ascii="Arial" w:cs="Arial" w:eastAsia="Arial" w:hAnsi="Arial"/>
          <w:sz w:val="16"/>
          <w:szCs w:val="16"/>
          <w:color w:val="auto"/>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spacing w:after="0" w:line="157" w:lineRule="exact"/>
        <w:rPr>
          <w:sz w:val="20"/>
          <w:szCs w:val="20"/>
          <w:color w:val="auto"/>
        </w:rPr>
      </w:pPr>
    </w:p>
    <w:p>
      <w:pPr>
        <w:ind w:left="660" w:firstLine="1292"/>
        <w:spacing w:after="0" w:line="277" w:lineRule="auto"/>
        <w:tabs>
          <w:tab w:leader="none" w:pos="24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Letters of Credit or the Commitments,</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50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6" w:name="page177"/>
    <w:bookmarkEnd w:id="176"/>
    <w:p>
      <w:pPr>
        <w:jc w:val="both"/>
        <w:ind w:left="640"/>
        <w:spacing w:after="0" w:line="259" w:lineRule="auto"/>
        <w:rPr>
          <w:sz w:val="20"/>
          <w:szCs w:val="20"/>
          <w:color w:val="auto"/>
        </w:rPr>
      </w:pPr>
      <w:r>
        <w:rPr>
          <w:rFonts w:ascii="Arial" w:cs="Arial" w:eastAsia="Arial" w:hAnsi="Arial"/>
          <w:sz w:val="18"/>
          <w:szCs w:val="18"/>
          <w:color w:val="auto"/>
        </w:rPr>
        <w:t>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w:t>
      </w:r>
    </w:p>
    <w:p>
      <w:pPr>
        <w:spacing w:after="0" w:line="187" w:lineRule="exact"/>
        <w:rPr>
          <w:sz w:val="20"/>
          <w:szCs w:val="20"/>
          <w:color w:val="auto"/>
        </w:rPr>
      </w:pPr>
    </w:p>
    <w:p>
      <w:pPr>
        <w:jc w:val="both"/>
        <w:ind w:left="640" w:firstLine="1292"/>
        <w:spacing w:after="0" w:line="293" w:lineRule="auto"/>
        <w:tabs>
          <w:tab w:leader="none" w:pos="243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spacing w:after="0" w:line="164" w:lineRule="exact"/>
        <w:rPr>
          <w:rFonts w:ascii="Arial" w:cs="Arial" w:eastAsia="Arial" w:hAnsi="Arial"/>
          <w:sz w:val="16"/>
          <w:szCs w:val="16"/>
          <w:color w:val="auto"/>
        </w:rPr>
      </w:pPr>
    </w:p>
    <w:p>
      <w:pPr>
        <w:ind w:left="640" w:firstLine="1292"/>
        <w:spacing w:after="0" w:line="277" w:lineRule="auto"/>
        <w:tabs>
          <w:tab w:leader="none" w:pos="252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left="-20" w:firstLine="1304"/>
        <w:spacing w:after="0" w:line="275" w:lineRule="auto"/>
        <w:tabs>
          <w:tab w:leader="none" w:pos="184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In addition, unless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is true with respect to a Lender or such Lender has not provided another representation, warranty and covenant as provided in </w:t>
      </w:r>
      <w:r>
        <w:rPr>
          <w:rFonts w:ascii="Arial" w:cs="Arial" w:eastAsia="Arial" w:hAnsi="Arial"/>
          <w:sz w:val="17"/>
          <w:szCs w:val="17"/>
          <w:u w:val="single" w:color="auto"/>
          <w:color w:val="auto"/>
        </w:rPr>
        <w:t>sub-clause (iv)</w:t>
      </w:r>
      <w:r>
        <w:rPr>
          <w:rFonts w:ascii="Arial" w:cs="Arial" w:eastAsia="Arial" w:hAnsi="Arial"/>
          <w:sz w:val="17"/>
          <w:szCs w:val="17"/>
          <w:color w:val="auto"/>
        </w:rPr>
        <w:t xml:space="preserve">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w:t>
      </w:r>
    </w:p>
    <w:p>
      <w:pPr>
        <w:spacing w:after="0" w:line="176" w:lineRule="exact"/>
        <w:rPr>
          <w:rFonts w:ascii="Arial" w:cs="Arial" w:eastAsia="Arial" w:hAnsi="Arial"/>
          <w:sz w:val="17"/>
          <w:szCs w:val="17"/>
          <w:color w:val="auto"/>
        </w:rPr>
      </w:pPr>
    </w:p>
    <w:p>
      <w:pPr>
        <w:jc w:val="both"/>
        <w:ind w:left="640" w:firstLine="1292"/>
        <w:spacing w:after="0" w:line="263" w:lineRule="auto"/>
        <w:tabs>
          <w:tab w:leader="none" w:pos="254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3" w:lineRule="exact"/>
        <w:rPr>
          <w:rFonts w:ascii="Arial" w:cs="Arial" w:eastAsia="Arial" w:hAnsi="Arial"/>
          <w:sz w:val="18"/>
          <w:szCs w:val="18"/>
          <w:color w:val="auto"/>
        </w:rPr>
      </w:pPr>
    </w:p>
    <w:p>
      <w:pPr>
        <w:jc w:val="both"/>
        <w:ind w:left="640" w:firstLine="1292"/>
        <w:spacing w:after="0" w:line="301" w:lineRule="auto"/>
        <w:tabs>
          <w:tab w:leader="none" w:pos="249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57" w:lineRule="exact"/>
        <w:rPr>
          <w:rFonts w:ascii="Arial" w:cs="Arial" w:eastAsia="Arial" w:hAnsi="Arial"/>
          <w:sz w:val="16"/>
          <w:szCs w:val="16"/>
          <w:color w:val="auto"/>
        </w:rPr>
      </w:pPr>
    </w:p>
    <w:p>
      <w:pPr>
        <w:ind w:left="640" w:firstLine="1292"/>
        <w:spacing w:after="0" w:line="308" w:lineRule="auto"/>
        <w:tabs>
          <w:tab w:leader="none" w:pos="2492"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Letters of Credit, the Commitments and this Agreement is capable of evaluating investment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77" w:name="page178"/>
    <w:bookmarkEnd w:id="177"/>
    <w:p>
      <w:pPr>
        <w:ind w:left="660"/>
        <w:spacing w:after="0"/>
        <w:rPr>
          <w:sz w:val="20"/>
          <w:szCs w:val="20"/>
          <w:color w:val="auto"/>
        </w:rPr>
      </w:pPr>
      <w:r>
        <w:rPr>
          <w:rFonts w:ascii="Arial" w:cs="Arial" w:eastAsia="Arial" w:hAnsi="Arial"/>
          <w:sz w:val="16"/>
          <w:szCs w:val="16"/>
          <w:color w:val="auto"/>
        </w:rPr>
        <w:t>risks independently, both in general and with regard to particular transactions and investment strategies (including in respect of the obligations),</w:t>
      </w:r>
    </w:p>
    <w:p>
      <w:pPr>
        <w:spacing w:after="0" w:line="248" w:lineRule="exact"/>
        <w:rPr>
          <w:sz w:val="20"/>
          <w:szCs w:val="20"/>
          <w:color w:val="auto"/>
        </w:rPr>
      </w:pPr>
    </w:p>
    <w:p>
      <w:pPr>
        <w:jc w:val="both"/>
        <w:ind w:left="660" w:firstLine="1292"/>
        <w:spacing w:after="0" w:line="259" w:lineRule="auto"/>
        <w:tabs>
          <w:tab w:leader="none" w:pos="254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561" w:val="left"/>
        </w:tabs>
        <w:numPr>
          <w:ilvl w:val="1"/>
          <w:numId w:val="188"/>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spacing w:after="0" w:line="183" w:lineRule="exact"/>
        <w:rPr>
          <w:rFonts w:ascii="Arial" w:cs="Arial" w:eastAsia="Arial" w:hAnsi="Arial"/>
          <w:sz w:val="18"/>
          <w:szCs w:val="18"/>
          <w:color w:val="auto"/>
        </w:rPr>
      </w:pPr>
    </w:p>
    <w:p>
      <w:pPr>
        <w:jc w:val="both"/>
        <w:ind w:firstLine="1304"/>
        <w:spacing w:after="0" w:line="270" w:lineRule="auto"/>
        <w:tabs>
          <w:tab w:leader="none" w:pos="188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(b) hereby authorizes and instructs the Administrative Agent to enter into the Intercreditor Agreement and to subject the Liens on the Collateral securing the Secured Obligations to the provisions thereof and (c) hereby authorizes and instructs the Administrative Agent to enter into any new Intercreditor Agreement or any amendment, restatement, supplement or other modification to any existing Intercreditor Agreement, in each case, as necessary in connection with any Revolving Credit Facility permitted by this Agreement. The foregoing provisions are intended as an inducement to the Secured Parties to extend credit to the Borrowers and such Secured Parties are intended third-party beneficiaries of such provisions and the provisions of the Intercreditor Agreement.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Filings</w:t>
      </w:r>
      <w:r>
        <w:rPr>
          <w:rFonts w:ascii="Arial" w:cs="Arial" w:eastAsia="Arial" w:hAnsi="Arial"/>
          <w:sz w:val="18"/>
          <w:szCs w:val="18"/>
          <w:color w:val="auto"/>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8" w:name="page179"/>
    <w:bookmarkEnd w:id="178"/>
    <w:p>
      <w:pPr>
        <w:jc w:val="both"/>
        <w:spacing w:after="0" w:line="286" w:lineRule="auto"/>
        <w:rPr>
          <w:sz w:val="20"/>
          <w:szCs w:val="20"/>
          <w:color w:val="auto"/>
        </w:rPr>
      </w:pPr>
      <w:r>
        <w:rPr>
          <w:rFonts w:ascii="Arial" w:cs="Arial" w:eastAsia="Arial" w:hAnsi="Arial"/>
          <w:sz w:val="17"/>
          <w:szCs w:val="17"/>
          <w:color w:val="auto"/>
        </w:rPr>
        <w:t>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u w:val="single" w:color="auto"/>
          <w:color w:val="auto"/>
        </w:rPr>
        <w:t>Force Majeure</w:t>
      </w:r>
      <w:r>
        <w:rPr>
          <w:rFonts w:ascii="Arial" w:cs="Arial" w:eastAsia="Arial" w:hAnsi="Arial"/>
          <w:sz w:val="17"/>
          <w:szCs w:val="17"/>
          <w:color w:val="auto"/>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No Risk of Funds</w:t>
      </w:r>
      <w:r>
        <w:rPr>
          <w:rFonts w:ascii="Arial" w:cs="Arial" w:eastAsia="Arial" w:hAnsi="Arial"/>
          <w:sz w:val="18"/>
          <w:szCs w:val="18"/>
          <w:color w:val="auto"/>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10.18 </w:t>
      </w:r>
      <w:r>
        <w:rPr>
          <w:rFonts w:ascii="Arial" w:cs="Arial" w:eastAsia="Arial" w:hAnsi="Arial"/>
          <w:sz w:val="17"/>
          <w:szCs w:val="17"/>
          <w:u w:val="single" w:color="auto"/>
          <w:color w:val="auto"/>
        </w:rPr>
        <w:t>No Discretion</w:t>
      </w:r>
      <w:r>
        <w:rPr>
          <w:rFonts w:ascii="Arial" w:cs="Arial" w:eastAsia="Arial" w:hAnsi="Arial"/>
          <w:sz w:val="17"/>
          <w:szCs w:val="17"/>
          <w:color w:val="auto"/>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 “</w:t>
      </w:r>
      <w:r>
        <w:rPr>
          <w:rFonts w:ascii="Arial" w:cs="Arial" w:eastAsia="Arial" w:hAnsi="Arial"/>
          <w:sz w:val="17"/>
          <w:szCs w:val="17"/>
          <w:u w:val="single" w:color="auto"/>
          <w:color w:val="auto"/>
        </w:rPr>
        <w:t>Relevant Lenders</w:t>
      </w:r>
      <w:r>
        <w:rPr>
          <w:rFonts w:ascii="Arial" w:cs="Arial" w:eastAsia="Arial" w:hAnsi="Arial"/>
          <w:sz w:val="17"/>
          <w:szCs w:val="17"/>
          <w:color w:val="auto"/>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Special, Consequential and Indirect Damages</w:t>
      </w:r>
      <w:r>
        <w:rPr>
          <w:rFonts w:ascii="Arial" w:cs="Arial" w:eastAsia="Arial" w:hAnsi="Arial"/>
          <w:sz w:val="18"/>
          <w:szCs w:val="18"/>
          <w:color w:val="auto"/>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9" w:name="page180"/>
    <w:bookmarkEnd w:id="179"/>
    <w:p>
      <w:pPr>
        <w:jc w:val="both"/>
        <w:ind w:firstLine="648"/>
        <w:spacing w:after="0" w:line="270"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u w:val="single" w:color="auto"/>
          <w:color w:val="auto"/>
        </w:rPr>
        <w:t>No Environmental Liability</w:t>
      </w:r>
      <w:r>
        <w:rPr>
          <w:rFonts w:ascii="Arial" w:cs="Arial" w:eastAsia="Arial" w:hAnsi="Arial"/>
          <w:sz w:val="17"/>
          <w:szCs w:val="17"/>
          <w:color w:val="auto"/>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Waiver; Amendments; Joinder; Release of Guarantors; Release of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9" w:lineRule="auto"/>
        <w:tabs>
          <w:tab w:leader="none" w:pos="187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issuance of a Letter of Credit shall not be construed as a waiver of any Default or Event of Default, regardless of whether the Administrative Agent, any Lender or any Issuing Bank may have had notice or knowledge of such Default at the time.</w:t>
      </w:r>
    </w:p>
    <w:p>
      <w:pPr>
        <w:spacing w:after="0" w:line="166" w:lineRule="exact"/>
        <w:rPr>
          <w:rFonts w:ascii="Arial" w:cs="Arial" w:eastAsia="Arial" w:hAnsi="Arial"/>
          <w:sz w:val="16"/>
          <w:szCs w:val="16"/>
          <w:color w:val="auto"/>
        </w:rPr>
      </w:pPr>
    </w:p>
    <w:p>
      <w:pPr>
        <w:jc w:val="both"/>
        <w:ind w:firstLine="1304"/>
        <w:spacing w:after="0" w:line="291" w:lineRule="auto"/>
        <w:tabs>
          <w:tab w:leader="none" w:pos="197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(irrespective of whether such Lender is a Defaulting Lender), (ii) reduce or forgive the principal amount of any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LC Disbursement,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0" w:name="page181"/>
    <w:bookmarkEnd w:id="180"/>
    <w:p>
      <w:pPr>
        <w:jc w:val="both"/>
        <w:spacing w:after="0" w:line="284" w:lineRule="auto"/>
        <w:rPr>
          <w:sz w:val="20"/>
          <w:szCs w:val="20"/>
          <w:color w:val="auto"/>
        </w:rPr>
      </w:pPr>
      <w:r>
        <w:rPr>
          <w:rFonts w:ascii="Arial" w:cs="Arial" w:eastAsia="Arial" w:hAnsi="Arial"/>
          <w:sz w:val="16"/>
          <w:szCs w:val="16"/>
          <w:color w:val="auto"/>
        </w:rPr>
        <w:t xml:space="preserve">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 (iv) change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4.01(c)</w:t>
      </w:r>
      <w:r>
        <w:rPr>
          <w:rFonts w:ascii="Arial" w:cs="Arial" w:eastAsia="Arial" w:hAnsi="Arial"/>
          <w:sz w:val="16"/>
          <w:szCs w:val="16"/>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joint and several liability for the Obligations, without the written consent of each Lender (other than Defaulting Lenders), (vii) except in accordance with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in any Collateral Document or the Intercreditor Agreement, release all or substantially all of the Collateral without the written consent of each Lender, (viii) change or waive any provisions of this Agreement or the Loan Documents so as to permit any Borrower to grant any Lien that is senior to, or pari passu with, the Liens granted to the Administrative Agent for the benefit of the Secured Parties (other than any such grant expressly contemplated by the Intercreditor Agreement in respect of the collateral securing any Indebtedness incurred pursuant to </w:t>
      </w:r>
      <w:r>
        <w:rPr>
          <w:rFonts w:ascii="Arial" w:cs="Arial" w:eastAsia="Arial" w:hAnsi="Arial"/>
          <w:sz w:val="16"/>
          <w:szCs w:val="16"/>
          <w:u w:val="single" w:color="auto"/>
          <w:color w:val="auto"/>
        </w:rPr>
        <w:t>Section 8.01(p)</w:t>
      </w:r>
      <w:r>
        <w:rPr>
          <w:rFonts w:ascii="Arial" w:cs="Arial" w:eastAsia="Arial" w:hAnsi="Arial"/>
          <w:sz w:val="16"/>
          <w:szCs w:val="16"/>
          <w:color w:val="auto"/>
        </w:rPr>
        <w:t xml:space="preserve"> (in each case, as in effect on the Amendment No. 1 Effective Date) or the Intercreditor Agreement in respect of the collateral securing any Indebtedness incurred pursuant to Section 8.01(b)), without the written consent of each Lender (other than Defaulting Lenders), (ix) change or waive any provisions of this Agreement or the Loan Documents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grant expressly contemplated by the Intercreditor Agreement in respect of the collateral securing any Indebtedness incurred pursuant to </w:t>
      </w:r>
      <w:r>
        <w:rPr>
          <w:rFonts w:ascii="Arial" w:cs="Arial" w:eastAsia="Arial" w:hAnsi="Arial"/>
          <w:sz w:val="16"/>
          <w:szCs w:val="16"/>
          <w:u w:val="single" w:color="auto"/>
          <w:color w:val="auto"/>
        </w:rPr>
        <w:t>Section 8.01(p)</w:t>
      </w:r>
      <w:r>
        <w:rPr>
          <w:rFonts w:ascii="Arial" w:cs="Arial" w:eastAsia="Arial" w:hAnsi="Arial"/>
          <w:sz w:val="16"/>
          <w:szCs w:val="16"/>
          <w:color w:val="auto"/>
        </w:rPr>
        <w:t xml:space="preserve"> (in each case, as in effect on the Amendment No. 1 Effective Date) or the Intercreditor Agreement in respect of the collateral securing any Indebtedness incurred pursuant to Section 8.01(b)) without the written consent of each Lender (other than Defaulting Lenders), (x) [reserved], (xi) release all or substantially all of the value of the Guaranty Agreements, collectively, without the written consent of each Lender or (xii) permit any Issuing Bank to issue Financial Standby Letters of Credit under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or any Issuing Bank hereunder without the prior written consent of the Administrative Agent or such Issuing Bank,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agreement shall amend or modify any provision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without the consent of the Administrative Agent, each Issuing Bank and the Required Lenders. Subject to the foregoing, the waiver, amendment or modification of any provision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may be effected with the consent of the Required Lenders. Notwithstanding anything to the contrary herein, this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shall, in respect of a Defaulting Lender, be subject to </w:t>
      </w:r>
      <w:r>
        <w:rPr>
          <w:rFonts w:ascii="Arial" w:cs="Arial" w:eastAsia="Arial" w:hAnsi="Arial"/>
          <w:sz w:val="16"/>
          <w:szCs w:val="16"/>
          <w:u w:val="single" w:color="auto"/>
          <w:color w:val="auto"/>
        </w:rPr>
        <w:t>Section 2.10(b)</w:t>
      </w:r>
      <w:r>
        <w:rPr>
          <w:rFonts w:ascii="Arial" w:cs="Arial" w:eastAsia="Arial" w:hAnsi="Arial"/>
          <w:sz w:val="16"/>
          <w:szCs w:val="16"/>
          <w:color w:val="auto"/>
        </w:rPr>
        <w:t>.</w:t>
      </w:r>
    </w:p>
    <w:p>
      <w:pPr>
        <w:spacing w:after="0" w:line="387" w:lineRule="exact"/>
        <w:rPr>
          <w:sz w:val="20"/>
          <w:szCs w:val="20"/>
          <w:color w:val="auto"/>
        </w:rPr>
      </w:pPr>
    </w:p>
    <w:p>
      <w:pPr>
        <w:jc w:val="both"/>
        <w:ind w:firstLine="1304"/>
        <w:spacing w:after="0" w:line="263" w:lineRule="auto"/>
        <w:tabs>
          <w:tab w:leader="none" w:pos="18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Lenders hereby irrevocably agree that any Lien on any assets or property granted to or held by the Administrative Agent or the Collateral Agent under any Loan Document shall be automatically released (i) upon Payment in Full, (ii) at the time such assets or property are Disposed of in compliance with the terms of this Agreement (other than property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1" w:name="page182"/>
    <w:bookmarkEnd w:id="181"/>
    <w:p>
      <w:pPr>
        <w:jc w:val="both"/>
        <w:spacing w:after="0" w:line="272" w:lineRule="auto"/>
        <w:rPr>
          <w:sz w:val="20"/>
          <w:szCs w:val="20"/>
          <w:color w:val="auto"/>
        </w:rPr>
      </w:pPr>
      <w:r>
        <w:rPr>
          <w:rFonts w:ascii="Arial" w:cs="Arial" w:eastAsia="Arial" w:hAnsi="Arial"/>
          <w:sz w:val="17"/>
          <w:szCs w:val="17"/>
          <w:color w:val="auto"/>
        </w:rPr>
        <w:t xml:space="preserve">Disposed of to a Restricted Subsidiary organized in a Specified Jurisdiction), (iii) to the extent constituting property leased to Parent or any Subsidiary under a lease which has expired or been terminated in a transaction permitted under this Agreement, or (iv) as required to effect any Disposition of such Collateral in connection with any exercise of remedies of the Administrative Agent and the Lenders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in any case set forth above, promptly upon receipt of a written request therefor from the Borrower, the Administrative Agent will execute and deliver all documents as may reasonably be requested to evidence such release.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w:t>
      </w:r>
    </w:p>
    <w:p>
      <w:pPr>
        <w:spacing w:after="0" w:line="177" w:lineRule="exact"/>
        <w:rPr>
          <w:sz w:val="20"/>
          <w:szCs w:val="20"/>
          <w:color w:val="auto"/>
        </w:rPr>
      </w:pPr>
    </w:p>
    <w:p>
      <w:pPr>
        <w:jc w:val="both"/>
        <w:ind w:firstLine="1304"/>
        <w:spacing w:after="0" w:line="269" w:lineRule="auto"/>
        <w:tabs>
          <w:tab w:leader="none" w:pos="198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if the Administrative Agent and Borrowers acting together identify any ambiguity, omission, mistake, typographical error or other defect in any provision of this Agreement, then the Administrative Agent and the Borrowers shall be permitted to amend, modify or supplement such provision to cure such ambiguity, omission, mistake, typographical error or other defect, and such amendment, modification or supplement shall become effective without any further action or consent of any other party to this Agreement,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modification or supplement shall become effective without any further action or consent of any other party to the applicable Collateral Document and (iii) the Administrative Agent and applicable Obligors shall be permitted to amend, restate, supplement or modify any Intercreditor Agreement and any Collateral Document, in each case, as necessary in connection with the effectiveness any Revolving Credit Facility permitted by this Agreement, and such amendments, restatements, supplements and modifications shall become effective without any further action or consent of any other party to this Agreement.</w:t>
      </w:r>
    </w:p>
    <w:p>
      <w:pPr>
        <w:spacing w:after="0" w:line="181" w:lineRule="exact"/>
        <w:rPr>
          <w:rFonts w:ascii="Arial" w:cs="Arial" w:eastAsia="Arial" w:hAnsi="Arial"/>
          <w:sz w:val="17"/>
          <w:szCs w:val="17"/>
          <w:color w:val="auto"/>
        </w:rPr>
      </w:pPr>
    </w:p>
    <w:p>
      <w:pPr>
        <w:jc w:val="both"/>
        <w:ind w:firstLine="1304"/>
        <w:spacing w:after="0" w:line="259" w:lineRule="auto"/>
        <w:tabs>
          <w:tab w:leader="none" w:pos="191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Promptly upon receipt of a written request therefor from the Borrowers, the Administrative Agent will execute and deliver all documents as may reasonably be requested to effect a release of a Guarantor that ceases to exist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The Borrowers hereby, jointly and severally, agree to pay all reasonable costs and expenses incurred by the Administrative Agent in connection with any such release of a Guarantor.</w:t>
      </w:r>
    </w:p>
    <w:p>
      <w:pPr>
        <w:spacing w:after="0" w:line="187"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81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2" w:name="page183"/>
    <w:bookmarkEnd w:id="182"/>
    <w:p>
      <w:pPr>
        <w:ind w:left="1320" w:hanging="488"/>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to any Borrower or Guarantor,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20" w:hanging="488"/>
        <w:spacing w:after="0"/>
        <w:tabs>
          <w:tab w:leader="none" w:pos="13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to the Administrative Agent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Trust and Agency Services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60 Wall Street, 24th Floor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Mail Stop: NYC60 - 2410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Attention: Project Finance Agency Services, Weatherford, SF0580</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20" w:hanging="488"/>
        <w:spacing w:after="0"/>
        <w:tabs>
          <w:tab w:leader="none" w:pos="13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to Barclays, in its capacity as an Issuing Bank, to it at:</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 Churchill Place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London E14 5HP</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60" w:hanging="528"/>
        <w:spacing w:after="0"/>
        <w:tabs>
          <w:tab w:leader="none" w:pos="13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to Wells Fargo, in its capacity as Issuing Bank, to it at:</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Wells Fargo Bank, National Association</w:t>
      </w:r>
    </w:p>
    <w:p>
      <w:pPr>
        <w:ind w:left="840"/>
        <w:spacing w:after="0" w:line="202" w:lineRule="auto"/>
        <w:rPr>
          <w:sz w:val="20"/>
          <w:szCs w:val="20"/>
          <w:color w:val="auto"/>
        </w:rPr>
      </w:pPr>
      <w:r>
        <w:rPr>
          <w:rFonts w:ascii="Arial" w:cs="Arial" w:eastAsia="Arial" w:hAnsi="Arial"/>
          <w:sz w:val="18"/>
          <w:szCs w:val="18"/>
          <w:color w:val="auto"/>
        </w:rPr>
        <w:t>1700 Lincoln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Denver, CO 80203</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83" w:name="page184"/>
    <w:bookmarkEnd w:id="183"/>
    <w:p>
      <w:pPr>
        <w:ind w:left="840"/>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60" w:hanging="528"/>
        <w:spacing w:after="0"/>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to Deutsche Bank, in its capacity as Issuing Bank,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Trade Finance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60" w:hanging="528"/>
        <w:spacing w:after="0"/>
        <w:tabs>
          <w:tab w:leader="none" w:pos="13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to Citibank, N.A., in its capacity as Issuing Bank,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811 Main Street, Suite 4000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Ivan Davey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60" w:hanging="528"/>
        <w:spacing w:after="0"/>
        <w:tabs>
          <w:tab w:leader="none" w:pos="13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to Morgan Stanley, in its capacity as Issuing Bank,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1300 Thames Street, 4th Floor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Thames Street Wharf</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80" w:hanging="548"/>
        <w:spacing w:after="0"/>
        <w:tabs>
          <w:tab w:leader="none" w:pos="13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to Nordea Bank Abp, New York Branch, in its capacity as Issuing Bank, to it at:</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Nordea Bank Abp, New York Branch</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1211 Avenue of the Americas, 23rd Floor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84" w:name="page185"/>
    <w:bookmarkEnd w:id="184"/>
    <w:p>
      <w:pPr>
        <w:ind w:left="660" w:firstLine="1292"/>
        <w:spacing w:after="0" w:line="277" w:lineRule="auto"/>
        <w:tabs>
          <w:tab w:leader="none" w:pos="264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to any other Issuing Bank, to it at such address (or facsimile number) as shall be specified in the Issuing Bank Agreement to which such Issuing Bank shall be a party; and</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to any Lender, to it at its address (or facsimile number) set forth in its Administrative Questionnaire.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87" w:lineRule="exact"/>
        <w:rPr>
          <w:sz w:val="20"/>
          <w:szCs w:val="20"/>
          <w:color w:val="auto"/>
        </w:rPr>
      </w:pPr>
    </w:p>
    <w:p>
      <w:pPr>
        <w:jc w:val="both"/>
        <w:ind w:firstLine="1304"/>
        <w:spacing w:after="0" w:line="257" w:lineRule="auto"/>
        <w:tabs>
          <w:tab w:leader="none" w:pos="188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Unless the Administrative Agent otherwise prescribes,(i)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5" w:lineRule="exact"/>
        <w:rPr>
          <w:sz w:val="20"/>
          <w:szCs w:val="20"/>
          <w:color w:val="auto"/>
        </w:rPr>
      </w:pPr>
    </w:p>
    <w:p>
      <w:pPr>
        <w:ind w:left="1900" w:hanging="596"/>
        <w:spacing w:after="0"/>
        <w:tabs>
          <w:tab w:leader="none" w:pos="19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parties hereto.</w:t>
      </w:r>
    </w:p>
    <w:p>
      <w:pPr>
        <w:spacing w:after="0" w:line="210" w:lineRule="exact"/>
        <w:rPr>
          <w:rFonts w:ascii="Arial" w:cs="Arial" w:eastAsia="Arial" w:hAnsi="Arial"/>
          <w:sz w:val="16"/>
          <w:szCs w:val="16"/>
          <w:color w:val="auto"/>
        </w:rPr>
      </w:pPr>
    </w:p>
    <w:p>
      <w:pPr>
        <w:ind w:right="20" w:firstLine="1304"/>
        <w:spacing w:after="0" w:line="308" w:lineRule="auto"/>
        <w:tabs>
          <w:tab w:leader="none" w:pos="188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46" w:lineRule="exact"/>
        <w:rPr>
          <w:rFonts w:ascii="Arial" w:cs="Arial" w:eastAsia="Arial" w:hAnsi="Arial"/>
          <w:sz w:val="17"/>
          <w:szCs w:val="17"/>
          <w:color w:val="auto"/>
        </w:rPr>
      </w:pPr>
    </w:p>
    <w:p>
      <w:pPr>
        <w:ind w:left="1820" w:hanging="516"/>
        <w:spacing w:after="0"/>
        <w:tabs>
          <w:tab w:leader="none" w:pos="18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Electronic Systems.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61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5" w:name="page186"/>
    <w:bookmarkEnd w:id="185"/>
    <w:p>
      <w:pPr>
        <w:jc w:val="both"/>
        <w:ind w:left="660" w:firstLine="1292"/>
        <w:spacing w:after="0" w:line="269" w:lineRule="auto"/>
        <w:tabs>
          <w:tab w:leader="none" w:pos="251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8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Expenses, Etc.</w:t>
      </w:r>
      <w:r>
        <w:rPr>
          <w:rFonts w:ascii="Arial" w:cs="Arial" w:eastAsia="Arial" w:hAnsi="Arial"/>
          <w:sz w:val="16"/>
          <w:szCs w:val="16"/>
          <w:color w:val="auto"/>
        </w:rPr>
        <w:t xml:space="preserve">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one local counsel in each applicable jurisdiction), in connection with the syndication and distribution (including via the Internet or through a service such as Intralinks) of the credit facilities provided for herein,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including the reasonable and documented or invoiced fees, charges and disbursements of Simpson Thacher &amp; Bartlett LLP and Goldberg Kohn Lt. as counsel the Joint Lead Arrangers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facilities provided for herein,</w:t>
      </w:r>
    </w:p>
    <w:p>
      <w:pPr>
        <w:spacing w:after="0" w:line="4" w:lineRule="exact"/>
        <w:rPr>
          <w:sz w:val="20"/>
          <w:szCs w:val="20"/>
          <w:color w:val="auto"/>
        </w:rPr>
      </w:pPr>
    </w:p>
    <w:p>
      <w:pPr>
        <w:jc w:val="both"/>
        <w:ind w:firstLine="8"/>
        <w:spacing w:after="0" w:line="281" w:lineRule="auto"/>
        <w:tabs>
          <w:tab w:leader="none" w:pos="24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w:t>
      </w:r>
    </w:p>
    <w:p>
      <w:pPr>
        <w:spacing w:after="0" w:line="1" w:lineRule="exact"/>
        <w:rPr>
          <w:rFonts w:ascii="Arial" w:cs="Arial" w:eastAsia="Arial" w:hAnsi="Arial"/>
          <w:sz w:val="16"/>
          <w:szCs w:val="16"/>
          <w:color w:val="auto"/>
        </w:rPr>
      </w:pPr>
    </w:p>
    <w:p>
      <w:pPr>
        <w:jc w:val="both"/>
        <w:ind w:firstLine="8"/>
        <w:spacing w:after="0" w:line="253" w:lineRule="auto"/>
        <w:tabs>
          <w:tab w:leader="none" w:pos="24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documented out-of-pocket expenses incurred by the Administrative Agent (or any sub-agent thereof), any Issuing Bank and/or any Lender (including the documented or invoiced fees, disbursements and other charges of (i) any counsel for the Administrative Agent (or any such sub-agent) (which, for the avoidance of doubt, may include counsel in foreign jurisdictions), (ii) one counsel to the Lenders licensed in the State of New York and licensed in each jurisdiction (including any state) where any Obligor or any Subsidiary of an Obligor 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6" w:name="page187"/>
    <w:bookmarkEnd w:id="186"/>
    <w:p>
      <w:pPr>
        <w:jc w:val="both"/>
        <w:spacing w:after="0" w:line="293" w:lineRule="auto"/>
        <w:rPr>
          <w:sz w:val="20"/>
          <w:szCs w:val="20"/>
          <w:color w:val="auto"/>
        </w:rPr>
      </w:pPr>
      <w:r>
        <w:rPr>
          <w:rFonts w:ascii="Arial" w:cs="Arial" w:eastAsia="Arial" w:hAnsi="Arial"/>
          <w:sz w:val="16"/>
          <w:szCs w:val="16"/>
          <w:color w:val="auto"/>
        </w:rPr>
        <w:t xml:space="preserve">organized, has its chief executive office or has assets with a material value) and (iii) one additional local counsel in any applicable jurisdiction in the event of any actual or perceived conflict of interest among the Lenders (and if necessary, one local counsel in each relevant jurisdiction) for each group of Lenders that is subject to such conflict in connection with the enforcement, collection or protection of its rights in connection with this Agreement or any other Loan Document, including its rights under this Section, or in connection with the Letters of Credit issued hereunder, including all such out-of-pocket expenses incurred during any workout, restructuring or negotiations in respect of such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Defaulting Lender will not be reimbursed for its costs and expenses related to the replacement of such Defaulting Lender or other matters incidental thereto.</w:t>
      </w:r>
    </w:p>
    <w:p>
      <w:pPr>
        <w:spacing w:after="0" w:line="164"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7"/>
          <w:szCs w:val="17"/>
          <w:u w:val="single" w:color="auto"/>
          <w:color w:val="auto"/>
        </w:rPr>
        <w:t>Indemnity</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84" w:lineRule="auto"/>
        <w:tabs>
          <w:tab w:leader="none" w:pos="191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Borrowers shall indemnify the Administrative Agent (and any sub-agent thereof), each Joint Lead Arranger, each Issuing Bank and each Lender, and each Affiliate of each of the foregoing, and their respective directors, officers, employees, advisors and agents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from, and hold each Indemnitee harmless against, any and all losses, liabilities, claims or damages, costs or related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subject to such conflict or other expenses incurred in connection with investigating or defending any of the foregoing) to which any Indemnitee may become subject, insofar as such losses, liabilities, claims or damages, costs or related expenses arise out of or result from (i) any claim, investigation, litigation or proceeding (including any threatened claim, investigation, litigation or proceeding) relating to this Agreement, any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WIL-Delaware, Parent or any of their Subsidiaries, or any Environmental Liability related in any way to WIL-Bermuda, WIL-Delaware,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WIL-Delaware, Parent or any of their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out-of-pocket legal expenses) incurred in connection with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7" w:name="page188"/>
    <w:bookmarkEnd w:id="187"/>
    <w:p>
      <w:pPr>
        <w:jc w:val="both"/>
        <w:spacing w:after="0" w:line="268" w:lineRule="auto"/>
        <w:rPr>
          <w:sz w:val="20"/>
          <w:szCs w:val="20"/>
          <w:color w:val="auto"/>
        </w:rPr>
      </w:pPr>
      <w:r>
        <w:rPr>
          <w:rFonts w:ascii="Arial" w:cs="Arial" w:eastAsia="Arial" w:hAnsi="Arial"/>
          <w:sz w:val="17"/>
          <w:szCs w:val="17"/>
          <w:color w:val="auto"/>
        </w:rPr>
        <w:t xml:space="preserve">any such claim, investigation, litigation or proceeding; but excluding any such losses, claims, damages, liabilities or related expenses (A) found by a final, non-appealable judgment of a court of competent jurisdiction to have arisen or resulted from the (i) gross negligence or willful misconduct of the Indemnitee or (ii) a material breach of the funding obligations of such Indemnitee or any of such Indemnitee’s affiliates or (B) 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SHALL SURVIVE THE TERMINATION OF THIS AGREEMENT AND THE OTHER LOAN DOCUMENTS AND THE PAYMENT OF THE OTHER OBLIGATIONS.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an Obligor incorporated in Germany as (x) a limited liability company (</w:t>
      </w:r>
      <w:r>
        <w:rPr>
          <w:rFonts w:ascii="Arial" w:cs="Arial" w:eastAsia="Arial" w:hAnsi="Arial"/>
          <w:sz w:val="18"/>
          <w:szCs w:val="18"/>
          <w:i w:val="1"/>
          <w:iCs w:val="1"/>
          <w:color w:val="auto"/>
        </w:rPr>
        <w:t>Gesellschaft mit beschränkter Haftung - GmbH</w:t>
      </w:r>
      <w:r>
        <w:rPr>
          <w:rFonts w:ascii="Arial" w:cs="Arial" w:eastAsia="Arial" w:hAnsi="Arial"/>
          <w:sz w:val="18"/>
          <w:szCs w:val="18"/>
          <w:color w:val="auto"/>
        </w:rPr>
        <w:t>) or (y) a limited partnership (</w:t>
      </w:r>
      <w:r>
        <w:rPr>
          <w:rFonts w:ascii="Arial" w:cs="Arial" w:eastAsia="Arial" w:hAnsi="Arial"/>
          <w:sz w:val="18"/>
          <w:szCs w:val="18"/>
          <w:i w:val="1"/>
          <w:iCs w:val="1"/>
          <w:color w:val="auto"/>
        </w:rPr>
        <w:t>Kommanditgesellschaft</w:t>
      </w:r>
      <w:r>
        <w:rPr>
          <w:rFonts w:ascii="Arial" w:cs="Arial" w:eastAsia="Arial" w:hAnsi="Arial"/>
          <w:sz w:val="18"/>
          <w:szCs w:val="18"/>
          <w:color w:val="auto"/>
        </w:rPr>
        <w:t xml:space="preserve">) with a limited liability company as general partner, the limitations pursuant to Section 30 of the Affiliate Guaranty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obligations set out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84" w:lineRule="exact"/>
        <w:rPr>
          <w:sz w:val="20"/>
          <w:szCs w:val="20"/>
          <w:color w:val="auto"/>
        </w:rPr>
      </w:pPr>
    </w:p>
    <w:p>
      <w:pPr>
        <w:jc w:val="both"/>
        <w:ind w:firstLine="1304"/>
        <w:spacing w:after="0" w:line="275" w:lineRule="auto"/>
        <w:tabs>
          <w:tab w:leader="none" w:pos="183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To the extent that any Borrower fails to pay any amount required to be paid by it to the Administrative Agent or any Issuing Bank under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176" w:lineRule="exact"/>
        <w:rPr>
          <w:rFonts w:ascii="Arial" w:cs="Arial" w:eastAsia="Arial" w:hAnsi="Arial"/>
          <w:sz w:val="17"/>
          <w:szCs w:val="17"/>
          <w:color w:val="auto"/>
        </w:rPr>
      </w:pPr>
    </w:p>
    <w:p>
      <w:pPr>
        <w:jc w:val="both"/>
        <w:ind w:firstLine="1304"/>
        <w:spacing w:after="0" w:line="273" w:lineRule="auto"/>
        <w:tabs>
          <w:tab w:leader="none" w:pos="186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 Credit or the use of the proceeds thereof (it being understood that, to the extent any Indemnitee suffers any such special, indirect, consequential or punitive damages, the indemnification obligations of the Borrowers set forth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shall apply).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8" w:name="page189"/>
    <w:bookmarkEnd w:id="188"/>
    <w:p>
      <w:pPr>
        <w:jc w:val="both"/>
        <w:ind w:left="-20" w:firstLine="1304"/>
        <w:spacing w:after="0" w:line="257" w:lineRule="auto"/>
        <w:tabs>
          <w:tab w:leader="none" w:pos="180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No Indemnitee referred to in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87" w:lineRule="exact"/>
        <w:rPr>
          <w:rFonts w:ascii="Arial" w:cs="Arial" w:eastAsia="Arial" w:hAnsi="Arial"/>
          <w:sz w:val="18"/>
          <w:szCs w:val="18"/>
          <w:color w:val="auto"/>
        </w:rPr>
      </w:pPr>
    </w:p>
    <w:p>
      <w:pPr>
        <w:ind w:left="-20" w:firstLine="1304"/>
        <w:spacing w:after="0" w:line="277" w:lineRule="auto"/>
        <w:tabs>
          <w:tab w:leader="none" w:pos="18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be payable not later than ten (10) Business Days after written demand therefor and presentation of any documents required to be delivered in connection therewith.</w:t>
      </w:r>
    </w:p>
    <w:p>
      <w:pPr>
        <w:spacing w:after="0" w:line="170"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4"/>
        <w:spacing w:after="0" w:line="290" w:lineRule="auto"/>
        <w:tabs>
          <w:tab w:leader="none" w:pos="198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65" w:lineRule="exact"/>
        <w:rPr>
          <w:rFonts w:ascii="Arial" w:cs="Arial" w:eastAsia="Arial" w:hAnsi="Arial"/>
          <w:sz w:val="16"/>
          <w:szCs w:val="16"/>
          <w:color w:val="auto"/>
        </w:rPr>
      </w:pPr>
    </w:p>
    <w:p>
      <w:pPr>
        <w:jc w:val="both"/>
        <w:ind w:left="-20" w:firstLine="1304"/>
        <w:spacing w:after="0" w:line="259" w:lineRule="auto"/>
        <w:tabs>
          <w:tab w:leader="none" w:pos="184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this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subparagraph (b)(ii)</w:t>
      </w:r>
      <w:r>
        <w:rPr>
          <w:rFonts w:ascii="Arial" w:cs="Arial" w:eastAsia="Arial" w:hAnsi="Arial"/>
          <w:sz w:val="18"/>
          <w:szCs w:val="18"/>
          <w:color w:val="auto"/>
        </w:rPr>
        <w:t xml:space="preserve"> 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delayed or conditioned) of:</w:t>
      </w:r>
    </w:p>
    <w:p>
      <w:pPr>
        <w:spacing w:after="0" w:line="186" w:lineRule="exact"/>
        <w:rPr>
          <w:rFonts w:ascii="Arial" w:cs="Arial" w:eastAsia="Arial" w:hAnsi="Arial"/>
          <w:sz w:val="18"/>
          <w:szCs w:val="18"/>
          <w:color w:val="auto"/>
        </w:rPr>
      </w:pPr>
    </w:p>
    <w:p>
      <w:pPr>
        <w:jc w:val="both"/>
        <w:ind w:left="1280" w:firstLine="652"/>
        <w:spacing w:after="0" w:line="259" w:lineRule="auto"/>
        <w:tabs>
          <w:tab w:leader="none" w:pos="2573" w:val="left"/>
        </w:tabs>
        <w:numPr>
          <w:ilvl w:val="1"/>
          <w:numId w:val="211"/>
        </w:numPr>
        <w:rPr>
          <w:rFonts w:ascii="Arial" w:cs="Arial" w:eastAsia="Arial" w:hAnsi="Arial"/>
          <w:sz w:val="18"/>
          <w:szCs w:val="18"/>
          <w:color w:val="010000"/>
        </w:rPr>
      </w:pPr>
      <w:r>
        <w:rPr>
          <w:rFonts w:ascii="Arial" w:cs="Arial" w:eastAsia="Arial" w:hAnsi="Arial"/>
          <w:sz w:val="18"/>
          <w:szCs w:val="18"/>
          <w:color w:val="auto"/>
        </w:rPr>
        <w:t xml:space="preserve">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Borrowers shall be required for an assignment to a Lender (provided such Lender is a U.S. Qualifying Lender), an Affiliate of a Lender (provided such Affiliate is a U.S. Qualifying Lender), an Approved Fund (provided such Approved Fund is a U.S. Qualifying Lender) or, if an Event of Default has occurred and is continuing, any other assignee; and</w:t>
      </w:r>
    </w:p>
    <w:p>
      <w:pPr>
        <w:spacing w:after="0" w:line="186" w:lineRule="exact"/>
        <w:rPr>
          <w:rFonts w:ascii="Arial" w:cs="Arial" w:eastAsia="Arial" w:hAnsi="Arial"/>
          <w:sz w:val="18"/>
          <w:szCs w:val="18"/>
          <w:color w:val="010000"/>
        </w:rPr>
      </w:pPr>
    </w:p>
    <w:p>
      <w:pPr>
        <w:ind w:left="1280" w:firstLine="652"/>
        <w:spacing w:after="0" w:line="308" w:lineRule="auto"/>
        <w:tabs>
          <w:tab w:leader="none" w:pos="2510" w:val="left"/>
        </w:tabs>
        <w:numPr>
          <w:ilvl w:val="1"/>
          <w:numId w:val="211"/>
        </w:numPr>
        <w:rPr>
          <w:rFonts w:ascii="Arial" w:cs="Arial" w:eastAsia="Arial" w:hAnsi="Arial"/>
          <w:sz w:val="17"/>
          <w:szCs w:val="17"/>
          <w:color w:val="010000"/>
        </w:rPr>
      </w:pPr>
      <w:r>
        <w:rPr>
          <w:rFonts w:ascii="Arial" w:cs="Arial" w:eastAsia="Arial" w:hAnsi="Arial"/>
          <w:sz w:val="17"/>
          <w:szCs w:val="17"/>
          <w:color w:val="auto"/>
        </w:rPr>
        <w:t xml:space="preserve">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to a Lender, an Affiliate of a Lender, an Approved Fund immediately prior to giving effect to such assignment; and</w:t>
      </w:r>
    </w:p>
    <w:p>
      <w:pPr>
        <w:spacing w:after="0" w:line="146" w:lineRule="exact"/>
        <w:rPr>
          <w:rFonts w:ascii="Arial" w:cs="Arial" w:eastAsia="Arial" w:hAnsi="Arial"/>
          <w:sz w:val="17"/>
          <w:szCs w:val="17"/>
          <w:color w:val="010000"/>
        </w:rPr>
      </w:pPr>
    </w:p>
    <w:p>
      <w:pPr>
        <w:ind w:left="2480" w:hanging="548"/>
        <w:spacing w:after="0"/>
        <w:tabs>
          <w:tab w:leader="none" w:pos="2480" w:val="left"/>
        </w:tabs>
        <w:numPr>
          <w:ilvl w:val="1"/>
          <w:numId w:val="211"/>
        </w:numPr>
        <w:rPr>
          <w:rFonts w:ascii="Arial" w:cs="Arial" w:eastAsia="Arial" w:hAnsi="Arial"/>
          <w:sz w:val="18"/>
          <w:szCs w:val="18"/>
          <w:color w:val="010000"/>
        </w:rPr>
      </w:pPr>
      <w:r>
        <w:rPr>
          <w:rFonts w:ascii="Arial" w:cs="Arial" w:eastAsia="Arial" w:hAnsi="Arial"/>
          <w:sz w:val="18"/>
          <w:szCs w:val="18"/>
          <w:color w:val="auto"/>
        </w:rPr>
        <w:t>each Issuing Bank;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89" w:name="page190"/>
    <w:bookmarkEnd w:id="189"/>
    <w:p>
      <w:pPr>
        <w:jc w:val="both"/>
        <w:ind w:left="18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consent to an assignment required by the Borrowers under this </w:t>
      </w:r>
      <w:r>
        <w:rPr>
          <w:rFonts w:ascii="Arial" w:cs="Arial" w:eastAsia="Arial" w:hAnsi="Arial"/>
          <w:sz w:val="18"/>
          <w:szCs w:val="18"/>
          <w:u w:val="single" w:color="auto"/>
          <w:color w:val="auto"/>
        </w:rPr>
        <w:t>Section 11.05(b)(i)</w:t>
      </w:r>
      <w:r>
        <w:rPr>
          <w:rFonts w:ascii="Arial" w:cs="Arial" w:eastAsia="Arial" w:hAnsi="Arial"/>
          <w:sz w:val="18"/>
          <w:szCs w:val="18"/>
          <w:color w:val="auto"/>
        </w:rPr>
        <w:t xml:space="preserve"> shall be deemed to have been given by the Borrowers unless it shall have objected thereto by written notice to the Administrative Agent within ten (10) Business Days after receiving a written request for its consent to such assignment.</w:t>
      </w:r>
    </w:p>
    <w:p>
      <w:pPr>
        <w:spacing w:after="0" w:line="184" w:lineRule="exact"/>
        <w:rPr>
          <w:sz w:val="20"/>
          <w:szCs w:val="20"/>
          <w:color w:val="auto"/>
        </w:rPr>
      </w:pPr>
    </w:p>
    <w:p>
      <w:pPr>
        <w:ind w:left="1320" w:hanging="488"/>
        <w:spacing w:after="0"/>
        <w:tabs>
          <w:tab w:leader="none" w:pos="13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sz w:val="20"/>
          <w:szCs w:val="20"/>
          <w:color w:val="auto"/>
        </w:rPr>
      </w:pPr>
    </w:p>
    <w:p>
      <w:pPr>
        <w:jc w:val="both"/>
        <w:ind w:left="180" w:firstLine="652"/>
        <w:spacing w:after="0" w:line="275" w:lineRule="auto"/>
        <w:tabs>
          <w:tab w:leader="none" w:pos="1357" w:val="left"/>
        </w:tabs>
        <w:numPr>
          <w:ilvl w:val="0"/>
          <w:numId w:val="213"/>
        </w:numPr>
        <w:rPr>
          <w:rFonts w:ascii="Arial" w:cs="Arial" w:eastAsia="Arial" w:hAnsi="Arial"/>
          <w:sz w:val="17"/>
          <w:szCs w:val="17"/>
          <w:color w:val="010000"/>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Borrowers shall be required if an Event of Default has occurred and is continuing;</w:t>
      </w:r>
    </w:p>
    <w:p>
      <w:pPr>
        <w:spacing w:after="0" w:line="176" w:lineRule="exact"/>
        <w:rPr>
          <w:rFonts w:ascii="Arial" w:cs="Arial" w:eastAsia="Arial" w:hAnsi="Arial"/>
          <w:sz w:val="17"/>
          <w:szCs w:val="17"/>
          <w:color w:val="010000"/>
        </w:rPr>
      </w:pPr>
    </w:p>
    <w:p>
      <w:pPr>
        <w:ind w:left="180" w:firstLine="652"/>
        <w:spacing w:after="0" w:line="277" w:lineRule="auto"/>
        <w:tabs>
          <w:tab w:leader="none" w:pos="1360"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170" w:lineRule="exact"/>
        <w:rPr>
          <w:rFonts w:ascii="Arial" w:cs="Arial" w:eastAsia="Arial" w:hAnsi="Arial"/>
          <w:sz w:val="18"/>
          <w:szCs w:val="18"/>
          <w:color w:val="010000"/>
        </w:rPr>
      </w:pPr>
    </w:p>
    <w:p>
      <w:pPr>
        <w:ind w:left="180" w:firstLine="652"/>
        <w:spacing w:after="0" w:line="277" w:lineRule="auto"/>
        <w:tabs>
          <w:tab w:leader="none" w:pos="1374"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170" w:lineRule="exact"/>
        <w:rPr>
          <w:rFonts w:ascii="Arial" w:cs="Arial" w:eastAsia="Arial" w:hAnsi="Arial"/>
          <w:sz w:val="18"/>
          <w:szCs w:val="18"/>
          <w:color w:val="010000"/>
        </w:rPr>
      </w:pPr>
    </w:p>
    <w:p>
      <w:pPr>
        <w:jc w:val="both"/>
        <w:ind w:left="180" w:firstLine="652"/>
        <w:spacing w:after="0" w:line="257" w:lineRule="auto"/>
        <w:tabs>
          <w:tab w:leader="none" w:pos="1397"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rFonts w:ascii="Arial" w:cs="Arial" w:eastAsia="Arial" w:hAnsi="Arial"/>
          <w:sz w:val="18"/>
          <w:szCs w:val="18"/>
          <w:color w:val="010000"/>
        </w:rPr>
      </w:pPr>
    </w:p>
    <w:p>
      <w:pPr>
        <w:jc w:val="both"/>
        <w:ind w:left="180" w:firstLine="652"/>
        <w:spacing w:after="0" w:line="259" w:lineRule="auto"/>
        <w:tabs>
          <w:tab w:leader="none" w:pos="1350"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4.02(e)</w:t>
      </w:r>
      <w:r>
        <w:rPr>
          <w:rFonts w:ascii="Arial" w:cs="Arial" w:eastAsia="Arial" w:hAnsi="Arial"/>
          <w:sz w:val="18"/>
          <w:szCs w:val="18"/>
          <w:color w:val="auto"/>
        </w:rPr>
        <w:t xml:space="preserve"> for any Lender, and no assignment shall be effective in connection herewith unless and until such forms are so delivered;</w:t>
      </w:r>
    </w:p>
    <w:p>
      <w:pPr>
        <w:spacing w:after="0" w:line="186" w:lineRule="exact"/>
        <w:rPr>
          <w:rFonts w:ascii="Arial" w:cs="Arial" w:eastAsia="Arial" w:hAnsi="Arial"/>
          <w:sz w:val="18"/>
          <w:szCs w:val="18"/>
          <w:color w:val="010000"/>
        </w:rPr>
      </w:pPr>
    </w:p>
    <w:p>
      <w:pPr>
        <w:ind w:left="180" w:right="20" w:firstLine="652"/>
        <w:spacing w:after="0" w:line="277" w:lineRule="auto"/>
        <w:tabs>
          <w:tab w:leader="none" w:pos="1408"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except in the case when no consent of the Borrowers is required because an Event of Default has occurred and is continuing, no assignment shall be made to any such assignee unless such assignee is a U.S. Qualifying Lender;</w:t>
      </w:r>
    </w:p>
    <w:p>
      <w:pPr>
        <w:spacing w:after="0" w:line="170" w:lineRule="exact"/>
        <w:rPr>
          <w:rFonts w:ascii="Arial" w:cs="Arial" w:eastAsia="Arial" w:hAnsi="Arial"/>
          <w:sz w:val="18"/>
          <w:szCs w:val="18"/>
          <w:color w:val="010000"/>
        </w:rPr>
      </w:pPr>
    </w:p>
    <w:p>
      <w:pPr>
        <w:ind w:left="1300" w:hanging="468"/>
        <w:spacing w:after="0"/>
        <w:tabs>
          <w:tab w:leader="none" w:pos="1300"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no assignment shall be made to an Ineligible Institution; and</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90" w:name="page191"/>
    <w:bookmarkEnd w:id="190"/>
    <w:p>
      <w:pPr>
        <w:ind w:left="1760" w:hanging="468"/>
        <w:spacing w:after="0"/>
        <w:tabs>
          <w:tab w:leader="none" w:pos="1760" w:val="left"/>
        </w:tabs>
        <w:numPr>
          <w:ilvl w:val="0"/>
          <w:numId w:val="214"/>
        </w:numPr>
        <w:rPr>
          <w:rFonts w:ascii="Arial" w:cs="Arial" w:eastAsia="Arial" w:hAnsi="Arial"/>
          <w:sz w:val="17"/>
          <w:szCs w:val="17"/>
          <w:color w:val="010000"/>
        </w:rPr>
      </w:pPr>
      <w:r>
        <w:rPr>
          <w:rFonts w:ascii="Arial" w:cs="Arial" w:eastAsia="Arial" w:hAnsi="Arial"/>
          <w:sz w:val="17"/>
          <w:szCs w:val="17"/>
          <w:color w:val="auto"/>
        </w:rPr>
        <w:t>the assignee, if it shall not be a Lender, shall deliver to Parent and the Administrative Agent an Assignee Certificate.</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 consent shall not be unreasonably withheld or delayed and 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Arial" w:cs="Arial" w:eastAsia="Arial" w:hAnsi="Arial"/>
          <w:sz w:val="16"/>
          <w:szCs w:val="16"/>
          <w:u w:val="single" w:color="auto"/>
          <w:color w:val="auto"/>
        </w:rPr>
        <w:t>Section 11.05(b)(ii)(E)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Barclays Bank PLC may assign its Commitments hereunder to Barclays Bank Ireland PLC.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11.05</w:t>
      </w:r>
      <w:r>
        <w:rPr>
          <w:rFonts w:ascii="Arial" w:cs="Arial" w:eastAsia="Arial" w:hAnsi="Arial"/>
          <w:sz w:val="18"/>
          <w:szCs w:val="18"/>
          <w:color w:val="auto"/>
        </w:rPr>
        <w:t>,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Institution</w:t>
      </w:r>
      <w:r>
        <w:rPr>
          <w:rFonts w:ascii="Arial" w:cs="Arial" w:eastAsia="Arial" w:hAnsi="Arial"/>
          <w:sz w:val="17"/>
          <w:szCs w:val="17"/>
          <w:color w:val="auto"/>
        </w:rPr>
        <w:t xml:space="preserve">” 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upon the occurrence and during the continuance of an Event of Default, any Person (other than a Lender) shall be an Ineligible Institution if after giving effect to any proposed assignment to such Person, such Person would hold more than 25% of the then outstanding Commitments, as the case may be.</w:t>
      </w:r>
    </w:p>
    <w:p>
      <w:pPr>
        <w:spacing w:after="0" w:line="181" w:lineRule="exact"/>
        <w:rPr>
          <w:sz w:val="20"/>
          <w:szCs w:val="20"/>
          <w:color w:val="auto"/>
        </w:rPr>
      </w:pPr>
    </w:p>
    <w:p>
      <w:pPr>
        <w:ind w:firstLine="1292"/>
        <w:spacing w:after="0" w:line="277" w:lineRule="auto"/>
        <w:tabs>
          <w:tab w:leader="none" w:pos="188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Subject to acceptance and recording thereof pursuant to </w:t>
      </w:r>
      <w:r>
        <w:rPr>
          <w:rFonts w:ascii="Arial" w:cs="Arial" w:eastAsia="Arial" w:hAnsi="Arial"/>
          <w:sz w:val="18"/>
          <w:szCs w:val="18"/>
          <w:u w:val="single" w:color="auto"/>
          <w:color w:val="auto"/>
        </w:rPr>
        <w:t>subparagraph (b)(iv)</w:t>
      </w:r>
      <w:r>
        <w:rPr>
          <w:rFonts w:ascii="Arial" w:cs="Arial" w:eastAsia="Arial" w:hAnsi="Arial"/>
          <w:sz w:val="18"/>
          <w:szCs w:val="18"/>
          <w:color w:val="auto"/>
        </w:rPr>
        <w:t xml:space="preserve"> of this Section, from and after the effective date specified in each Assignment and Assumption, the assignee thereunder shall be a party hereto and, to the</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91" w:name="page192"/>
    <w:bookmarkEnd w:id="191"/>
    <w:p>
      <w:pPr>
        <w:jc w:val="both"/>
        <w:ind w:left="652"/>
        <w:spacing w:after="0" w:line="254" w:lineRule="auto"/>
        <w:rPr>
          <w:sz w:val="20"/>
          <w:szCs w:val="20"/>
          <w:color w:val="auto"/>
        </w:rPr>
      </w:pPr>
      <w:r>
        <w:rPr>
          <w:rFonts w:ascii="Arial" w:cs="Arial" w:eastAsia="Arial" w:hAnsi="Arial"/>
          <w:sz w:val="18"/>
          <w:szCs w:val="18"/>
          <w:color w:val="auto"/>
        </w:rPr>
        <w:t xml:space="preserve">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Any assignment or transfer by a Lender of rights or obligations under this Agreement that does not comply with this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w:t>
      </w:r>
    </w:p>
    <w:p>
      <w:pPr>
        <w:spacing w:after="0" w:line="195" w:lineRule="exact"/>
        <w:rPr>
          <w:sz w:val="20"/>
          <w:szCs w:val="20"/>
          <w:color w:val="auto"/>
        </w:rPr>
      </w:pPr>
    </w:p>
    <w:p>
      <w:pPr>
        <w:jc w:val="both"/>
        <w:ind w:left="652" w:firstLine="1292"/>
        <w:spacing w:after="0" w:line="254" w:lineRule="auto"/>
        <w:tabs>
          <w:tab w:leader="none" w:pos="2614"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LC Disbursements owing by each Borrower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191" w:lineRule="exact"/>
        <w:rPr>
          <w:rFonts w:ascii="Arial" w:cs="Arial" w:eastAsia="Arial" w:hAnsi="Arial"/>
          <w:sz w:val="18"/>
          <w:szCs w:val="18"/>
          <w:color w:val="auto"/>
        </w:rPr>
      </w:pPr>
    </w:p>
    <w:p>
      <w:pPr>
        <w:jc w:val="both"/>
        <w:ind w:left="652" w:firstLine="1292"/>
        <w:spacing w:after="0" w:line="270" w:lineRule="auto"/>
        <w:tabs>
          <w:tab w:leader="none" w:pos="2599" w:val="left"/>
        </w:tabs>
        <w:numPr>
          <w:ilvl w:val="2"/>
          <w:numId w:val="216"/>
        </w:numPr>
        <w:rPr>
          <w:rFonts w:ascii="Arial" w:cs="Arial" w:eastAsia="Arial" w:hAnsi="Arial"/>
          <w:sz w:val="17"/>
          <w:szCs w:val="17"/>
          <w:color w:val="auto"/>
        </w:rPr>
      </w:pPr>
      <w:r>
        <w:rPr>
          <w:rFonts w:ascii="Arial" w:cs="Arial" w:eastAsia="Arial" w:hAnsi="Arial"/>
          <w:sz w:val="17"/>
          <w:szCs w:val="17"/>
          <w:color w:val="auto"/>
        </w:rPr>
        <w:t xml:space="preserve">Upon its receipt of a duly completed Assignment and Assumption executed by an assigning Lender and an assignee permitted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such assignee’s completed Administrative Questionnaire (unless such assignee shall already be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any written consent to such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such assignee shall have failed to make any payment required to be made by it pursuant to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11.04(a)</w:t>
      </w:r>
      <w:r>
        <w:rPr>
          <w:rFonts w:ascii="Arial" w:cs="Arial" w:eastAsia="Arial" w:hAnsi="Arial"/>
          <w:sz w:val="17"/>
          <w:szCs w:val="17"/>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0" w:lineRule="exact"/>
        <w:rPr>
          <w:rFonts w:ascii="Arial" w:cs="Arial" w:eastAsia="Arial" w:hAnsi="Arial"/>
          <w:sz w:val="17"/>
          <w:szCs w:val="17"/>
          <w:color w:val="auto"/>
        </w:rPr>
      </w:pPr>
    </w:p>
    <w:p>
      <w:pPr>
        <w:jc w:val="both"/>
        <w:ind w:left="-8" w:firstLine="1304"/>
        <w:spacing w:after="0" w:line="287" w:lineRule="auto"/>
        <w:tabs>
          <w:tab w:leader="none" w:pos="1973" w:val="left"/>
        </w:tabs>
        <w:numPr>
          <w:ilvl w:val="1"/>
          <w:numId w:val="217"/>
        </w:numPr>
        <w:rPr>
          <w:rFonts w:ascii="Arial" w:cs="Arial" w:eastAsia="Arial" w:hAnsi="Arial"/>
          <w:sz w:val="16"/>
          <w:szCs w:val="16"/>
          <w:color w:val="auto"/>
        </w:rPr>
      </w:pPr>
      <w:r>
        <w:rPr>
          <w:rFonts w:ascii="Arial" w:cs="Arial" w:eastAsia="Arial" w:hAnsi="Arial"/>
          <w:sz w:val="16"/>
          <w:szCs w:val="16"/>
          <w:color w:val="auto"/>
        </w:rPr>
        <w:t>(i) Except as otherwise provided in this Agreement or any other Loan Document, any Lender may, without the consent of any Obligor, the Administrative Agent or any Issuing Bank, sell participations to one or more banks or other entities other than an Ineligible Institution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8" w:firstLine="8"/>
        <w:spacing w:after="0" w:line="323" w:lineRule="auto"/>
        <w:tabs>
          <w:tab w:leader="none" w:pos="28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w:t>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92" w:name="page193"/>
    <w:bookmarkEnd w:id="192"/>
    <w:p>
      <w:pPr>
        <w:jc w:val="both"/>
        <w:spacing w:after="0" w:line="284" w:lineRule="auto"/>
        <w:rPr>
          <w:sz w:val="20"/>
          <w:szCs w:val="20"/>
          <w:color w:val="auto"/>
        </w:rPr>
      </w:pPr>
      <w:r>
        <w:rPr>
          <w:rFonts w:ascii="Arial" w:cs="Arial" w:eastAsia="Arial" w:hAnsi="Arial"/>
          <w:sz w:val="16"/>
          <w:szCs w:val="16"/>
          <w:color w:val="auto"/>
        </w:rPr>
        <w:t xml:space="preserve">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subparagraph (c)(ii)</w:t>
      </w:r>
      <w:r>
        <w:rPr>
          <w:rFonts w:ascii="Arial" w:cs="Arial" w:eastAsia="Arial" w:hAnsi="Arial"/>
          <w:sz w:val="16"/>
          <w:szCs w:val="16"/>
          <w:color w:val="auto"/>
        </w:rPr>
        <w:t xml:space="preserve"> of this Section, each Borrower agrees that each Participant shall be entitled to the benefits of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and to deliver the forms required by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4.02(h)</w:t>
      </w:r>
      <w:r>
        <w:rPr>
          <w:rFonts w:ascii="Arial" w:cs="Arial" w:eastAsia="Arial" w:hAnsi="Arial"/>
          <w:sz w:val="16"/>
          <w:szCs w:val="16"/>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but not limited to, </w:t>
      </w:r>
      <w:r>
        <w:rPr>
          <w:rFonts w:ascii="Arial" w:cs="Arial" w:eastAsia="Arial" w:hAnsi="Arial"/>
          <w:sz w:val="16"/>
          <w:szCs w:val="16"/>
          <w:u w:val="single" w:color="auto"/>
          <w:color w:val="auto"/>
        </w:rPr>
        <w:t>Section 11.05(c)(ii)</w:t>
      </w:r>
      <w:r>
        <w:rPr>
          <w:rFonts w:ascii="Arial" w:cs="Arial" w:eastAsia="Arial" w:hAnsi="Arial"/>
          <w:sz w:val="16"/>
          <w:szCs w:val="16"/>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6" w:lineRule="exact"/>
        <w:rPr>
          <w:sz w:val="20"/>
          <w:szCs w:val="20"/>
          <w:color w:val="auto"/>
        </w:rPr>
      </w:pPr>
    </w:p>
    <w:p>
      <w:pPr>
        <w:jc w:val="both"/>
        <w:ind w:left="660" w:firstLine="1292"/>
        <w:spacing w:after="0" w:line="273" w:lineRule="auto"/>
        <w:tabs>
          <w:tab w:leader="none" w:pos="244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 is made with the Borrowers’ prior written consent. The Borrowers shall be notified of each participation sold to a Participant, and each Participant shall comply with </w:t>
      </w:r>
      <w:r>
        <w:rPr>
          <w:rFonts w:ascii="Arial" w:cs="Arial" w:eastAsia="Arial" w:hAnsi="Arial"/>
          <w:sz w:val="17"/>
          <w:szCs w:val="17"/>
          <w:u w:val="single" w:color="auto"/>
          <w:color w:val="auto"/>
        </w:rPr>
        <w:t>Sections 4.02(c)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4.02(d)</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4.02(e)</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4.03</w:t>
      </w:r>
      <w:r>
        <w:rPr>
          <w:rFonts w:ascii="Arial" w:cs="Arial" w:eastAsia="Arial" w:hAnsi="Arial"/>
          <w:sz w:val="17"/>
          <w:szCs w:val="17"/>
          <w:color w:val="auto"/>
        </w:rPr>
        <w:t xml:space="preserve"> as though it were a Lender. A Participant that fails to comply with the preceding sentence shall not be entitled to any of the benefits of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3" w:name="page194"/>
    <w:bookmarkEnd w:id="193"/>
    <w:p>
      <w:pPr>
        <w:jc w:val="both"/>
        <w:ind w:firstLine="1304"/>
        <w:spacing w:after="0" w:line="259" w:lineRule="auto"/>
        <w:tabs>
          <w:tab w:leader="none" w:pos="185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88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 case of any assignment or transfer by an 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w:t>
      </w:r>
    </w:p>
    <w:p>
      <w:pPr>
        <w:spacing w:after="0" w:line="4" w:lineRule="exact"/>
        <w:rPr>
          <w:sz w:val="20"/>
          <w:szCs w:val="20"/>
          <w:color w:val="auto"/>
        </w:rPr>
      </w:pPr>
    </w:p>
    <w:p>
      <w:pPr>
        <w:jc w:val="both"/>
        <w:ind w:firstLine="8"/>
        <w:spacing w:after="0" w:line="284" w:lineRule="auto"/>
        <w:tabs>
          <w:tab w:leader="none" w:pos="27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facilities provided for herein or (ii) the CUSIP Service Bureau or any similar agency in connection with the issuance and monitoring of CUSIP numbers with respect to the credit facilities provided for herein.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4" w:name="page195"/>
    <w:bookmarkEnd w:id="194"/>
    <w:p>
      <w:pPr>
        <w:jc w:val="both"/>
        <w:spacing w:after="0" w:line="259" w:lineRule="auto"/>
        <w:rPr>
          <w:sz w:val="20"/>
          <w:szCs w:val="20"/>
          <w:color w:val="auto"/>
        </w:rPr>
      </w:pPr>
      <w:r>
        <w:rPr>
          <w:rFonts w:ascii="Arial" w:cs="Arial" w:eastAsia="Arial" w:hAnsi="Arial"/>
          <w:sz w:val="18"/>
          <w:szCs w:val="18"/>
          <w:color w:val="auto"/>
        </w:rPr>
        <w:t>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BORROWERS AND ITS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and remain in full force and in effect regardless of the consummation of the transactions contemplated hereby, the repayment of the Obligations, the expiration or termination of the Letters of Credit and the Commitments or the termination of this Agreement or any provision hereof.</w:t>
      </w:r>
    </w:p>
    <w:p>
      <w:pPr>
        <w:spacing w:after="0" w:line="19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the other Loan Documents (other than any Collateral Document that expressly selects to be governed by the laws of another jurisdiction) and all other documents executed in connection herewith and therewith and the rights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and obligations of the parties hereto and thereto shall be construed in accordance with and governed by the law of the State of New York.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Independence of Covenants</w:t>
      </w:r>
      <w:r>
        <w:rPr>
          <w:rFonts w:ascii="Arial" w:cs="Arial" w:eastAsia="Arial" w:hAnsi="Arial"/>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spacing w:after="0" w:line="3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6" w:name="page197"/>
    <w:bookmarkEnd w:id="196"/>
    <w:p>
      <w:pPr>
        <w:jc w:val="both"/>
        <w:ind w:firstLine="648"/>
        <w:spacing w:after="0" w:line="277"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Conflicts Between This Agreement and the Other Loan Documents</w:t>
      </w:r>
      <w:r>
        <w:rPr>
          <w:rFonts w:ascii="Arial" w:cs="Arial" w:eastAsia="Arial" w:hAnsi="Arial"/>
          <w:sz w:val="18"/>
          <w:szCs w:val="18"/>
          <w:color w:val="auto"/>
        </w:rPr>
        <w:t>. In the event of any conflict between, or inconsistency with, the terms of this Agreement and the terms of any of the other Loan Documents, the terms of this Agreement shall control.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Limitation of Interest</w:t>
      </w:r>
      <w:r>
        <w:rPr>
          <w:rFonts w:ascii="Arial" w:cs="Arial" w:eastAsia="Arial" w:hAnsi="Arial"/>
          <w:sz w:val="16"/>
          <w:szCs w:val="16"/>
          <w:color w:val="auto"/>
        </w:rPr>
        <w:t>. Notwithstanding anything herein to the contrary, if at any time the interest rate applicable to any amount due hereunder, together with all fees, charges and other amounts which are treated as interest on such amount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Federal Funds Effective Rate to the date of repayment, shall have been received by such Lender.</w:t>
      </w:r>
    </w:p>
    <w:p>
      <w:pPr>
        <w:spacing w:after="0" w:line="165"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11.15</w:t>
      </w:r>
      <w:r>
        <w:rPr>
          <w:sz w:val="20"/>
          <w:szCs w:val="20"/>
          <w:color w:val="auto"/>
        </w:rPr>
        <w:tab/>
      </w:r>
      <w:r>
        <w:rPr>
          <w:rFonts w:ascii="Arial" w:cs="Arial" w:eastAsia="Arial" w:hAnsi="Arial"/>
          <w:sz w:val="16"/>
          <w:szCs w:val="16"/>
          <w:u w:val="single" w:color="auto"/>
          <w:color w:val="auto"/>
        </w:rPr>
        <w:t>Submission to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8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Each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(i) agrees that all claims in respect of any such action or proceeding may be heard and determined in such New York State court or, to the extent permitted by law, in such Federal court and (ii) waives its rights to any other jurisdiction it may be entitled to by virtue of its present or any other future domicile or for any other reason.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7"/>
          <w:szCs w:val="17"/>
          <w:u w:val="single" w:color="auto"/>
          <w:color w:val="auto"/>
        </w:rPr>
        <w:t>Section 11.15</w:t>
      </w:r>
      <w:r>
        <w:rPr>
          <w:rFonts w:ascii="Arial" w:cs="Arial" w:eastAsia="Arial" w:hAnsi="Arial"/>
          <w:sz w:val="17"/>
          <w:szCs w:val="17"/>
          <w:color w:val="auto"/>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199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 Each Obligor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7" w:name="page198"/>
    <w:bookmarkEnd w:id="197"/>
    <w:p>
      <w:pPr>
        <w:spacing w:after="0" w:line="277" w:lineRule="auto"/>
        <w:rPr>
          <w:sz w:val="20"/>
          <w:szCs w:val="20"/>
          <w:color w:val="auto"/>
        </w:rPr>
      </w:pPr>
      <w:r>
        <w:rPr>
          <w:rFonts w:ascii="Arial" w:cs="Arial" w:eastAsia="Arial" w:hAnsi="Arial"/>
          <w:sz w:val="18"/>
          <w:szCs w:val="18"/>
          <w:color w:val="auto"/>
        </w:rPr>
        <w:t>hereby irrevocably waives, to the fullest extent permitted by law, the defense of an inconvenient forum to the maintenance of such action or proceeding in any such court.</w:t>
      </w:r>
    </w:p>
    <w:p>
      <w:pPr>
        <w:spacing w:after="0" w:line="170" w:lineRule="exact"/>
        <w:rPr>
          <w:sz w:val="20"/>
          <w:szCs w:val="20"/>
          <w:color w:val="auto"/>
        </w:rPr>
      </w:pPr>
    </w:p>
    <w:p>
      <w:pPr>
        <w:jc w:val="both"/>
        <w:ind w:firstLine="1304"/>
        <w:spacing w:after="0" w:line="289" w:lineRule="auto"/>
        <w:tabs>
          <w:tab w:leader="none" w:pos="183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111 8th Avenue, New York, New York 10011, as the designee, appointee and agent of such Obligor to receive, for and on behalf of such Obligor, service of process in the State of New York in any suit, action or proceeding arising out of or relating to this Agreement or any other Loan Document. For such purpose, each Obligor organized under the laws of Mexico, shall deliver to the Administrative Agent a copy of the public deed that contains an irrevocable special power of attorney for lawsuits and collections (</w:t>
      </w:r>
      <w:r>
        <w:rPr>
          <w:rFonts w:ascii="Arial" w:cs="Arial" w:eastAsia="Arial" w:hAnsi="Arial"/>
          <w:sz w:val="16"/>
          <w:szCs w:val="16"/>
          <w:i w:val="1"/>
          <w:iCs w:val="1"/>
          <w:color w:val="auto"/>
        </w:rPr>
        <w:t>poder para pleitos y cobranzas</w:t>
      </w:r>
      <w:r>
        <w:rPr>
          <w:rFonts w:ascii="Arial" w:cs="Arial" w:eastAsia="Arial" w:hAnsi="Arial"/>
          <w:sz w:val="16"/>
          <w:szCs w:val="16"/>
          <w:color w:val="auto"/>
        </w:rPr>
        <w:t>) in terms of the first and fourth paragraphs of Article 2554 of the Federal Civil Code (</w:t>
      </w:r>
      <w:r>
        <w:rPr>
          <w:rFonts w:ascii="Arial" w:cs="Arial" w:eastAsia="Arial" w:hAnsi="Arial"/>
          <w:sz w:val="16"/>
          <w:szCs w:val="16"/>
          <w:i w:val="1"/>
          <w:iCs w:val="1"/>
          <w:color w:val="auto"/>
        </w:rPr>
        <w:t>Código Civil Federal)</w:t>
      </w:r>
      <w:r>
        <w:rPr>
          <w:rFonts w:ascii="Arial" w:cs="Arial" w:eastAsia="Arial" w:hAnsi="Arial"/>
          <w:sz w:val="16"/>
          <w:szCs w:val="16"/>
          <w:color w:val="auto"/>
        </w:rPr>
        <w:t xml:space="preserve"> of Mexico and the respective provisions of the Civil Codes of the States of Mexico (or any successor provisions) granted before a Mexican notary public, in form and substance reasonably satisfactory to the Administrative Agent.</w:t>
      </w:r>
    </w:p>
    <w:p>
      <w:pPr>
        <w:spacing w:after="0" w:line="166" w:lineRule="exact"/>
        <w:rPr>
          <w:rFonts w:ascii="Arial" w:cs="Arial" w:eastAsia="Arial" w:hAnsi="Arial"/>
          <w:sz w:val="16"/>
          <w:szCs w:val="16"/>
          <w:color w:val="auto"/>
        </w:rPr>
      </w:pPr>
    </w:p>
    <w:p>
      <w:pPr>
        <w:jc w:val="both"/>
        <w:ind w:firstLine="1304"/>
        <w:spacing w:after="0" w:line="257" w:lineRule="auto"/>
        <w:tabs>
          <w:tab w:leader="none" w:pos="195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Obligor agrees that any suit, action or proceeding brought by any Obligor Party or any of their respective Subsidiaries relating to this Agreement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186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91" w:lineRule="exact"/>
        <w:rPr>
          <w:rFonts w:ascii="Arial" w:cs="Arial" w:eastAsia="Arial" w:hAnsi="Arial"/>
          <w:sz w:val="18"/>
          <w:szCs w:val="18"/>
          <w:color w:val="auto"/>
        </w:rPr>
      </w:pPr>
    </w:p>
    <w:p>
      <w:pPr>
        <w:jc w:val="both"/>
        <w:ind w:firstLine="1304"/>
        <w:spacing w:after="0" w:line="257" w:lineRule="auto"/>
        <w:tabs>
          <w:tab w:leader="none" w:pos="179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8" w:name="page199"/>
    <w:bookmarkEnd w:id="198"/>
    <w:p>
      <w:pPr>
        <w:jc w:val="both"/>
        <w:ind w:right="20" w:firstLine="1304"/>
        <w:spacing w:after="0" w:line="286" w:lineRule="auto"/>
        <w:tabs>
          <w:tab w:leader="none" w:pos="1896"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11.17 </w:t>
      </w:r>
      <w:r>
        <w:rPr>
          <w:rFonts w:ascii="Arial" w:cs="Arial" w:eastAsia="Arial" w:hAnsi="Arial"/>
          <w:sz w:val="17"/>
          <w:szCs w:val="17"/>
          <w:u w:val="single" w:color="auto"/>
          <w:color w:val="auto"/>
        </w:rPr>
        <w:t>Judgment Currency</w:t>
      </w:r>
      <w:r>
        <w:rPr>
          <w:rFonts w:ascii="Arial" w:cs="Arial" w:eastAsia="Arial" w:hAnsi="Arial"/>
          <w:sz w:val="17"/>
          <w:szCs w:val="17"/>
          <w:color w:val="auto"/>
        </w:rPr>
        <w:t>. The obligation of each Obligor to make payments on any Obligation to the Lenders, to any Issuing Bank or to the Administrative Agent hereunder in any currency (the “</w:t>
      </w:r>
      <w:r>
        <w:rPr>
          <w:rFonts w:ascii="Arial" w:cs="Arial" w:eastAsia="Arial" w:hAnsi="Arial"/>
          <w:sz w:val="17"/>
          <w:szCs w:val="17"/>
          <w:u w:val="single" w:color="auto"/>
          <w:color w:val="auto"/>
        </w:rPr>
        <w:t>first currency</w:t>
      </w:r>
      <w:r>
        <w:rPr>
          <w:rFonts w:ascii="Arial" w:cs="Arial" w:eastAsia="Arial" w:hAnsi="Arial"/>
          <w:sz w:val="17"/>
          <w:szCs w:val="17"/>
          <w:color w:val="auto"/>
        </w:rPr>
        <w:t>”), shall not be discharged or satisfied by any tender or recovery pursuant to any judgment expressed in or converted into any other currency (the “</w:t>
      </w:r>
      <w:r>
        <w:rPr>
          <w:rFonts w:ascii="Arial" w:cs="Arial" w:eastAsia="Arial" w:hAnsi="Arial"/>
          <w:sz w:val="17"/>
          <w:szCs w:val="17"/>
          <w:u w:val="single" w:color="auto"/>
          <w:color w:val="auto"/>
        </w:rPr>
        <w:t>second currency</w:t>
      </w:r>
      <w:r>
        <w:rPr>
          <w:rFonts w:ascii="Arial" w:cs="Arial" w:eastAsia="Arial" w:hAnsi="Arial"/>
          <w:sz w:val="17"/>
          <w:szCs w:val="17"/>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u w:val="single" w:color="auto"/>
          <w:color w:val="auto"/>
        </w:rPr>
        <w:t>No Fiduciary Duty, etc.</w:t>
      </w:r>
      <w:r>
        <w:rPr>
          <w:rFonts w:ascii="Arial" w:cs="Arial" w:eastAsia="Arial" w:hAnsi="Arial"/>
          <w:sz w:val="17"/>
          <w:szCs w:val="17"/>
          <w:color w:val="auto"/>
        </w:rPr>
        <w:t xml:space="preserve">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 contemplated 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or in the other Loan Documents, and the Credit Parties shall have no responsibility or liability to the Borrowers or Parent with respect thereto.</w:t>
      </w:r>
    </w:p>
    <w:p>
      <w:pPr>
        <w:spacing w:after="0" w:line="225" w:lineRule="exact"/>
        <w:rPr>
          <w:sz w:val="20"/>
          <w:szCs w:val="20"/>
          <w:color w:val="auto"/>
        </w:rPr>
      </w:pPr>
    </w:p>
    <w:p>
      <w:pPr>
        <w:jc w:val="both"/>
        <w:ind w:firstLine="1304"/>
        <w:spacing w:after="0" w:line="291" w:lineRule="auto"/>
        <w:tabs>
          <w:tab w:leader="none" w:pos="189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66" w:lineRule="exact"/>
        <w:rPr>
          <w:rFonts w:ascii="Arial" w:cs="Arial" w:eastAsia="Arial" w:hAnsi="Arial"/>
          <w:sz w:val="16"/>
          <w:szCs w:val="16"/>
          <w:color w:val="auto"/>
        </w:rPr>
      </w:pPr>
    </w:p>
    <w:p>
      <w:pPr>
        <w:jc w:val="both"/>
        <w:ind w:firstLine="1304"/>
        <w:spacing w:after="0" w:line="254" w:lineRule="auto"/>
        <w:tabs>
          <w:tab w:leader="none" w:pos="196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USA Patriot Act</w:t>
      </w:r>
      <w:r>
        <w:rPr>
          <w:rFonts w:ascii="Arial" w:cs="Arial" w:eastAsia="Arial" w:hAnsi="Arial"/>
          <w:sz w:val="18"/>
          <w:szCs w:val="18"/>
          <w:color w:val="auto"/>
        </w:rPr>
        <w:t>. (a) Each Lender that is subject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87" w:lineRule="exact"/>
        <w:rPr>
          <w:sz w:val="20"/>
          <w:szCs w:val="20"/>
          <w:color w:val="auto"/>
        </w:rPr>
      </w:pPr>
    </w:p>
    <w:p>
      <w:pPr>
        <w:jc w:val="both"/>
        <w:ind w:firstLine="1304"/>
        <w:spacing w:after="0" w:line="255" w:lineRule="auto"/>
        <w:tabs>
          <w:tab w:leader="none" w:pos="198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18"/>
          <w:szCs w:val="18"/>
          <w:u w:val="single" w:color="auto"/>
          <w:color w:val="auto"/>
        </w:rPr>
        <w:t>Applicable Law</w:t>
      </w:r>
      <w:r>
        <w:rPr>
          <w:rFonts w:ascii="Arial" w:cs="Arial" w:eastAsia="Arial" w:hAnsi="Arial"/>
          <w:sz w:val="18"/>
          <w:szCs w:val="18"/>
          <w:color w:val="auto"/>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11.20 </w:t>
      </w:r>
      <w:r>
        <w:rPr>
          <w:rFonts w:ascii="Arial" w:cs="Arial" w:eastAsia="Arial" w:hAnsi="Arial"/>
          <w:sz w:val="18"/>
          <w:szCs w:val="18"/>
          <w:u w:val="single" w:color="auto"/>
          <w:color w:val="auto"/>
        </w:rPr>
        <w:t>Appointment for Perfection</w:t>
      </w:r>
      <w:r>
        <w:rPr>
          <w:rFonts w:ascii="Arial" w:cs="Arial" w:eastAsia="Arial" w:hAnsi="Arial"/>
          <w:sz w:val="18"/>
          <w:szCs w:val="18"/>
          <w:color w:val="auto"/>
        </w:rPr>
        <w:t>. Each Lender hereby appoints each other Lender as its agent for the purpose of perfecting Liens, for the benefit of the Administrative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0" w:name="page201"/>
    <w:bookmarkEnd w:id="200"/>
    <w:p>
      <w:pPr>
        <w:jc w:val="both"/>
        <w:spacing w:after="0" w:line="279" w:lineRule="auto"/>
        <w:rPr>
          <w:sz w:val="20"/>
          <w:szCs w:val="20"/>
          <w:color w:val="auto"/>
        </w:rPr>
      </w:pPr>
      <w:r>
        <w:rPr>
          <w:rFonts w:ascii="Arial" w:cs="Arial" w:eastAsia="Arial" w:hAnsi="Arial"/>
          <w:sz w:val="17"/>
          <w:szCs w:val="17"/>
          <w:color w:val="auto"/>
        </w:rPr>
        <w:t>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11.21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Effective Rate from time to time in effect. The obligations of the Lenders and the Issuing Banks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11.22 </w:t>
      </w:r>
      <w:r>
        <w:rPr>
          <w:rFonts w:ascii="Arial" w:cs="Arial" w:eastAsia="Arial" w:hAnsi="Arial"/>
          <w:sz w:val="16"/>
          <w:szCs w:val="16"/>
          <w:u w:val="single" w:color="auto"/>
          <w:color w:val="auto"/>
        </w:rPr>
        <w:t>No Fiduciary Duty</w:t>
      </w:r>
      <w:r>
        <w:rPr>
          <w:rFonts w:ascii="Arial" w:cs="Arial" w:eastAsia="Arial" w:hAnsi="Arial"/>
          <w:sz w:val="16"/>
          <w:szCs w:val="16"/>
          <w:color w:val="auto"/>
        </w:rPr>
        <w:t xml:space="preserve">. The Credit Parties and their respective Affiliates (collectively, solely for purposes of this </w:t>
      </w:r>
      <w:r>
        <w:rPr>
          <w:rFonts w:ascii="Arial" w:cs="Arial" w:eastAsia="Arial" w:hAnsi="Arial"/>
          <w:sz w:val="16"/>
          <w:szCs w:val="16"/>
          <w:u w:val="single" w:color="auto"/>
          <w:color w:val="auto"/>
        </w:rPr>
        <w:t>Section 11.22</w:t>
      </w:r>
      <w:r>
        <w:rPr>
          <w:rFonts w:ascii="Arial" w:cs="Arial" w:eastAsia="Arial" w:hAnsi="Arial"/>
          <w:sz w:val="16"/>
          <w:szCs w:val="16"/>
          <w:color w:val="auto"/>
        </w:rPr>
        <w:t>, the “</w:t>
      </w:r>
      <w:r>
        <w:rPr>
          <w:rFonts w:ascii="Arial" w:cs="Arial" w:eastAsia="Arial" w:hAnsi="Arial"/>
          <w:sz w:val="16"/>
          <w:szCs w:val="16"/>
          <w:u w:val="single" w:color="auto"/>
          <w:color w:val="auto"/>
        </w:rPr>
        <w:t>Credit Parties</w:t>
      </w:r>
      <w:r>
        <w:rPr>
          <w:rFonts w:ascii="Arial" w:cs="Arial" w:eastAsia="Arial" w:hAnsi="Arial"/>
          <w:sz w:val="16"/>
          <w:szCs w:val="16"/>
          <w:color w:val="auto"/>
        </w:rPr>
        <w:t>”) may have economic interests that conflict with those of the Borrowers. Each Obligor agrees that nothing in 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 (v) 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1" w:name="page202"/>
    <w:bookmarkEnd w:id="201"/>
    <w:p>
      <w:pPr>
        <w:ind w:left="660"/>
        <w:spacing w:after="0"/>
        <w:tabs>
          <w:tab w:leader="none" w:pos="2280" w:val="left"/>
        </w:tabs>
        <w:rPr>
          <w:sz w:val="20"/>
          <w:szCs w:val="20"/>
          <w:color w:val="auto"/>
        </w:rPr>
      </w:pPr>
      <w:r>
        <w:rPr>
          <w:rFonts w:ascii="Arial" w:cs="Arial" w:eastAsia="Arial" w:hAnsi="Arial"/>
          <w:sz w:val="18"/>
          <w:szCs w:val="18"/>
          <w:color w:val="auto"/>
        </w:rPr>
        <w:t>SECTION 11.23</w:t>
      </w:r>
      <w:r>
        <w:rPr>
          <w:sz w:val="20"/>
          <w:szCs w:val="20"/>
          <w:color w:val="auto"/>
        </w:rPr>
        <w:tab/>
      </w:r>
      <w:r>
        <w:rPr>
          <w:rFonts w:ascii="Arial" w:cs="Arial" w:eastAsia="Arial" w:hAnsi="Arial"/>
          <w:sz w:val="16"/>
          <w:szCs w:val="16"/>
          <w:u w:val="single" w:color="auto"/>
          <w:color w:val="auto"/>
        </w:rPr>
        <w:t>Release of Guarantors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91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 (iii) upon such Person becoming an Unrestricted Subsidiary, or (iv) 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 Senior Secured Notes), and in any case set forth above, promptly upon receipt of a written request therefor from the Borrowers, the Administrative Agent will execute and deliver all documents as may reasonably be requested to evidence such release.</w:t>
      </w:r>
    </w:p>
    <w:p>
      <w:pPr>
        <w:spacing w:after="0" w:line="177" w:lineRule="exact"/>
        <w:rPr>
          <w:rFonts w:ascii="Arial" w:cs="Arial" w:eastAsia="Arial" w:hAnsi="Arial"/>
          <w:sz w:val="17"/>
          <w:szCs w:val="17"/>
          <w:color w:val="auto"/>
        </w:rPr>
      </w:pPr>
    </w:p>
    <w:p>
      <w:pPr>
        <w:jc w:val="both"/>
        <w:ind w:firstLine="1304"/>
        <w:spacing w:after="0" w:line="275" w:lineRule="auto"/>
        <w:tabs>
          <w:tab w:leader="none" w:pos="18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11.24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87" w:lineRule="exact"/>
        <w:rPr>
          <w:sz w:val="20"/>
          <w:szCs w:val="20"/>
          <w:color w:val="auto"/>
        </w:rPr>
      </w:pPr>
    </w:p>
    <w:p>
      <w:pPr>
        <w:ind w:left="1820" w:hanging="516"/>
        <w:spacing w:after="0"/>
        <w:tabs>
          <w:tab w:leader="none" w:pos="18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25" w:lineRule="exact"/>
        <w:rPr>
          <w:rFonts w:ascii="Arial" w:cs="Arial" w:eastAsia="Arial" w:hAnsi="Arial"/>
          <w:sz w:val="18"/>
          <w:szCs w:val="18"/>
          <w:color w:val="auto"/>
        </w:rPr>
      </w:pPr>
    </w:p>
    <w:p>
      <w:pPr>
        <w:ind w:left="660" w:firstLine="1292"/>
        <w:spacing w:after="0" w:line="277" w:lineRule="auto"/>
        <w:tabs>
          <w:tab w:leader="none" w:pos="257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70" w:lineRule="exact"/>
        <w:rPr>
          <w:rFonts w:ascii="Arial" w:cs="Arial" w:eastAsia="Arial" w:hAnsi="Arial"/>
          <w:sz w:val="18"/>
          <w:szCs w:val="18"/>
          <w:color w:val="auto"/>
        </w:rPr>
      </w:pPr>
    </w:p>
    <w:p>
      <w:pPr>
        <w:ind w:left="2500" w:hanging="548"/>
        <w:spacing w:after="0"/>
        <w:tabs>
          <w:tab w:leader="none" w:pos="250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 conversion of all, or part of, any such liability into shares or other instruments of ownership that may be issued to,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conferred on, it; and</w:t>
      </w:r>
    </w:p>
    <w:p>
      <w:pPr>
        <w:spacing w:after="0" w:line="210" w:lineRule="exact"/>
        <w:rPr>
          <w:rFonts w:ascii="Arial" w:cs="Arial" w:eastAsia="Arial" w:hAnsi="Arial"/>
          <w:sz w:val="16"/>
          <w:szCs w:val="16"/>
          <w:color w:val="auto"/>
        </w:rPr>
      </w:pPr>
    </w:p>
    <w:p>
      <w:pPr>
        <w:ind w:left="2440" w:hanging="488"/>
        <w:spacing w:after="0"/>
        <w:tabs>
          <w:tab w:leader="none" w:pos="24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 variation of any term of any Loan Document to the extent necessary to give effect to any Bail-In Action in relation to any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11"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11.25</w:t>
      </w:r>
      <w:r>
        <w:rPr>
          <w:sz w:val="20"/>
          <w:szCs w:val="20"/>
          <w:color w:val="auto"/>
        </w:rPr>
        <w:tab/>
      </w:r>
      <w:r>
        <w:rPr>
          <w:rFonts w:ascii="Arial" w:cs="Arial" w:eastAsia="Arial" w:hAnsi="Arial"/>
          <w:sz w:val="16"/>
          <w:szCs w:val="16"/>
          <w:u w:val="single" w:color="auto"/>
          <w:color w:val="auto"/>
        </w:rPr>
        <w:t>Confirmation of Lender’s Status as a Swiss Qualifying Lender</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83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Lender confirms that, as of the Effective Date, unless notified in writing to Parent and the Administrative Agent prior to the Effective Date, such Lender is a Swiss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2" w:name="page203"/>
    <w:bookmarkEnd w:id="202"/>
    <w:p>
      <w:pPr>
        <w:ind w:right="20"/>
        <w:spacing w:after="0" w:line="277" w:lineRule="auto"/>
        <w:rPr>
          <w:sz w:val="20"/>
          <w:szCs w:val="20"/>
          <w:color w:val="auto"/>
        </w:rPr>
      </w:pPr>
      <w:r>
        <w:rPr>
          <w:rFonts w:ascii="Arial" w:cs="Arial" w:eastAsia="Arial" w:hAnsi="Arial"/>
          <w:sz w:val="18"/>
          <w:szCs w:val="18"/>
          <w:color w:val="auto"/>
        </w:rPr>
        <w:t>Qualifying Lender and has not entered into a participation arrangement with respect to this Agreement with any Person that is a Swiss Non-Qualifying Lender.</w:t>
      </w:r>
    </w:p>
    <w:p>
      <w:pPr>
        <w:spacing w:after="0" w:line="170" w:lineRule="exact"/>
        <w:rPr>
          <w:sz w:val="20"/>
          <w:szCs w:val="20"/>
          <w:color w:val="auto"/>
        </w:rPr>
      </w:pPr>
    </w:p>
    <w:p>
      <w:pPr>
        <w:jc w:val="both"/>
        <w:ind w:firstLine="1304"/>
        <w:spacing w:after="0" w:line="263" w:lineRule="auto"/>
        <w:tabs>
          <w:tab w:leader="none" w:pos="187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Without limitation to any consent or other rights provided for in this Agreement (including </w:t>
      </w:r>
      <w:r>
        <w:rPr>
          <w:rFonts w:ascii="Arial" w:cs="Arial" w:eastAsia="Arial" w:hAnsi="Arial"/>
          <w:sz w:val="18"/>
          <w:szCs w:val="18"/>
          <w:u w:val="single" w:color="auto"/>
          <w:color w:val="auto"/>
        </w:rPr>
        <w:t>Section 11.05</w:t>
      </w:r>
      <w:r>
        <w:rPr>
          <w:rFonts w:ascii="Arial" w:cs="Arial" w:eastAsia="Arial" w:hAnsi="Arial"/>
          <w:sz w:val="18"/>
          <w:szCs w:val="18"/>
          <w:color w:val="auto"/>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spacing w:after="0" w:line="183" w:lineRule="exact"/>
        <w:rPr>
          <w:rFonts w:ascii="Arial" w:cs="Arial" w:eastAsia="Arial" w:hAnsi="Arial"/>
          <w:sz w:val="18"/>
          <w:szCs w:val="18"/>
          <w:color w:val="auto"/>
        </w:rPr>
      </w:pPr>
    </w:p>
    <w:p>
      <w:pPr>
        <w:ind w:left="660" w:right="20" w:firstLine="1292"/>
        <w:spacing w:after="0" w:line="277" w:lineRule="auto"/>
        <w:tabs>
          <w:tab w:leader="none" w:pos="253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it is a Swiss Qualifying Lender and has not entered into a participation (including sub-participation) arrangement with respect to this Agreement with any Person that is a Swiss Non-Qualifying Lender; or</w:t>
      </w:r>
    </w:p>
    <w:p>
      <w:pPr>
        <w:spacing w:after="0" w:line="170" w:lineRule="exact"/>
        <w:rPr>
          <w:rFonts w:ascii="Arial" w:cs="Arial" w:eastAsia="Arial" w:hAnsi="Arial"/>
          <w:sz w:val="18"/>
          <w:szCs w:val="18"/>
          <w:color w:val="auto"/>
        </w:rPr>
      </w:pPr>
    </w:p>
    <w:p>
      <w:pPr>
        <w:ind w:left="660" w:firstLine="1292"/>
        <w:spacing w:after="0" w:line="277" w:lineRule="auto"/>
        <w:tabs>
          <w:tab w:leader="none" w:pos="246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if it is a Swiss Non-Qualifying Lender, it counts as one single creditor for purposes of the Swiss Non-Bank Rules (taking into account any participations and sub-participations).</w:t>
      </w:r>
    </w:p>
    <w:p>
      <w:pPr>
        <w:spacing w:after="0" w:line="170" w:lineRule="exact"/>
        <w:rPr>
          <w:rFonts w:ascii="Arial" w:cs="Arial" w:eastAsia="Arial" w:hAnsi="Arial"/>
          <w:sz w:val="18"/>
          <w:szCs w:val="18"/>
          <w:color w:val="auto"/>
        </w:rPr>
      </w:pPr>
    </w:p>
    <w:p>
      <w:pPr>
        <w:ind w:firstLine="1304"/>
        <w:spacing w:after="0" w:line="277" w:lineRule="auto"/>
        <w:tabs>
          <w:tab w:leader="none" w:pos="195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Lender or Participant (including sub-participants) shall promptly notify Parent and the Administrative Agent if for any reason it ceases to be a Swiss Qualifying Lender.</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11.26 </w:t>
      </w:r>
      <w:r>
        <w:rPr>
          <w:rFonts w:ascii="Arial" w:cs="Arial" w:eastAsia="Arial" w:hAnsi="Arial"/>
          <w:sz w:val="16"/>
          <w:szCs w:val="16"/>
          <w:u w:val="single" w:color="auto"/>
          <w:color w:val="auto"/>
        </w:rPr>
        <w:t>Joint Lead Arrangers and Joint Book Runners</w:t>
      </w:r>
      <w:r>
        <w:rPr>
          <w:rFonts w:ascii="Arial" w:cs="Arial" w:eastAsia="Arial" w:hAnsi="Arial"/>
          <w:sz w:val="16"/>
          <w:szCs w:val="16"/>
          <w:color w:val="auto"/>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11.27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firstLine="1304"/>
        <w:spacing w:after="0" w:line="308" w:lineRule="auto"/>
        <w:tabs>
          <w:tab w:leader="none" w:pos="1823"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3" w:name="page204"/>
    <w:bookmarkEnd w:id="203"/>
    <w:p>
      <w:pPr>
        <w:jc w:val="both"/>
        <w:spacing w:after="0" w:line="289" w:lineRule="auto"/>
        <w:rPr>
          <w:sz w:val="20"/>
          <w:szCs w:val="20"/>
          <w:color w:val="auto"/>
        </w:rPr>
      </w:pPr>
      <w:r>
        <w:rPr>
          <w:rFonts w:ascii="Arial" w:cs="Arial" w:eastAsia="Arial" w:hAnsi="Arial"/>
          <w:sz w:val="16"/>
          <w:szCs w:val="16"/>
          <w:color w:val="auto"/>
        </w:rPr>
        <w:t>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6" w:lineRule="exact"/>
        <w:rPr>
          <w:sz w:val="20"/>
          <w:szCs w:val="20"/>
          <w:color w:val="auto"/>
        </w:rPr>
      </w:pPr>
    </w:p>
    <w:p>
      <w:pPr>
        <w:ind w:left="1820" w:hanging="516"/>
        <w:spacing w:after="0"/>
        <w:tabs>
          <w:tab w:leader="none" w:pos="18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11.27</w:t>
      </w:r>
      <w:r>
        <w:rPr>
          <w:rFonts w:ascii="Arial" w:cs="Arial" w:eastAsia="Arial" w:hAnsi="Arial"/>
          <w:sz w:val="18"/>
          <w:szCs w:val="18"/>
          <w:color w:val="auto"/>
        </w:rPr>
        <w:t>, the following terms have the following meanings:</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454" w:val="left"/>
        </w:tabs>
        <w:numPr>
          <w:ilvl w:val="2"/>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rFonts w:ascii="Arial" w:cs="Arial" w:eastAsia="Arial" w:hAnsi="Arial"/>
          <w:sz w:val="18"/>
          <w:szCs w:val="18"/>
          <w:color w:val="auto"/>
        </w:rPr>
      </w:pPr>
    </w:p>
    <w:p>
      <w:pPr>
        <w:jc w:val="both"/>
        <w:ind w:left="660" w:firstLine="1292"/>
        <w:spacing w:after="0" w:line="291" w:lineRule="auto"/>
        <w:tabs>
          <w:tab w:leader="none" w:pos="2621" w:val="left"/>
        </w:tabs>
        <w:numPr>
          <w:ilvl w:val="2"/>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§252.82(b); (ii) a “covered bank” as that term is defined in, and interpreted in accordance with, 12 C.F.R. §47.3(b); or</w:t>
      </w:r>
    </w:p>
    <w:p>
      <w:pPr>
        <w:ind w:left="980" w:hanging="324"/>
        <w:spacing w:after="0"/>
        <w:tabs>
          <w:tab w:leader="none" w:pos="9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§382.2(b).</w:t>
      </w:r>
    </w:p>
    <w:p>
      <w:pPr>
        <w:spacing w:after="0" w:line="210" w:lineRule="exact"/>
        <w:rPr>
          <w:rFonts w:ascii="Arial" w:cs="Arial" w:eastAsia="Arial" w:hAnsi="Arial"/>
          <w:sz w:val="18"/>
          <w:szCs w:val="18"/>
          <w:color w:val="auto"/>
        </w:rPr>
      </w:pPr>
    </w:p>
    <w:p>
      <w:pPr>
        <w:ind w:left="660" w:firstLine="1292"/>
        <w:spacing w:after="0" w:line="277" w:lineRule="auto"/>
        <w:tabs>
          <w:tab w:leader="none" w:pos="2559" w:val="left"/>
        </w:tabs>
        <w:numPr>
          <w:ilvl w:val="2"/>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rFonts w:ascii="Arial" w:cs="Arial" w:eastAsia="Arial" w:hAnsi="Arial"/>
          <w:sz w:val="18"/>
          <w:szCs w:val="18"/>
          <w:color w:val="auto"/>
        </w:rPr>
      </w:pPr>
    </w:p>
    <w:p>
      <w:pPr>
        <w:ind w:left="660" w:firstLine="1292"/>
        <w:spacing w:after="0" w:line="277" w:lineRule="auto"/>
        <w:tabs>
          <w:tab w:leader="none" w:pos="258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11.28 </w:t>
      </w:r>
      <w:r>
        <w:rPr>
          <w:rFonts w:ascii="Arial" w:cs="Arial" w:eastAsia="Arial" w:hAnsi="Arial"/>
          <w:sz w:val="17"/>
          <w:szCs w:val="17"/>
          <w:u w:val="single" w:color="auto"/>
          <w:color w:val="auto"/>
        </w:rPr>
        <w:t>Credit Reporting Act Notice</w:t>
      </w:r>
      <w:r>
        <w:rPr>
          <w:rFonts w:ascii="Arial" w:cs="Arial" w:eastAsia="Arial" w:hAnsi="Arial"/>
          <w:sz w:val="17"/>
          <w:szCs w:val="17"/>
          <w:color w:val="auto"/>
        </w:rPr>
        <w:t>. Under the Credit Reporting Act 2013 of Ireland,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Central Credit Register is maintained and operated by the Central Bank of Ireland. For information on your rights and duties under the Credit Reporting Act 2013 please refer to the factsheet prepared by the Central Bank of Ireland. This factsheet is available on www.centralcreditregister.ie.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 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Post-Closing Deliverables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Argentina</w:t>
      </w:r>
    </w:p>
    <w:p>
      <w:pPr>
        <w:spacing w:after="0" w:line="229" w:lineRule="exact"/>
        <w:rPr>
          <w:sz w:val="20"/>
          <w:szCs w:val="20"/>
          <w:color w:val="auto"/>
        </w:rPr>
      </w:pPr>
    </w:p>
    <w:p>
      <w:pPr>
        <w:ind w:left="660" w:right="80" w:hanging="328"/>
        <w:spacing w:after="0" w:line="253"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As promptly as practicable and in no event later than thirty (30) Business Days following the Amendment No. 2 Effective Date (or such later date as the Administrative Agent may agree in its reasonable discretion), the Administrative Agent shall have received: an executed copy of an addendum to the stock pledge agreement, executed on May 15, 2020, and amended on August 28, 2020, executed by and between (i) Weatherford International Ltd.; (ii) Weatherford Bermuda Holdings Ltd.; and (iii) Weatherford Financing (Luxembourg) S.à r.l., (as Pledgors), and (iv) Deutsche Bank Trust Company Americas (as Collateral Agent) (the "</w:t>
      </w:r>
      <w:r>
        <w:rPr>
          <w:rFonts w:ascii="Arial" w:cs="Arial" w:eastAsia="Arial" w:hAnsi="Arial"/>
          <w:sz w:val="18"/>
          <w:szCs w:val="18"/>
          <w:u w:val="single" w:color="auto"/>
          <w:color w:val="auto"/>
        </w:rPr>
        <w:t>Addendum</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Customary Board resolution and copies of the local presence's stock ledger evidencing the registration of the Addendum onto corporate books.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England</w:t>
      </w:r>
    </w:p>
    <w:p>
      <w:pPr>
        <w:spacing w:after="0" w:line="229" w:lineRule="exact"/>
        <w:rPr>
          <w:sz w:val="20"/>
          <w:szCs w:val="20"/>
          <w:color w:val="auto"/>
        </w:rPr>
      </w:pPr>
    </w:p>
    <w:p>
      <w:pPr>
        <w:ind w:left="660" w:hanging="328"/>
        <w:spacing w:after="0" w:line="258"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As promptly as practicable and in no event later than thirty (30) Business Days following the Amendment No. 2 Effective Date (or such later date as the Administrative Agent may agree in its reasonable discretion), the Administrative Agent shall have received:</w:t>
      </w:r>
    </w:p>
    <w:p>
      <w:pPr>
        <w:spacing w:after="0" w:line="1" w:lineRule="exact"/>
        <w:rPr>
          <w:rFonts w:ascii="Arial" w:cs="Arial" w:eastAsia="Arial" w:hAnsi="Arial"/>
          <w:sz w:val="18"/>
          <w:szCs w:val="18"/>
          <w:color w:val="auto"/>
        </w:rPr>
      </w:pPr>
    </w:p>
    <w:p>
      <w:pPr>
        <w:ind w:left="1440" w:hanging="352"/>
        <w:spacing w:after="0" w:line="260" w:lineRule="auto"/>
        <w:tabs>
          <w:tab w:leader="none" w:pos="14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all English Supplemental Security Documents (as listed below), in each case executed by each Obligor listed on the signature pages thereof;</w:t>
      </w:r>
    </w:p>
    <w:p>
      <w:pPr>
        <w:spacing w:after="0" w:line="77" w:lineRule="exact"/>
        <w:rPr>
          <w:rFonts w:ascii="Arial" w:cs="Arial" w:eastAsia="Arial" w:hAnsi="Arial"/>
          <w:sz w:val="18"/>
          <w:szCs w:val="18"/>
          <w:color w:val="auto"/>
        </w:rPr>
      </w:pPr>
    </w:p>
    <w:p>
      <w:pPr>
        <w:ind w:left="2140" w:hanging="350"/>
        <w:spacing w:after="0" w:line="258" w:lineRule="auto"/>
        <w:tabs>
          <w:tab w:leader="none" w:pos="214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 supplemental deed of charge in relation to the deed of charge and assignment dated 13 December 2019, over certain assets of Weatherford Eurasia Limited, in relation to the Amended LC Credit Agreement.</w:t>
      </w:r>
    </w:p>
    <w:p>
      <w:pPr>
        <w:spacing w:after="0" w:line="1" w:lineRule="exact"/>
        <w:rPr>
          <w:rFonts w:ascii="Arial" w:cs="Arial" w:eastAsia="Arial" w:hAnsi="Arial"/>
          <w:sz w:val="18"/>
          <w:szCs w:val="18"/>
          <w:color w:val="auto"/>
        </w:rPr>
      </w:pPr>
    </w:p>
    <w:p>
      <w:pPr>
        <w:ind w:left="2140" w:hanging="350"/>
        <w:spacing w:after="0" w:line="250" w:lineRule="auto"/>
        <w:tabs>
          <w:tab w:leader="none" w:pos="214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 supplemental deed of charge in relation to the deed of charge and assignment dated 13 December 2019, over certain assets of Weatherford U.K. Limited, in relation to the Amended LC Credit Agreement.</w:t>
      </w:r>
    </w:p>
    <w:p>
      <w:pPr>
        <w:ind w:left="2140" w:right="20" w:hanging="350"/>
        <w:spacing w:after="0" w:line="281" w:lineRule="auto"/>
        <w:tabs>
          <w:tab w:leader="none" w:pos="2140" w:val="left"/>
        </w:tabs>
        <w:numPr>
          <w:ilvl w:val="2"/>
          <w:numId w:val="235"/>
        </w:numPr>
        <w:rPr>
          <w:rFonts w:ascii="Arial" w:cs="Arial" w:eastAsia="Arial" w:hAnsi="Arial"/>
          <w:sz w:val="16"/>
          <w:szCs w:val="16"/>
          <w:color w:val="auto"/>
        </w:rPr>
      </w:pPr>
      <w:r>
        <w:rPr>
          <w:rFonts w:ascii="Arial" w:cs="Arial" w:eastAsia="Arial" w:hAnsi="Arial"/>
          <w:sz w:val="16"/>
          <w:szCs w:val="16"/>
          <w:color w:val="auto"/>
        </w:rPr>
        <w:t>A supplemental deed of charge in relation to the equitable share mortgage dated 13 December 2019 over the shares held by Weatherford Eurasia Limited in Reeves Wireline Technologies Limited in relation to the Amended LC Credit Agreement.</w:t>
      </w:r>
    </w:p>
    <w:p>
      <w:pPr>
        <w:spacing w:after="0" w:line="1" w:lineRule="exact"/>
        <w:rPr>
          <w:rFonts w:ascii="Arial" w:cs="Arial" w:eastAsia="Arial" w:hAnsi="Arial"/>
          <w:sz w:val="16"/>
          <w:szCs w:val="16"/>
          <w:color w:val="auto"/>
        </w:rPr>
      </w:pPr>
    </w:p>
    <w:p>
      <w:pPr>
        <w:ind w:left="2140" w:right="20" w:hanging="350"/>
        <w:spacing w:after="0" w:line="265" w:lineRule="auto"/>
        <w:tabs>
          <w:tab w:leader="none" w:pos="2140" w:val="left"/>
        </w:tabs>
        <w:numPr>
          <w:ilvl w:val="2"/>
          <w:numId w:val="235"/>
        </w:numPr>
        <w:rPr>
          <w:rFonts w:ascii="Arial" w:cs="Arial" w:eastAsia="Arial" w:hAnsi="Arial"/>
          <w:sz w:val="17"/>
          <w:szCs w:val="17"/>
          <w:color w:val="auto"/>
        </w:rPr>
      </w:pPr>
      <w:r>
        <w:rPr>
          <w:rFonts w:ascii="Arial" w:cs="Arial" w:eastAsia="Arial" w:hAnsi="Arial"/>
          <w:sz w:val="17"/>
          <w:szCs w:val="17"/>
          <w:color w:val="auto"/>
        </w:rPr>
        <w:t>A supplemental deed of charge in relation to the equitable share mortgage dated 13 December 2019 over the shares held by Weatherford Eurasia Limited in Weatherford U.K. Limited in relation to the Amended LC Credit Agreement.</w:t>
      </w:r>
    </w:p>
    <w:p>
      <w:pPr>
        <w:ind w:left="2140" w:right="20" w:hanging="350"/>
        <w:spacing w:after="0" w:line="281" w:lineRule="auto"/>
        <w:tabs>
          <w:tab w:leader="none" w:pos="2140" w:val="left"/>
        </w:tabs>
        <w:numPr>
          <w:ilvl w:val="2"/>
          <w:numId w:val="235"/>
        </w:numPr>
        <w:rPr>
          <w:rFonts w:ascii="Arial" w:cs="Arial" w:eastAsia="Arial" w:hAnsi="Arial"/>
          <w:sz w:val="16"/>
          <w:szCs w:val="16"/>
          <w:color w:val="auto"/>
        </w:rPr>
      </w:pPr>
      <w:r>
        <w:rPr>
          <w:rFonts w:ascii="Arial" w:cs="Arial" w:eastAsia="Arial" w:hAnsi="Arial"/>
          <w:sz w:val="16"/>
          <w:szCs w:val="16"/>
          <w:color w:val="auto"/>
        </w:rPr>
        <w:t>A supplemental deed of charge in relation to the equitable share mortgage dated 29 December 2020 over the shares held by Weatherford Worldwide Holdings GmbH in Weatherford Eurasia Limited in relation to the Amended LC Credit Agreement.</w:t>
      </w:r>
    </w:p>
    <w:p>
      <w:pPr>
        <w:spacing w:after="0" w:line="1" w:lineRule="exact"/>
        <w:rPr>
          <w:rFonts w:ascii="Arial" w:cs="Arial" w:eastAsia="Arial" w:hAnsi="Arial"/>
          <w:sz w:val="16"/>
          <w:szCs w:val="16"/>
          <w:color w:val="auto"/>
        </w:rPr>
      </w:pPr>
    </w:p>
    <w:p>
      <w:pPr>
        <w:jc w:val="both"/>
        <w:ind w:left="2140" w:hanging="350"/>
        <w:spacing w:after="0" w:line="265" w:lineRule="auto"/>
        <w:tabs>
          <w:tab w:leader="none" w:pos="2140" w:val="left"/>
        </w:tabs>
        <w:numPr>
          <w:ilvl w:val="2"/>
          <w:numId w:val="235"/>
        </w:numPr>
        <w:rPr>
          <w:rFonts w:ascii="Arial" w:cs="Arial" w:eastAsia="Arial" w:hAnsi="Arial"/>
          <w:sz w:val="17"/>
          <w:szCs w:val="17"/>
          <w:color w:val="auto"/>
        </w:rPr>
      </w:pPr>
      <w:r>
        <w:rPr>
          <w:rFonts w:ascii="Arial" w:cs="Arial" w:eastAsia="Arial" w:hAnsi="Arial"/>
          <w:sz w:val="17"/>
          <w:szCs w:val="17"/>
          <w:color w:val="auto"/>
        </w:rPr>
        <w:t>A supplemental deed of charge in relation to the bank account charge dated 15 May 2020 over bank accounts held in England by Weatherford Services, Ltd., Weatherford European Holdings (Luxembourg) S.à r.l., Weatherford International (Luxembourg) Holdings S.à r.l., Weatherford Management Company Switzerland S.à r.l., Weatherford Products GmbH, Weatherford Holdings (Switzerland) GmbH, Weatherford Netherlands BV, Weatherford Services S. de. R.L and Weatherford Switzerland Trading and Development GmbH, in relation to the Amended LC Credit Agreement.</w:t>
      </w:r>
    </w:p>
    <w:p>
      <w:pPr>
        <w:ind w:left="2140" w:right="20" w:hanging="350"/>
        <w:spacing w:after="0" w:line="250" w:lineRule="auto"/>
        <w:tabs>
          <w:tab w:leader="none" w:pos="214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 supplemental deed of charge in relation to a bank account charge dated 2 March 2020 over bank accounts held in England by Weatherford Norge AS, in relation to the Amended LC Credit Agreement.</w:t>
      </w:r>
    </w:p>
    <w:p>
      <w:pPr>
        <w:ind w:left="2140" w:right="20" w:hanging="350"/>
        <w:spacing w:after="0" w:line="250" w:lineRule="auto"/>
        <w:tabs>
          <w:tab w:leader="none" w:pos="214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 supplemental deed of charge in relation to a bank account charge dated 12 December 2020 over a bank account held in England by Helix Equipment Leasing Limited, in relation to the Amended LC Credit Agreement.</w:t>
      </w:r>
    </w:p>
    <w:p>
      <w:pPr>
        <w:jc w:val="both"/>
        <w:ind w:left="2140" w:hanging="350"/>
        <w:spacing w:after="0" w:line="292" w:lineRule="auto"/>
        <w:tabs>
          <w:tab w:leader="none" w:pos="2140" w:val="left"/>
        </w:tabs>
        <w:numPr>
          <w:ilvl w:val="2"/>
          <w:numId w:val="235"/>
        </w:numPr>
        <w:rPr>
          <w:rFonts w:ascii="Arial" w:cs="Arial" w:eastAsia="Arial" w:hAnsi="Arial"/>
          <w:sz w:val="16"/>
          <w:szCs w:val="16"/>
          <w:color w:val="auto"/>
        </w:rPr>
      </w:pPr>
      <w:r>
        <w:rPr>
          <w:rFonts w:ascii="Arial" w:cs="Arial" w:eastAsia="Arial" w:hAnsi="Arial"/>
          <w:sz w:val="16"/>
          <w:szCs w:val="16"/>
          <w:color w:val="auto"/>
        </w:rPr>
        <w:t>A supplemental deed of charge in relation to (a) the intellectual property charge dated 15 May 2020 over intellectual property rights registered in England, held by Weatherford Technology Holdings, LLC, eProduction Solutions, LLC, Weatherford U.S., L.P ., Weatherford Artificial Lift Systems, LLC, Weatherford International, LLC, Precision Energy Services, Inc., High Pressure Integrity, Inc., Weatherford/Lamb, Inc., Weatherford Netherlands B.V., Weatherford Switzerland Trading and Development GmbH and Weatherford U.K. Limited, in relation to the Amended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5" w:name="page206"/>
    <w:bookmarkEnd w:id="205"/>
    <w:p>
      <w:pPr>
        <w:ind w:left="2140" w:hanging="350"/>
        <w:spacing w:after="0" w:line="308" w:lineRule="auto"/>
        <w:tabs>
          <w:tab w:leader="none" w:pos="214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 supplemental deed of charge in relation to the intellectual property charge dated 2 March 2020 over intellectual property rights registered in England, held by Weatherford Norge AS, in relation to the Amended LC Credit Agreement</w:t>
      </w:r>
    </w:p>
    <w:p>
      <w:pPr>
        <w:spacing w:after="0" w:line="146" w:lineRule="exact"/>
        <w:rPr>
          <w:rFonts w:ascii="Arial" w:cs="Arial" w:eastAsia="Arial" w:hAnsi="Arial"/>
          <w:sz w:val="17"/>
          <w:szCs w:val="17"/>
          <w:color w:val="auto"/>
        </w:rPr>
      </w:pPr>
    </w:p>
    <w:p>
      <w:pPr>
        <w:jc w:val="both"/>
        <w:ind w:left="1440" w:hanging="352"/>
        <w:spacing w:after="0" w:line="259" w:lineRule="auto"/>
        <w:tabs>
          <w:tab w:leader="none" w:pos="14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customary certificates of resolutions or other action, incumbency certificates and/or other certificates of a Responsible Officer of each Obligor incorporated in England and Wales as the Administrative Agent may reasonably require evidencing, among other things, the identity, authority and capacity of each Responsible Officer thereof authorized to act as a Responsible Officer in connection with English Supplemental Security Documents;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Luxembourg</w:t>
      </w:r>
    </w:p>
    <w:p>
      <w:pPr>
        <w:spacing w:after="0" w:line="229" w:lineRule="exact"/>
        <w:rPr>
          <w:sz w:val="20"/>
          <w:szCs w:val="20"/>
          <w:color w:val="auto"/>
        </w:rPr>
      </w:pPr>
    </w:p>
    <w:p>
      <w:pPr>
        <w:jc w:val="both"/>
        <w:ind w:left="660" w:hanging="328"/>
        <w:spacing w:after="0" w:line="259" w:lineRule="auto"/>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As promptly as practicable and in no event later than thirty (30) Business Days following the Amendment No. 2 Effective Date (or such later date as the Administrative Agent may agree in its reasonable discretion), the Administrative Agent shall have received: an executed copy of a Luxembourg law governed master security confirmation agreement along with customary opinions of counsel to each applicable Obligor in form and substance reasonably satisfactory to the Administrative Agent.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229" w:lineRule="exact"/>
        <w:rPr>
          <w:sz w:val="20"/>
          <w:szCs w:val="20"/>
          <w:color w:val="auto"/>
        </w:rPr>
      </w:pPr>
    </w:p>
    <w:p>
      <w:pPr>
        <w:jc w:val="both"/>
        <w:ind w:left="660" w:hanging="328"/>
        <w:spacing w:after="0" w:line="271" w:lineRule="auto"/>
        <w:tabs>
          <w:tab w:leader="none" w:pos="6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As promptly as practicable and in no event later than eighty-five (85) days following the Amendment No. 2 Effective Date (or such later date as the Administrative Agent may agree in its reasonable discretion), the Administrative Agent shall have received, along with customary opinions of counsel to each applicable Obligor in form and substance reasonably satisfactory to the Administrative Agent:</w:t>
      </w:r>
    </w:p>
    <w:p>
      <w:pPr>
        <w:ind w:left="1440" w:right="100" w:hanging="352"/>
        <w:spacing w:after="0" w:line="252" w:lineRule="auto"/>
        <w:tabs>
          <w:tab w:leader="none" w:pos="14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Amendment to that certain non-possessory pledge agreement dated May 20, 2021 whereby PD Oilfield, as pledger, granted a first priority non-possessory pledge (</w:t>
      </w:r>
      <w:r>
        <w:rPr>
          <w:rFonts w:ascii="Arial" w:cs="Arial" w:eastAsia="Arial" w:hAnsi="Arial"/>
          <w:sz w:val="18"/>
          <w:szCs w:val="18"/>
          <w:i w:val="1"/>
          <w:iCs w:val="1"/>
          <w:color w:val="auto"/>
        </w:rPr>
        <w:t>prenda sin transmission de posesión</w:t>
      </w:r>
      <w:r>
        <w:rPr>
          <w:rFonts w:ascii="Arial" w:cs="Arial" w:eastAsia="Arial" w:hAnsi="Arial"/>
          <w:sz w:val="18"/>
          <w:szCs w:val="18"/>
          <w:color w:val="auto"/>
        </w:rPr>
        <w:t>) over all the movable assets (tangible and intangible) property of PD Oilfield that are used for the business operations of PD Oilfield, and over all the movable assets acquired or to which the PD Oilfield is owner in the future, and all other assets used directly or indirectly for the performance of its activities in Mexico, in favor of the Collateral Agent, acting in the name and on behalf of the Secured Parties in accordance with the terms of the Intercreditor Agreement, as pledgee.</w:t>
      </w:r>
    </w:p>
    <w:p>
      <w:pPr>
        <w:spacing w:after="0" w:line="85" w:lineRule="exact"/>
        <w:rPr>
          <w:rFonts w:ascii="Arial" w:cs="Arial" w:eastAsia="Arial" w:hAnsi="Arial"/>
          <w:sz w:val="18"/>
          <w:szCs w:val="18"/>
          <w:color w:val="auto"/>
        </w:rPr>
      </w:pPr>
    </w:p>
    <w:p>
      <w:pPr>
        <w:ind w:left="1440" w:hanging="352"/>
        <w:spacing w:after="0" w:line="259" w:lineRule="auto"/>
        <w:tabs>
          <w:tab w:leader="none" w:pos="14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Amendment to that certain pledge agreement over the equity quotas dated May 20, 2021 with respect to the equity quotas representative of the capital stock of PD Oilfield, whereby Weatherford Netherlands, B.V. and PD Weatherford (Cyprus) Limited, as pledgors, granted a first priority pledge over such equity quotas, in favor of the Collateral Agent, acting in the name and on behalf of the Secured Parties in accordance with the terms of the Intercreditor Agreement, as pledgee;</w:t>
      </w:r>
    </w:p>
    <w:p>
      <w:pPr>
        <w:spacing w:after="0" w:line="78" w:lineRule="exact"/>
        <w:rPr>
          <w:rFonts w:ascii="Arial" w:cs="Arial" w:eastAsia="Arial" w:hAnsi="Arial"/>
          <w:sz w:val="18"/>
          <w:szCs w:val="18"/>
          <w:color w:val="auto"/>
        </w:rPr>
      </w:pPr>
    </w:p>
    <w:p>
      <w:pPr>
        <w:ind w:left="1440" w:right="120" w:hanging="352"/>
        <w:spacing w:after="0" w:line="255" w:lineRule="auto"/>
        <w:tabs>
          <w:tab w:leader="none" w:pos="14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Amendment to that certain non-possessory pledge agreement dated December 3, 2020 whereby Weatherford Mexico, as pledger, granted a first priority non-possessory pledge (</w:t>
      </w:r>
      <w:r>
        <w:rPr>
          <w:rFonts w:ascii="Arial" w:cs="Arial" w:eastAsia="Arial" w:hAnsi="Arial"/>
          <w:sz w:val="18"/>
          <w:szCs w:val="18"/>
          <w:i w:val="1"/>
          <w:iCs w:val="1"/>
          <w:color w:val="auto"/>
        </w:rPr>
        <w:t>prenda sin transmission de posesión</w:t>
      </w:r>
      <w:r>
        <w:rPr>
          <w:rFonts w:ascii="Arial" w:cs="Arial" w:eastAsia="Arial" w:hAnsi="Arial"/>
          <w:sz w:val="18"/>
          <w:szCs w:val="18"/>
          <w:color w:val="auto"/>
        </w:rPr>
        <w:t>) over all the movable assets (tangible and intangible) property of Weatherford Mexico that are used for the business operations of Weatherford Mexico, and over all the movable assets acquired or to which the Weatherford Mexico is owner in the future, and all other assets used directly or indirectly for the performance of its activities in Mexico, in favor of the Collateral Agent, acting in the name and on behalf of the Secured Parties in accordance with the terms of the Intercreditor Agreement, as pledgee.</w:t>
      </w:r>
    </w:p>
    <w:p>
      <w:pPr>
        <w:spacing w:after="0" w:line="84" w:lineRule="exact"/>
        <w:rPr>
          <w:rFonts w:ascii="Arial" w:cs="Arial" w:eastAsia="Arial" w:hAnsi="Arial"/>
          <w:sz w:val="18"/>
          <w:szCs w:val="18"/>
          <w:color w:val="auto"/>
        </w:rPr>
      </w:pPr>
    </w:p>
    <w:p>
      <w:pPr>
        <w:ind w:left="1440" w:right="100" w:hanging="352"/>
        <w:spacing w:after="0" w:line="259" w:lineRule="auto"/>
        <w:tabs>
          <w:tab w:leader="none" w:pos="14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Amendment to that certain pledge agreement over shares dated December 3, 2020, with respect to the shares of W.F.O., S.A. de C.V. whereby Weatherford Mexico and Weatherford Netherlands, B.V., as pledgors, granted a first priority pledge over such shares, in favor of the Collateral Agent, acting in the name and on behalf of the Secured Parties in accordance with the terms of the Intercreditor Agreement, as pledgee;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Panama</w:t>
      </w:r>
    </w:p>
    <w:p>
      <w:pPr>
        <w:spacing w:after="0" w:line="229" w:lineRule="exact"/>
        <w:rPr>
          <w:sz w:val="20"/>
          <w:szCs w:val="20"/>
          <w:color w:val="auto"/>
        </w:rPr>
      </w:pPr>
    </w:p>
    <w:p>
      <w:pPr>
        <w:jc w:val="both"/>
        <w:ind w:left="660" w:hanging="328"/>
        <w:spacing w:after="0" w:line="271" w:lineRule="auto"/>
        <w:tabs>
          <w:tab w:leader="none" w:pos="6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As promptly as practicable and in no event later than forty-five (45) Business Days following the Amendment No. 2 Effective Date (or such later date as the Administrative Agent may agree in its reasonable discretion), the Administrative Agent shall have received, along with customary opinions of counsel to each applicable Obligor in form and substance reasonably satisfactory to the Administrative Agent:</w:t>
      </w:r>
    </w:p>
    <w:p>
      <w:pPr>
        <w:ind w:left="1440" w:hanging="352"/>
        <w:spacing w:after="0" w:line="260" w:lineRule="auto"/>
        <w:tabs>
          <w:tab w:leader="none" w:pos="144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Second Amendment to the First Priority Pledge Agreement by and between Weatherford Bermuda Holdings Inc. as pledgor and Deutsche Bank Trust Company Americas as pledgee accepted and agreed by Weatherford Latin America Inc..</w:t>
      </w:r>
    </w:p>
    <w:p>
      <w:pPr>
        <w:spacing w:after="0" w:line="77" w:lineRule="exact"/>
        <w:rPr>
          <w:rFonts w:ascii="Arial" w:cs="Arial" w:eastAsia="Arial" w:hAnsi="Arial"/>
          <w:sz w:val="18"/>
          <w:szCs w:val="18"/>
          <w:color w:val="auto"/>
        </w:rPr>
      </w:pPr>
    </w:p>
    <w:p>
      <w:pPr>
        <w:ind w:left="1440" w:right="20" w:hanging="352"/>
        <w:spacing w:after="0" w:line="308" w:lineRule="auto"/>
        <w:tabs>
          <w:tab w:leader="none" w:pos="144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Second Amendment to the First Priority Pledge Agreement by and between Weatherford Worldwide Holdings GMBH as pledgor and Deutsche Bank Trust Company Americas as pledgee accepted and agreed by Weatherford Services S. de R.L..</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6" w:name="page207"/>
    <w:bookmarkEnd w:id="206"/>
    <w:p>
      <w:pPr>
        <w:ind w:left="1440" w:hanging="352"/>
        <w:spacing w:after="0" w:line="308" w:lineRule="auto"/>
        <w:tabs>
          <w:tab w:leader="none" w:pos="14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Second Amendment to the First Priority Pledge Agreement by and between Weatherford Bermuda Holdings Inc. as pledgor and Deutsche Bank Trust Company Americas as pledgee accepted and agreed by Weatherford Services S. de R.L..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Scotland</w:t>
      </w:r>
    </w:p>
    <w:p>
      <w:pPr>
        <w:spacing w:after="0" w:line="229" w:lineRule="exact"/>
        <w:rPr>
          <w:sz w:val="20"/>
          <w:szCs w:val="20"/>
          <w:color w:val="auto"/>
        </w:rPr>
      </w:pPr>
    </w:p>
    <w:p>
      <w:pPr>
        <w:jc w:val="both"/>
        <w:ind w:left="660" w:hanging="328"/>
        <w:spacing w:after="0" w:line="254" w:lineRule="auto"/>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promptly as practicable and in no event later than (i) thirty (30) Business Days with respect to clauses (a) - (d) below and (ii) sixty (60) days with respect to clause (e) below, in each case, following the Amendment No. 2 Effective Date (or, in each case, such later date as the Administrative Agent may agree in its reasonable discretion), the Administrative Agent shall have received, along with customary opinions of counsel to each applicable Obligor in form and substance reasonably satisfactory to the Administrative Agent:</w:t>
      </w:r>
    </w:p>
    <w:p>
      <w:pPr>
        <w:spacing w:after="0" w:line="2" w:lineRule="exact"/>
        <w:rPr>
          <w:rFonts w:ascii="Arial" w:cs="Arial" w:eastAsia="Arial" w:hAnsi="Arial"/>
          <w:sz w:val="18"/>
          <w:szCs w:val="18"/>
          <w:color w:val="auto"/>
        </w:rPr>
      </w:pPr>
    </w:p>
    <w:p>
      <w:pPr>
        <w:jc w:val="both"/>
        <w:ind w:left="1440" w:hanging="352"/>
        <w:spacing w:after="0" w:line="255" w:lineRule="auto"/>
        <w:tabs>
          <w:tab w:leader="none" w:pos="14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Second Deed of Confirmation and Variation between Weatherford U.K. Ltd as Chargor and Deutsche Bank Trust Company Americas as Collateral Agent in in relation to the standard security over Buildings 7&amp;8, The Weatherford Centre, Souter Head Road, Aberdeen AB12 3LF dated 29 April and 8 May 2020</w:t>
      </w:r>
    </w:p>
    <w:p>
      <w:pPr>
        <w:spacing w:after="0" w:line="81" w:lineRule="exact"/>
        <w:rPr>
          <w:rFonts w:ascii="Arial" w:cs="Arial" w:eastAsia="Arial" w:hAnsi="Arial"/>
          <w:sz w:val="18"/>
          <w:szCs w:val="18"/>
          <w:color w:val="auto"/>
        </w:rPr>
      </w:pPr>
    </w:p>
    <w:p>
      <w:pPr>
        <w:ind w:left="1440" w:hanging="352"/>
        <w:spacing w:after="0" w:line="308" w:lineRule="auto"/>
        <w:tabs>
          <w:tab w:leader="none" w:pos="144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Second Floating Charge Confirmation between Weatherford U.K. Ltd as Chargor and Deutsche Bank Trust Company Americas as Collateral Agent in in relation to the Scottish floating charge over equipment and inventory with an effective date of 15 May 2020</w:t>
      </w:r>
    </w:p>
    <w:p>
      <w:pPr>
        <w:spacing w:after="0" w:line="38" w:lineRule="exact"/>
        <w:rPr>
          <w:rFonts w:ascii="Arial" w:cs="Arial" w:eastAsia="Arial" w:hAnsi="Arial"/>
          <w:sz w:val="17"/>
          <w:szCs w:val="17"/>
          <w:color w:val="auto"/>
        </w:rPr>
      </w:pPr>
    </w:p>
    <w:p>
      <w:pPr>
        <w:jc w:val="both"/>
        <w:ind w:left="1440" w:hanging="352"/>
        <w:spacing w:after="0" w:line="263" w:lineRule="auto"/>
        <w:tabs>
          <w:tab w:leader="none" w:pos="14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Second Floating Charge Confirmation between Weatherford Bermuda Holdings Ltd. as Chargor and Deutsche Bank Trust Company Americas as Collateral Agent in in relation to the Scottish floating charge over shares in Weatherford Holdings U.K. Ltd with an effective date of 15 May 2020</w:t>
      </w:r>
    </w:p>
    <w:p>
      <w:pPr>
        <w:spacing w:after="0" w:line="75" w:lineRule="exact"/>
        <w:rPr>
          <w:rFonts w:ascii="Arial" w:cs="Arial" w:eastAsia="Arial" w:hAnsi="Arial"/>
          <w:sz w:val="18"/>
          <w:szCs w:val="18"/>
          <w:color w:val="auto"/>
        </w:rPr>
      </w:pPr>
    </w:p>
    <w:p>
      <w:pPr>
        <w:jc w:val="both"/>
        <w:ind w:left="1440" w:hanging="352"/>
        <w:spacing w:after="0" w:line="263" w:lineRule="auto"/>
        <w:tabs>
          <w:tab w:leader="none" w:pos="14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Second Floating Charge Confirmation between Weatherford International (Luxembourg) Holdings SARL as Chargor and Deutsche Bank Trust Company Americas as Collateral Agent in in relation to Scottish floating charges over shares in BBL Downhole Tools Limited with an effective date of 15 May 2020 and 22 January 2021</w:t>
      </w:r>
    </w:p>
    <w:p>
      <w:pPr>
        <w:spacing w:after="0" w:line="75" w:lineRule="exact"/>
        <w:rPr>
          <w:rFonts w:ascii="Arial" w:cs="Arial" w:eastAsia="Arial" w:hAnsi="Arial"/>
          <w:sz w:val="18"/>
          <w:szCs w:val="18"/>
          <w:color w:val="auto"/>
        </w:rPr>
      </w:pPr>
    </w:p>
    <w:p>
      <w:pPr>
        <w:jc w:val="both"/>
        <w:ind w:left="1440" w:hanging="352"/>
        <w:spacing w:after="0" w:line="263" w:lineRule="auto"/>
        <w:tabs>
          <w:tab w:leader="none" w:pos="14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Ranking Agreements relative to the above standard security and floating charges and any corresponding Liens relative to the Permitted Refinancing Indebtedness that are amended or put in place for the purposes of such Permitted Refinancing Indebtedness between the parties thereto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UAE</w:t>
      </w:r>
    </w:p>
    <w:p>
      <w:pPr>
        <w:spacing w:after="0" w:line="229" w:lineRule="exact"/>
        <w:rPr>
          <w:sz w:val="20"/>
          <w:szCs w:val="20"/>
          <w:color w:val="auto"/>
        </w:rPr>
      </w:pPr>
    </w:p>
    <w:p>
      <w:pPr>
        <w:jc w:val="both"/>
        <w:ind w:left="660" w:hanging="328"/>
        <w:spacing w:after="0" w:line="269" w:lineRule="auto"/>
        <w:tabs>
          <w:tab w:leader="none" w:pos="6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As promptly as practicable and in no event later than (i) thirty (30) Business Days with respect to clause (a) below and (ii) seventy (70) days with respect to clause (b) below (if so requested), in each case, following the Amendment No. 2 Effective Date (or, in each case, such later date as the Administrative Agent may agree in its reasonable discretion), the Administrative Agent shall have received, along with customary opinions of counsel to each applicable Obligor in form and substance reasonably satisfactory to the Administrative Agent:</w:t>
      </w:r>
    </w:p>
    <w:p>
      <w:pPr>
        <w:spacing w:after="0" w:line="1" w:lineRule="exact"/>
        <w:rPr>
          <w:rFonts w:ascii="Arial" w:cs="Arial" w:eastAsia="Arial" w:hAnsi="Arial"/>
          <w:sz w:val="17"/>
          <w:szCs w:val="17"/>
          <w:color w:val="auto"/>
        </w:rPr>
      </w:pPr>
    </w:p>
    <w:p>
      <w:pPr>
        <w:jc w:val="both"/>
        <w:ind w:left="1440" w:hanging="352"/>
        <w:spacing w:after="0" w:line="277" w:lineRule="auto"/>
        <w:tabs>
          <w:tab w:leader="none" w:pos="14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Security Confirmation to be entered into between Weatherford Oil Tool Middle East Limited; Weatherford Product GmbH; Weatherford Switzerland Trading and Development GmbH; Weatherford Bermuda Holdings; and Deutsche Bank Trust Company Americas relating to the Account Security Agreement dated 20 October 2020 (to the reasonable satisfaction of the LC Agent).</w:t>
      </w:r>
    </w:p>
    <w:p>
      <w:pPr>
        <w:spacing w:after="0" w:line="64" w:lineRule="exact"/>
        <w:rPr>
          <w:rFonts w:ascii="Arial" w:cs="Arial" w:eastAsia="Arial" w:hAnsi="Arial"/>
          <w:sz w:val="17"/>
          <w:szCs w:val="17"/>
          <w:color w:val="auto"/>
        </w:rPr>
      </w:pPr>
    </w:p>
    <w:p>
      <w:pPr>
        <w:jc w:val="both"/>
        <w:ind w:left="1440" w:hanging="352"/>
        <w:spacing w:after="0" w:line="259" w:lineRule="auto"/>
        <w:tabs>
          <w:tab w:leader="none" w:pos="14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To the extent reasonably required (at the Administrative Agent’s discretion) to perfect the Liens, Account Control Agreement to be entered into between, Deutsche Bank Trust Company Americas, Standard Chartered Bank (Dubai Branch), Weatherford Oil Tool Middle East Limited; Weatherford Product GmbH; Weatherford Switzerland Trading and Development GmbH and Weatherford Bermuda Holdings and to the reasonable satisfaction of the LC Agent.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clause (8), “Business Day” shall not include any Friday.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 Announces the Commencement of a $500,000,000 Senior Secured Notes Offering</w:t>
      </w:r>
    </w:p>
    <w:p>
      <w:pPr>
        <w:spacing w:after="0" w:line="14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HOUSTON, September 20, 2021/PRNewswire/ -- Weatherford International plc (NASDAQ: WFRD) (“Weatherford” or the “Company”) today announced that its wholly owned subsidiary, Weatherford International Ltd. (the “Issuer”), is proposing to issue $500 million aggregate principal amount of senior secured first lien notes due 2028 (the “Secured Notes”) in a private offering that is exempt from the registration requirements of the Securities Act of 1933, as amended (the “Securities Act”). The Secured Notes will be guaranteed by the Company and the same subsidiaries of the Company that guarantee the Issuer’s 8.75% Senior Secured Notes due 2024 (the “2024 Secured Notes”). The offering is subject to market conditions and other factors.</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Issuer intends to use the net proceeds from the offering and cash on hand to redeem all of its outstanding 2024 Secured Notes and pay related fees and expenses. If the offering of the Secured Notes is completed, the Issuer also intends to use cash on hand to redeem $200 million principal amount of its 11.0% senior notes due December 1, 2024.</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Secured Notes are being offered only to persons reasonably believed to be qualified institutional buyers in reliance on Rule 144A under the Securities Act, and outside the United States, only to non-U.S. investors pursuant to Regulation S under the Securities Act. The Secured Notes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Secured Notes or any other securities and shall not constitute an offer, solicitation or sale in any jurisdiction in which such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363636"/>
        </w:rPr>
        <w:t>About Weatherford</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63636"/>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investor.relations@weatherford.com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60"/>
      </w:cols>
      <w:pgMar w:left="320" w:top="79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1)"/>
      <w:numFmt w:val="lowerLetter"/>
      <w:start w:val="1"/>
    </w:lvl>
  </w:abstractNum>
  <w:abstractNum w:abstractNumId="2">
    <w:nsid w:val="175DFCF0"/>
    <w:multiLevelType w:val="hybridMultilevel"/>
    <w:lvl w:ilvl="0">
      <w:lvlJc w:val="left"/>
      <w:lvlText w:val="(%1)"/>
      <w:numFmt w:val="lowerLetter"/>
      <w:start w:val="2"/>
    </w:lvl>
  </w:abstractNum>
  <w:abstractNum w:abstractNumId="3">
    <w:nsid w:val="4F97E3E4"/>
    <w:multiLevelType w:val="hybridMultilevel"/>
    <w:lvl w:ilvl="0">
      <w:lvlJc w:val="left"/>
      <w:lvlText w:val="(%1)"/>
      <w:numFmt w:val="lowerLetter"/>
      <w:start w:val="1"/>
    </w:lvl>
  </w:abstractNum>
  <w:abstractNum w:abstractNumId="4">
    <w:nsid w:val="53B0A9E"/>
    <w:multiLevelType w:val="hybridMultilevel"/>
    <w:lvl w:ilvl="0">
      <w:lvlJc w:val="left"/>
      <w:lvlText w:val="(%1)"/>
      <w:numFmt w:val="lowerLetter"/>
      <w:start w:val="1"/>
    </w:lvl>
  </w:abstractNum>
  <w:abstractNum w:abstractNumId="5">
    <w:nsid w:val="34FD6B4F"/>
    <w:multiLevelType w:val="hybridMultilevel"/>
    <w:lvl w:ilvl="0">
      <w:lvlJc w:val="left"/>
      <w:lvlText w:val="(%1)"/>
      <w:numFmt w:val="lowerLetter"/>
      <w:start w:val="1"/>
    </w:lvl>
  </w:abstractNum>
  <w:abstractNum w:abstractNumId="6">
    <w:nsid w:val="5915FF32"/>
    <w:multiLevelType w:val="hybridMultilevel"/>
    <w:lvl w:ilvl="0">
      <w:lvlJc w:val="left"/>
      <w:lvlText w:val="(%1)"/>
      <w:numFmt w:val="lowerLetter"/>
      <w:start w:val="4"/>
    </w:lvl>
  </w:abstractNum>
  <w:abstractNum w:abstractNumId="7">
    <w:nsid w:val="56438D15"/>
    <w:multiLevelType w:val="hybridMultilevel"/>
    <w:lvl w:ilvl="0">
      <w:lvlJc w:val="left"/>
      <w:lvlText w:val="(%1)"/>
      <w:numFmt w:val="upperLetter"/>
      <w:start w:val="1"/>
    </w:lvl>
  </w:abstractNum>
  <w:abstractNum w:abstractNumId="8">
    <w:nsid w:val="519E3149"/>
    <w:multiLevelType w:val="hybridMultilevel"/>
    <w:lvl w:ilvl="0">
      <w:lvlJc w:val="left"/>
      <w:lvlText w:val="(%1)"/>
      <w:numFmt w:val="lowerLetter"/>
      <w:start w:val="1"/>
    </w:lvl>
  </w:abstractNum>
  <w:abstractNum w:abstractNumId="9">
    <w:nsid w:val="2C6E4AFD"/>
    <w:multiLevelType w:val="hybridMultilevel"/>
    <w:lvl w:ilvl="0">
      <w:lvlJc w:val="left"/>
      <w:lvlText w:val="(%1)"/>
      <w:numFmt w:val="lowerLetter"/>
      <w:start w:val="1"/>
    </w:lvl>
  </w:abstractNum>
  <w:abstractNum w:abstractNumId="10">
    <w:nsid w:val="17A1B582"/>
    <w:multiLevelType w:val="hybridMultilevel"/>
    <w:lvl w:ilvl="0">
      <w:lvlJc w:val="left"/>
      <w:lvlText w:val="(%1)"/>
      <w:numFmt w:val="lowerLetter"/>
      <w:start w:val="3"/>
    </w:lvl>
  </w:abstractNum>
  <w:abstractNum w:abstractNumId="11">
    <w:nsid w:val="4DF72E4E"/>
    <w:multiLevelType w:val="hybridMultilevel"/>
    <w:lvl w:ilvl="0">
      <w:lvlJc w:val="left"/>
      <w:lvlText w:val="(%1)"/>
      <w:numFmt w:val="lowerLetter"/>
      <w:start w:val="1"/>
    </w:lvl>
  </w:abstractNum>
  <w:abstractNum w:abstractNumId="12">
    <w:nsid w:val="5046B5A9"/>
    <w:multiLevelType w:val="hybridMultilevel"/>
    <w:lvl w:ilvl="0">
      <w:lvlJc w:val="left"/>
      <w:lvlText w:val="(%1)"/>
      <w:numFmt w:val="lowerLetter"/>
      <w:start w:val="2"/>
    </w:lvl>
  </w:abstractNum>
  <w:abstractNum w:abstractNumId="13">
    <w:nsid w:val="5D888A08"/>
    <w:multiLevelType w:val="hybridMultilevel"/>
    <w:lvl w:ilvl="0">
      <w:lvlJc w:val="left"/>
      <w:lvlText w:val="(%1)"/>
      <w:numFmt w:val="lowerLetter"/>
      <w:start w:val="3"/>
    </w:lvl>
  </w:abstractNum>
  <w:abstractNum w:abstractNumId="14">
    <w:nsid w:val="2A082C70"/>
    <w:multiLevelType w:val="hybridMultilevel"/>
    <w:lvl w:ilvl="0">
      <w:lvlJc w:val="left"/>
      <w:lvlText w:val="(%1)"/>
      <w:numFmt w:val="lowerLetter"/>
      <w:start w:val="1"/>
    </w:lvl>
  </w:abstractNum>
  <w:abstractNum w:abstractNumId="15">
    <w:nsid w:val="5EC6AFD4"/>
    <w:multiLevelType w:val="hybridMultilevel"/>
    <w:lvl w:ilvl="0">
      <w:lvlJc w:val="left"/>
      <w:lvlText w:val="(%1)"/>
      <w:numFmt w:val="lowerLetter"/>
      <w:start w:val="4"/>
    </w:lvl>
  </w:abstractNum>
  <w:abstractNum w:abstractNumId="16">
    <w:nsid w:val="19E21BB2"/>
    <w:multiLevelType w:val="hybridMultilevel"/>
    <w:lvl w:ilvl="0">
      <w:lvlJc w:val="left"/>
      <w:lvlText w:val="(%1)"/>
      <w:numFmt w:val="lowerLetter"/>
      <w:start w:val="4"/>
    </w:lvl>
  </w:abstractNum>
  <w:abstractNum w:abstractNumId="17">
    <w:nsid w:val="75E0858A"/>
    <w:multiLevelType w:val="hybridMultilevel"/>
    <w:lvl w:ilvl="0">
      <w:lvlJc w:val="left"/>
      <w:lvlText w:val="(%1)"/>
      <w:numFmt w:val="lowerRoman"/>
      <w:start w:val="2"/>
    </w:lvl>
  </w:abstractNum>
  <w:abstractNum w:abstractNumId="18">
    <w:nsid w:val="57A61A29"/>
    <w:multiLevelType w:val="hybridMultilevel"/>
    <w:lvl w:ilvl="0">
      <w:lvlJc w:val="left"/>
      <w:lvlText w:val="(%1)"/>
      <w:numFmt w:val="lowerLetter"/>
      <w:start w:val="1"/>
    </w:lvl>
  </w:abstractNum>
  <w:abstractNum w:abstractNumId="19">
    <w:nsid w:val="5399C654"/>
    <w:multiLevelType w:val="hybridMultilevel"/>
    <w:lvl w:ilvl="0">
      <w:lvlJc w:val="left"/>
      <w:lvlText w:val="(%1)"/>
      <w:numFmt w:val="lowerLetter"/>
      <w:start w:val="2"/>
    </w:lvl>
  </w:abstractNum>
  <w:abstractNum w:abstractNumId="20">
    <w:nsid w:val="20EE1348"/>
    <w:multiLevelType w:val="hybridMultilevel"/>
    <w:lvl w:ilvl="0">
      <w:lvlJc w:val="left"/>
      <w:lvlText w:val="%1"/>
      <w:numFmt w:val="lowerLetter"/>
      <w:start w:val="1"/>
    </w:lvl>
    <w:lvl w:ilvl="1">
      <w:lvlJc w:val="left"/>
      <w:lvlText w:val="(%2)"/>
      <w:numFmt w:val="lowerLetter"/>
      <w:start w:val="10"/>
    </w:lvl>
  </w:abstractNum>
  <w:abstractNum w:abstractNumId="21">
    <w:nsid w:val="4427069A"/>
    <w:multiLevelType w:val="hybridMultilevel"/>
    <w:lvl w:ilvl="0">
      <w:lvlJc w:val="left"/>
      <w:lvlText w:val="(%1)"/>
      <w:numFmt w:val="lowerLetter"/>
      <w:start w:val="35"/>
    </w:lvl>
    <w:lvl w:ilvl="1">
      <w:lvlJc w:val="left"/>
      <w:lvlText w:val="(%2)"/>
      <w:numFmt w:val="lowerLetter"/>
      <w:start w:val="17"/>
    </w:lvl>
  </w:abstractNum>
  <w:abstractNum w:abstractNumId="22">
    <w:nsid w:val="B37E80A"/>
    <w:multiLevelType w:val="hybridMultilevel"/>
    <w:lvl w:ilvl="0">
      <w:lvlJc w:val="left"/>
      <w:lvlText w:val="(%1)"/>
      <w:numFmt w:val="lowerLetter"/>
      <w:start w:val="1"/>
    </w:lvl>
  </w:abstractNum>
  <w:abstractNum w:abstractNumId="23">
    <w:nsid w:val="2157F6BC"/>
    <w:multiLevelType w:val="hybridMultilevel"/>
    <w:lvl w:ilvl="0">
      <w:lvlJc w:val="left"/>
      <w:lvlText w:val="(%1)"/>
      <w:numFmt w:val="lowerLetter"/>
      <w:start w:val="1"/>
    </w:lvl>
  </w:abstractNum>
  <w:abstractNum w:abstractNumId="24">
    <w:nsid w:val="704E1DD5"/>
    <w:multiLevelType w:val="hybridMultilevel"/>
    <w:lvl w:ilvl="0">
      <w:lvlJc w:val="left"/>
      <w:lvlText w:val="(%1)"/>
      <w:numFmt w:val="lowerLetter"/>
      <w:start w:val="24"/>
    </w:lvl>
  </w:abstractNum>
  <w:abstractNum w:abstractNumId="25">
    <w:nsid w:val="57D2F10E"/>
    <w:multiLevelType w:val="hybridMultilevel"/>
    <w:lvl w:ilvl="0">
      <w:lvlJc w:val="left"/>
      <w:lvlText w:val="(%1)"/>
      <w:numFmt w:val="lowerLetter"/>
      <w:start w:val="26"/>
    </w:lvl>
  </w:abstractNum>
  <w:abstractNum w:abstractNumId="26">
    <w:nsid w:val="BFFAE18"/>
    <w:multiLevelType w:val="hybridMultilevel"/>
    <w:lvl w:ilvl="0">
      <w:lvlJc w:val="left"/>
      <w:lvlText w:val="(%1)"/>
      <w:numFmt w:val="lowerRoman"/>
      <w:start w:val="1"/>
    </w:lvl>
  </w:abstractNum>
  <w:abstractNum w:abstractNumId="27">
    <w:nsid w:val="E3E47A8"/>
    <w:multiLevelType w:val="hybridMultilevel"/>
    <w:lvl w:ilvl="0">
      <w:lvlJc w:val="left"/>
      <w:lvlText w:val="(%1)"/>
      <w:numFmt w:val="lowerLetter"/>
      <w:start w:val="3"/>
    </w:lvl>
  </w:abstractNum>
  <w:abstractNum w:abstractNumId="28">
    <w:nsid w:val="2E48F044"/>
    <w:multiLevelType w:val="hybridMultilevel"/>
    <w:lvl w:ilvl="0">
      <w:lvlJc w:val="left"/>
      <w:lvlText w:val="(%1)"/>
      <w:numFmt w:val="lowerRoman"/>
      <w:start w:val="1"/>
    </w:lvl>
  </w:abstractNum>
  <w:abstractNum w:abstractNumId="29">
    <w:nsid w:val="49D0FEAC"/>
    <w:multiLevelType w:val="hybridMultilevel"/>
    <w:lvl w:ilvl="0">
      <w:lvlJc w:val="left"/>
      <w:lvlText w:val="(%1)"/>
      <w:numFmt w:val="lowerLetter"/>
      <w:start w:val="1"/>
    </w:lvl>
  </w:abstractNum>
  <w:abstractNum w:abstractNumId="30">
    <w:nsid w:val="4BEE5A5B"/>
    <w:multiLevelType w:val="hybridMultilevel"/>
    <w:lvl w:ilvl="0">
      <w:lvlJc w:val="left"/>
      <w:lvlText w:val="(%1)"/>
      <w:numFmt w:val="lowerLetter"/>
      <w:start w:val="3"/>
    </w:lvl>
  </w:abstractNum>
  <w:abstractNum w:abstractNumId="31">
    <w:nsid w:val="5551B9F3"/>
    <w:multiLevelType w:val="hybridMultilevel"/>
    <w:lvl w:ilvl="0">
      <w:lvlJc w:val="left"/>
      <w:lvlText w:val="(%1)"/>
      <w:numFmt w:val="lowerLetter"/>
      <w:start w:val="1"/>
    </w:lvl>
    <w:lvl w:ilvl="1">
      <w:lvlJc w:val="left"/>
      <w:lvlText w:val="(%2)"/>
      <w:numFmt w:val="lowerRoman"/>
      <w:start w:val="1"/>
    </w:lvl>
  </w:abstractNum>
  <w:abstractNum w:abstractNumId="32">
    <w:nsid w:val="24F6AB8E"/>
    <w:multiLevelType w:val="hybridMultilevel"/>
    <w:lvl w:ilvl="0">
      <w:lvlJc w:val="left"/>
      <w:lvlText w:val="%1"/>
      <w:numFmt w:val="lowerLetter"/>
      <w:start w:val="1"/>
    </w:lvl>
    <w:lvl w:ilvl="1">
      <w:lvlJc w:val="left"/>
      <w:lvlText w:val="(%2)"/>
      <w:numFmt w:val="lowerRoman"/>
      <w:start w:val="5"/>
    </w:lvl>
  </w:abstractNum>
  <w:abstractNum w:abstractNumId="33">
    <w:nsid w:val="634C574C"/>
    <w:multiLevelType w:val="hybridMultilevel"/>
    <w:lvl w:ilvl="0">
      <w:lvlJc w:val="left"/>
      <w:lvlText w:val="(%1)"/>
      <w:numFmt w:val="lowerLetter"/>
      <w:start w:val="2"/>
    </w:lvl>
    <w:lvl w:ilvl="1">
      <w:lvlJc w:val="left"/>
      <w:lvlText w:val="%2"/>
      <w:numFmt w:val="lowerRoman"/>
      <w:start w:val="1"/>
    </w:lvl>
  </w:abstractNum>
  <w:abstractNum w:abstractNumId="34">
    <w:nsid w:val="24E99DD7"/>
    <w:multiLevelType w:val="hybridMultilevel"/>
    <w:lvl w:ilvl="0">
      <w:lvlJc w:val="left"/>
      <w:lvlText w:val="(%1)"/>
      <w:numFmt w:val="lowerLetter"/>
      <w:start w:val="3"/>
    </w:lvl>
  </w:abstractNum>
  <w:abstractNum w:abstractNumId="35">
    <w:nsid w:val="2A31B62D"/>
    <w:multiLevelType w:val="hybridMultilevel"/>
    <w:lvl w:ilvl="0">
      <w:lvlJc w:val="left"/>
      <w:lvlText w:val="(%1)"/>
      <w:numFmt w:val="lowerLetter"/>
      <w:start w:val="2"/>
    </w:lvl>
  </w:abstractNum>
  <w:abstractNum w:abstractNumId="36">
    <w:nsid w:val="1849C29B"/>
    <w:multiLevelType w:val="hybridMultilevel"/>
    <w:lvl w:ilvl="0">
      <w:lvlJc w:val="left"/>
      <w:lvlText w:val="(%1)"/>
      <w:numFmt w:val="lowerLetter"/>
      <w:start w:val="1"/>
    </w:lvl>
    <w:lvl w:ilvl="1">
      <w:lvlJc w:val="left"/>
      <w:lvlText w:val="(%2)"/>
      <w:numFmt w:val="lowerRoman"/>
      <w:start w:val="1"/>
    </w:lvl>
  </w:abstractNum>
  <w:abstractNum w:abstractNumId="37">
    <w:nsid w:val="7DFF9D09"/>
    <w:multiLevelType w:val="hybridMultilevel"/>
    <w:lvl w:ilvl="0">
      <w:lvlJc w:val="left"/>
      <w:lvlText w:val="(%1)"/>
      <w:numFmt w:val="lowerLetter"/>
      <w:start w:val="1"/>
    </w:lvl>
  </w:abstractNum>
  <w:abstractNum w:abstractNumId="38">
    <w:nsid w:val="754342"/>
    <w:multiLevelType w:val="hybridMultilevel"/>
    <w:lvl w:ilvl="0">
      <w:lvlJc w:val="left"/>
      <w:lvlText w:val="(%1)"/>
      <w:numFmt w:val="lowerLetter"/>
      <w:start w:val="4"/>
    </w:lvl>
  </w:abstractNum>
  <w:abstractNum w:abstractNumId="39">
    <w:nsid w:val="69E7F3E5"/>
    <w:multiLevelType w:val="hybridMultilevel"/>
    <w:lvl w:ilvl="0">
      <w:lvlJc w:val="left"/>
      <w:lvlText w:val="(%1)"/>
      <w:numFmt w:val="lowerLetter"/>
      <w:start w:val="1"/>
    </w:lvl>
  </w:abstractNum>
  <w:abstractNum w:abstractNumId="40">
    <w:nsid w:val="2A6DE806"/>
    <w:multiLevelType w:val="hybridMultilevel"/>
    <w:lvl w:ilvl="0">
      <w:lvlJc w:val="left"/>
      <w:lvlText w:val="(%1)"/>
      <w:numFmt w:val="lowerLetter"/>
      <w:start w:val="5"/>
    </w:lvl>
  </w:abstractNum>
  <w:abstractNum w:abstractNumId="41">
    <w:nsid w:val="1816F8C4"/>
    <w:multiLevelType w:val="hybridMultilevel"/>
    <w:lvl w:ilvl="0">
      <w:lvlJc w:val="left"/>
      <w:lvlText w:val="(%1)"/>
      <w:numFmt w:val="lowerLetter"/>
      <w:start w:val="18"/>
    </w:lvl>
  </w:abstractNum>
  <w:abstractNum w:abstractNumId="42">
    <w:nsid w:val="37DF2233"/>
    <w:multiLevelType w:val="hybridMultilevel"/>
    <w:lvl w:ilvl="0">
      <w:lvlJc w:val="left"/>
      <w:lvlText w:val="(%1)"/>
      <w:numFmt w:val="lowerLetter"/>
      <w:start w:val="22"/>
    </w:lvl>
  </w:abstractNum>
  <w:abstractNum w:abstractNumId="43">
    <w:nsid w:val="7AB49DAF"/>
    <w:multiLevelType w:val="hybridMultilevel"/>
    <w:lvl w:ilvl="0">
      <w:lvlJc w:val="left"/>
      <w:lvlText w:val="(%1)"/>
      <w:numFmt w:val="lowerLetter"/>
      <w:start w:val="24"/>
    </w:lvl>
  </w:abstractNum>
  <w:abstractNum w:abstractNumId="44">
    <w:nsid w:val="759F82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45">
    <w:nsid w:val="61E74EA3"/>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46">
    <w:nsid w:val="597B4D84"/>
    <w:multiLevelType w:val="hybridMultilevel"/>
    <w:lvl w:ilvl="0">
      <w:lvlJc w:val="left"/>
      <w:lvlText w:val="%1"/>
      <w:numFmt w:val="upperLetter"/>
      <w:start w:val="1"/>
    </w:lvl>
    <w:lvl w:ilvl="1">
      <w:lvlJc w:val="left"/>
      <w:lvlText w:val="(%2)"/>
      <w:numFmt w:val="lowerRoman"/>
      <w:start w:val="1"/>
    </w:lvl>
  </w:abstractNum>
  <w:abstractNum w:abstractNumId="47">
    <w:nsid w:val="F819E7F"/>
    <w:multiLevelType w:val="hybridMultilevel"/>
    <w:lvl w:ilvl="0">
      <w:lvlJc w:val="left"/>
      <w:lvlText w:val="(%1)"/>
      <w:numFmt w:val="upperLetter"/>
      <w:start w:val="1"/>
    </w:lvl>
    <w:lvl w:ilvl="1">
      <w:lvlJc w:val="left"/>
      <w:lvlText w:val="(%2)"/>
      <w:numFmt w:val="lowerRoman"/>
      <w:start w:val="2"/>
    </w:lvl>
  </w:abstractNum>
  <w:abstractNum w:abstractNumId="48">
    <w:nsid w:val="57C7D42D"/>
    <w:multiLevelType w:val="hybridMultilevel"/>
    <w:lvl w:ilvl="0">
      <w:lvlJc w:val="left"/>
      <w:lvlText w:val="(%1)"/>
      <w:numFmt w:val="lowerLetter"/>
      <w:start w:val="1"/>
    </w:lvl>
  </w:abstractNum>
  <w:abstractNum w:abstractNumId="49">
    <w:nsid w:val="312167AD"/>
    <w:multiLevelType w:val="hybridMultilevel"/>
    <w:lvl w:ilvl="0">
      <w:lvlJc w:val="left"/>
      <w:lvlText w:val="%1"/>
      <w:numFmt w:val="lowerLetter"/>
      <w:start w:val="1"/>
    </w:lvl>
    <w:lvl w:ilvl="1">
      <w:lvlJc w:val="left"/>
      <w:lvlText w:val="(%2)"/>
      <w:numFmt w:val="lowerLetter"/>
      <w:start w:val="1"/>
    </w:lvl>
  </w:abstractNum>
  <w:abstractNum w:abstractNumId="50">
    <w:nsid w:val="631B64D4"/>
    <w:multiLevelType w:val="hybridMultilevel"/>
    <w:lvl w:ilvl="0">
      <w:lvlJc w:val="left"/>
      <w:lvlText w:val="(%1)"/>
      <w:numFmt w:val="lowerLetter"/>
      <w:start w:val="9"/>
    </w:lvl>
    <w:lvl w:ilvl="1">
      <w:lvlJc w:val="left"/>
      <w:lvlText w:val="%2"/>
      <w:numFmt w:val="lowerLetter"/>
      <w:start w:val="1"/>
    </w:lvl>
  </w:abstractNum>
  <w:abstractNum w:abstractNumId="51">
    <w:nsid w:val="78B5E776"/>
    <w:multiLevelType w:val="hybridMultilevel"/>
    <w:lvl w:ilvl="0">
      <w:lvlJc w:val="left"/>
      <w:lvlText w:val="(%1)"/>
      <w:numFmt w:val="lowerLetter"/>
      <w:start w:val="2"/>
    </w:lvl>
  </w:abstractNum>
  <w:abstractNum w:abstractNumId="52">
    <w:nsid w:val="75486E47"/>
    <w:multiLevelType w:val="hybridMultilevel"/>
    <w:lvl w:ilvl="0">
      <w:lvlJc w:val="left"/>
      <w:lvlText w:val="(%1)"/>
      <w:numFmt w:val="lowerLetter"/>
      <w:start w:val="1"/>
    </w:lvl>
    <w:lvl w:ilvl="1">
      <w:lvlJc w:val="left"/>
      <w:lvlText w:val="(%2)"/>
      <w:numFmt w:val="lowerRoman"/>
      <w:start w:val="1"/>
    </w:lvl>
  </w:abstractNum>
  <w:abstractNum w:abstractNumId="53">
    <w:nsid w:val="6E534CDE"/>
    <w:multiLevelType w:val="hybridMultilevel"/>
    <w:lvl w:ilvl="0">
      <w:lvlJc w:val="left"/>
      <w:lvlText w:val="(%1)"/>
      <w:numFmt w:val="lowerLetter"/>
      <w:start w:val="3"/>
    </w:lvl>
  </w:abstractNum>
  <w:abstractNum w:abstractNumId="54">
    <w:nsid w:val="1A0DDE32"/>
    <w:multiLevelType w:val="hybridMultilevel"/>
    <w:lvl w:ilvl="0">
      <w:lvlJc w:val="left"/>
      <w:lvlText w:val="%1"/>
      <w:numFmt w:val="lowerLetter"/>
      <w:start w:val="1"/>
    </w:lvl>
    <w:lvl w:ilvl="1">
      <w:lvlJc w:val="left"/>
      <w:lvlText w:val="(%2)"/>
      <w:numFmt w:val="lowerLetter"/>
      <w:start w:val="1"/>
    </w:lvl>
  </w:abstractNum>
  <w:abstractNum w:abstractNumId="55">
    <w:nsid w:val="65968C1C"/>
    <w:multiLevelType w:val="hybridMultilevel"/>
    <w:lvl w:ilvl="0">
      <w:lvlJc w:val="left"/>
      <w:lvlText w:val="(%1)"/>
      <w:numFmt w:val="lowerLetter"/>
      <w:start w:val="9"/>
    </w:lvl>
    <w:lvl w:ilvl="1">
      <w:lvlJc w:val="left"/>
      <w:lvlText w:val="(%2)"/>
      <w:numFmt w:val="lowerLetter"/>
      <w:start w:val="3"/>
    </w:lvl>
  </w:abstractNum>
  <w:abstractNum w:abstractNumId="56">
    <w:nsid w:val="46263DEC"/>
    <w:multiLevelType w:val="hybridMultilevel"/>
    <w:lvl w:ilvl="0">
      <w:lvlJc w:val="left"/>
      <w:lvlText w:val="(%1)"/>
      <w:numFmt w:val="lowerLetter"/>
      <w:start w:val="5"/>
    </w:lvl>
  </w:abstractNum>
  <w:abstractNum w:abstractNumId="57">
    <w:nsid w:val="260D8C4A"/>
    <w:multiLevelType w:val="hybridMultilevel"/>
    <w:lvl w:ilvl="0">
      <w:lvlJc w:val="left"/>
      <w:lvlText w:val="(%1)"/>
      <w:numFmt w:val="lowerLetter"/>
      <w:start w:val="1"/>
    </w:lvl>
    <w:lvl w:ilvl="1">
      <w:lvlJc w:val="left"/>
      <w:lvlText w:val="(%2)"/>
      <w:numFmt w:val="lowerRoman"/>
      <w:start w:val="1"/>
    </w:lvl>
  </w:abstractNum>
  <w:abstractNum w:abstractNumId="58">
    <w:nsid w:val="73D4D3C4"/>
    <w:multiLevelType w:val="hybridMultilevel"/>
    <w:lvl w:ilvl="0">
      <w:lvlJc w:val="left"/>
      <w:lvlText w:val="(%1)"/>
      <w:numFmt w:val="lowerLetter"/>
      <w:start w:val="2"/>
    </w:lvl>
    <w:lvl w:ilvl="1">
      <w:lvlJc w:val="left"/>
      <w:lvlText w:val="(%2)"/>
      <w:numFmt w:val="lowerRoman"/>
      <w:start w:val="1"/>
    </w:lvl>
  </w:abstractNum>
  <w:abstractNum w:abstractNumId="59">
    <w:nsid w:val="746F2E30"/>
    <w:multiLevelType w:val="hybridMultilevel"/>
    <w:lvl w:ilvl="0">
      <w:lvlJc w:val="left"/>
      <w:lvlText w:val="(%1)"/>
      <w:numFmt w:val="lowerLetter"/>
      <w:start w:val="1"/>
    </w:lvl>
    <w:lvl w:ilvl="1">
      <w:lvlJc w:val="left"/>
      <w:lvlText w:val="(%2)"/>
      <w:numFmt w:val="lowerLetter"/>
      <w:start w:val="9"/>
    </w:lvl>
  </w:abstractNum>
  <w:abstractNum w:abstractNumId="60">
    <w:nsid w:val="6FDE8AF6"/>
    <w:multiLevelType w:val="hybridMultilevel"/>
    <w:lvl w:ilvl="0">
      <w:lvlJc w:val="left"/>
      <w:lvlText w:val="(%1)"/>
      <w:numFmt w:val="lowerRoman"/>
      <w:start w:val="2"/>
    </w:lvl>
  </w:abstractNum>
  <w:abstractNum w:abstractNumId="61">
    <w:nsid w:val="3FC32E20"/>
    <w:multiLevelType w:val="hybridMultilevel"/>
    <w:lvl w:ilvl="0">
      <w:lvlJc w:val="left"/>
      <w:lvlText w:val="(%1)"/>
      <w:numFmt w:val="lowerLetter"/>
      <w:start w:val="2"/>
    </w:lvl>
  </w:abstractNum>
  <w:abstractNum w:abstractNumId="62">
    <w:nsid w:val="49C0E823"/>
    <w:multiLevelType w:val="hybridMultilevel"/>
    <w:lvl w:ilvl="0">
      <w:lvlJc w:val="left"/>
      <w:lvlText w:val="(%1)"/>
      <w:numFmt w:val="lowerLetter"/>
      <w:start w:val="4"/>
    </w:lvl>
  </w:abstractNum>
  <w:abstractNum w:abstractNumId="63">
    <w:nsid w:val="14D53685"/>
    <w:multiLevelType w:val="hybridMultilevel"/>
    <w:lvl w:ilvl="0">
      <w:lvlJc w:val="left"/>
      <w:lvlText w:val="%1"/>
      <w:numFmt w:val="lowerLetter"/>
      <w:start w:val="1"/>
    </w:lvl>
    <w:lvl w:ilvl="1">
      <w:lvlJc w:val="left"/>
      <w:lvlText w:val="(%2)"/>
      <w:numFmt w:val="lowerLetter"/>
      <w:start w:val="1"/>
    </w:lvl>
  </w:abstractNum>
  <w:abstractNum w:abstractNumId="64">
    <w:nsid w:val="230F856C"/>
    <w:multiLevelType w:val="hybridMultilevel"/>
    <w:lvl w:ilvl="0">
      <w:lvlJc w:val="left"/>
      <w:lvlText w:val="(%1)"/>
      <w:numFmt w:val="lowerLetter"/>
      <w:start w:val="1"/>
    </w:lvl>
    <w:lvl w:ilvl="1">
      <w:lvlJc w:val="left"/>
      <w:lvlText w:val="(%2)"/>
      <w:numFmt w:val="lowerLetter"/>
      <w:start w:val="2"/>
    </w:lvl>
  </w:abstractNum>
  <w:abstractNum w:abstractNumId="65">
    <w:nsid w:val="6EAA85FB"/>
    <w:multiLevelType w:val="hybridMultilevel"/>
    <w:lvl w:ilvl="0">
      <w:lvlJc w:val="left"/>
      <w:lvlText w:val="(%1)"/>
      <w:numFmt w:val="lowerLetter"/>
      <w:start w:val="1"/>
    </w:lvl>
  </w:abstractNum>
  <w:abstractNum w:abstractNumId="66">
    <w:nsid w:val="3F06ECB2"/>
    <w:multiLevelType w:val="hybridMultilevel"/>
    <w:lvl w:ilvl="0">
      <w:lvlJc w:val="left"/>
      <w:lvlText w:val="(%1)"/>
      <w:numFmt w:val="lowerLetter"/>
      <w:start w:val="1"/>
    </w:lvl>
    <w:lvl w:ilvl="1">
      <w:lvlJc w:val="left"/>
      <w:lvlText w:val="(%2)"/>
      <w:numFmt w:val="lowerRoman"/>
      <w:start w:val="1"/>
    </w:lvl>
  </w:abstractNum>
  <w:abstractNum w:abstractNumId="67">
    <w:nsid w:val="3B594807"/>
    <w:multiLevelType w:val="hybridMultilevel"/>
    <w:lvl w:ilvl="0">
      <w:lvlJc w:val="left"/>
      <w:lvlText w:val="%1"/>
      <w:numFmt w:val="lowerLetter"/>
      <w:start w:val="1"/>
    </w:lvl>
    <w:lvl w:ilvl="1">
      <w:lvlJc w:val="left"/>
      <w:lvlText w:val="(%2)"/>
      <w:numFmt w:val="upperLetter"/>
      <w:start w:val="1"/>
    </w:lvl>
  </w:abstractNum>
  <w:abstractNum w:abstractNumId="68">
    <w:nsid w:val="6CAA2304"/>
    <w:multiLevelType w:val="hybridMultilevel"/>
    <w:lvl w:ilvl="0">
      <w:lvlJc w:val="left"/>
      <w:lvlText w:val="(%1)"/>
      <w:numFmt w:val="lowerLetter"/>
      <w:start w:val="25"/>
    </w:lvl>
    <w:lvl w:ilvl="1">
      <w:lvlJc w:val="left"/>
      <w:lvlText w:val="%2"/>
      <w:numFmt w:val="upperLetter"/>
      <w:start w:val="1"/>
    </w:lvl>
  </w:abstractNum>
  <w:abstractNum w:abstractNumId="69">
    <w:nsid w:val="3F7C2FF4"/>
    <w:multiLevelType w:val="hybridMultilevel"/>
    <w:lvl w:ilvl="0">
      <w:lvlJc w:val="left"/>
      <w:lvlText w:val="(%1)"/>
      <w:numFmt w:val="upperLetter"/>
      <w:start w:val="2"/>
    </w:lvl>
  </w:abstractNum>
  <w:abstractNum w:abstractNumId="70">
    <w:nsid w:val="25413BEC"/>
    <w:multiLevelType w:val="hybridMultilevel"/>
    <w:lvl w:ilvl="0">
      <w:lvlJc w:val="left"/>
      <w:lvlText w:val="(%1)"/>
      <w:numFmt w:val="lowerRoman"/>
      <w:start w:val="4"/>
    </w:lvl>
  </w:abstractNum>
  <w:abstractNum w:abstractNumId="71">
    <w:nsid w:val="17180B0B"/>
    <w:multiLevelType w:val="hybridMultilevel"/>
    <w:lvl w:ilvl="0">
      <w:lvlJc w:val="left"/>
      <w:lvlText w:val="(%1)"/>
      <w:numFmt w:val="lowerLetter"/>
      <w:start w:val="2"/>
    </w:lvl>
  </w:abstractNum>
  <w:abstractNum w:abstractNumId="72">
    <w:nsid w:val="579328B9"/>
    <w:multiLevelType w:val="hybridMultilevel"/>
    <w:lvl w:ilvl="0">
      <w:lvlJc w:val="left"/>
      <w:lvlText w:val="(%1)"/>
      <w:numFmt w:val="lowerLetter"/>
      <w:start w:val="1"/>
    </w:lvl>
  </w:abstractNum>
  <w:abstractNum w:abstractNumId="73">
    <w:nsid w:val="5D205E20"/>
    <w:multiLevelType w:val="hybridMultilevel"/>
    <w:lvl w:ilvl="0">
      <w:lvlJc w:val="left"/>
      <w:lvlText w:val="(%1)"/>
      <w:numFmt w:val="lowerRoman"/>
      <w:start w:val="1"/>
    </w:lvl>
  </w:abstractNum>
  <w:abstractNum w:abstractNumId="74">
    <w:nsid w:val="11CCA8BA"/>
    <w:multiLevelType w:val="hybridMultilevel"/>
    <w:lvl w:ilvl="0">
      <w:lvlJc w:val="left"/>
      <w:lvlText w:val="(%1)"/>
      <w:numFmt w:val="lowerLetter"/>
      <w:start w:val="3"/>
    </w:lvl>
  </w:abstractNum>
  <w:abstractNum w:abstractNumId="75">
    <w:nsid w:val="4D32AB86"/>
    <w:multiLevelType w:val="hybridMultilevel"/>
    <w:lvl w:ilvl="0">
      <w:lvlJc w:val="left"/>
      <w:lvlText w:val="%1"/>
      <w:numFmt w:val="lowerLetter"/>
      <w:start w:val="1"/>
    </w:lvl>
    <w:lvl w:ilvl="1">
      <w:lvlJc w:val="left"/>
      <w:lvlText w:val="(%2)"/>
      <w:numFmt w:val="lowerLetter"/>
      <w:start w:val="1"/>
    </w:lvl>
  </w:abstractNum>
  <w:abstractNum w:abstractNumId="76">
    <w:nsid w:val="3F07ACC3"/>
    <w:multiLevelType w:val="hybridMultilevel"/>
    <w:lvl w:ilvl="0">
      <w:lvlJc w:val="left"/>
      <w:lvlText w:val="(%1)"/>
      <w:numFmt w:val="lowerLetter"/>
      <w:start w:val="61"/>
    </w:lvl>
    <w:lvl w:ilvl="1">
      <w:lvlJc w:val="left"/>
      <w:lvlText w:val="(%2)"/>
      <w:numFmt w:val="lowerLetter"/>
      <w:start w:val="2"/>
    </w:lvl>
  </w:abstractNum>
  <w:abstractNum w:abstractNumId="77">
    <w:nsid w:val="6B47F63E"/>
    <w:multiLevelType w:val="hybridMultilevel"/>
    <w:lvl w:ilvl="0">
      <w:lvlJc w:val="left"/>
      <w:lvlText w:val="(%1)"/>
      <w:numFmt w:val="lowerLetter"/>
      <w:start w:val="3"/>
    </w:lvl>
    <w:lvl w:ilvl="1">
      <w:lvlJc w:val="left"/>
      <w:lvlText w:val="(%2)"/>
      <w:numFmt w:val="lowerRoman"/>
      <w:start w:val="1"/>
    </w:lvl>
  </w:abstractNum>
  <w:abstractNum w:abstractNumId="78">
    <w:nsid w:val="5CB44A05"/>
    <w:multiLevelType w:val="hybridMultilevel"/>
    <w:lvl w:ilvl="0">
      <w:lvlJc w:val="left"/>
      <w:lvlText w:val="(%1)"/>
      <w:numFmt w:val="lowerLetter"/>
      <w:start w:val="5"/>
    </w:lvl>
  </w:abstractNum>
  <w:abstractNum w:abstractNumId="79">
    <w:nsid w:val="16CF80F1"/>
    <w:multiLevelType w:val="hybridMultilevel"/>
    <w:lvl w:ilvl="0">
      <w:lvlJc w:val="left"/>
      <w:lvlText w:val="(%1)"/>
      <w:numFmt w:val="lowerLetter"/>
      <w:start w:val="7"/>
    </w:lvl>
  </w:abstractNum>
  <w:abstractNum w:abstractNumId="80">
    <w:nsid w:val="1C695DEC"/>
    <w:multiLevelType w:val="hybridMultilevel"/>
    <w:lvl w:ilvl="0">
      <w:lvlJc w:val="left"/>
      <w:lvlText w:val="(%1)"/>
      <w:numFmt w:val="lowerLetter"/>
      <w:start w:val="9"/>
    </w:lvl>
    <w:lvl w:ilvl="1">
      <w:lvlJc w:val="left"/>
      <w:lvlText w:val="(%2)"/>
      <w:numFmt w:val="lowerRoman"/>
      <w:start w:val="1"/>
    </w:lvl>
  </w:abstractNum>
  <w:abstractNum w:abstractNumId="81">
    <w:nsid w:val="3FCFAED9"/>
    <w:multiLevelType w:val="hybridMultilevel"/>
    <w:lvl w:ilvl="0">
      <w:lvlJc w:val="left"/>
      <w:lvlText w:val="(%1)"/>
      <w:numFmt w:val="upperLetter"/>
      <w:start w:val="1"/>
    </w:lvl>
  </w:abstractNum>
  <w:abstractNum w:abstractNumId="82">
    <w:nsid w:val="F856867"/>
    <w:multiLevelType w:val="hybridMultilevel"/>
    <w:lvl w:ilvl="0">
      <w:lvlJc w:val="left"/>
      <w:lvlText w:val="(%1)"/>
      <w:numFmt w:val="upperLetter"/>
      <w:start w:val="2"/>
    </w:lvl>
  </w:abstractNum>
  <w:abstractNum w:abstractNumId="83">
    <w:nsid w:val="11B1CC33"/>
    <w:multiLevelType w:val="hybridMultilevel"/>
    <w:lvl w:ilvl="0">
      <w:lvlJc w:val="left"/>
      <w:lvlText w:val="(%1)"/>
      <w:numFmt w:val="upperLetter"/>
      <w:start w:val="5"/>
    </w:lvl>
  </w:abstractNum>
  <w:abstractNum w:abstractNumId="84">
    <w:nsid w:val="2E22FBB7"/>
    <w:multiLevelType w:val="hybridMultilevel"/>
    <w:lvl w:ilvl="0">
      <w:lvlJc w:val="left"/>
      <w:lvlText w:val="%1"/>
      <w:numFmt w:val="lowerLetter"/>
      <w:start w:val="1"/>
    </w:lvl>
    <w:lvl w:ilvl="1">
      <w:lvlJc w:val="left"/>
      <w:lvlText w:val="(%2)"/>
      <w:numFmt w:val="lowerRoman"/>
      <w:start w:val="2"/>
    </w:lvl>
  </w:abstractNum>
  <w:abstractNum w:abstractNumId="85">
    <w:nsid w:val="29934699"/>
    <w:multiLevelType w:val="hybridMultilevel"/>
    <w:lvl w:ilvl="0">
      <w:lvlJc w:val="left"/>
      <w:lvlText w:val="(%1)"/>
      <w:numFmt w:val="lowerLetter"/>
      <w:start w:val="12"/>
    </w:lvl>
    <w:lvl w:ilvl="1">
      <w:lvlJc w:val="left"/>
      <w:lvlText w:val="%2"/>
      <w:numFmt w:val="lowerRoman"/>
      <w:start w:val="1"/>
    </w:lvl>
  </w:abstractNum>
  <w:abstractNum w:abstractNumId="86">
    <w:nsid w:val="77485850"/>
    <w:multiLevelType w:val="hybridMultilevel"/>
    <w:lvl w:ilvl="0">
      <w:lvlJc w:val="left"/>
      <w:lvlText w:val="(%1)"/>
      <w:numFmt w:val="lowerLetter"/>
      <w:start w:val="13"/>
    </w:lvl>
  </w:abstractNum>
  <w:abstractNum w:abstractNumId="87">
    <w:nsid w:val="744939A3"/>
    <w:multiLevelType w:val="hybridMultilevel"/>
    <w:lvl w:ilvl="0">
      <w:lvlJc w:val="left"/>
      <w:lvlText w:val="(%1)"/>
      <w:numFmt w:val="lowerLetter"/>
      <w:start w:val="1"/>
    </w:lvl>
  </w:abstractNum>
  <w:abstractNum w:abstractNumId="88">
    <w:nsid w:val="4FA0D2E3"/>
    <w:multiLevelType w:val="hybridMultilevel"/>
    <w:lvl w:ilvl="0">
      <w:lvlJc w:val="left"/>
      <w:lvlText w:val="(%1)"/>
      <w:numFmt w:val="lowerLetter"/>
      <w:start w:val="3"/>
    </w:lvl>
  </w:abstractNum>
  <w:abstractNum w:abstractNumId="89">
    <w:nsid w:val="6B1D2C14"/>
    <w:multiLevelType w:val="hybridMultilevel"/>
    <w:lvl w:ilvl="0">
      <w:lvlJc w:val="left"/>
      <w:lvlText w:val="(%1)"/>
      <w:numFmt w:val="lowerLetter"/>
      <w:start w:val="1"/>
    </w:lvl>
  </w:abstractNum>
  <w:abstractNum w:abstractNumId="90">
    <w:nsid w:val="68B867D3"/>
    <w:multiLevelType w:val="hybridMultilevel"/>
    <w:lvl w:ilvl="0">
      <w:lvlJc w:val="left"/>
      <w:lvlText w:val="%1"/>
      <w:numFmt w:val="lowerLetter"/>
      <w:start w:val="1"/>
    </w:lvl>
    <w:lvl w:ilvl="1">
      <w:lvlJc w:val="left"/>
      <w:lvlText w:val="(%2)"/>
      <w:numFmt w:val="lowerLetter"/>
      <w:start w:val="4"/>
    </w:lvl>
  </w:abstractNum>
  <w:abstractNum w:abstractNumId="91">
    <w:nsid w:val="3F7F5DD9"/>
    <w:multiLevelType w:val="hybridMultilevel"/>
    <w:lvl w:ilvl="0">
      <w:lvlJc w:val="left"/>
      <w:lvlText w:val="(%1)"/>
      <w:numFmt w:val="lowerLetter"/>
      <w:start w:val="35"/>
    </w:lvl>
    <w:lvl w:ilvl="1">
      <w:lvlJc w:val="left"/>
      <w:lvlText w:val="%2"/>
      <w:numFmt w:val="lowerLetter"/>
      <w:start w:val="1"/>
    </w:lvl>
  </w:abstractNum>
  <w:abstractNum w:abstractNumId="92">
    <w:nsid w:val="2AE05A34"/>
    <w:multiLevelType w:val="hybridMultilevel"/>
    <w:lvl w:ilvl="0">
      <w:lvlJc w:val="left"/>
      <w:lvlText w:val="(%1)"/>
      <w:numFmt w:val="lowerLetter"/>
      <w:start w:val="6"/>
    </w:lvl>
  </w:abstractNum>
  <w:abstractNum w:abstractNumId="93">
    <w:nsid w:val="32794FF7"/>
    <w:multiLevelType w:val="hybridMultilevel"/>
    <w:lvl w:ilvl="0">
      <w:lvlJc w:val="left"/>
      <w:lvlText w:val="(%1)"/>
      <w:numFmt w:val="lowerRoman"/>
      <w:start w:val="1"/>
    </w:lvl>
    <w:lvl w:ilvl="1">
      <w:lvlJc w:val="left"/>
      <w:lvlText w:val="(%2)"/>
      <w:numFmt w:val="lowerRoman"/>
      <w:start w:val="1"/>
    </w:lvl>
  </w:abstractNum>
  <w:abstractNum w:abstractNumId="94">
    <w:nsid w:val="5454945E"/>
    <w:multiLevelType w:val="hybridMultilevel"/>
    <w:lvl w:ilvl="0">
      <w:lvlJc w:val="left"/>
      <w:lvlText w:val="(%1)"/>
      <w:numFmt w:val="upperLetter"/>
      <w:start w:val="1"/>
    </w:lvl>
  </w:abstractNum>
  <w:abstractNum w:abstractNumId="95">
    <w:nsid w:val="4DEFDFA0"/>
    <w:multiLevelType w:val="hybridMultilevel"/>
    <w:lvl w:ilvl="0">
      <w:lvlJc w:val="left"/>
      <w:lvlText w:val="(%1)"/>
      <w:numFmt w:val="lowerRoman"/>
      <w:start w:val="3"/>
    </w:lvl>
  </w:abstractNum>
  <w:abstractNum w:abstractNumId="96">
    <w:nsid w:val="2123D5F2"/>
    <w:multiLevelType w:val="hybridMultilevel"/>
    <w:lvl w:ilvl="0">
      <w:lvlJc w:val="left"/>
      <w:lvlText w:val="(%1)"/>
      <w:numFmt w:val="lowerRoman"/>
      <w:start w:val="4"/>
    </w:lvl>
  </w:abstractNum>
  <w:abstractNum w:abstractNumId="97">
    <w:nsid w:val="135B8110"/>
    <w:multiLevelType w:val="hybridMultilevel"/>
    <w:lvl w:ilvl="0">
      <w:lvlJc w:val="left"/>
      <w:lvlText w:val="(%1)"/>
      <w:numFmt w:val="lowerLetter"/>
      <w:start w:val="1"/>
    </w:lvl>
  </w:abstractNum>
  <w:abstractNum w:abstractNumId="98">
    <w:nsid w:val="94927A8"/>
    <w:multiLevelType w:val="hybridMultilevel"/>
    <w:lvl w:ilvl="0">
      <w:lvlJc w:val="left"/>
      <w:lvlText w:val="(%1)"/>
      <w:numFmt w:val="lowerLetter"/>
      <w:start w:val="1"/>
    </w:lvl>
  </w:abstractNum>
  <w:abstractNum w:abstractNumId="99">
    <w:nsid w:val="DCDF8F6"/>
    <w:multiLevelType w:val="hybridMultilevel"/>
    <w:lvl w:ilvl="0">
      <w:lvlJc w:val="left"/>
      <w:lvlText w:val="(%1)"/>
      <w:numFmt w:val="lowerLetter"/>
      <w:start w:val="3"/>
    </w:lvl>
    <w:lvl w:ilvl="1">
      <w:lvlJc w:val="left"/>
      <w:lvlText w:val="(%2)"/>
      <w:numFmt w:val="lowerRoman"/>
      <w:start w:val="1"/>
    </w:lvl>
  </w:abstractNum>
  <w:abstractNum w:abstractNumId="100">
    <w:nsid w:val="52D7B105"/>
    <w:multiLevelType w:val="hybridMultilevel"/>
    <w:lvl w:ilvl="0">
      <w:lvlJc w:val="left"/>
      <w:lvlText w:val="(%1)"/>
      <w:numFmt w:val="lowerLetter"/>
      <w:start w:val="6"/>
    </w:lvl>
    <w:lvl w:ilvl="1">
      <w:lvlJc w:val="left"/>
      <w:lvlText w:val="(%2)"/>
      <w:numFmt w:val="lowerRoman"/>
      <w:start w:val="1"/>
    </w:lvl>
  </w:abstractNum>
  <w:abstractNum w:abstractNumId="101">
    <w:nsid w:val="2E8A6394"/>
    <w:multiLevelType w:val="hybridMultilevel"/>
    <w:lvl w:ilvl="0">
      <w:lvlJc w:val="left"/>
      <w:lvlText w:val="(%1)"/>
      <w:numFmt w:val="lowerLetter"/>
      <w:start w:val="1"/>
    </w:lvl>
  </w:abstractNum>
  <w:abstractNum w:abstractNumId="102">
    <w:nsid w:val="24E60401"/>
    <w:multiLevelType w:val="hybridMultilevel"/>
    <w:lvl w:ilvl="0">
      <w:lvlJc w:val="left"/>
      <w:lvlText w:val="(%1)"/>
      <w:numFmt w:val="lowerRoman"/>
      <w:start w:val="1"/>
    </w:lvl>
  </w:abstractNum>
  <w:abstractNum w:abstractNumId="103">
    <w:nsid w:val="2A6AD9BE"/>
    <w:multiLevelType w:val="hybridMultilevel"/>
    <w:lvl w:ilvl="0">
      <w:lvlJc w:val="left"/>
      <w:lvlText w:val="(%1)"/>
      <w:numFmt w:val="lowerRoman"/>
      <w:start w:val="2"/>
    </w:lvl>
  </w:abstractNum>
  <w:abstractNum w:abstractNumId="104">
    <w:nsid w:val="BAAC1B4"/>
    <w:multiLevelType w:val="hybridMultilevel"/>
    <w:lvl w:ilvl="0">
      <w:lvlJc w:val="left"/>
      <w:lvlText w:val="(%1)"/>
      <w:numFmt w:val="lowerRoman"/>
      <w:start w:val="6"/>
    </w:lvl>
  </w:abstractNum>
  <w:abstractNum w:abstractNumId="105">
    <w:nsid w:val="36B2ACBC"/>
    <w:multiLevelType w:val="hybridMultilevel"/>
    <w:lvl w:ilvl="0">
      <w:lvlJc w:val="left"/>
      <w:lvlText w:val="(%1)"/>
      <w:numFmt w:val="lowerRoman"/>
      <w:start w:val="8"/>
    </w:lvl>
  </w:abstractNum>
  <w:abstractNum w:abstractNumId="106">
    <w:nsid w:val="779D8544"/>
    <w:multiLevelType w:val="hybridMultilevel"/>
    <w:lvl w:ilvl="0">
      <w:lvlJc w:val="left"/>
      <w:lvlText w:val="(%1)"/>
      <w:numFmt w:val="lowerRoman"/>
      <w:start w:val="12"/>
    </w:lvl>
  </w:abstractNum>
  <w:abstractNum w:abstractNumId="107">
    <w:nsid w:val="4AB26E78"/>
    <w:multiLevelType w:val="hybridMultilevel"/>
    <w:lvl w:ilvl="0">
      <w:lvlJc w:val="left"/>
      <w:lvlText w:val="(%1)"/>
      <w:numFmt w:val="lowerRoman"/>
      <w:start w:val="14"/>
    </w:lvl>
  </w:abstractNum>
  <w:abstractNum w:abstractNumId="108">
    <w:nsid w:val="21FAA2FA"/>
    <w:multiLevelType w:val="hybridMultilevel"/>
    <w:lvl w:ilvl="0">
      <w:lvlJc w:val="left"/>
      <w:lvlText w:val="%1"/>
      <w:numFmt w:val="lowerLetter"/>
      <w:start w:val="1"/>
    </w:lvl>
    <w:lvl w:ilvl="1">
      <w:lvlJc w:val="left"/>
      <w:lvlText w:val="(%2)"/>
      <w:numFmt w:val="lowerRoman"/>
      <w:start w:val="18"/>
    </w:lvl>
  </w:abstractNum>
  <w:abstractNum w:abstractNumId="109">
    <w:nsid w:val="5451CF49"/>
    <w:multiLevelType w:val="hybridMultilevel"/>
    <w:lvl w:ilvl="0">
      <w:lvlJc w:val="left"/>
      <w:lvlText w:val="(%1)"/>
      <w:numFmt w:val="lowerLetter"/>
      <w:start w:val="2"/>
    </w:lvl>
    <w:lvl w:ilvl="1">
      <w:lvlJc w:val="left"/>
      <w:lvlText w:val="%2"/>
      <w:numFmt w:val="lowerRoman"/>
      <w:start w:val="1"/>
    </w:lvl>
  </w:abstractNum>
  <w:abstractNum w:abstractNumId="110">
    <w:nsid w:val="6181EF69"/>
    <w:multiLevelType w:val="hybridMultilevel"/>
    <w:lvl w:ilvl="0">
      <w:lvlJc w:val="left"/>
      <w:lvlText w:val="(%1)"/>
      <w:numFmt w:val="lowerLetter"/>
      <w:start w:val="8"/>
    </w:lvl>
  </w:abstractNum>
  <w:abstractNum w:abstractNumId="111">
    <w:nsid w:val="3E6400E6"/>
    <w:multiLevelType w:val="hybridMultilevel"/>
    <w:lvl w:ilvl="0">
      <w:lvlJc w:val="left"/>
      <w:lvlText w:val="(%1)"/>
      <w:numFmt w:val="lowerLetter"/>
      <w:start w:val="14"/>
    </w:lvl>
  </w:abstractNum>
  <w:abstractNum w:abstractNumId="112">
    <w:nsid w:val="14217E23"/>
    <w:multiLevelType w:val="hybridMultilevel"/>
    <w:lvl w:ilvl="0">
      <w:lvlJc w:val="left"/>
      <w:lvlText w:val="(%1)"/>
      <w:numFmt w:val="lowerLetter"/>
      <w:start w:val="1"/>
    </w:lvl>
  </w:abstractNum>
  <w:abstractNum w:abstractNumId="113">
    <w:nsid w:val="710757D0"/>
    <w:multiLevelType w:val="hybridMultilevel"/>
    <w:lvl w:ilvl="0">
      <w:lvlJc w:val="left"/>
      <w:lvlText w:val="(%1)"/>
      <w:numFmt w:val="lowerLetter"/>
      <w:start w:val="2"/>
    </w:lvl>
  </w:abstractNum>
  <w:abstractNum w:abstractNumId="114">
    <w:nsid w:val="5015CD1A"/>
    <w:multiLevelType w:val="hybridMultilevel"/>
    <w:lvl w:ilvl="0">
      <w:lvlJc w:val="left"/>
      <w:lvlText w:val="(%1)"/>
      <w:numFmt w:val="lowerLetter"/>
      <w:start w:val="1"/>
    </w:lvl>
  </w:abstractNum>
  <w:abstractNum w:abstractNumId="115">
    <w:nsid w:val="424479DA"/>
    <w:multiLevelType w:val="hybridMultilevel"/>
    <w:lvl w:ilvl="0">
      <w:lvlJc w:val="left"/>
      <w:lvlText w:val="(%1)"/>
      <w:numFmt w:val="lowerLetter"/>
      <w:start w:val="1"/>
    </w:lvl>
  </w:abstractNum>
  <w:abstractNum w:abstractNumId="116">
    <w:nsid w:val="1A9A9E69"/>
    <w:multiLevelType w:val="hybridMultilevel"/>
    <w:lvl w:ilvl="0">
      <w:lvlJc w:val="left"/>
      <w:lvlText w:val="(%1)"/>
      <w:numFmt w:val="lowerLetter"/>
      <w:start w:val="1"/>
    </w:lvl>
  </w:abstractNum>
  <w:abstractNum w:abstractNumId="117">
    <w:nsid w:val="475E256A"/>
    <w:multiLevelType w:val="hybridMultilevel"/>
    <w:lvl w:ilvl="0">
      <w:lvlJc w:val="left"/>
      <w:lvlText w:val="(%1)"/>
      <w:numFmt w:val="lowerLetter"/>
      <w:start w:val="1"/>
    </w:lvl>
  </w:abstractNum>
  <w:abstractNum w:abstractNumId="118">
    <w:nsid w:val="368DB37E"/>
    <w:multiLevelType w:val="hybridMultilevel"/>
    <w:lvl w:ilvl="0">
      <w:lvlJc w:val="left"/>
      <w:lvlText w:val="(%1)"/>
      <w:numFmt w:val="lowerRoman"/>
      <w:start w:val="2"/>
    </w:lvl>
    <w:lvl w:ilvl="1">
      <w:lvlJc w:val="left"/>
      <w:lvlText w:val="%2"/>
      <w:numFmt w:val="lowerLetter"/>
      <w:start w:val="1"/>
    </w:lvl>
  </w:abstractNum>
  <w:abstractNum w:abstractNumId="119">
    <w:nsid w:val="6A3B714C"/>
    <w:multiLevelType w:val="hybridMultilevel"/>
    <w:lvl w:ilvl="0">
      <w:lvlJc w:val="left"/>
      <w:lvlText w:val="(%1)"/>
      <w:numFmt w:val="lowerRoman"/>
      <w:start w:val="4"/>
    </w:lvl>
    <w:lvl w:ilvl="1">
      <w:lvlJc w:val="left"/>
      <w:lvlText w:val="(%2)"/>
      <w:numFmt w:val="lowerLetter"/>
      <w:start w:val="3"/>
    </w:lvl>
  </w:abstractNum>
  <w:abstractNum w:abstractNumId="120">
    <w:nsid w:val="327B517E"/>
    <w:multiLevelType w:val="hybridMultilevel"/>
    <w:lvl w:ilvl="0">
      <w:lvlJc w:val="left"/>
      <w:lvlText w:val="(%1)"/>
      <w:numFmt w:val="lowerLetter"/>
      <w:start w:val="1"/>
    </w:lvl>
  </w:abstractNum>
  <w:abstractNum w:abstractNumId="121">
    <w:nsid w:val="1F461B51"/>
    <w:multiLevelType w:val="hybridMultilevel"/>
    <w:lvl w:ilvl="0">
      <w:lvlJc w:val="left"/>
      <w:lvlText w:val="(%1)"/>
      <w:numFmt w:val="lowerLetter"/>
      <w:start w:val="1"/>
    </w:lvl>
  </w:abstractNum>
  <w:abstractNum w:abstractNumId="122">
    <w:nsid w:val="29BACF25"/>
    <w:multiLevelType w:val="hybridMultilevel"/>
    <w:lvl w:ilvl="0">
      <w:lvlJc w:val="left"/>
      <w:lvlText w:val="(%1)"/>
      <w:numFmt w:val="lowerLetter"/>
      <w:start w:val="1"/>
    </w:lvl>
  </w:abstractNum>
  <w:abstractNum w:abstractNumId="123">
    <w:nsid w:val="5D5BABB3"/>
    <w:multiLevelType w:val="hybridMultilevel"/>
    <w:lvl w:ilvl="0">
      <w:lvlJc w:val="left"/>
      <w:lvlText w:val="(%1)"/>
      <w:numFmt w:val="lowerLetter"/>
      <w:start w:val="1"/>
    </w:lvl>
    <w:lvl w:ilvl="1">
      <w:lvlJc w:val="left"/>
      <w:lvlText w:val="(%2)"/>
      <w:numFmt w:val="lowerRoman"/>
      <w:start w:val="1"/>
    </w:lvl>
  </w:abstractNum>
  <w:abstractNum w:abstractNumId="124">
    <w:nsid w:val="51BF6B48"/>
    <w:multiLevelType w:val="hybridMultilevel"/>
    <w:lvl w:ilvl="0">
      <w:lvlJc w:val="left"/>
      <w:lvlText w:val="(%1)"/>
      <w:numFmt w:val="lowerLetter"/>
      <w:start w:val="1"/>
    </w:lvl>
  </w:abstractNum>
  <w:abstractNum w:abstractNumId="125">
    <w:nsid w:val="7E0F6384"/>
    <w:multiLevelType w:val="hybridMultilevel"/>
    <w:lvl w:ilvl="0">
      <w:lvlJc w:val="left"/>
      <w:lvlText w:val="(%1)"/>
      <w:numFmt w:val="lowerLetter"/>
      <w:start w:val="3"/>
    </w:lvl>
    <w:lvl w:ilvl="1">
      <w:lvlJc w:val="left"/>
      <w:lvlText w:val="(%2)"/>
      <w:numFmt w:val="lowerRoman"/>
      <w:start w:val="1"/>
    </w:lvl>
  </w:abstractNum>
  <w:abstractNum w:abstractNumId="126">
    <w:nsid w:val="2B4B8B53"/>
    <w:multiLevelType w:val="hybridMultilevel"/>
    <w:lvl w:ilvl="0">
      <w:lvlJc w:val="left"/>
      <w:lvlText w:val="(%1)"/>
      <w:numFmt w:val="lowerLetter"/>
      <w:start w:val="5"/>
    </w:lvl>
  </w:abstractNum>
  <w:abstractNum w:abstractNumId="127">
    <w:nsid w:val="72E3413A"/>
    <w:multiLevelType w:val="hybridMultilevel"/>
    <w:lvl w:ilvl="0">
      <w:lvlJc w:val="left"/>
      <w:lvlText w:val="(%1)"/>
      <w:numFmt w:val="lowerLetter"/>
      <w:start w:val="6"/>
    </w:lvl>
  </w:abstractNum>
  <w:abstractNum w:abstractNumId="128">
    <w:nsid w:val="116AE494"/>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lowerLetter"/>
      <w:start w:val="9"/>
    </w:lvl>
  </w:abstractNum>
  <w:abstractNum w:abstractNumId="129">
    <w:nsid w:val="3494B2FB"/>
    <w:multiLevelType w:val="hybridMultilevel"/>
    <w:lvl w:ilvl="0">
      <w:lvlJc w:val="left"/>
      <w:lvlText w:val="%1"/>
      <w:numFmt w:val="upperLetter"/>
      <w:start w:val="1"/>
    </w:lvl>
    <w:lvl w:ilvl="1">
      <w:lvlJc w:val="left"/>
      <w:lvlText w:val="(%2)"/>
      <w:numFmt w:val="upperLetter"/>
      <w:start w:val="2"/>
    </w:lvl>
    <w:lvl w:ilvl="2">
      <w:lvlJc w:val="left"/>
      <w:lvlText w:val="(%3)"/>
      <w:numFmt w:val="lowerLetter"/>
      <w:start w:val="6"/>
    </w:lvl>
    <w:lvl w:ilvl="3">
      <w:lvlJc w:val="left"/>
      <w:lvlText w:val="(%4)"/>
      <w:numFmt w:val="lowerLetter"/>
      <w:start w:val="35"/>
    </w:lvl>
  </w:abstractNum>
  <w:abstractNum w:abstractNumId="130">
    <w:nsid w:val="B13A31"/>
    <w:multiLevelType w:val="hybridMultilevel"/>
    <w:lvl w:ilvl="0">
      <w:lvlJc w:val="left"/>
      <w:lvlText w:val="(%1)"/>
      <w:numFmt w:val="upperLetter"/>
      <w:start w:val="2"/>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131">
    <w:nsid w:val="64429599"/>
    <w:multiLevelType w:val="hybridMultilevel"/>
    <w:lvl w:ilvl="0">
      <w:lvlJc w:val="left"/>
      <w:lvlText w:val="(%1)"/>
      <w:numFmt w:val="lowerRoman"/>
      <w:start w:val="1"/>
    </w:lvl>
  </w:abstractNum>
  <w:abstractNum w:abstractNumId="132">
    <w:nsid w:val="631F1690"/>
    <w:multiLevelType w:val="hybridMultilevel"/>
    <w:lvl w:ilvl="0">
      <w:lvlJc w:val="left"/>
      <w:lvlText w:val="(%1)"/>
      <w:numFmt w:val="lowerLetter"/>
      <w:start w:val="1"/>
    </w:lvl>
  </w:abstractNum>
  <w:abstractNum w:abstractNumId="133">
    <w:nsid w:val="25973E32"/>
    <w:multiLevelType w:val="hybridMultilevel"/>
    <w:lvl w:ilvl="0">
      <w:lvlJc w:val="left"/>
      <w:lvlText w:val="%1"/>
      <w:numFmt w:val="lowerLetter"/>
      <w:start w:val="1"/>
    </w:lvl>
    <w:lvl w:ilvl="1">
      <w:lvlJc w:val="left"/>
      <w:lvlText w:val="(%2)"/>
      <w:numFmt w:val="lowerLetter"/>
      <w:start w:val="1"/>
    </w:lvl>
  </w:abstractNum>
  <w:abstractNum w:abstractNumId="134">
    <w:nsid w:val="EAD6F57"/>
    <w:multiLevelType w:val="hybridMultilevel"/>
    <w:lvl w:ilvl="0">
      <w:lvlJc w:val="left"/>
      <w:lvlText w:val="(%1)"/>
      <w:numFmt w:val="lowerLetter"/>
      <w:start w:val="35"/>
    </w:lvl>
    <w:lvl w:ilvl="1">
      <w:lvlJc w:val="left"/>
      <w:lvlText w:val="%2"/>
      <w:numFmt w:val="lowerLetter"/>
      <w:start w:val="1"/>
    </w:lvl>
  </w:abstractNum>
  <w:abstractNum w:abstractNumId="135">
    <w:nsid w:val="6EC9D844"/>
    <w:multiLevelType w:val="hybridMultilevel"/>
    <w:lvl w:ilvl="0">
      <w:lvlJc w:val="left"/>
      <w:lvlText w:val="(%1)"/>
      <w:numFmt w:val="lowerLetter"/>
      <w:start w:val="4"/>
    </w:lvl>
  </w:abstractNum>
  <w:abstractNum w:abstractNumId="136">
    <w:nsid w:val="5C49EAEE"/>
    <w:multiLevelType w:val="hybridMultilevel"/>
    <w:lvl w:ilvl="0">
      <w:lvlJc w:val="left"/>
      <w:lvlText w:val="(%1)"/>
      <w:numFmt w:val="lowerLetter"/>
      <w:start w:val="6"/>
    </w:lvl>
  </w:abstractNum>
  <w:abstractNum w:abstractNumId="137">
    <w:nsid w:val="64AF49B"/>
    <w:multiLevelType w:val="hybridMultilevel"/>
    <w:lvl w:ilvl="0">
      <w:lvlJc w:val="left"/>
      <w:lvlText w:val="(%1)"/>
      <w:numFmt w:val="lowerLetter"/>
      <w:start w:val="9"/>
    </w:lvl>
    <w:lvl w:ilvl="1">
      <w:lvlJc w:val="left"/>
      <w:lvlText w:val="(%2)"/>
      <w:numFmt w:val="lowerLetter"/>
      <w:start w:val="10"/>
    </w:lvl>
  </w:abstractNum>
  <w:abstractNum w:abstractNumId="138">
    <w:nsid w:val="397C46BC"/>
    <w:multiLevelType w:val="hybridMultilevel"/>
    <w:lvl w:ilvl="0">
      <w:lvlJc w:val="left"/>
      <w:lvlText w:val="(%1)"/>
      <w:numFmt w:val="lowerLetter"/>
      <w:start w:val="13"/>
    </w:lvl>
  </w:abstractNum>
  <w:abstractNum w:abstractNumId="139">
    <w:nsid w:val="7E448DE9"/>
    <w:multiLevelType w:val="hybridMultilevel"/>
    <w:lvl w:ilvl="0">
      <w:lvlJc w:val="left"/>
      <w:lvlText w:val="(%1)"/>
      <w:numFmt w:val="lowerLetter"/>
      <w:start w:val="2"/>
    </w:lvl>
  </w:abstractNum>
  <w:abstractNum w:abstractNumId="140">
    <w:nsid w:val="5A9CC3E5"/>
    <w:multiLevelType w:val="hybridMultilevel"/>
    <w:lvl w:ilvl="0">
      <w:lvlJc w:val="left"/>
      <w:lvlText w:val="(%1)"/>
      <w:numFmt w:val="lowerLetter"/>
      <w:start w:val="1"/>
    </w:lvl>
    <w:lvl w:ilvl="1">
      <w:lvlJc w:val="left"/>
      <w:lvlText w:val="(%2)"/>
      <w:numFmt w:val="lowerRoman"/>
      <w:start w:val="1"/>
    </w:lvl>
  </w:abstractNum>
  <w:abstractNum w:abstractNumId="141">
    <w:nsid w:val="1AFE3625"/>
    <w:multiLevelType w:val="hybridMultilevel"/>
    <w:lvl w:ilvl="0">
      <w:lvlJc w:val="left"/>
      <w:lvlText w:val="%1"/>
      <w:numFmt w:val="lowerLetter"/>
      <w:start w:val="1"/>
    </w:lvl>
    <w:lvl w:ilvl="1">
      <w:lvlJc w:val="left"/>
      <w:lvlText w:val="(%2)"/>
      <w:numFmt w:val="lowerRoman"/>
      <w:start w:val="3"/>
    </w:lvl>
  </w:abstractNum>
  <w:abstractNum w:abstractNumId="142">
    <w:nsid w:val="3CA88ECF"/>
    <w:multiLevelType w:val="hybridMultilevel"/>
    <w:lvl w:ilvl="0">
      <w:lvlJc w:val="left"/>
      <w:lvlText w:val="(%1)"/>
      <w:numFmt w:val="lowerLetter"/>
      <w:start w:val="2"/>
    </w:lvl>
    <w:lvl w:ilvl="1">
      <w:lvlJc w:val="left"/>
      <w:lvlText w:val="%2"/>
      <w:numFmt w:val="lowerRoman"/>
      <w:start w:val="1"/>
    </w:lvl>
  </w:abstractNum>
  <w:abstractNum w:abstractNumId="143">
    <w:nsid w:val="6EBE4208"/>
    <w:multiLevelType w:val="hybridMultilevel"/>
    <w:lvl w:ilvl="0">
      <w:lvlJc w:val="left"/>
      <w:lvlText w:val="(%1)"/>
      <w:numFmt w:val="lowerLetter"/>
      <w:start w:val="1"/>
    </w:lvl>
  </w:abstractNum>
  <w:abstractNum w:abstractNumId="144">
    <w:nsid w:val="C058DF5"/>
    <w:multiLevelType w:val="hybridMultilevel"/>
    <w:lvl w:ilvl="0">
      <w:lvlJc w:val="left"/>
      <w:lvlText w:val="%1"/>
      <w:numFmt w:val="upperLetter"/>
      <w:start w:val="1"/>
    </w:lvl>
    <w:lvl w:ilvl="1">
      <w:lvlJc w:val="left"/>
      <w:lvlText w:val="(%2)"/>
      <w:numFmt w:val="lowerLetter"/>
      <w:start w:val="7"/>
    </w:lvl>
  </w:abstractNum>
  <w:abstractNum w:abstractNumId="145">
    <w:nsid w:val="CBE5BE9"/>
    <w:multiLevelType w:val="hybridMultilevel"/>
    <w:lvl w:ilvl="0">
      <w:lvlJc w:val="left"/>
      <w:lvlText w:val="(%1)"/>
      <w:numFmt w:val="upperLetter"/>
      <w:start w:val="1"/>
    </w:lvl>
    <w:lvl w:ilvl="1">
      <w:lvlJc w:val="left"/>
      <w:lvlText w:val="(%2)"/>
      <w:numFmt w:val="lowerLetter"/>
      <w:start w:val="9"/>
    </w:lvl>
  </w:abstractNum>
  <w:abstractNum w:abstractNumId="146">
    <w:nsid w:val="3102BBE2"/>
    <w:multiLevelType w:val="hybridMultilevel"/>
    <w:lvl w:ilvl="0">
      <w:lvlJc w:val="left"/>
      <w:lvlText w:val="%1"/>
      <w:numFmt w:val="lowerLetter"/>
      <w:start w:val="1"/>
    </w:lvl>
    <w:lvl w:ilvl="1">
      <w:lvlJc w:val="left"/>
      <w:lvlText w:val="(%2)"/>
      <w:numFmt w:val="lowerLetter"/>
      <w:start w:val="12"/>
    </w:lvl>
  </w:abstractNum>
  <w:abstractNum w:abstractNumId="147">
    <w:nsid w:val="26A02C5E"/>
    <w:multiLevelType w:val="hybridMultilevel"/>
    <w:lvl w:ilvl="0">
      <w:lvlJc w:val="left"/>
      <w:lvlText w:val="(%1)"/>
      <w:numFmt w:val="lowerLetter"/>
      <w:start w:val="35"/>
    </w:lvl>
    <w:lvl w:ilvl="1">
      <w:lvlJc w:val="left"/>
      <w:lvlText w:val="%2"/>
      <w:numFmt w:val="lowerLetter"/>
      <w:start w:val="1"/>
    </w:lvl>
  </w:abstractNum>
  <w:abstractNum w:abstractNumId="148">
    <w:nsid w:val="541C8153"/>
    <w:multiLevelType w:val="hybridMultilevel"/>
    <w:lvl w:ilvl="0">
      <w:lvlJc w:val="left"/>
      <w:lvlText w:val="(%1)"/>
      <w:numFmt w:val="lowerLetter"/>
      <w:start w:val="18"/>
    </w:lvl>
  </w:abstractNum>
  <w:abstractNum w:abstractNumId="149">
    <w:nsid w:val="67906F60"/>
    <w:multiLevelType w:val="hybridMultilevel"/>
    <w:lvl w:ilvl="0">
      <w:lvlJc w:val="left"/>
      <w:lvlText w:val="(%1)"/>
      <w:numFmt w:val="lowerLetter"/>
      <w:start w:val="1"/>
    </w:lvl>
  </w:abstractNum>
  <w:abstractNum w:abstractNumId="150">
    <w:nsid w:val="10DB9DAA"/>
    <w:multiLevelType w:val="hybridMultilevel"/>
    <w:lvl w:ilvl="0">
      <w:lvlJc w:val="left"/>
      <w:lvlText w:val="(%1)"/>
      <w:numFmt w:val="lowerLetter"/>
      <w:start w:val="3"/>
    </w:lvl>
  </w:abstractNum>
  <w:abstractNum w:abstractNumId="151">
    <w:nsid w:val="697D2D2"/>
    <w:multiLevelType w:val="hybridMultilevel"/>
    <w:lvl w:ilvl="0">
      <w:lvlJc w:val="left"/>
      <w:lvlText w:val="(%1)"/>
      <w:numFmt w:val="lowerLetter"/>
      <w:start w:val="1"/>
    </w:lvl>
  </w:abstractNum>
  <w:abstractNum w:abstractNumId="152">
    <w:nsid w:val="6D68AB2"/>
    <w:multiLevelType w:val="hybridMultilevel"/>
    <w:lvl w:ilvl="0">
      <w:lvlJc w:val="left"/>
      <w:lvlText w:val="(%1)"/>
      <w:numFmt w:val="lowerLetter"/>
      <w:start w:val="6"/>
    </w:lvl>
  </w:abstractNum>
  <w:abstractNum w:abstractNumId="153">
    <w:nsid w:val="3A966CD0"/>
    <w:multiLevelType w:val="hybridMultilevel"/>
    <w:lvl w:ilvl="0">
      <w:lvlJc w:val="left"/>
      <w:lvlText w:val="(%1)"/>
      <w:numFmt w:val="lowerLetter"/>
      <w:start w:val="1"/>
    </w:lvl>
  </w:abstractNum>
  <w:abstractNum w:abstractNumId="154">
    <w:nsid w:val="63F37E85"/>
    <w:multiLevelType w:val="hybridMultilevel"/>
    <w:lvl w:ilvl="0">
      <w:lvlJc w:val="left"/>
      <w:lvlText w:val="%1"/>
      <w:numFmt w:val="lowerLetter"/>
      <w:start w:val="1"/>
    </w:lvl>
    <w:lvl w:ilvl="1">
      <w:lvlJc w:val="left"/>
      <w:lvlText w:val="(%2)"/>
      <w:numFmt w:val="lowerLetter"/>
      <w:start w:val="7"/>
    </w:lvl>
  </w:abstractNum>
  <w:abstractNum w:abstractNumId="155">
    <w:nsid w:val="5895F5FA"/>
    <w:multiLevelType w:val="hybridMultilevel"/>
    <w:lvl w:ilvl="0">
      <w:lvlJc w:val="left"/>
      <w:lvlText w:val="(%1)"/>
      <w:numFmt w:val="lowerLetter"/>
      <w:start w:val="35"/>
    </w:lvl>
    <w:lvl w:ilvl="1">
      <w:lvlJc w:val="left"/>
      <w:lvlText w:val="(%2)"/>
      <w:numFmt w:val="lowerLetter"/>
      <w:start w:val="12"/>
    </w:lvl>
  </w:abstractNum>
  <w:abstractNum w:abstractNumId="156">
    <w:nsid w:val="38A5D054"/>
    <w:multiLevelType w:val="hybridMultilevel"/>
    <w:lvl w:ilvl="0">
      <w:lvlJc w:val="left"/>
      <w:lvlText w:val="(%1)"/>
      <w:numFmt w:val="lowerLetter"/>
      <w:start w:val="1"/>
    </w:lvl>
  </w:abstractNum>
  <w:abstractNum w:abstractNumId="157">
    <w:nsid w:val="F3F09D8"/>
    <w:multiLevelType w:val="hybridMultilevel"/>
    <w:lvl w:ilvl="0">
      <w:lvlJc w:val="left"/>
      <w:lvlText w:val="(%1)"/>
      <w:numFmt w:val="lowerLetter"/>
      <w:start w:val="13"/>
    </w:lvl>
  </w:abstractNum>
  <w:abstractNum w:abstractNumId="158">
    <w:nsid w:val="4B793735"/>
    <w:multiLevelType w:val="hybridMultilevel"/>
    <w:lvl w:ilvl="0">
      <w:lvlJc w:val="left"/>
      <w:lvlText w:val="(%1)"/>
      <w:numFmt w:val="lowerLetter"/>
      <w:start w:val="1"/>
    </w:lvl>
  </w:abstractNum>
  <w:abstractNum w:abstractNumId="159">
    <w:nsid w:val="4A10B4E8"/>
    <w:multiLevelType w:val="hybridMultilevel"/>
    <w:lvl w:ilvl="0">
      <w:lvlJc w:val="left"/>
      <w:lvlText w:val="(%1)"/>
      <w:numFmt w:val="lowerLetter"/>
      <w:start w:val="2"/>
    </w:lvl>
  </w:abstractNum>
  <w:abstractNum w:abstractNumId="160">
    <w:nsid w:val="43D3BCD4"/>
    <w:multiLevelType w:val="hybridMultilevel"/>
    <w:lvl w:ilvl="0">
      <w:lvlJc w:val="left"/>
      <w:lvlText w:val="(%1)"/>
      <w:numFmt w:val="lowerLetter"/>
      <w:start w:val="4"/>
    </w:lvl>
  </w:abstractNum>
  <w:abstractNum w:abstractNumId="161">
    <w:nsid w:val="4C2A7166"/>
    <w:multiLevelType w:val="hybridMultilevel"/>
    <w:lvl w:ilvl="0">
      <w:lvlJc w:val="left"/>
      <w:lvlText w:val="(%1)"/>
      <w:numFmt w:val="lowerLetter"/>
      <w:start w:val="12"/>
    </w:lvl>
  </w:abstractNum>
  <w:abstractNum w:abstractNumId="162">
    <w:nsid w:val="2E534A82"/>
    <w:multiLevelType w:val="hybridMultilevel"/>
    <w:lvl w:ilvl="0">
      <w:lvlJc w:val="left"/>
      <w:lvlText w:val="(%1)"/>
      <w:numFmt w:val="lowerLetter"/>
      <w:start w:val="1"/>
    </w:lvl>
  </w:abstractNum>
  <w:abstractNum w:abstractNumId="163">
    <w:nsid w:val="26F2D364"/>
    <w:multiLevelType w:val="hybridMultilevel"/>
    <w:lvl w:ilvl="0">
      <w:lvlJc w:val="left"/>
      <w:lvlText w:val="(%1)"/>
      <w:numFmt w:val="lowerLetter"/>
      <w:start w:val="1"/>
    </w:lvl>
  </w:abstractNum>
  <w:abstractNum w:abstractNumId="164">
    <w:nsid w:val="71C1AF98"/>
    <w:multiLevelType w:val="hybridMultilevel"/>
    <w:lvl w:ilvl="0">
      <w:lvlJc w:val="left"/>
      <w:lvlText w:val="(%1)"/>
      <w:numFmt w:val="lowerLetter"/>
      <w:start w:val="7"/>
    </w:lvl>
  </w:abstractNum>
  <w:abstractNum w:abstractNumId="165">
    <w:nsid w:val="3D00B9D9"/>
    <w:multiLevelType w:val="hybridMultilevel"/>
    <w:lvl w:ilvl="0">
      <w:lvlJc w:val="left"/>
      <w:lvlText w:val="(%1)"/>
      <w:numFmt w:val="lowerLetter"/>
      <w:start w:val="1"/>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Letter"/>
      <w:start w:val="3"/>
    </w:lvl>
  </w:abstractNum>
  <w:abstractNum w:abstractNumId="168">
    <w:nsid w:val="434BAE75"/>
    <w:multiLevelType w:val="hybridMultilevel"/>
    <w:lvl w:ilvl="0">
      <w:lvlJc w:val="left"/>
      <w:lvlText w:val="(%1)"/>
      <w:numFmt w:val="lowerLetter"/>
      <w:start w:val="10"/>
    </w:lvl>
  </w:abstractNum>
  <w:abstractNum w:abstractNumId="169">
    <w:nsid w:val="4F38F265"/>
    <w:multiLevelType w:val="hybridMultilevel"/>
    <w:lvl w:ilvl="0">
      <w:lvlJc w:val="left"/>
      <w:lvlText w:val="(%1)"/>
      <w:numFmt w:val="lowerLetter"/>
      <w:start w:val="14"/>
    </w:lvl>
  </w:abstractNum>
  <w:abstractNum w:abstractNumId="170">
    <w:nsid w:val="4C502870"/>
    <w:multiLevelType w:val="hybridMultilevel"/>
    <w:lvl w:ilvl="0">
      <w:lvlJc w:val="left"/>
      <w:lvlText w:val="(%1)"/>
      <w:numFmt w:val="lowerRoman"/>
      <w:start w:val="1"/>
    </w:lvl>
  </w:abstractNum>
  <w:abstractNum w:abstractNumId="171">
    <w:nsid w:val="1DE8725A"/>
    <w:multiLevelType w:val="hybridMultilevel"/>
    <w:lvl w:ilvl="0">
      <w:lvlJc w:val="left"/>
      <w:lvlText w:val="(%1)"/>
      <w:numFmt w:val="lowerRoman"/>
      <w:start w:val="3"/>
    </w:lvl>
  </w:abstractNum>
  <w:abstractNum w:abstractNumId="172">
    <w:nsid w:val="6A37288A"/>
    <w:multiLevelType w:val="hybridMultilevel"/>
    <w:lvl w:ilvl="0">
      <w:lvlJc w:val="left"/>
      <w:lvlText w:val="(%1)"/>
      <w:numFmt w:val="lowerLetter"/>
      <w:start w:val="1"/>
    </w:lvl>
  </w:abstractNum>
  <w:abstractNum w:abstractNumId="173">
    <w:nsid w:val="8F8B73F"/>
    <w:multiLevelType w:val="hybridMultilevel"/>
    <w:lvl w:ilvl="0">
      <w:lvlJc w:val="left"/>
      <w:lvlText w:val="(%1)"/>
      <w:numFmt w:val="lowerLetter"/>
      <w:start w:val="2"/>
    </w:lvl>
  </w:abstractNum>
  <w:abstractNum w:abstractNumId="174">
    <w:nsid w:val="CA6B462"/>
    <w:multiLevelType w:val="hybridMultilevel"/>
    <w:lvl w:ilvl="0">
      <w:lvlJc w:val="left"/>
      <w:lvlText w:val="(%1)"/>
      <w:numFmt w:val="lowerLetter"/>
      <w:start w:val="1"/>
    </w:lvl>
  </w:abstractNum>
  <w:abstractNum w:abstractNumId="175">
    <w:nsid w:val="763CB680"/>
    <w:multiLevelType w:val="hybridMultilevel"/>
    <w:lvl w:ilvl="0">
      <w:lvlJc w:val="left"/>
      <w:lvlText w:val="(%1)"/>
      <w:numFmt w:val="lowerLetter"/>
      <w:start w:val="2"/>
    </w:lvl>
    <w:lvl w:ilvl="1">
      <w:lvlJc w:val="left"/>
      <w:lvlText w:val="(%2)"/>
      <w:numFmt w:val="lowerRoman"/>
      <w:start w:val="1"/>
    </w:lvl>
  </w:abstractNum>
  <w:abstractNum w:abstractNumId="176">
    <w:nsid w:val="15B71329"/>
    <w:multiLevelType w:val="hybridMultilevel"/>
    <w:lvl w:ilvl="0">
      <w:lvlJc w:val="left"/>
      <w:lvlText w:val="(%1)"/>
      <w:numFmt w:val="lowerLetter"/>
      <w:start w:val="5"/>
    </w:lvl>
    <w:lvl w:ilvl="1">
      <w:lvlJc w:val="left"/>
      <w:lvlText w:val="(%2)"/>
      <w:numFmt w:val="lowerRoman"/>
      <w:start w:val="1"/>
    </w:lvl>
  </w:abstractNum>
  <w:abstractNum w:abstractNumId="177">
    <w:nsid w:val="3DA97044"/>
    <w:multiLevelType w:val="hybridMultilevel"/>
    <w:lvl w:ilvl="0">
      <w:lvlJc w:val="left"/>
      <w:lvlText w:val="(%1)"/>
      <w:numFmt w:val="lowerLetter"/>
      <w:start w:val="1"/>
    </w:lvl>
  </w:abstractNum>
  <w:abstractNum w:abstractNumId="178">
    <w:nsid w:val="1CDCE2DE"/>
    <w:multiLevelType w:val="hybridMultilevel"/>
    <w:lvl w:ilvl="0">
      <w:lvlJc w:val="left"/>
      <w:lvlText w:val="(%1)"/>
      <w:numFmt w:val="lowerLetter"/>
      <w:start w:val="1"/>
    </w:lvl>
  </w:abstractNum>
  <w:abstractNum w:abstractNumId="179">
    <w:nsid w:val="69D3947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80">
    <w:nsid w:val="2539DFA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81">
    <w:nsid w:val="2DB88089"/>
    <w:multiLevelType w:val="hybridMultilevel"/>
    <w:lvl w:ilvl="0">
      <w:lvlJc w:val="left"/>
      <w:lvlText w:val="(%1)"/>
      <w:numFmt w:val="lowerRoman"/>
      <w:start w:val="2"/>
    </w:lvl>
  </w:abstractNum>
  <w:abstractNum w:abstractNumId="182">
    <w:nsid w:val="706B674E"/>
    <w:multiLevelType w:val="hybridMultilevel"/>
    <w:lvl w:ilvl="0">
      <w:lvlJc w:val="left"/>
      <w:lvlText w:val="(%1)"/>
      <w:numFmt w:val="lowerLetter"/>
      <w:start w:val="1"/>
    </w:lvl>
  </w:abstractNum>
  <w:abstractNum w:abstractNumId="183">
    <w:nsid w:val="2C106A57"/>
    <w:multiLevelType w:val="hybridMultilevel"/>
    <w:lvl w:ilvl="0">
      <w:lvlJc w:val="left"/>
      <w:lvlText w:val="(%1)"/>
      <w:numFmt w:val="lowerLetter"/>
      <w:start w:val="2"/>
    </w:lvl>
  </w:abstractNum>
  <w:abstractNum w:abstractNumId="184">
    <w:nsid w:val="684EED59"/>
    <w:multiLevelType w:val="hybridMultilevel"/>
    <w:lvl w:ilvl="0">
      <w:lvlJc w:val="left"/>
      <w:lvlText w:val="(%1)"/>
      <w:numFmt w:val="lowerRoman"/>
      <w:start w:val="1"/>
    </w:lvl>
  </w:abstractNum>
  <w:abstractNum w:abstractNumId="185">
    <w:nsid w:val="545EE5D3"/>
    <w:multiLevelType w:val="hybridMultilevel"/>
    <w:lvl w:ilvl="0">
      <w:lvlJc w:val="left"/>
      <w:lvlText w:val="%1"/>
      <w:numFmt w:val="lowerLetter"/>
      <w:start w:val="1"/>
    </w:lvl>
    <w:lvl w:ilvl="1">
      <w:lvlJc w:val="left"/>
      <w:lvlText w:val="(%2)"/>
      <w:numFmt w:val="lowerRoman"/>
      <w:start w:val="3"/>
    </w:lvl>
  </w:abstractNum>
  <w:abstractNum w:abstractNumId="186">
    <w:nsid w:val="4A66051"/>
    <w:multiLevelType w:val="hybridMultilevel"/>
    <w:lvl w:ilvl="0">
      <w:lvlJc w:val="left"/>
      <w:lvlText w:val="(%1)"/>
      <w:numFmt w:val="lowerLetter"/>
      <w:start w:val="2"/>
    </w:lvl>
    <w:lvl w:ilvl="1">
      <w:lvlJc w:val="left"/>
      <w:lvlText w:val="(%2)"/>
      <w:numFmt w:val="lowerRoman"/>
      <w:start w:val="1"/>
    </w:lvl>
  </w:abstractNum>
  <w:abstractNum w:abstractNumId="187">
    <w:nsid w:val="20F4BDAD"/>
    <w:multiLevelType w:val="hybridMultilevel"/>
    <w:lvl w:ilvl="0">
      <w:lvlJc w:val="left"/>
      <w:lvlText w:val="%1"/>
      <w:numFmt w:val="lowerLetter"/>
      <w:start w:val="1"/>
    </w:lvl>
    <w:lvl w:ilvl="1">
      <w:lvlJc w:val="left"/>
      <w:lvlText w:val="(%2)"/>
      <w:numFmt w:val="lowerRoman"/>
      <w:start w:val="4"/>
    </w:lvl>
  </w:abstractNum>
  <w:abstractNum w:abstractNumId="188">
    <w:nsid w:val="639DEFAC"/>
    <w:multiLevelType w:val="hybridMultilevel"/>
    <w:lvl w:ilvl="0">
      <w:lvlJc w:val="left"/>
      <w:lvlText w:val="(%1)"/>
      <w:numFmt w:val="lowerLetter"/>
      <w:start w:val="3"/>
    </w:lvl>
    <w:lvl w:ilvl="1">
      <w:lvlJc w:val="left"/>
      <w:lvlText w:val="%2"/>
      <w:numFmt w:val="lowerRoman"/>
      <w:start w:val="1"/>
    </w:lvl>
  </w:abstractNum>
  <w:abstractNum w:abstractNumId="189">
    <w:nsid w:val="501F9786"/>
    <w:multiLevelType w:val="hybridMultilevel"/>
    <w:lvl w:ilvl="0">
      <w:lvlJc w:val="left"/>
      <w:lvlText w:val="(%1)"/>
      <w:numFmt w:val="lowerLetter"/>
      <w:start w:val="1"/>
    </w:lvl>
  </w:abstractNum>
  <w:abstractNum w:abstractNumId="190">
    <w:nsid w:val="6B057295"/>
    <w:multiLevelType w:val="hybridMultilevel"/>
    <w:lvl w:ilvl="0">
      <w:lvlJc w:val="left"/>
      <w:lvlText w:val="(%1)"/>
      <w:numFmt w:val="lowerLetter"/>
      <w:start w:val="3"/>
    </w:lvl>
  </w:abstractNum>
  <w:abstractNum w:abstractNumId="191">
    <w:nsid w:val="2771AC80"/>
    <w:multiLevelType w:val="hybridMultilevel"/>
    <w:lvl w:ilvl="0">
      <w:lvlJc w:val="left"/>
      <w:lvlText w:val="(%1)"/>
      <w:numFmt w:val="lowerLetter"/>
      <w:start w:val="4"/>
    </w:lvl>
  </w:abstractNum>
  <w:abstractNum w:abstractNumId="192">
    <w:nsid w:val="1C4A08EC"/>
    <w:multiLevelType w:val="hybridMultilevel"/>
    <w:lvl w:ilvl="0">
      <w:lvlJc w:val="left"/>
      <w:lvlText w:val="(%1)"/>
      <w:numFmt w:val="lowerLetter"/>
      <w:start w:val="1"/>
    </w:lvl>
  </w:abstractNum>
  <w:abstractNum w:abstractNumId="193">
    <w:nsid w:val="1958BD17"/>
    <w:multiLevelType w:val="hybridMultilevel"/>
    <w:lvl w:ilvl="0">
      <w:lvlJc w:val="left"/>
      <w:lvlText w:val="(%1)"/>
      <w:numFmt w:val="lowerRoman"/>
      <w:start w:val="1"/>
    </w:lvl>
  </w:abstractNum>
  <w:abstractNum w:abstractNumId="194">
    <w:nsid w:val="4E647FE4"/>
    <w:multiLevelType w:val="hybridMultilevel"/>
    <w:lvl w:ilvl="0">
      <w:lvlJc w:val="left"/>
      <w:lvlText w:val="(%1)"/>
      <w:numFmt w:val="lowerRoman"/>
      <w:start w:val="2"/>
    </w:lvl>
  </w:abstractNum>
  <w:abstractNum w:abstractNumId="195">
    <w:nsid w:val="E0BB885"/>
    <w:multiLevelType w:val="hybridMultilevel"/>
    <w:lvl w:ilvl="0">
      <w:lvlJc w:val="left"/>
      <w:lvlText w:val="(%1)"/>
      <w:numFmt w:val="lowerRoman"/>
      <w:start w:val="3"/>
    </w:lvl>
  </w:abstractNum>
  <w:abstractNum w:abstractNumId="196">
    <w:nsid w:val="565976F1"/>
    <w:multiLevelType w:val="hybridMultilevel"/>
    <w:lvl w:ilvl="0">
      <w:lvlJc w:val="left"/>
      <w:lvlText w:val="(%1)"/>
      <w:numFmt w:val="lowerRoman"/>
      <w:start w:val="4"/>
    </w:lvl>
  </w:abstractNum>
  <w:abstractNum w:abstractNumId="197">
    <w:nsid w:val="64212B8C"/>
    <w:multiLevelType w:val="hybridMultilevel"/>
    <w:lvl w:ilvl="0">
      <w:lvlJc w:val="left"/>
      <w:lvlText w:val="(%1)"/>
      <w:numFmt w:val="lowerRoman"/>
      <w:start w:val="5"/>
    </w:lvl>
  </w:abstractNum>
  <w:abstractNum w:abstractNumId="198">
    <w:nsid w:val="5C17530C"/>
    <w:multiLevelType w:val="hybridMultilevel"/>
    <w:lvl w:ilvl="0">
      <w:lvlJc w:val="left"/>
      <w:lvlText w:val="(%1)"/>
      <w:numFmt w:val="lowerRoman"/>
      <w:start w:val="6"/>
    </w:lvl>
  </w:abstractNum>
  <w:abstractNum w:abstractNumId="199">
    <w:nsid w:val="19A52566"/>
    <w:multiLevelType w:val="hybridMultilevel"/>
    <w:lvl w:ilvl="0">
      <w:lvlJc w:val="left"/>
      <w:lvlText w:val="(%1)"/>
      <w:numFmt w:val="lowerRoman"/>
      <w:start w:val="7"/>
    </w:lvl>
  </w:abstractNum>
  <w:abstractNum w:abstractNumId="200">
    <w:nsid w:val="335A1DF1"/>
    <w:multiLevelType w:val="hybridMultilevel"/>
    <w:lvl w:ilvl="0">
      <w:lvlJc w:val="left"/>
      <w:lvlText w:val="(%1)"/>
      <w:numFmt w:val="lowerRoman"/>
      <w:start w:val="8"/>
    </w:lvl>
  </w:abstractNum>
  <w:abstractNum w:abstractNumId="201">
    <w:nsid w:val="28677B7C"/>
    <w:multiLevelType w:val="hybridMultilevel"/>
    <w:lvl w:ilvl="0">
      <w:lvlJc w:val="left"/>
      <w:lvlText w:val="(%1)"/>
      <w:numFmt w:val="lowerRoman"/>
      <w:start w:val="9"/>
    </w:lvl>
  </w:abstractNum>
  <w:abstractNum w:abstractNumId="202">
    <w:nsid w:val="378D97C0"/>
    <w:multiLevelType w:val="hybridMultilevel"/>
    <w:lvl w:ilvl="0">
      <w:lvlJc w:val="left"/>
      <w:lvlText w:val="(%1)"/>
      <w:numFmt w:val="lowerLetter"/>
      <w:start w:val="2"/>
    </w:lvl>
  </w:abstractNum>
  <w:abstractNum w:abstractNumId="203">
    <w:nsid w:val="1D91467C"/>
    <w:multiLevelType w:val="hybridMultilevel"/>
    <w:lvl w:ilvl="0">
      <w:lvlJc w:val="left"/>
      <w:lvlText w:val="(%1)"/>
      <w:numFmt w:val="lowerLetter"/>
      <w:start w:val="3"/>
    </w:lvl>
    <w:lvl w:ilvl="1">
      <w:lvlJc w:val="left"/>
      <w:lvlText w:val="(%2)"/>
      <w:numFmt w:val="lowerLetter"/>
      <w:start w:val="9"/>
    </w:lvl>
  </w:abstractNum>
  <w:abstractNum w:abstractNumId="204">
    <w:nsid w:val="316032BB"/>
    <w:multiLevelType w:val="hybridMultilevel"/>
    <w:lvl w:ilvl="0">
      <w:lvlJc w:val="left"/>
      <w:lvlText w:val="(%1)"/>
      <w:numFmt w:val="lowerRoman"/>
      <w:start w:val="2"/>
    </w:lvl>
  </w:abstractNum>
  <w:abstractNum w:abstractNumId="205">
    <w:nsid w:val="44344C22"/>
    <w:multiLevelType w:val="hybridMultilevel"/>
    <w:lvl w:ilvl="0">
      <w:lvlJc w:val="left"/>
      <w:lvlText w:val="(%1)"/>
      <w:numFmt w:val="lowerLetter"/>
      <w:start w:val="3"/>
    </w:lvl>
  </w:abstractNum>
  <w:abstractNum w:abstractNumId="206">
    <w:nsid w:val="13CDFCFC"/>
    <w:multiLevelType w:val="hybridMultilevel"/>
    <w:lvl w:ilvl="0">
      <w:lvlJc w:val="left"/>
      <w:lvlText w:val="(%1)"/>
      <w:numFmt w:val="lowerLetter"/>
      <w:start w:val="5"/>
    </w:lvl>
  </w:abstractNum>
  <w:abstractNum w:abstractNumId="207">
    <w:nsid w:val="471745E4"/>
    <w:multiLevelType w:val="hybridMultilevel"/>
    <w:lvl w:ilvl="0">
      <w:lvlJc w:val="left"/>
      <w:lvlText w:val="(%1)"/>
      <w:numFmt w:val="lowerLetter"/>
      <w:start w:val="1"/>
    </w:lvl>
  </w:abstractNum>
  <w:abstractNum w:abstractNumId="208">
    <w:nsid w:val="1DDBC66"/>
    <w:multiLevelType w:val="hybridMultilevel"/>
    <w:lvl w:ilvl="0">
      <w:lvlJc w:val="left"/>
      <w:lvlText w:val="(%1)"/>
      <w:numFmt w:val="lowerLetter"/>
      <w:start w:val="2"/>
    </w:lvl>
  </w:abstractNum>
  <w:abstractNum w:abstractNumId="209">
    <w:nsid w:val="30AADFDA"/>
    <w:multiLevelType w:val="hybridMultilevel"/>
    <w:lvl w:ilvl="0">
      <w:lvlJc w:val="left"/>
      <w:lvlText w:val="(%1)"/>
      <w:numFmt w:val="lowerLetter"/>
      <w:start w:val="4"/>
    </w:lvl>
  </w:abstractNum>
  <w:abstractNum w:abstractNumId="210">
    <w:nsid w:val="30EADA61"/>
    <w:multiLevelType w:val="hybridMultilevel"/>
    <w:lvl w:ilvl="0">
      <w:lvlJc w:val="left"/>
      <w:lvlText w:val="(%1)"/>
      <w:numFmt w:val="lowerLetter"/>
      <w:start w:val="1"/>
    </w:lvl>
    <w:lvl w:ilvl="1">
      <w:lvlJc w:val="left"/>
      <w:lvlText w:val="(%2)"/>
      <w:numFmt w:val="upperLetter"/>
      <w:start w:val="1"/>
    </w:lvl>
  </w:abstractNum>
  <w:abstractNum w:abstractNumId="211">
    <w:nsid w:val="27179C0B"/>
    <w:multiLevelType w:val="hybridMultilevel"/>
    <w:lvl w:ilvl="0">
      <w:lvlJc w:val="left"/>
      <w:lvlText w:val="(%1)"/>
      <w:numFmt w:val="lowerRoman"/>
      <w:start w:val="2"/>
    </w:lvl>
  </w:abstractNum>
  <w:abstractNum w:abstractNumId="212">
    <w:nsid w:val="5E636063"/>
    <w:multiLevelType w:val="hybridMultilevel"/>
    <w:lvl w:ilvl="0">
      <w:lvlJc w:val="left"/>
      <w:lvlText w:val="(%1)"/>
      <w:numFmt w:val="upperLetter"/>
      <w:start w:val="1"/>
    </w:lvl>
  </w:abstractNum>
  <w:abstractNum w:abstractNumId="213">
    <w:nsid w:val="215641AF"/>
    <w:multiLevelType w:val="hybridMultilevel"/>
    <w:lvl w:ilvl="0">
      <w:lvlJc w:val="left"/>
      <w:lvlText w:val="(%1)"/>
      <w:numFmt w:val="upperLetter"/>
      <w:start w:val="8"/>
    </w:lvl>
  </w:abstractNum>
  <w:abstractNum w:abstractNumId="214">
    <w:nsid w:val="53280662"/>
    <w:multiLevelType w:val="hybridMultilevel"/>
    <w:lvl w:ilvl="0">
      <w:lvlJc w:val="left"/>
      <w:lvlText w:val="(%1)"/>
      <w:numFmt w:val="lowerRoman"/>
      <w:start w:val="3"/>
    </w:lvl>
  </w:abstractNum>
  <w:abstractNum w:abstractNumId="215">
    <w:nsid w:val="46B24DB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16">
    <w:nsid w:val="75B5278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17">
    <w:nsid w:val="57CE66B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18">
    <w:nsid w:val="67A70B69"/>
    <w:multiLevelType w:val="hybridMultilevel"/>
    <w:lvl w:ilvl="0">
      <w:lvlJc w:val="left"/>
      <w:lvlText w:val="(%1)"/>
      <w:numFmt w:val="lowerRoman"/>
      <w:start w:val="2"/>
    </w:lvl>
  </w:abstractNum>
  <w:abstractNum w:abstractNumId="219">
    <w:nsid w:val="5953172F"/>
    <w:multiLevelType w:val="hybridMultilevel"/>
    <w:lvl w:ilvl="0">
      <w:lvlJc w:val="left"/>
      <w:lvlText w:val="(%1)"/>
      <w:numFmt w:val="lowerLetter"/>
      <w:start w:val="4"/>
    </w:lvl>
  </w:abstractNum>
  <w:abstractNum w:abstractNumId="220">
    <w:nsid w:val="27EDFE3A"/>
    <w:multiLevelType w:val="hybridMultilevel"/>
    <w:lvl w:ilvl="0">
      <w:lvlJc w:val="left"/>
      <w:lvlText w:val="(%1)"/>
      <w:numFmt w:val="lowerLetter"/>
      <w:start w:val="5"/>
    </w:lvl>
  </w:abstractNum>
  <w:abstractNum w:abstractNumId="221">
    <w:nsid w:val="52AC7DFF"/>
    <w:multiLevelType w:val="hybridMultilevel"/>
    <w:lvl w:ilvl="0">
      <w:lvlJc w:val="left"/>
      <w:lvlText w:val="(%1)"/>
      <w:numFmt w:val="lowerLetter"/>
      <w:start w:val="1"/>
    </w:lvl>
  </w:abstractNum>
  <w:abstractNum w:abstractNumId="222">
    <w:nsid w:val="C4C3AF"/>
    <w:multiLevelType w:val="hybridMultilevel"/>
    <w:lvl w:ilvl="0">
      <w:lvlJc w:val="left"/>
      <w:lvlText w:val="(%1)"/>
      <w:numFmt w:val="lowerLetter"/>
      <w:start w:val="3"/>
    </w:lvl>
  </w:abstractNum>
  <w:abstractNum w:abstractNumId="223">
    <w:nsid w:val="44380727"/>
    <w:multiLevelType w:val="hybridMultilevel"/>
    <w:lvl w:ilvl="0">
      <w:lvlJc w:val="left"/>
      <w:lvlText w:val="(%1)"/>
      <w:numFmt w:val="lowerLetter"/>
      <w:start w:val="7"/>
    </w:lvl>
  </w:abstractNum>
  <w:abstractNum w:abstractNumId="224">
    <w:nsid w:val="6C053B16"/>
    <w:multiLevelType w:val="hybridMultilevel"/>
    <w:lvl w:ilvl="0">
      <w:lvlJc w:val="left"/>
      <w:lvlText w:val="(%1)"/>
      <w:numFmt w:val="lowerLetter"/>
      <w:start w:val="2"/>
    </w:lvl>
  </w:abstractNum>
  <w:abstractNum w:abstractNumId="225">
    <w:nsid w:val="4F294393"/>
    <w:multiLevelType w:val="hybridMultilevel"/>
    <w:lvl w:ilvl="0">
      <w:lvlJc w:val="left"/>
      <w:lvlText w:val="(%1)"/>
      <w:numFmt w:val="lowerLetter"/>
      <w:start w:val="2"/>
    </w:lvl>
  </w:abstractNum>
  <w:abstractNum w:abstractNumId="226">
    <w:nsid w:val="5243BFAC"/>
    <w:multiLevelType w:val="hybridMultilevel"/>
    <w:lvl w:ilvl="0">
      <w:lvlJc w:val="left"/>
      <w:lvlText w:val="(%1)"/>
      <w:numFmt w:val="lowerLetter"/>
      <w:start w:val="1"/>
    </w:lvl>
  </w:abstractNum>
  <w:abstractNum w:abstractNumId="227">
    <w:nsid w:val="425EB207"/>
    <w:multiLevelType w:val="hybridMultilevel"/>
    <w:lvl w:ilvl="0">
      <w:lvlJc w:val="left"/>
      <w:lvlText w:val="(%1)"/>
      <w:numFmt w:val="lowerLetter"/>
      <w:start w:val="1"/>
    </w:lvl>
    <w:lvl w:ilvl="1">
      <w:lvlJc w:val="left"/>
      <w:lvlText w:val="(%2)"/>
      <w:numFmt w:val="lowerRoman"/>
      <w:start w:val="1"/>
    </w:lvl>
  </w:abstractNum>
  <w:abstractNum w:abstractNumId="228">
    <w:nsid w:val="334A6F1F"/>
    <w:multiLevelType w:val="hybridMultilevel"/>
    <w:lvl w:ilvl="0">
      <w:lvlJc w:val="left"/>
      <w:lvlText w:val="(%1)"/>
      <w:numFmt w:val="lowerLetter"/>
      <w:start w:val="1"/>
    </w:lvl>
  </w:abstractNum>
  <w:abstractNum w:abstractNumId="229">
    <w:nsid w:val="2E5B12B8"/>
    <w:multiLevelType w:val="hybridMultilevel"/>
    <w:lvl w:ilvl="0">
      <w:lvlJc w:val="left"/>
      <w:lvlText w:val="(%1)"/>
      <w:numFmt w:val="lowerLetter"/>
      <w:start w:val="2"/>
    </w:lvl>
    <w:lvl w:ilvl="1">
      <w:lvlJc w:val="left"/>
      <w:lvlText w:val="(%2)"/>
      <w:numFmt w:val="lowerRoman"/>
      <w:start w:val="1"/>
    </w:lvl>
  </w:abstractNum>
  <w:abstractNum w:abstractNumId="230">
    <w:nsid w:val="5C03D76D"/>
    <w:multiLevelType w:val="hybridMultilevel"/>
    <w:lvl w:ilvl="0">
      <w:lvlJc w:val="left"/>
      <w:lvlText w:val="(%1)"/>
      <w:numFmt w:val="lowerLetter"/>
      <w:start w:val="1"/>
    </w:lvl>
  </w:abstractNum>
  <w:abstractNum w:abstractNumId="231">
    <w:nsid w:val="66A48D1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32">
    <w:nsid w:val="56C28E34"/>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3"/>
    </w:lvl>
  </w:abstractNum>
  <w:abstractNum w:abstractNumId="233">
    <w:nsid w:val="13916F2D"/>
    <w:multiLevelType w:val="hybridMultilevel"/>
    <w:lvl w:ilvl="0">
      <w:lvlJc w:val="left"/>
      <w:lvlText w:val="(%1)"/>
      <w:numFmt w:val="decimal"/>
      <w:start w:val="1"/>
    </w:lvl>
  </w:abstractNum>
  <w:abstractNum w:abstractNumId="234">
    <w:nsid w:val="435D38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5">
    <w:nsid w:val="822C0EF"/>
    <w:multiLevelType w:val="hybridMultilevel"/>
    <w:lvl w:ilvl="0">
      <w:lvlJc w:val="left"/>
      <w:lvlText w:val="%1"/>
      <w:numFmt w:val="lowerLetter"/>
      <w:start w:val="1"/>
    </w:lvl>
    <w:lvl w:ilvl="1">
      <w:lvlJc w:val="left"/>
      <w:lvlText w:val="%2."/>
      <w:numFmt w:val="lowerLetter"/>
      <w:start w:val="24"/>
    </w:lvl>
  </w:abstractNum>
  <w:abstractNum w:abstractNumId="236">
    <w:nsid w:val="57C5BB4F"/>
    <w:multiLevelType w:val="hybridMultilevel"/>
    <w:lvl w:ilvl="0">
      <w:lvlJc w:val="left"/>
      <w:lvlText w:val="%1."/>
      <w:numFmt w:val="lowerLetter"/>
      <w:start w:val="2"/>
    </w:lvl>
    <w:lvl w:ilvl="1">
      <w:lvlJc w:val="left"/>
      <w:lvlText w:val="%2"/>
      <w:numFmt w:val="lowerLetter"/>
      <w:start w:val="1"/>
    </w:lvl>
  </w:abstractNum>
  <w:abstractNum w:abstractNumId="237">
    <w:nsid w:val="1803D089"/>
    <w:multiLevelType w:val="hybridMultilevel"/>
    <w:lvl w:ilvl="0">
      <w:lvlJc w:val="left"/>
      <w:lvlText w:val="(%1)"/>
      <w:numFmt w:val="decimal"/>
      <w:start w:val="4"/>
    </w:lvl>
  </w:abstractNum>
  <w:abstractNum w:abstractNumId="238">
    <w:nsid w:val="4F3A06D4"/>
    <w:multiLevelType w:val="hybridMultilevel"/>
    <w:lvl w:ilvl="0">
      <w:lvlJc w:val="left"/>
      <w:lvlText w:val="(%1)"/>
      <w:numFmt w:val="decimal"/>
      <w:start w:val="5"/>
    </w:lvl>
    <w:lvl w:ilvl="1">
      <w:lvlJc w:val="left"/>
      <w:lvlText w:val="%2."/>
      <w:numFmt w:val="lowerLetter"/>
      <w:start w:val="1"/>
    </w:lvl>
  </w:abstractNum>
  <w:abstractNum w:abstractNumId="239">
    <w:nsid w:val="59A377B6"/>
    <w:multiLevelType w:val="hybridMultilevel"/>
    <w:lvl w:ilvl="0">
      <w:lvlJc w:val="left"/>
      <w:lvlText w:val="(%1)"/>
      <w:numFmt w:val="decimal"/>
      <w:start w:val="6"/>
    </w:lvl>
    <w:lvl w:ilvl="1">
      <w:lvlJc w:val="left"/>
      <w:lvlText w:val="%2."/>
      <w:numFmt w:val="lowerLetter"/>
      <w:start w:val="1"/>
    </w:lvl>
  </w:abstractNum>
  <w:abstractNum w:abstractNumId="240">
    <w:nsid w:val="48AEB063"/>
    <w:multiLevelType w:val="hybridMultilevel"/>
    <w:lvl w:ilvl="0">
      <w:lvlJc w:val="left"/>
      <w:lvlText w:val="%1."/>
      <w:numFmt w:val="lowerLetter"/>
      <w:start w:val="3"/>
    </w:lvl>
  </w:abstractNum>
  <w:abstractNum w:abstractNumId="241">
    <w:nsid w:val="24E135"/>
    <w:multiLevelType w:val="hybridMultilevel"/>
    <w:lvl w:ilvl="0">
      <w:lvlJc w:val="left"/>
      <w:lvlText w:val="(%1)"/>
      <w:numFmt w:val="decimal"/>
      <w:start w:val="7"/>
    </w:lvl>
    <w:lvl w:ilvl="1">
      <w:lvlJc w:val="left"/>
      <w:lvlText w:val="%2."/>
      <w:numFmt w:val="lowerLetter"/>
      <w:start w:val="1"/>
    </w:lvl>
  </w:abstractNum>
  <w:abstractNum w:abstractNumId="242">
    <w:nsid w:val="BB13C1"/>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2021-09-20T06:17:03Z</dcterms:created>
  <dcterms:modified xsi:type="dcterms:W3CDTF">2021-09-20T06:17:03Z</dcterms:modified>
</cp:coreProperties>
</file>