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21, 2021</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4"/>
              </w:rPr>
              <w:t>Ireland</w:t>
            </w:r>
          </w:p>
        </w:tc>
        <w:tc>
          <w:tcPr>
            <w:tcW w:w="4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001-36504</w:t>
            </w:r>
          </w:p>
        </w:tc>
        <w:tc>
          <w:tcPr>
            <w:tcW w:w="346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98-0606750</w:t>
            </w:r>
          </w:p>
        </w:tc>
      </w:tr>
      <w:tr>
        <w:trPr>
          <w:trHeight w:val="224"/>
        </w:trPr>
        <w:tc>
          <w:tcPr>
            <w:tcW w:w="362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w:t>
            </w:r>
          </w:p>
        </w:tc>
        <w:tc>
          <w:tcPr>
            <w:tcW w:w="4160" w:type="dxa"/>
            <w:vAlign w:val="bottom"/>
          </w:tcPr>
          <w:p>
            <w:pPr>
              <w:jc w:val="center"/>
              <w:ind w:right="52"/>
              <w:spacing w:after="0"/>
              <w:rPr>
                <w:sz w:val="20"/>
                <w:szCs w:val="20"/>
                <w:color w:val="auto"/>
              </w:rPr>
            </w:pPr>
            <w:r>
              <w:rPr>
                <w:rFonts w:ascii="Arial" w:cs="Arial" w:eastAsia="Arial" w:hAnsi="Arial"/>
                <w:sz w:val="18"/>
                <w:szCs w:val="18"/>
                <w:color w:val="auto"/>
                <w:w w:val="92"/>
              </w:rPr>
              <w:t>(Commission File Number)</w:t>
            </w:r>
          </w:p>
        </w:tc>
        <w:tc>
          <w:tcPr>
            <w:tcW w:w="3460" w:type="dxa"/>
            <w:vAlign w:val="bottom"/>
          </w:tcPr>
          <w:p>
            <w:pPr>
              <w:jc w:val="center"/>
              <w:ind w:right="270"/>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3620" w:type="dxa"/>
            <w:vAlign w:val="bottom"/>
          </w:tcPr>
          <w:p>
            <w:pPr>
              <w:jc w:val="center"/>
              <w:ind w:left="130"/>
              <w:spacing w:after="0"/>
              <w:rPr>
                <w:sz w:val="20"/>
                <w:szCs w:val="20"/>
                <w:color w:val="auto"/>
              </w:rPr>
            </w:pPr>
            <w:r>
              <w:rPr>
                <w:rFonts w:ascii="Arial" w:cs="Arial" w:eastAsia="Arial" w:hAnsi="Arial"/>
                <w:sz w:val="18"/>
                <w:szCs w:val="18"/>
                <w:b w:val="1"/>
                <w:bCs w:val="1"/>
                <w:color w:val="auto"/>
                <w:w w:val="88"/>
              </w:rPr>
              <w:t>2000 St. James Place,</w:t>
            </w:r>
          </w:p>
        </w:tc>
        <w:tc>
          <w:tcPr>
            <w:tcW w:w="41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4"/>
        </w:trPr>
        <w:tc>
          <w:tcPr>
            <w:tcW w:w="36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6"/>
              </w:rPr>
              <w:t>Houston, Texas</w:t>
            </w:r>
          </w:p>
        </w:tc>
        <w:tc>
          <w:tcPr>
            <w:tcW w:w="41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b w:val="1"/>
                <w:bCs w:val="1"/>
                <w:color w:val="auto"/>
              </w:rPr>
              <w:t>77056</w:t>
            </w:r>
          </w:p>
        </w:tc>
      </w:tr>
      <w:tr>
        <w:trPr>
          <w:trHeight w:val="224"/>
        </w:trPr>
        <w:tc>
          <w:tcPr>
            <w:tcW w:w="362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offices)</w:t>
            </w:r>
          </w:p>
        </w:tc>
        <w:tc>
          <w:tcPr>
            <w:tcW w:w="4160" w:type="dxa"/>
            <w:vAlign w:val="bottom"/>
          </w:tcPr>
          <w:p>
            <w:pPr>
              <w:spacing w:after="0"/>
              <w:rPr>
                <w:sz w:val="19"/>
                <w:szCs w:val="19"/>
                <w:color w:val="auto"/>
              </w:rPr>
            </w:pPr>
          </w:p>
        </w:tc>
        <w:tc>
          <w:tcPr>
            <w:tcW w:w="3460" w:type="dxa"/>
            <w:vAlign w:val="bottom"/>
          </w:tcPr>
          <w:p>
            <w:pPr>
              <w:jc w:val="center"/>
              <w:ind w:right="250"/>
              <w:spacing w:after="0"/>
              <w:rPr>
                <w:sz w:val="20"/>
                <w:szCs w:val="20"/>
                <w:color w:val="auto"/>
              </w:rPr>
            </w:pPr>
            <w:r>
              <w:rPr>
                <w:rFonts w:ascii="Arial" w:cs="Arial" w:eastAsia="Arial" w:hAnsi="Arial"/>
                <w:sz w:val="18"/>
                <w:szCs w:val="18"/>
                <w:color w:val="auto"/>
                <w:w w:val="94"/>
              </w:rPr>
              <w:t>(Zip Code)</w:t>
            </w:r>
          </w:p>
        </w:tc>
      </w:tr>
      <w:tr>
        <w:trPr>
          <w:trHeight w:val="382"/>
        </w:trPr>
        <w:tc>
          <w:tcPr>
            <w:tcW w:w="3620" w:type="dxa"/>
            <w:vAlign w:val="bottom"/>
          </w:tcPr>
          <w:p>
            <w:pPr>
              <w:spacing w:after="0"/>
              <w:rPr>
                <w:sz w:val="24"/>
                <w:szCs w:val="24"/>
                <w:color w:val="auto"/>
              </w:rPr>
            </w:pPr>
          </w:p>
        </w:tc>
        <w:tc>
          <w:tcPr>
            <w:tcW w:w="4160" w:type="dxa"/>
            <w:vAlign w:val="bottom"/>
          </w:tcPr>
          <w:p>
            <w:pPr>
              <w:jc w:val="center"/>
              <w:ind w:right="72"/>
              <w:spacing w:after="0"/>
              <w:rPr>
                <w:sz w:val="20"/>
                <w:szCs w:val="20"/>
                <w:color w:val="auto"/>
              </w:rPr>
            </w:pPr>
            <w:r>
              <w:rPr>
                <w:rFonts w:ascii="Arial" w:cs="Arial" w:eastAsia="Arial" w:hAnsi="Arial"/>
                <w:sz w:val="17"/>
                <w:szCs w:val="17"/>
                <w:b w:val="1"/>
                <w:bCs w:val="1"/>
                <w:color w:val="auto"/>
                <w:w w:val="89"/>
              </w:rPr>
              <w:t>Registrant’s telephone number, including area code:</w:t>
            </w:r>
          </w:p>
        </w:tc>
        <w:tc>
          <w:tcPr>
            <w:tcW w:w="346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4160" w:type="dxa"/>
            <w:vAlign w:val="bottom"/>
          </w:tcPr>
          <w:p>
            <w:pPr>
              <w:jc w:val="center"/>
              <w:ind w:right="52"/>
              <w:spacing w:after="0"/>
              <w:rPr>
                <w:sz w:val="20"/>
                <w:szCs w:val="20"/>
                <w:color w:val="auto"/>
              </w:rPr>
            </w:pPr>
            <w:r>
              <w:rPr>
                <w:rFonts w:ascii="Arial" w:cs="Arial" w:eastAsia="Arial" w:hAnsi="Arial"/>
                <w:sz w:val="17"/>
                <w:szCs w:val="17"/>
                <w:b w:val="1"/>
                <w:bCs w:val="1"/>
                <w:color w:val="auto"/>
                <w:w w:val="90"/>
              </w:rPr>
              <w:t>713.836.4000</w:t>
            </w:r>
          </w:p>
        </w:tc>
        <w:tc>
          <w:tcPr>
            <w:tcW w:w="3460" w:type="dxa"/>
            <w:vAlign w:val="bottom"/>
          </w:tcPr>
          <w:p>
            <w:pPr>
              <w:spacing w:after="0"/>
              <w:rPr>
                <w:sz w:val="19"/>
                <w:szCs w:val="19"/>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5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7"/>
              </w:rPr>
              <w:t>Title of each class</w:t>
            </w:r>
          </w:p>
        </w:tc>
        <w:tc>
          <w:tcPr>
            <w:tcW w:w="27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Trading Symbol(s)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Ordinary shares, $0.001 par value per share</w:t>
            </w:r>
          </w:p>
        </w:tc>
        <w:tc>
          <w:tcPr>
            <w:tcW w:w="1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center"/>
              <w:ind w:right="370"/>
              <w:spacing w:after="0"/>
              <w:rPr>
                <w:sz w:val="20"/>
                <w:szCs w:val="20"/>
                <w:color w:val="auto"/>
              </w:rPr>
            </w:pPr>
            <w:r>
              <w:rPr>
                <w:rFonts w:ascii="Arial" w:cs="Arial" w:eastAsia="Arial" w:hAnsi="Arial"/>
                <w:sz w:val="18"/>
                <w:szCs w:val="18"/>
                <w:color w:val="auto"/>
                <w:w w:val="96"/>
              </w:rPr>
              <w:t>WFRD</w:t>
            </w:r>
          </w:p>
        </w:tc>
        <w:tc>
          <w:tcPr>
            <w:tcW w:w="12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20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19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September 21, 2021, Weatherford International plc (the “Company”), its wholly owned subsidiary, Weatherford International Ltd. (the “Issuer”), and certain other subsidiaries of the Company (the “Guarantors”) that are the same subsidiaries of the Company that guarantee the Issuer’s 8.75% Senior Secured Notes due 2024 entered into a purchase agreement (the “Purchase Agreement”) with Deutsche Bank Securities Inc., as the representative of initial purchasers (the “Initial Purchasers”) relating to the private offering by the Issuer (the “Offering”) of $500.0 million in aggregate principal amount of 6.5% senior secured first lien notes due 2028 (the “Secured Notes”). Pursuant to the Purchase Agreement, the Issuer agreed to issue and sell to the Initial Purchasers, and the Initial Purchases have agreed to purchase, the Secured Notes.</w:t>
      </w:r>
    </w:p>
    <w:p>
      <w:pPr>
        <w:spacing w:after="0" w:line="13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Secured Notes will be senior secured obligations of the Issuer and will be guaranteed by the Guarantors on a senior secured basis. The sale of the Secured Notes is expected to close on September 30, 2021, subject to the satisfaction of customary closing conditions.</w:t>
      </w:r>
    </w:p>
    <w:p>
      <w:pPr>
        <w:spacing w:after="0" w:line="10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Purchase Agreement contains customary representations, warranties and agreements by the Issuer and the Guarantors and customary conditions to closing. The Issuer and the Guarantors have agreed to indemnify the Initial Purchasers against certain liabilities, including liabilities under the Securities Act of 1933, as amended (the “Securities Act”), or to contribute to payments the Initial Purchasers may be required to make because of any of those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Backstop Agreement</w:t>
      </w:r>
    </w:p>
    <w:p>
      <w:pPr>
        <w:spacing w:after="0" w:line="185"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On September 20, 2021, the Company, the Issuer and the Guarantors entered into a backstop agreement (the “Backstop Agreement”) with funds managed by Franklin Advisers, Inc. (the “Commitment Parties”) relating to the Offering. Subject to certain terms and conditions, the Commitment Parties agreed to purchase Secured Notes that would have remained unsold following the Offering. Because the Offering was fully subscribed, the Commitment Parties will not purchase any Secured Notes under the Backstop Agreement. In connection with the Backstop Agreement, the Issuer has agreed to pay certain fees to the Commitment Parties and to reimburse them for certain expenses.</w:t>
      </w:r>
    </w:p>
    <w:p>
      <w:pPr>
        <w:spacing w:after="0" w:line="136"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Backstop Agreement contains customary representations, warranties and agreements by the Company, the Issuer and the Guarantors and customary conditions to closing. The Company, the Issuer and the Guarantors have agreed to indemnify the Commitment Parties against certain liabilities or to contribute to payments the Commitment Parties may be required to make because of any of those liabilities.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Affiliates of the Commitment Parties are significant stockholders and debtholders of the Company and its subsidiaries.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Offering</w:t>
      </w:r>
    </w:p>
    <w:p>
      <w:pPr>
        <w:spacing w:after="0" w:line="19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On September 21, 2021, the Company issued a press release announcing the pricing of the Offering. A copy of the press release is furnished hereto as Exhibit 99.1 and is incorporated herein by reference.</w:t>
      </w:r>
    </w:p>
    <w:p>
      <w:pPr>
        <w:spacing w:after="0" w:line="13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Secured Notes will be offered and sold to persons reasonably believed to be qualified institutional buyers in the United States pursuant to Rule 144A and outside the United States pursuant to Regulation 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ind w:right="420" w:firstLine="648"/>
        <w:spacing w:after="0" w:line="308" w:lineRule="auto"/>
        <w:rPr>
          <w:sz w:val="20"/>
          <w:szCs w:val="20"/>
          <w:color w:val="auto"/>
        </w:rPr>
      </w:pPr>
      <w:r>
        <w:rPr>
          <w:rFonts w:ascii="Arial" w:cs="Arial" w:eastAsia="Arial" w:hAnsi="Arial"/>
          <w:sz w:val="17"/>
          <w:szCs w:val="17"/>
          <w:color w:val="auto"/>
        </w:rPr>
        <w:t>The Secured Notes have not been registered under the Securities Act or any state securities laws and may not be offered or sold in the United States absent registration or an applicable exemption from the registration requirements of the Securities Act and applicable state laws.</w:t>
      </w:r>
    </w:p>
    <w:p>
      <w:pPr>
        <w:spacing w:after="0" w:line="106"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This Current Report on Form 8–K shall not constitute an offer to sell or a solicitation of an offer to purchase the Secured Notes or any other securities, and shall not constitute an offer, solicitation or sale in any state or jurisdiction in which such an offer, solicitation or sale would be unlawful.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89"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This Current Report on Form 8-K contains forward-looking statements concerning, among other things, the Company’s strategy and financing plans and goals. These forward-looking statements are generally identified by the words “intends”,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financial market conditions and availability of capital;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2020, and those set forth from time-to-time in the Company’s other filings with the Securities and Exchange Commission. The Company undertakes no obligation to correct or update any forward-looking statement, whether as a result of new information, future events, or otherwise, except to the extent required under federal securities laws.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05"/>
        </w:trPr>
        <w:tc>
          <w:tcPr>
            <w:tcW w:w="1140" w:type="dxa"/>
            <w:vAlign w:val="bottom"/>
            <w:gridSpan w:val="2"/>
          </w:tcPr>
          <w:p>
            <w:pPr>
              <w:ind w:left="60"/>
              <w:spacing w:after="0"/>
              <w:rPr>
                <w:sz w:val="20"/>
                <w:szCs w:val="20"/>
                <w:color w:val="auto"/>
              </w:rPr>
            </w:pPr>
            <w:r>
              <w:rPr>
                <w:rFonts w:ascii="Arial" w:cs="Arial" w:eastAsia="Arial" w:hAnsi="Arial"/>
                <w:sz w:val="18"/>
                <w:szCs w:val="18"/>
                <w:color w:val="auto"/>
              </w:rPr>
              <w:t>(d) Exhibits</w:t>
            </w:r>
          </w:p>
        </w:tc>
        <w:tc>
          <w:tcPr>
            <w:tcW w:w="81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73"/>
        </w:trPr>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Exhibit</w:t>
            </w:r>
          </w:p>
        </w:tc>
        <w:tc>
          <w:tcPr>
            <w:tcW w:w="81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34"/>
        </w:trPr>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0100" w:type="dxa"/>
            <w:vAlign w:val="bottom"/>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169"/>
        </w:trPr>
        <w:tc>
          <w:tcPr>
            <w:tcW w:w="10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4"/>
                <w:szCs w:val="14"/>
                <w:color w:val="auto"/>
              </w:rPr>
            </w:pPr>
          </w:p>
        </w:tc>
        <w:tc>
          <w:tcPr>
            <w:tcW w:w="810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Press Release issued by Weatherford International plc on September 21, 2021, relating to pricing of the offering.</w:t>
              </w:r>
            </w:hyperlink>
          </w:p>
        </w:tc>
        <w:tc>
          <w:tcPr>
            <w:tcW w:w="2000" w:type="dxa"/>
            <w:vAlign w:val="bottom"/>
            <w:tcBorders>
              <w:top w:val="single" w:sz="8" w:color="auto"/>
            </w:tcBorders>
          </w:tcPr>
          <w:p>
            <w:pPr>
              <w:spacing w:after="0"/>
              <w:rPr>
                <w:sz w:val="14"/>
                <w:szCs w:val="14"/>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763"/>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21, 2021</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ind w:left="6200"/>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Weatherholt</w:t>
            </w:r>
          </w:p>
        </w:tc>
        <w:tc>
          <w:tcPr>
            <w:tcW w:w="1120" w:type="dxa"/>
            <w:vAlign w:val="bottom"/>
          </w:tcPr>
          <w:p>
            <w:pPr>
              <w:spacing w:after="0"/>
              <w:rPr>
                <w:sz w:val="20"/>
                <w:szCs w:val="20"/>
                <w:color w:val="auto"/>
              </w:rPr>
            </w:pPr>
          </w:p>
        </w:tc>
      </w:tr>
      <w:tr>
        <w:trPr>
          <w:trHeight w:val="195"/>
        </w:trPr>
        <w:tc>
          <w:tcPr>
            <w:tcW w:w="676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Name: Scott C. Weatherholt</w:t>
            </w:r>
          </w:p>
        </w:tc>
        <w:tc>
          <w:tcPr>
            <w:tcW w:w="1120" w:type="dxa"/>
            <w:vAlign w:val="bottom"/>
          </w:tcPr>
          <w:p>
            <w:pPr>
              <w:spacing w:after="0"/>
              <w:rPr>
                <w:sz w:val="16"/>
                <w:szCs w:val="16"/>
                <w:color w:val="auto"/>
              </w:rPr>
            </w:pPr>
          </w:p>
        </w:tc>
      </w:tr>
      <w:tr>
        <w:trPr>
          <w:trHeight w:val="216"/>
        </w:trPr>
        <w:tc>
          <w:tcPr>
            <w:tcW w:w="67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Title:  Executive Vice President, General</w:t>
            </w:r>
          </w:p>
        </w:tc>
        <w:tc>
          <w:tcPr>
            <w:tcW w:w="112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3360" w:type="dxa"/>
            <w:vAlign w:val="bottom"/>
          </w:tcPr>
          <w:p>
            <w:pPr>
              <w:ind w:left="560"/>
              <w:spacing w:after="0"/>
              <w:rPr>
                <w:sz w:val="20"/>
                <w:szCs w:val="20"/>
                <w:color w:val="auto"/>
              </w:rPr>
            </w:pPr>
            <w:r>
              <w:rPr>
                <w:rFonts w:ascii="Arial" w:cs="Arial" w:eastAsia="Arial" w:hAnsi="Arial"/>
                <w:sz w:val="18"/>
                <w:szCs w:val="18"/>
                <w:color w:val="auto"/>
              </w:rPr>
              <w:t>Counsel and Chief Compliance</w:t>
            </w:r>
          </w:p>
        </w:tc>
        <w:tc>
          <w:tcPr>
            <w:tcW w:w="1120" w:type="dxa"/>
            <w:vAlign w:val="bottom"/>
          </w:tcPr>
          <w:p>
            <w:pPr>
              <w:spacing w:after="0"/>
              <w:rPr>
                <w:sz w:val="18"/>
                <w:szCs w:val="18"/>
                <w:color w:val="auto"/>
              </w:rPr>
            </w:pPr>
          </w:p>
        </w:tc>
      </w:tr>
      <w:tr>
        <w:trPr>
          <w:trHeight w:val="230"/>
        </w:trPr>
        <w:tc>
          <w:tcPr>
            <w:tcW w:w="6760" w:type="dxa"/>
            <w:vAlign w:val="bottom"/>
          </w:tcPr>
          <w:p>
            <w:pPr>
              <w:spacing w:after="0"/>
              <w:rPr>
                <w:sz w:val="20"/>
                <w:szCs w:val="20"/>
                <w:color w:val="auto"/>
              </w:rPr>
            </w:pPr>
          </w:p>
        </w:tc>
        <w:tc>
          <w:tcPr>
            <w:tcW w:w="3360" w:type="dxa"/>
            <w:vAlign w:val="bottom"/>
          </w:tcPr>
          <w:p>
            <w:pPr>
              <w:ind w:left="560"/>
              <w:spacing w:after="0"/>
              <w:rPr>
                <w:sz w:val="20"/>
                <w:szCs w:val="20"/>
                <w:color w:val="auto"/>
              </w:rPr>
            </w:pPr>
            <w:r>
              <w:rPr>
                <w:rFonts w:ascii="Arial" w:cs="Arial" w:eastAsia="Arial" w:hAnsi="Arial"/>
                <w:sz w:val="18"/>
                <w:szCs w:val="18"/>
                <w:color w:val="auto"/>
              </w:rPr>
              <w:t>Officer</w:t>
            </w:r>
          </w:p>
        </w:tc>
        <w:tc>
          <w:tcPr>
            <w:tcW w:w="1120" w:type="dxa"/>
            <w:vAlign w:val="bottom"/>
          </w:tcPr>
          <w:p>
            <w:pPr>
              <w:spacing w:after="0"/>
              <w:rPr>
                <w:sz w:val="20"/>
                <w:szCs w:val="20"/>
                <w:color w:val="auto"/>
              </w:rPr>
            </w:pPr>
          </w:p>
        </w:tc>
      </w:tr>
      <w:tr>
        <w:trPr>
          <w:trHeight w:val="1195"/>
        </w:trPr>
        <w:tc>
          <w:tcPr>
            <w:tcW w:w="67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plc Announces the Pricing of a $500,000,000 6.5% Senior Secured Notes Offering</w:t>
      </w:r>
    </w:p>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HOUSTON, September 21, 2021/PRNewswire/ -- Weatherford International plc (NASDAQ: WFRD) (“Weatherford” or the “Company”) today announced that its wholly owned subsidiary, Weatherford International Ltd. (the “Issuer”), has priced its previously announced offering of $500 million aggregate principal amount of 6.5% senior secured first lien notes due 2028 (the “Secured Notes”) at an issue price of 100.0%. The offering of the Secured Notes is expected to close on September 30, 2021 subject to customary closing conditions.</w:t>
      </w:r>
    </w:p>
    <w:p>
      <w:pPr>
        <w:spacing w:after="0" w:line="14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Secured Notes will pay interest semi-annually on September 15 and March 15 of each year, beginning on March 15, 2022 at a rate of 6.5% per year. The Secured Notes will mature on September 15, 2028. The Secured Notes will be guaranteed by the Company and the same subsidiaries of the Company that guarantee the Issuer’s 8.75% Senior Secured Notes due 2024 (the “2024 Secured Notes”).</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Issuer will use the net proceeds from the offering and cash on hand to redeem all of its 2024 Secured Notes on September 30, 2021 and pay related fees and expenses. If the offering of the Secured Notes is completed, the Issuer also intends to use cash on hand to redeem $200 million principal amount of its 11.0% senior notes due December 1, 2024 on October 20, 2021 (the “Unsecured Notes”).</w:t>
      </w:r>
    </w:p>
    <w:p>
      <w:pPr>
        <w:spacing w:after="0" w:line="1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the indenture governing the Unsecured Notes, the Issuer has the right to redeem up to $500 million principal amount of the Unsecured Notes at a redemption price of 103% of the principal amount thereof, plus accrued and unpaid interest thereon, if any, to, but not including, the redemption date, at any time prior to December 1, 2022. Following the completion of the redemption of the $200 million principal amount of the Unsecured Notes described above, the Issuer will have the ability to redeem a further $300 million principal amount of the Unsecured Notes at the redemption price described above. The Issuer may consider redeeming additional principal amounts of the Unsecured Notes in the future depending on generated cash flow and incremental available liquidity under any future asset-based lending facility or revolving credit facility, subject to its liquidity needs and other considerations. There can be no assurance that the Company will be able to enter a new asset-based lending facility or revolving credit facility or that the Issuer will redeem any additional Unsecured Notes.</w:t>
      </w:r>
    </w:p>
    <w:p>
      <w:pPr>
        <w:spacing w:after="0" w:line="15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Secured Notes are being offered only to persons reasonably believed to be qualified institutional buyers in reliance on Rule 144A under the Securities Act of 1933, as amended (the “Securities Act”), and outside the United States, only to non-U.S. investors pursuant to Regulation S under the Securities Act.</w:t>
      </w:r>
    </w:p>
    <w:p>
      <w:pPr>
        <w:spacing w:after="0" w:line="8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Secured Notes will not be registered under the Securities Act or any state securities laws and may not be offered or sold in the United States absent an effective registration statement or an applicable exemption from registration requirements or a transaction not subject to the registration requirements of the Securities Act or any state securities laws.</w:t>
      </w:r>
    </w:p>
    <w:p>
      <w:pPr>
        <w:spacing w:after="0" w:line="1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press release shall not constitute an offer to sell or a solicitation of an offer to buy the Secured Notes or any other securities and shall not constitute an offer, solicitation or sale in any jurisdiction in which such offer, solicitation or sale would be unlawful.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18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This news release contains forward-looking statements concerning, among other things, the Company’s strategy and financing plans and goals. These forward-looking statements are also generally identified by the words “intends”,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both"/>
        <w:ind w:right="140"/>
        <w:spacing w:after="0" w:line="285" w:lineRule="auto"/>
        <w:rPr>
          <w:sz w:val="20"/>
          <w:szCs w:val="20"/>
          <w:color w:val="auto"/>
        </w:rPr>
      </w:pPr>
      <w:r>
        <w:rPr>
          <w:rFonts w:ascii="Arial" w:cs="Arial" w:eastAsia="Arial" w:hAnsi="Arial"/>
          <w:sz w:val="16"/>
          <w:szCs w:val="16"/>
          <w:color w:val="auto"/>
        </w:rPr>
        <w:t>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financial market conditions and availability of capital; our ability to generate cash flow from operations to fund our operations; and the realization of additional cost savings and operational efficiencies.</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Forward-looking statements are also affected by the risk factors described in the Company’s Annual Report on Form 10-K for the year ended December 31, 2020, and those set forth from time-to-time in the Company’s other filings with the Securities and Exchange Commission. The Company undertakes no obligation to correct or update any forward-looking statement, whether as a result of new information, future events, or otherwise, except to the extent required under federal securities laws.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363636"/>
        </w:rPr>
        <w:t>About Weatherford</w:t>
      </w:r>
    </w:p>
    <w:p>
      <w:pPr>
        <w:spacing w:after="0" w:line="18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Weatherford is a leading global energy services company. Operating in approximately 75 countries, the Company answers the challenges of the energy industry with its global talent network of approximately 17,000 team members and approximately 365 operating locations, including manufacturing, research and development, service, and training facilities.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363636"/>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Weatherford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+1 713-836-7777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investor.relations@weatherford.com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2021-09-21T16:26:33Z</dcterms:created>
  <dcterms:modified xsi:type="dcterms:W3CDTF">2021-09-21T16:26:33Z</dcterms:modified>
</cp:coreProperties>
</file>