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BUTTERS DAVID J</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Weatherford International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WFT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7"/>
            <w:vMerge w:val="continue"/>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w w:val="93"/>
              </w:rPr>
              <w:t>399 PARK AVE.</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09/21/2017</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38TH FLOOR</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10022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000" w:type="dxa"/>
            <w:vAlign w:val="bottom"/>
            <w:tcBorders>
              <w:bottom w:val="single" w:sz="8" w:color="2C2C2C"/>
            </w:tcBorders>
            <w:gridSpan w:val="2"/>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8"/>
          </w:tcPr>
          <w:p>
            <w:pPr>
              <w:jc w:val="center"/>
              <w:ind w:right="1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2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3"/>
              </w:rPr>
              <w:t>5)</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6"/>
              </w:rPr>
              <w:t>Ordinary Shares</w:t>
            </w:r>
          </w:p>
        </w:tc>
        <w:tc>
          <w:tcPr>
            <w:tcW w:w="3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09/21/2017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gridSpan w:val="2"/>
          </w:tcPr>
          <w:p>
            <w:pPr>
              <w:jc w:val="center"/>
              <w:ind w:left="130"/>
              <w:spacing w:after="0"/>
              <w:rPr>
                <w:sz w:val="20"/>
                <w:szCs w:val="20"/>
                <w:color w:val="auto"/>
              </w:rPr>
            </w:pPr>
            <w:r>
              <w:rPr>
                <w:rFonts w:ascii="Arial" w:cs="Arial" w:eastAsia="Arial" w:hAnsi="Arial"/>
                <w:sz w:val="18"/>
                <w:szCs w:val="18"/>
                <w:color w:val="0000FF"/>
                <w:w w:val="87"/>
              </w:rPr>
              <w:t>44,685</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3"/>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497,202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6"/>
              </w:rPr>
              <w:t>Ordinary Shares</w:t>
            </w:r>
          </w:p>
        </w:tc>
        <w:tc>
          <w:tcPr>
            <w:tcW w:w="3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09/22/2017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gridSpan w:val="2"/>
          </w:tcPr>
          <w:p>
            <w:pPr>
              <w:jc w:val="center"/>
              <w:ind w:left="150"/>
              <w:spacing w:after="0"/>
              <w:rPr>
                <w:sz w:val="20"/>
                <w:szCs w:val="20"/>
                <w:color w:val="auto"/>
              </w:rPr>
            </w:pPr>
            <w:r>
              <w:rPr>
                <w:rFonts w:ascii="Arial" w:cs="Arial" w:eastAsia="Arial" w:hAnsi="Arial"/>
                <w:sz w:val="18"/>
                <w:szCs w:val="18"/>
                <w:color w:val="0000FF"/>
                <w:w w:val="84"/>
              </w:rPr>
              <w:t>6,347</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4.14</w:t>
            </w:r>
            <w:r>
              <w:rPr>
                <w:rFonts w:ascii="Arial" w:cs="Arial" w:eastAsia="Arial" w:hAnsi="Arial"/>
                <w:sz w:val="22"/>
                <w:szCs w:val="22"/>
                <w:color w:val="008000"/>
                <w:w w:val="85"/>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490,855</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6"/>
              </w:rPr>
              <w:t>Ordinary Shares</w:t>
            </w:r>
          </w:p>
        </w:tc>
        <w:tc>
          <w:tcPr>
            <w:tcW w:w="3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09/24/2017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gridSpan w:val="2"/>
          </w:tcPr>
          <w:p>
            <w:pPr>
              <w:jc w:val="center"/>
              <w:ind w:left="150"/>
              <w:spacing w:after="0"/>
              <w:rPr>
                <w:sz w:val="20"/>
                <w:szCs w:val="20"/>
                <w:color w:val="auto"/>
              </w:rPr>
            </w:pPr>
            <w:r>
              <w:rPr>
                <w:rFonts w:ascii="Arial" w:cs="Arial" w:eastAsia="Arial" w:hAnsi="Arial"/>
                <w:sz w:val="18"/>
                <w:szCs w:val="18"/>
                <w:color w:val="0000FF"/>
                <w:w w:val="86"/>
              </w:rPr>
              <w:t>800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4.26</w:t>
            </w:r>
            <w:r>
              <w:rPr>
                <w:rFonts w:ascii="Arial" w:cs="Arial" w:eastAsia="Arial" w:hAnsi="Arial"/>
                <w:sz w:val="22"/>
                <w:szCs w:val="22"/>
                <w:color w:val="008000"/>
                <w:w w:val="85"/>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490,055</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960" w:type="dxa"/>
            <w:vAlign w:val="bottom"/>
            <w:tcBorders>
              <w:top w:val="single" w:sz="8" w:color="2C2C2C"/>
            </w:tcBorders>
            <w:gridSpan w:val="17"/>
          </w:tcPr>
          <w:p>
            <w:pPr>
              <w:jc w:val="center"/>
              <w:ind w:left="4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0" w:type="dxa"/>
            <w:vAlign w:val="bottom"/>
            <w:gridSpan w:val="15"/>
          </w:tcPr>
          <w:p>
            <w:pPr>
              <w:jc w:val="center"/>
              <w:ind w:left="24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Transaction was a grant of restricted share units and therefore has no price. The units are scheduled to vest on September 21, 2018.</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09/25/2017</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799"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2019-12-24T08:40:17Z</dcterms:created>
  <dcterms:modified xsi:type="dcterms:W3CDTF">2019-12-24T08:40:17Z</dcterms:modified>
</cp:coreProperties>
</file>