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November 24, 2014</w:t>
      </w:r>
    </w:p>
    <w:p>
      <w:pPr>
        <w:spacing w:after="0" w:line="200" w:lineRule="exact"/>
        <w:rPr>
          <w:sz w:val="24"/>
          <w:szCs w:val="24"/>
          <w:color w:val="auto"/>
        </w:rPr>
      </w:pPr>
    </w:p>
    <w:p>
      <w:pPr>
        <w:spacing w:after="0" w:line="283"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Weatherford International public limited company</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Ireland</w:t>
            </w:r>
          </w:p>
        </w:tc>
        <w:tc>
          <w:tcPr>
            <w:tcW w:w="3360" w:type="dxa"/>
            <w:vAlign w:val="bottom"/>
          </w:tcPr>
          <w:p>
            <w:pPr>
              <w:jc w:val="right"/>
              <w:ind w:right="1250"/>
              <w:spacing w:after="0"/>
              <w:rPr>
                <w:sz w:val="20"/>
                <w:szCs w:val="20"/>
                <w:color w:val="auto"/>
              </w:rPr>
            </w:pPr>
            <w:r>
              <w:rPr>
                <w:rFonts w:ascii="Arial" w:cs="Arial" w:eastAsia="Arial" w:hAnsi="Arial"/>
                <w:sz w:val="18"/>
                <w:szCs w:val="18"/>
                <w:b w:val="1"/>
                <w:bCs w:val="1"/>
                <w:color w:val="auto"/>
              </w:rPr>
              <w:t>001-36504</w:t>
            </w:r>
          </w:p>
        </w:tc>
        <w:tc>
          <w:tcPr>
            <w:tcW w:w="3880" w:type="dxa"/>
            <w:vAlign w:val="bottom"/>
          </w:tcPr>
          <w:p>
            <w:pPr>
              <w:jc w:val="center"/>
              <w:ind w:left="90"/>
              <w:spacing w:after="0"/>
              <w:rPr>
                <w:sz w:val="20"/>
                <w:szCs w:val="20"/>
                <w:color w:val="auto"/>
              </w:rPr>
            </w:pPr>
            <w:r>
              <w:rPr>
                <w:rFonts w:ascii="Arial" w:cs="Arial" w:eastAsia="Arial" w:hAnsi="Arial"/>
                <w:sz w:val="18"/>
                <w:szCs w:val="18"/>
                <w:b w:val="1"/>
                <w:bCs w:val="1"/>
                <w:color w:val="auto"/>
                <w:w w:val="89"/>
              </w:rPr>
              <w:t>98-0606750</w:t>
            </w:r>
          </w:p>
        </w:tc>
      </w:tr>
      <w:tr>
        <w:trPr>
          <w:trHeight w:val="54"/>
        </w:trPr>
        <w:tc>
          <w:tcPr>
            <w:tcW w:w="4180" w:type="dxa"/>
            <w:vAlign w:val="bottom"/>
            <w:tcBorders>
              <w:bottom w:val="single" w:sz="8" w:color="auto"/>
            </w:tcBorders>
          </w:tcPr>
          <w:p>
            <w:pPr>
              <w:spacing w:after="0"/>
              <w:rPr>
                <w:sz w:val="4"/>
                <w:szCs w:val="4"/>
                <w:color w:val="auto"/>
              </w:rPr>
            </w:pPr>
          </w:p>
        </w:tc>
        <w:tc>
          <w:tcPr>
            <w:tcW w:w="3360" w:type="dxa"/>
            <w:vAlign w:val="bottom"/>
            <w:tcBorders>
              <w:bottom w:val="single" w:sz="8" w:color="auto"/>
            </w:tcBorders>
          </w:tcPr>
          <w:p>
            <w:pPr>
              <w:spacing w:after="0"/>
              <w:rPr>
                <w:sz w:val="4"/>
                <w:szCs w:val="4"/>
                <w:color w:val="auto"/>
              </w:rPr>
            </w:pPr>
          </w:p>
        </w:tc>
        <w:tc>
          <w:tcPr>
            <w:tcW w:w="3880" w:type="dxa"/>
            <w:vAlign w:val="bottom"/>
            <w:tcBorders>
              <w:bottom w:val="single" w:sz="8" w:color="auto"/>
            </w:tcBorders>
          </w:tcPr>
          <w:p>
            <w:pPr>
              <w:spacing w:after="0"/>
              <w:rPr>
                <w:sz w:val="4"/>
                <w:szCs w:val="4"/>
                <w:color w:val="auto"/>
              </w:rPr>
            </w:pPr>
          </w:p>
        </w:tc>
      </w:tr>
      <w:tr>
        <w:trPr>
          <w:trHeight w:val="237"/>
        </w:trPr>
        <w:tc>
          <w:tcPr>
            <w:tcW w:w="4180" w:type="dxa"/>
            <w:vAlign w:val="bottom"/>
          </w:tcPr>
          <w:p>
            <w:pPr>
              <w:jc w:val="center"/>
              <w:ind w:right="130"/>
              <w:spacing w:after="0"/>
              <w:rPr>
                <w:sz w:val="20"/>
                <w:szCs w:val="20"/>
                <w:color w:val="auto"/>
              </w:rPr>
            </w:pPr>
            <w:r>
              <w:rPr>
                <w:rFonts w:ascii="Arial" w:cs="Arial" w:eastAsia="Arial" w:hAnsi="Arial"/>
                <w:sz w:val="18"/>
                <w:szCs w:val="18"/>
                <w:color w:val="auto"/>
                <w:w w:val="92"/>
              </w:rPr>
              <w:t>(State or other jurisdiction of incorporation)</w:t>
            </w:r>
          </w:p>
        </w:tc>
        <w:tc>
          <w:tcPr>
            <w:tcW w:w="3360" w:type="dxa"/>
            <w:vAlign w:val="bottom"/>
          </w:tcPr>
          <w:p>
            <w:pPr>
              <w:jc w:val="center"/>
              <w:ind w:right="10"/>
              <w:spacing w:after="0"/>
              <w:rPr>
                <w:sz w:val="20"/>
                <w:szCs w:val="20"/>
                <w:color w:val="auto"/>
              </w:rPr>
            </w:pPr>
            <w:r>
              <w:rPr>
                <w:rFonts w:ascii="Arial" w:cs="Arial" w:eastAsia="Arial" w:hAnsi="Arial"/>
                <w:sz w:val="18"/>
                <w:szCs w:val="18"/>
                <w:color w:val="auto"/>
                <w:w w:val="92"/>
              </w:rPr>
              <w:t>(Commission File Number)</w:t>
            </w:r>
          </w:p>
        </w:tc>
        <w:tc>
          <w:tcPr>
            <w:tcW w:w="3880" w:type="dxa"/>
            <w:vAlign w:val="bottom"/>
          </w:tcPr>
          <w:p>
            <w:pPr>
              <w:jc w:val="center"/>
              <w:ind w:left="90"/>
              <w:spacing w:after="0"/>
              <w:rPr>
                <w:sz w:val="20"/>
                <w:szCs w:val="20"/>
                <w:color w:val="auto"/>
              </w:rPr>
            </w:pPr>
            <w:r>
              <w:rPr>
                <w:rFonts w:ascii="Arial" w:cs="Arial" w:eastAsia="Arial" w:hAnsi="Arial"/>
                <w:sz w:val="18"/>
                <w:szCs w:val="18"/>
                <w:color w:val="auto"/>
                <w:w w:val="94"/>
              </w:rPr>
              <w:t>(I.R.S. Employer Identification No.)</w:t>
            </w:r>
          </w:p>
        </w:tc>
      </w:tr>
      <w:tr>
        <w:trPr>
          <w:trHeight w:val="770"/>
        </w:trPr>
        <w:tc>
          <w:tcPr>
            <w:tcW w:w="754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89"/>
              </w:rPr>
              <w:t>Bahnhofstrasse 1, 6340 Baar, Switzerland</w:t>
            </w:r>
          </w:p>
        </w:tc>
        <w:tc>
          <w:tcPr>
            <w:tcW w:w="3880" w:type="dxa"/>
            <w:vAlign w:val="bottom"/>
          </w:tcPr>
          <w:p>
            <w:pPr>
              <w:jc w:val="center"/>
              <w:ind w:left="90"/>
              <w:spacing w:after="0"/>
              <w:rPr>
                <w:sz w:val="20"/>
                <w:szCs w:val="20"/>
                <w:color w:val="auto"/>
              </w:rPr>
            </w:pPr>
            <w:r>
              <w:rPr>
                <w:rFonts w:ascii="Arial" w:cs="Arial" w:eastAsia="Arial" w:hAnsi="Arial"/>
                <w:sz w:val="18"/>
                <w:szCs w:val="18"/>
                <w:b w:val="1"/>
                <w:bCs w:val="1"/>
                <w:color w:val="auto"/>
                <w:w w:val="92"/>
              </w:rPr>
              <w:t>CH 6340</w:t>
            </w:r>
          </w:p>
        </w:tc>
      </w:tr>
      <w:tr>
        <w:trPr>
          <w:trHeight w:val="54"/>
        </w:trPr>
        <w:tc>
          <w:tcPr>
            <w:tcW w:w="7540" w:type="dxa"/>
            <w:vAlign w:val="bottom"/>
            <w:tcBorders>
              <w:bottom w:val="single" w:sz="8" w:color="auto"/>
            </w:tcBorders>
            <w:gridSpan w:val="2"/>
          </w:tcPr>
          <w:p>
            <w:pPr>
              <w:spacing w:after="0"/>
              <w:rPr>
                <w:sz w:val="4"/>
                <w:szCs w:val="4"/>
                <w:color w:val="auto"/>
              </w:rPr>
            </w:pPr>
          </w:p>
        </w:tc>
        <w:tc>
          <w:tcPr>
            <w:tcW w:w="3880" w:type="dxa"/>
            <w:vAlign w:val="bottom"/>
            <w:tcBorders>
              <w:bottom w:val="single" w:sz="8" w:color="auto"/>
            </w:tcBorders>
          </w:tcPr>
          <w:p>
            <w:pPr>
              <w:spacing w:after="0"/>
              <w:rPr>
                <w:sz w:val="4"/>
                <w:szCs w:val="4"/>
                <w:color w:val="auto"/>
              </w:rPr>
            </w:pPr>
          </w:p>
        </w:tc>
      </w:tr>
      <w:tr>
        <w:trPr>
          <w:trHeight w:val="237"/>
        </w:trPr>
        <w:tc>
          <w:tcPr>
            <w:tcW w:w="754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(Address of principal executive offices)</w:t>
            </w:r>
          </w:p>
        </w:tc>
        <w:tc>
          <w:tcPr>
            <w:tcW w:w="3880" w:type="dxa"/>
            <w:vAlign w:val="bottom"/>
          </w:tcPr>
          <w:p>
            <w:pPr>
              <w:jc w:val="center"/>
              <w:ind w:left="90"/>
              <w:spacing w:after="0"/>
              <w:rPr>
                <w:sz w:val="20"/>
                <w:szCs w:val="20"/>
                <w:color w:val="auto"/>
              </w:rPr>
            </w:pPr>
            <w:r>
              <w:rPr>
                <w:rFonts w:ascii="Arial" w:cs="Arial" w:eastAsia="Arial" w:hAnsi="Arial"/>
                <w:sz w:val="18"/>
                <w:szCs w:val="18"/>
                <w:color w:val="auto"/>
                <w:w w:val="91"/>
              </w:rPr>
              <w:t>(Zip Code)</w:t>
            </w:r>
          </w:p>
        </w:tc>
      </w:tr>
    </w:tbl>
    <w:p>
      <w:pPr>
        <w:spacing w:after="0" w:line="200" w:lineRule="exact"/>
        <w:rPr>
          <w:sz w:val="24"/>
          <w:szCs w:val="24"/>
          <w:color w:val="auto"/>
        </w:rPr>
      </w:pPr>
    </w:p>
    <w:p>
      <w:pPr>
        <w:spacing w:after="0" w:line="36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33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442595</wp:posOffset>
            </wp:positionH>
            <wp:positionV relativeFrom="paragraph">
              <wp:posOffset>51435</wp:posOffset>
            </wp:positionV>
            <wp:extent cx="64490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49060" cy="8890"/>
                    </a:xfrm>
                    <a:prstGeom prst="rect">
                      <a:avLst/>
                    </a:prstGeom>
                    <a:noFill/>
                  </pic:spPr>
                </pic:pic>
              </a:graphicData>
            </a:graphic>
          </wp:anchor>
        </w:drawing>
      </w:r>
    </w:p>
    <w:p>
      <w:pPr>
        <w:spacing w:after="0" w:line="88"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00" w:lineRule="exact"/>
        <w:rPr>
          <w:sz w:val="24"/>
          <w:szCs w:val="24"/>
          <w:color w:val="auto"/>
        </w:rPr>
      </w:pPr>
    </w:p>
    <w:p>
      <w:pPr>
        <w:spacing w:after="0" w:line="282" w:lineRule="exact"/>
        <w:rPr>
          <w:sz w:val="24"/>
          <w:szCs w:val="24"/>
          <w:color w:val="auto"/>
        </w:rPr>
      </w:pPr>
    </w:p>
    <w:p>
      <w:pPr>
        <w:ind w:right="120"/>
        <w:spacing w:after="0" w:line="324"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1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1" w:name="page2"/>
    <w:bookmarkEnd w:id="1"/>
    <w:p>
      <w:pPr>
        <w:ind w:left="2020" w:right="580" w:hanging="1174"/>
        <w:spacing w:after="0" w:line="282" w:lineRule="auto"/>
        <w:tabs>
          <w:tab w:leader="none" w:pos="200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93" w:lineRule="exact"/>
        <w:rPr>
          <w:sz w:val="20"/>
          <w:szCs w:val="20"/>
          <w:color w:val="auto"/>
        </w:rPr>
      </w:pPr>
    </w:p>
    <w:p>
      <w:pPr>
        <w:jc w:val="both"/>
        <w:ind w:firstLine="8"/>
        <w:spacing w:after="0" w:line="264" w:lineRule="auto"/>
        <w:tabs>
          <w:tab w:leader="none" w:pos="498"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November 24, 2014, the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of Weatherford appointed Mr. Mohamed A. Awad as a member of the Board, thereby increasing the size of Weatherford’s board of directors from nine to ten members. Mr. Awad is expected to be added to the Board’s Health, Safety and Environment Committee at the next scheduled meeting of the Board.</w:t>
      </w:r>
    </w:p>
    <w:p>
      <w:pPr>
        <w:spacing w:after="0" w:line="181"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Mr. Awad, 65, is a retired executive who most recently served as Chairman of Schlumberger–Middle East and Asia, a role he held from 2001 to 2012. Mr. Awad joined Schlumberger in 1981 and over the next 30 years held positions of increasing responsibility, both domestically and abroad, including in the wireline, well services, drilling and measurement, and oilfield services groups. Mr. Awad holds a Master of Science degree from the University of Tulsa and a Bachelor of Science degree from Cairo University, both in Petroleum Engineering. In addition to his role as at Schlumberger, Mr. Awad served as a director of Arabian Drilling Company in Saudi Arabia from 2005 until 2012.</w:t>
      </w:r>
    </w:p>
    <w:p>
      <w:pPr>
        <w:spacing w:after="0" w:line="188"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In connection with his election to the Board, Mr. Awad will receive a grant of 6,162 restricted share units, which will vest in two equal installments on November 24, 2016 and 2018, and a grant of 8,000 restricted share units which will vest annually in three equal installments, in each case, pursuant to Weatherford’s 2010 Omnibus Incentive Plan. He will receive standard Board and committee retainers and meeting fees, and expenses related to meeting attendance. Mr. Awad is expected to enter into director indemnification agreements with the Company and one of its primary subsidiaries, the forms of which have been previously filed with the Securities and Exchange Commission.</w:t>
      </w:r>
    </w:p>
    <w:p>
      <w:pPr>
        <w:spacing w:after="0" w:line="188" w:lineRule="exact"/>
        <w:rPr>
          <w:sz w:val="20"/>
          <w:szCs w:val="20"/>
          <w:color w:val="auto"/>
        </w:rPr>
      </w:pPr>
    </w:p>
    <w:p>
      <w:pPr>
        <w:jc w:val="both"/>
        <w:ind w:firstLine="446"/>
        <w:spacing w:after="0" w:line="312" w:lineRule="auto"/>
        <w:rPr>
          <w:sz w:val="20"/>
          <w:szCs w:val="20"/>
          <w:color w:val="auto"/>
        </w:rPr>
      </w:pPr>
      <w:r>
        <w:rPr>
          <w:rFonts w:ascii="Arial" w:cs="Arial" w:eastAsia="Arial" w:hAnsi="Arial"/>
          <w:sz w:val="16"/>
          <w:szCs w:val="16"/>
          <w:color w:val="auto"/>
        </w:rPr>
        <w:t>There are no arrangements or understanding between Mr. Awad and any other person pursuant to which Mr. Awad was selected as a director. Mr. Awad does not have any family relationship with any director or executive officer of Weatherford or any person nominated or chosen by Weatherford to become a director or executive officer. There are no transactions in which Mr. Awad has an interest requiring disclosure under Item 404(a) of Regulation S-K.</w:t>
      </w:r>
    </w:p>
    <w:p>
      <w:pPr>
        <w:sectPr>
          <w:pgSz w:w="11900" w:h="16838" w:orient="portrait"/>
          <w:cols w:equalWidth="0" w:num="1">
            <w:col w:w="11420"/>
          </w:cols>
          <w:pgMar w:left="240" w:top="958"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310" w:lineRule="exact"/>
        <w:rPr>
          <w:sz w:val="20"/>
          <w:szCs w:val="20"/>
          <w:color w:val="auto"/>
        </w:rPr>
      </w:pPr>
    </w:p>
    <w:p>
      <w:pPr>
        <w:spacing w:after="0" w:line="32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980"/>
        <w:spacing w:after="0"/>
        <w:rPr>
          <w:sz w:val="20"/>
          <w:szCs w:val="20"/>
          <w:color w:val="auto"/>
        </w:rPr>
      </w:pPr>
      <w:r>
        <w:rPr>
          <w:rFonts w:ascii="Arial" w:cs="Arial" w:eastAsia="Arial" w:hAnsi="Arial"/>
          <w:sz w:val="18"/>
          <w:szCs w:val="18"/>
          <w:b w:val="1"/>
          <w:bCs w:val="1"/>
          <w:color w:val="auto"/>
        </w:rPr>
        <w:t>Weatherford International plc</w:t>
      </w:r>
    </w:p>
    <w:p>
      <w:pPr>
        <w:spacing w:after="0" w:line="6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Date: November 25, 2014</w:t>
      </w:r>
    </w:p>
    <w:p>
      <w:pPr>
        <w:spacing w:after="0" w:line="63" w:lineRule="exact"/>
        <w:rPr>
          <w:sz w:val="20"/>
          <w:szCs w:val="20"/>
          <w:color w:val="auto"/>
        </w:rPr>
      </w:pPr>
    </w:p>
    <w:p>
      <w:pPr>
        <w:jc w:val="center"/>
        <w:ind w:left="4860"/>
        <w:spacing w:after="0"/>
        <w:rPr>
          <w:sz w:val="20"/>
          <w:szCs w:val="20"/>
          <w:color w:val="auto"/>
        </w:rPr>
      </w:pPr>
      <w:r>
        <w:rPr>
          <w:rFonts w:ascii="Arial" w:cs="Arial" w:eastAsia="Arial" w:hAnsi="Arial"/>
          <w:sz w:val="18"/>
          <w:szCs w:val="18"/>
          <w:color w:val="auto"/>
        </w:rPr>
        <w:t>/s/ Krishna Shivram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48895</wp:posOffset>
            </wp:positionV>
            <wp:extent cx="38760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84" w:lineRule="exact"/>
        <w:rPr>
          <w:sz w:val="20"/>
          <w:szCs w:val="20"/>
          <w:color w:val="auto"/>
        </w:rPr>
      </w:pPr>
    </w:p>
    <w:p>
      <w:pPr>
        <w:jc w:val="center"/>
        <w:ind w:left="4860"/>
        <w:spacing w:after="0"/>
        <w:rPr>
          <w:sz w:val="20"/>
          <w:szCs w:val="20"/>
          <w:color w:val="auto"/>
        </w:rPr>
      </w:pPr>
      <w:r>
        <w:rPr>
          <w:rFonts w:ascii="Arial" w:cs="Arial" w:eastAsia="Arial" w:hAnsi="Arial"/>
          <w:sz w:val="18"/>
          <w:szCs w:val="18"/>
          <w:color w:val="auto"/>
        </w:rPr>
        <w:t>Krishna Shivram</w:t>
      </w:r>
    </w:p>
    <w:p>
      <w:pPr>
        <w:spacing w:after="0" w:line="200" w:lineRule="exact"/>
        <w:rPr>
          <w:sz w:val="20"/>
          <w:szCs w:val="20"/>
          <w:color w:val="auto"/>
        </w:rPr>
      </w:pPr>
    </w:p>
    <w:p>
      <w:pPr>
        <w:spacing w:after="0" w:line="282" w:lineRule="exact"/>
        <w:rPr>
          <w:sz w:val="20"/>
          <w:szCs w:val="20"/>
          <w:color w:val="auto"/>
        </w:rPr>
      </w:pPr>
    </w:p>
    <w:p>
      <w:pPr>
        <w:jc w:val="center"/>
        <w:ind w:left="486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jc w:val="center"/>
        <w:ind w:left="48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20"/>
      </w:cols>
      <w:pgMar w:left="240" w:top="648"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2019-12-08T10:14:09Z</dcterms:created>
  <dcterms:modified xsi:type="dcterms:W3CDTF">2019-12-08T10:14:09Z</dcterms:modified>
</cp:coreProperties>
</file>