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788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8802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8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MCCOLLUM MARK A</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SAINT JAMES PLACE,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NONE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12/13/2019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7"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87"/>
        <w:spacing w:after="0"/>
        <w:rPr>
          <w:sz w:val="20"/>
          <w:szCs w:val="20"/>
          <w:color w:val="auto"/>
        </w:rPr>
      </w:pPr>
      <w:r>
        <w:rPr>
          <w:rFonts w:ascii="Arial" w:cs="Arial" w:eastAsia="Arial" w:hAnsi="Arial"/>
          <w:sz w:val="17"/>
          <w:szCs w:val="17"/>
          <w:color w:val="0000FF"/>
        </w:rPr>
        <w:t>President and CEO</w:t>
      </w:r>
    </w:p>
    <w:p>
      <w:pPr>
        <w:spacing w:after="0" w:line="255" w:lineRule="exact"/>
        <w:rPr>
          <w:sz w:val="24"/>
          <w:szCs w:val="24"/>
          <w:color w:val="auto"/>
        </w:rPr>
      </w:pPr>
    </w:p>
    <w:p>
      <w:pPr>
        <w:sectPr>
          <w:pgSz w:w="11900" w:h="16838" w:orient="portrait"/>
          <w:cols w:equalWidth="0" w:num="3">
            <w:col w:w="3360" w:space="720"/>
            <w:col w:w="3300" w:space="673"/>
            <w:col w:w="3467"/>
          </w:cols>
          <w:pgMar w:left="240" w:top="225" w:right="139" w:bottom="83" w:gutter="0" w:footer="0" w:header="0"/>
          <w:type w:val="continuous"/>
        </w:sectPr>
      </w:pP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16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580" w:type="dxa"/>
            <w:vAlign w:val="bottom"/>
            <w:gridSpan w:val="7"/>
            <w:vMerge w:val="restart"/>
          </w:tcPr>
          <w:p>
            <w:pPr>
              <w:jc w:val="center"/>
              <w:ind w:left="98"/>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2"/>
                <w:szCs w:val="2"/>
                <w:color w:val="auto"/>
              </w:rPr>
            </w:pPr>
          </w:p>
        </w:tc>
        <w:tc>
          <w:tcPr>
            <w:tcW w:w="376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80" w:type="dxa"/>
            <w:vAlign w:val="bottom"/>
            <w:gridSpan w:val="7"/>
            <w:vMerge w:val="continue"/>
          </w:tcPr>
          <w:p>
            <w:pPr>
              <w:spacing w:after="0"/>
              <w:rPr>
                <w:sz w:val="11"/>
                <w:szCs w:val="11"/>
                <w:color w:val="auto"/>
              </w:rPr>
            </w:pPr>
          </w:p>
        </w:tc>
        <w:tc>
          <w:tcPr>
            <w:tcW w:w="280" w:type="dxa"/>
            <w:vAlign w:val="bottom"/>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220" w:type="dxa"/>
            <w:vAlign w:val="bottom"/>
            <w:gridSpan w:val="2"/>
          </w:tcPr>
          <w:p>
            <w:pPr>
              <w:spacing w:after="0"/>
              <w:rPr>
                <w:sz w:val="20"/>
                <w:szCs w:val="20"/>
                <w:color w:val="auto"/>
              </w:rPr>
            </w:pPr>
            <w:r>
              <w:rPr>
                <w:rFonts w:ascii="Arial" w:cs="Arial" w:eastAsia="Arial" w:hAnsi="Arial"/>
                <w:sz w:val="17"/>
                <w:szCs w:val="17"/>
                <w:color w:val="0000FF"/>
              </w:rPr>
              <w:t>TX</w:t>
            </w:r>
          </w:p>
        </w:tc>
        <w:tc>
          <w:tcPr>
            <w:tcW w:w="1160" w:type="dxa"/>
            <w:vAlign w:val="bottom"/>
          </w:tcPr>
          <w:p>
            <w:pPr>
              <w:ind w:left="40"/>
              <w:spacing w:after="0"/>
              <w:rPr>
                <w:sz w:val="20"/>
                <w:szCs w:val="20"/>
                <w:color w:val="auto"/>
              </w:rPr>
            </w:pPr>
            <w:r>
              <w:rPr>
                <w:rFonts w:ascii="Arial" w:cs="Arial" w:eastAsia="Arial" w:hAnsi="Arial"/>
                <w:sz w:val="17"/>
                <w:szCs w:val="17"/>
                <w:color w:val="0000FF"/>
              </w:rPr>
              <w:t>77056</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760" w:type="dxa"/>
            <w:vAlign w:val="bottom"/>
            <w:gridSpan w:val="10"/>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80" w:type="dxa"/>
            <w:vAlign w:val="bottom"/>
            <w:gridSpan w:val="7"/>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9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3"/>
                <w:szCs w:val="13"/>
                <w:color w:val="auto"/>
              </w:rPr>
              <w:t>Person</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400" w:type="dxa"/>
            <w:vAlign w:val="bottom"/>
            <w:tcBorders>
              <w:bottom w:val="single" w:sz="8" w:color="2C2C2C"/>
            </w:tcBorders>
            <w:gridSpan w:val="9"/>
          </w:tcPr>
          <w:p>
            <w:pPr>
              <w:spacing w:after="0"/>
              <w:rPr>
                <w:sz w:val="11"/>
                <w:szCs w:val="11"/>
                <w:color w:val="auto"/>
              </w:rPr>
            </w:pPr>
          </w:p>
        </w:tc>
        <w:tc>
          <w:tcPr>
            <w:tcW w:w="740" w:type="dxa"/>
            <w:vAlign w:val="bottom"/>
            <w:tcBorders>
              <w:bottom w:val="single" w:sz="8" w:color="2C2C2C"/>
            </w:tcBorders>
            <w:gridSpan w:val="3"/>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12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234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 Disposed</w:t>
            </w:r>
          </w:p>
        </w:tc>
        <w:tc>
          <w:tcPr>
            <w:tcW w:w="18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36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26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46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Of (D) (Instr. 3, 4 and 5)</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20" w:type="dxa"/>
            <w:vAlign w:val="bottom"/>
            <w:gridSpan w:val="3"/>
          </w:tcPr>
          <w:p>
            <w:pPr>
              <w:ind w:left="360"/>
              <w:spacing w:after="0" w:line="134"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V</w:t>
            </w:r>
          </w:p>
        </w:tc>
        <w:tc>
          <w:tcPr>
            <w:tcW w:w="9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Ordinary Shares</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12/13/2019</w:t>
            </w: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(1)(2)(3)</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401,718</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1060" w:type="dxa"/>
            <w:vAlign w:val="bottom"/>
            <w:tcBorders>
              <w:bottom w:val="single" w:sz="8" w:color="2C2C2C"/>
            </w:tcBorders>
            <w:gridSpan w:val="4"/>
          </w:tcPr>
          <w:p>
            <w:pPr>
              <w:jc w:val="center"/>
              <w:spacing w:after="0" w:line="320" w:lineRule="exact"/>
              <w:rPr>
                <w:sz w:val="20"/>
                <w:szCs w:val="20"/>
                <w:color w:val="auto"/>
              </w:rPr>
            </w:pPr>
            <w:r>
              <w:rPr>
                <w:rFonts w:ascii="Arial" w:cs="Arial" w:eastAsia="Arial" w:hAnsi="Arial"/>
                <w:sz w:val="34"/>
                <w:szCs w:val="34"/>
                <w:color w:val="000000"/>
                <w:w w:val="78"/>
                <w:vertAlign w:val="subscript"/>
              </w:rPr>
              <w:t>$</w:t>
            </w:r>
            <w:r>
              <w:rPr>
                <w:rFonts w:ascii="Arial" w:cs="Arial" w:eastAsia="Arial" w:hAnsi="Arial"/>
                <w:sz w:val="34"/>
                <w:szCs w:val="34"/>
                <w:color w:val="0000FF"/>
                <w:w w:val="78"/>
                <w:vertAlign w:val="subscript"/>
              </w:rPr>
              <w:t>0.0156</w:t>
            </w:r>
            <w:r>
              <w:rPr>
                <w:rFonts w:ascii="Arial" w:cs="Arial" w:eastAsia="Arial" w:hAnsi="Arial"/>
                <w:sz w:val="11"/>
                <w:szCs w:val="11"/>
                <w:color w:val="008000"/>
                <w:w w:val="78"/>
              </w:rPr>
              <w:t>(1)(2)(3)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1,263,897</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Ordinary Shares</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12/13/2019</w:t>
            </w: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(1)(4)</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2,057,174</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10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0.0156</w:t>
            </w:r>
            <w:r>
              <w:rPr>
                <w:rFonts w:ascii="Arial" w:cs="Arial" w:eastAsia="Arial" w:hAnsi="Arial"/>
                <w:sz w:val="22"/>
                <w:szCs w:val="22"/>
                <w:color w:val="008000"/>
                <w:w w:val="86"/>
                <w:vertAlign w:val="superscript"/>
              </w:rPr>
              <w:t>(1)(4)</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3,321,071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Ordinary Shares</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12/13/2019</w:t>
            </w: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(1)(4)(5)</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809,498</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1060" w:type="dxa"/>
            <w:vAlign w:val="bottom"/>
            <w:tcBorders>
              <w:bottom w:val="single" w:sz="8" w:color="2C2C2C"/>
            </w:tcBorders>
            <w:gridSpan w:val="4"/>
          </w:tcPr>
          <w:p>
            <w:pPr>
              <w:jc w:val="center"/>
              <w:spacing w:after="0" w:line="320" w:lineRule="exact"/>
              <w:rPr>
                <w:sz w:val="20"/>
                <w:szCs w:val="20"/>
                <w:color w:val="auto"/>
              </w:rPr>
            </w:pPr>
            <w:r>
              <w:rPr>
                <w:rFonts w:ascii="Arial" w:cs="Arial" w:eastAsia="Arial" w:hAnsi="Arial"/>
                <w:sz w:val="34"/>
                <w:szCs w:val="34"/>
                <w:color w:val="000000"/>
                <w:w w:val="78"/>
                <w:vertAlign w:val="subscript"/>
              </w:rPr>
              <w:t>$</w:t>
            </w:r>
            <w:r>
              <w:rPr>
                <w:rFonts w:ascii="Arial" w:cs="Arial" w:eastAsia="Arial" w:hAnsi="Arial"/>
                <w:sz w:val="34"/>
                <w:szCs w:val="34"/>
                <w:color w:val="0000FF"/>
                <w:w w:val="78"/>
                <w:vertAlign w:val="subscript"/>
              </w:rPr>
              <w:t>0.0156</w:t>
            </w:r>
            <w:r>
              <w:rPr>
                <w:rFonts w:ascii="Arial" w:cs="Arial" w:eastAsia="Arial" w:hAnsi="Arial"/>
                <w:sz w:val="11"/>
                <w:szCs w:val="11"/>
                <w:color w:val="008000"/>
                <w:w w:val="78"/>
              </w:rPr>
              <w:t>(1)(4)(5)</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2,511,573</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Ordinary Shares</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12/13/2019</w:t>
            </w: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(1)(6)</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2,511,573</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5"/>
              <w:spacing w:after="0" w:line="320" w:lineRule="exact"/>
              <w:rPr>
                <w:sz w:val="20"/>
                <w:szCs w:val="20"/>
                <w:color w:val="auto"/>
              </w:rPr>
            </w:pPr>
            <w:r>
              <w:rPr>
                <w:rFonts w:ascii="Arial" w:cs="Arial" w:eastAsia="Arial" w:hAnsi="Arial"/>
                <w:sz w:val="34"/>
                <w:szCs w:val="34"/>
                <w:color w:val="000000"/>
                <w:w w:val="84"/>
                <w:vertAlign w:val="subscript"/>
              </w:rPr>
              <w:t>$</w:t>
            </w:r>
            <w:r>
              <w:rPr>
                <w:rFonts w:ascii="Arial" w:cs="Arial" w:eastAsia="Arial" w:hAnsi="Arial"/>
                <w:sz w:val="34"/>
                <w:szCs w:val="34"/>
                <w:color w:val="0000FF"/>
                <w:w w:val="84"/>
                <w:vertAlign w:val="subscript"/>
              </w:rPr>
              <w:t>0</w:t>
            </w:r>
            <w:r>
              <w:rPr>
                <w:rFonts w:ascii="Arial" w:cs="Arial" w:eastAsia="Arial" w:hAnsi="Arial"/>
                <w:sz w:val="11"/>
                <w:szCs w:val="11"/>
                <w:color w:val="008000"/>
                <w:w w:val="84"/>
              </w:rPr>
              <w:t>(1)(6)</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77"/>
              <w:spacing w:after="0"/>
              <w:rPr>
                <w:sz w:val="20"/>
                <w:szCs w:val="20"/>
                <w:color w:val="auto"/>
              </w:rPr>
            </w:pPr>
            <w:r>
              <w:rPr>
                <w:rFonts w:ascii="Arial" w:cs="Arial" w:eastAsia="Arial" w:hAnsi="Arial"/>
                <w:sz w:val="17"/>
                <w:szCs w:val="17"/>
                <w:color w:val="0000FF"/>
              </w:rPr>
              <w:t>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Ordinary Shares</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12/13/2019</w:t>
            </w: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(1)(7)</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12"/>
              <w:spacing w:after="0"/>
              <w:rPr>
                <w:sz w:val="20"/>
                <w:szCs w:val="20"/>
                <w:color w:val="auto"/>
              </w:rPr>
            </w:pPr>
            <w:r>
              <w:rPr>
                <w:rFonts w:ascii="Arial" w:cs="Arial" w:eastAsia="Arial" w:hAnsi="Arial"/>
                <w:sz w:val="17"/>
                <w:szCs w:val="17"/>
                <w:color w:val="0000FF"/>
                <w:w w:val="93"/>
              </w:rPr>
              <w:t>1,741</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5"/>
              <w:spacing w:after="0" w:line="320" w:lineRule="exact"/>
              <w:rPr>
                <w:sz w:val="20"/>
                <w:szCs w:val="20"/>
                <w:color w:val="auto"/>
              </w:rPr>
            </w:pPr>
            <w:r>
              <w:rPr>
                <w:rFonts w:ascii="Arial" w:cs="Arial" w:eastAsia="Arial" w:hAnsi="Arial"/>
                <w:sz w:val="34"/>
                <w:szCs w:val="34"/>
                <w:color w:val="000000"/>
                <w:w w:val="84"/>
                <w:vertAlign w:val="subscript"/>
              </w:rPr>
              <w:t>$</w:t>
            </w:r>
            <w:r>
              <w:rPr>
                <w:rFonts w:ascii="Arial" w:cs="Arial" w:eastAsia="Arial" w:hAnsi="Arial"/>
                <w:sz w:val="34"/>
                <w:szCs w:val="34"/>
                <w:color w:val="0000FF"/>
                <w:w w:val="84"/>
                <w:vertAlign w:val="subscript"/>
              </w:rPr>
              <w:t>0</w:t>
            </w:r>
            <w:r>
              <w:rPr>
                <w:rFonts w:ascii="Arial" w:cs="Arial" w:eastAsia="Arial" w:hAnsi="Arial"/>
                <w:sz w:val="11"/>
                <w:szCs w:val="11"/>
                <w:color w:val="008000"/>
                <w:w w:val="84"/>
              </w:rPr>
              <w:t>(1)(7)</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1,741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20" w:type="dxa"/>
            <w:vAlign w:val="bottom"/>
            <w:tcBorders>
              <w:top w:val="single" w:sz="8" w:color="2C2C2C"/>
            </w:tcBorders>
            <w:gridSpan w:val="14"/>
          </w:tcPr>
          <w:p>
            <w:pPr>
              <w:jc w:val="center"/>
              <w:ind w:right="5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8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4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4"/>
          </w:tcPr>
          <w:p>
            <w:pPr>
              <w:ind w:left="140"/>
              <w:spacing w:after="0" w:line="134"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4"/>
          </w:tcPr>
          <w:p>
            <w:pPr>
              <w:ind w:left="14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of (D) (Instr.</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28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Warrants</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(1)(8)</w:t>
            </w: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19,350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Arial" w:cs="Arial" w:eastAsia="Arial" w:hAnsi="Arial"/>
                <w:sz w:val="11"/>
                <w:szCs w:val="11"/>
                <w:color w:val="008000"/>
              </w:rPr>
              <w:t>(1)(8)</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1" w:lineRule="exact"/>
              <w:rPr>
                <w:sz w:val="20"/>
                <w:szCs w:val="20"/>
                <w:color w:val="auto"/>
              </w:rPr>
            </w:pPr>
            <w:r>
              <w:rPr>
                <w:rFonts w:ascii="Arial" w:cs="Arial" w:eastAsia="Arial" w:hAnsi="Arial"/>
                <w:sz w:val="13"/>
                <w:szCs w:val="13"/>
                <w:color w:val="0000FF"/>
              </w:rPr>
              <w:t>(right to</w:t>
            </w:r>
          </w:p>
        </w:tc>
        <w:tc>
          <w:tcPr>
            <w:tcW w:w="660" w:type="dxa"/>
            <w:vAlign w:val="bottom"/>
          </w:tcPr>
          <w:p>
            <w:pPr>
              <w:ind w:left="220"/>
              <w:spacing w:after="0" w:line="13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99.96</w:t>
            </w:r>
          </w:p>
        </w:tc>
        <w:tc>
          <w:tcPr>
            <w:tcW w:w="140" w:type="dxa"/>
            <w:vAlign w:val="bottom"/>
          </w:tcPr>
          <w:p>
            <w:pPr>
              <w:spacing w:after="0"/>
              <w:rPr>
                <w:sz w:val="11"/>
                <w:szCs w:val="11"/>
                <w:color w:val="auto"/>
              </w:rPr>
            </w:pPr>
          </w:p>
        </w:tc>
        <w:tc>
          <w:tcPr>
            <w:tcW w:w="1080" w:type="dxa"/>
            <w:vAlign w:val="bottom"/>
          </w:tcPr>
          <w:p>
            <w:pPr>
              <w:ind w:left="260"/>
              <w:spacing w:after="0" w:line="131" w:lineRule="exact"/>
              <w:rPr>
                <w:sz w:val="20"/>
                <w:szCs w:val="20"/>
                <w:color w:val="auto"/>
              </w:rPr>
            </w:pPr>
            <w:r>
              <w:rPr>
                <w:rFonts w:ascii="Arial" w:cs="Arial" w:eastAsia="Arial" w:hAnsi="Arial"/>
                <w:sz w:val="13"/>
                <w:szCs w:val="13"/>
                <w:color w:val="0000FF"/>
              </w:rPr>
              <w:t>12/13/2019</w:t>
            </w:r>
          </w:p>
        </w:tc>
        <w:tc>
          <w:tcPr>
            <w:tcW w:w="1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520" w:type="dxa"/>
            <w:vAlign w:val="bottom"/>
          </w:tcPr>
          <w:p>
            <w:pPr>
              <w:ind w:left="120"/>
              <w:spacing w:after="0" w:line="131" w:lineRule="exact"/>
              <w:rPr>
                <w:sz w:val="20"/>
                <w:szCs w:val="20"/>
                <w:color w:val="auto"/>
              </w:rPr>
            </w:pPr>
            <w:r>
              <w:rPr>
                <w:rFonts w:ascii="Arial" w:cs="Arial" w:eastAsia="Arial" w:hAnsi="Arial"/>
                <w:sz w:val="13"/>
                <w:szCs w:val="13"/>
                <w:color w:val="0000FF"/>
                <w:w w:val="95"/>
              </w:rPr>
              <w:t>19,350</w:t>
            </w:r>
          </w:p>
        </w:tc>
        <w:tc>
          <w:tcPr>
            <w:tcW w:w="38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3"/>
                <w:szCs w:val="13"/>
                <w:color w:val="0000FF"/>
              </w:rPr>
              <w:t>12/13/2019</w:t>
            </w:r>
          </w:p>
        </w:tc>
        <w:tc>
          <w:tcPr>
            <w:tcW w:w="720" w:type="dxa"/>
            <w:vAlign w:val="bottom"/>
          </w:tcPr>
          <w:p>
            <w:pPr>
              <w:ind w:left="100"/>
              <w:spacing w:after="0" w:line="131" w:lineRule="exact"/>
              <w:rPr>
                <w:sz w:val="20"/>
                <w:szCs w:val="20"/>
                <w:color w:val="auto"/>
              </w:rPr>
            </w:pPr>
            <w:r>
              <w:rPr>
                <w:rFonts w:ascii="Arial" w:cs="Arial" w:eastAsia="Arial" w:hAnsi="Arial"/>
                <w:sz w:val="13"/>
                <w:szCs w:val="13"/>
                <w:color w:val="0000FF"/>
                <w:w w:val="92"/>
              </w:rPr>
              <w:t>12/13/2023</w:t>
            </w:r>
          </w:p>
        </w:tc>
        <w:tc>
          <w:tcPr>
            <w:tcW w:w="76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80" w:type="dxa"/>
            <w:vAlign w:val="bottom"/>
          </w:tcPr>
          <w:p>
            <w:pPr>
              <w:ind w:left="280"/>
              <w:spacing w:after="0" w:line="131" w:lineRule="exact"/>
              <w:rPr>
                <w:sz w:val="20"/>
                <w:szCs w:val="20"/>
                <w:color w:val="auto"/>
              </w:rPr>
            </w:pPr>
            <w:r>
              <w:rPr>
                <w:rFonts w:ascii="Arial" w:cs="Arial" w:eastAsia="Arial" w:hAnsi="Arial"/>
                <w:sz w:val="13"/>
                <w:szCs w:val="13"/>
                <w:color w:val="0000FF"/>
                <w:w w:val="95"/>
              </w:rPr>
              <w:t>19,350</w:t>
            </w:r>
          </w:p>
        </w:tc>
        <w:tc>
          <w:tcPr>
            <w:tcW w:w="260" w:type="dxa"/>
            <w:vAlign w:val="bottom"/>
          </w:tcPr>
          <w:p>
            <w:pPr>
              <w:spacing w:after="0"/>
              <w:rPr>
                <w:sz w:val="11"/>
                <w:szCs w:val="11"/>
                <w:color w:val="auto"/>
              </w:rPr>
            </w:pPr>
          </w:p>
        </w:tc>
        <w:tc>
          <w:tcPr>
            <w:tcW w:w="700" w:type="dxa"/>
            <w:vAlign w:val="bottom"/>
          </w:tcPr>
          <w:p>
            <w:pPr>
              <w:ind w:left="340"/>
              <w:spacing w:after="0" w:line="13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gridSpan w:val="2"/>
          </w:tcPr>
          <w:p>
            <w:pPr>
              <w:ind w:left="200"/>
              <w:spacing w:after="0" w:line="148" w:lineRule="exact"/>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60" w:firstLine="7"/>
        <w:spacing w:after="0" w:line="270"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July 1, 2019, Weatherford International plc (the "Issuer"), Weatherford International Ltd., and Weatherford International, LLC (collectively, the "Company") commenced voluntary cases under Chapter 11 of the United States Bankruptcy Code in the U.S. Bankruptcy Court for the Southern District of Texas (the "Bankruptcy Court") under the caption In re Weatherford International plc, et al. seeking relief under the provisions of Chapter 11 of Title 11 of the United States Code. On September 9, 2019, the Company filed with the Bankruptcy Court the proposed Second Amended Joint Prepackaged Plan of Reorganization of Weatherford International plc and its Affiliate Debtors, dated September 9, 2019 (the "Plan"). On September 11, 2019, the Bankruptcy Court entered an order, Docket No. 343, confirming and approving the Plan. On December 13, 2019 (the "Effective Date"), the Plan became effective pursuant to its terms and the Company emerged from bankruptcy.</w:t>
      </w:r>
    </w:p>
    <w:p>
      <w:pPr>
        <w:spacing w:after="0" w:line="12"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terms of the respective award agreements, immediately prior to the Effective Date, all outstanding restricted stock units vested.</w:t>
      </w:r>
    </w:p>
    <w:p>
      <w:pPr>
        <w:spacing w:after="0" w:line="50" w:lineRule="exact"/>
        <w:rPr>
          <w:rFonts w:ascii="Arial" w:cs="Arial" w:eastAsia="Arial" w:hAnsi="Arial"/>
          <w:sz w:val="13"/>
          <w:szCs w:val="13"/>
          <w:color w:val="008000"/>
        </w:rPr>
      </w:pPr>
    </w:p>
    <w:p>
      <w:pPr>
        <w:ind w:left="40" w:right="42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Transaction was a withholding of a portion of vested restricted share units to satisfy the reporting person's tax withholding obligations upon vesting, pursuant to the award agreements and associated equity incentive plan under which the awards were granted.</w:t>
      </w:r>
    </w:p>
    <w:p>
      <w:pPr>
        <w:spacing w:after="0" w:line="11" w:lineRule="exact"/>
        <w:rPr>
          <w:rFonts w:ascii="Arial" w:cs="Arial" w:eastAsia="Arial" w:hAnsi="Arial"/>
          <w:sz w:val="13"/>
          <w:szCs w:val="13"/>
          <w:color w:val="008000"/>
        </w:rPr>
      </w:pPr>
    </w:p>
    <w:p>
      <w:pPr>
        <w:ind w:left="40" w:right="32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terms of the respective award agreements, immediately prior to the Effective Time, all outstanding performance share units previously granted vested at a multiple of two times the number of units granted. Includes awards granted on April 24, 2017 and January 31, 2018.</w:t>
      </w:r>
    </w:p>
    <w:p>
      <w:pPr>
        <w:spacing w:after="0" w:line="11" w:lineRule="exact"/>
        <w:rPr>
          <w:rFonts w:ascii="Arial" w:cs="Arial" w:eastAsia="Arial" w:hAnsi="Arial"/>
          <w:sz w:val="13"/>
          <w:szCs w:val="13"/>
          <w:color w:val="008000"/>
        </w:rPr>
      </w:pPr>
    </w:p>
    <w:p>
      <w:pPr>
        <w:ind w:left="40" w:right="2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Transaction was a withholding of a portion of vested performance share units to satisfy the reporting person's tax withholding obligations upon vesting, pursuant to the award agreements and associated equity incentive plan under which the awards were granted.</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the Effective Date, all of the Issuer's outstanding ordinary shares were cancelled and extinguished pursuant to the Plan.</w:t>
      </w:r>
    </w:p>
    <w:p>
      <w:pPr>
        <w:spacing w:after="0" w:line="50" w:lineRule="exact"/>
        <w:rPr>
          <w:rFonts w:ascii="Arial" w:cs="Arial" w:eastAsia="Arial" w:hAnsi="Arial"/>
          <w:sz w:val="13"/>
          <w:szCs w:val="13"/>
          <w:color w:val="008000"/>
        </w:rPr>
      </w:pPr>
    </w:p>
    <w:p>
      <w:pPr>
        <w:ind w:left="40" w:right="5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New shares of the Issuer's ordinary shares, par value $.001 per share (the "New Ordinary Shares") were issued to the Reporting Person on the Effective Date pursuant to the Plan. The receipt of the New Ordinary Shares by the Reporting Person was involuntary, without additional consideration and in accordance with the Plan approved by the Bankruptcy Court.</w:t>
      </w:r>
    </w:p>
    <w:p>
      <w:pPr>
        <w:spacing w:after="0" w:line="11" w:lineRule="exact"/>
        <w:rPr>
          <w:rFonts w:ascii="Arial" w:cs="Arial" w:eastAsia="Arial" w:hAnsi="Arial"/>
          <w:sz w:val="13"/>
          <w:szCs w:val="13"/>
          <w:color w:val="008000"/>
        </w:rPr>
      </w:pPr>
    </w:p>
    <w:p>
      <w:pPr>
        <w:ind w:left="40" w:right="20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Warrants to purchase New Ordinary Shares (the "Warrants") were issued to the Reporting Person on the Effective Date pursuant to the Plan. The Warrants may be exercised at any time prior to their expiration. The receipt of the Warrants by the Reporting Person was involuntary, without additional consideration and in accordance with the Plan approved by the Bankruptcy Court.</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Arial" w:cs="Arial" w:eastAsia="Arial" w:hAnsi="Arial"/>
                <w:sz w:val="17"/>
                <w:szCs w:val="17"/>
                <w:color w:val="0000FF"/>
              </w:rPr>
              <w:t>Christine M. Morrison by</w:t>
            </w: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12/15/2019</w:t>
            </w: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480" w:type="dxa"/>
            <w:vAlign w:val="bottom"/>
            <w:tcBorders>
              <w:top w:val="single" w:sz="8" w:color="auto"/>
              <w:bottom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300" w:type="dxa"/>
            <w:vAlign w:val="bottom"/>
            <w:tcBorders>
              <w:bottom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588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2019-12-17T17:39:37Z</dcterms:created>
  <dcterms:modified xsi:type="dcterms:W3CDTF">2019-12-17T17:39:37Z</dcterms:modified>
</cp:coreProperties>
</file>