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333-194431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333-194431-02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21,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59512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10380"/>
        <w:spacing w:after="0"/>
        <w:rPr>
          <w:sz w:val="20"/>
          <w:szCs w:val="20"/>
          <w:color w:val="auto"/>
        </w:rPr>
      </w:pPr>
      <w:r>
        <w:rPr>
          <w:rFonts w:ascii="Arial" w:cs="Arial" w:eastAsia="Arial" w:hAnsi="Arial"/>
          <w:sz w:val="15"/>
          <w:szCs w:val="15"/>
          <w:b w:val="1"/>
          <w:bCs w:val="1"/>
          <w:color w:val="auto"/>
        </w:rPr>
        <w:t>News Release</w:t>
      </w:r>
    </w:p>
    <w:p>
      <w:pPr>
        <w:spacing w:after="0" w:line="260"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Weatherford Announces Concurrent Public Offerings of Ordinary Shares and Mandatory Exchangeable Subordinated Notes for an Expected Combined Amount of $1.0 Billion</w:t>
      </w:r>
    </w:p>
    <w:p>
      <w:pPr>
        <w:spacing w:after="0" w:line="162"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 xml:space="preserve">Baar, Switzerland, September 21, 2015 </w:t>
      </w:r>
      <w:r>
        <w:rPr>
          <w:rFonts w:ascii="Arial" w:cs="Arial" w:eastAsia="Arial" w:hAnsi="Arial"/>
          <w:sz w:val="18"/>
          <w:szCs w:val="18"/>
          <w:b w:val="1"/>
          <w:bCs w:val="1"/>
          <w:color w:val="auto"/>
        </w:rPr>
        <w:t>–</w:t>
      </w:r>
      <w:r>
        <w:rPr>
          <w:rFonts w:ascii="Arial" w:cs="Arial" w:eastAsia="Arial" w:hAnsi="Arial"/>
          <w:sz w:val="18"/>
          <w:szCs w:val="18"/>
          <w:color w:val="auto"/>
        </w:rPr>
        <w:t xml:space="preserve"> Weatherford International plc (NYSE: WFT) (the “Company” or “Weatherford”) announced today the launch of concurrent underwritten public offerings of ordinary shares of the Company (the “Shares”) and mandatorily exchangeable subordinated notes (the “Notes”) of Weatherford International Ltd., a Bermuda exempted company and wholly owned subsidiary of the Company (“Weatherford Bermuda”), for an expected combined amount of $1.0 billion (the “Combined Offering”). The Company retains the flexibility to adjust the relative proportions of the Notes and Shares offered in the Combined Offering.</w:t>
      </w:r>
    </w:p>
    <w:p>
      <w:pPr>
        <w:spacing w:after="0" w:line="188" w:lineRule="exact"/>
        <w:rPr>
          <w:sz w:val="24"/>
          <w:szCs w:val="24"/>
          <w:color w:val="auto"/>
        </w:rPr>
      </w:pPr>
    </w:p>
    <w:p>
      <w:pPr>
        <w:ind w:right="380" w:firstLine="456"/>
        <w:spacing w:after="0" w:line="277" w:lineRule="auto"/>
        <w:rPr>
          <w:sz w:val="20"/>
          <w:szCs w:val="20"/>
          <w:color w:val="auto"/>
        </w:rPr>
      </w:pPr>
      <w:r>
        <w:rPr>
          <w:rFonts w:ascii="Arial" w:cs="Arial" w:eastAsia="Arial" w:hAnsi="Arial"/>
          <w:sz w:val="18"/>
          <w:szCs w:val="18"/>
          <w:color w:val="auto"/>
        </w:rPr>
        <w:t>The Shares and the Notes will be offered pursuant to an effective registration statement (the “Registration Statement”) filed with the Securities and Exchange Commission (the “SEC”).</w:t>
      </w:r>
    </w:p>
    <w:p>
      <w:pPr>
        <w:spacing w:after="0" w:line="170" w:lineRule="exact"/>
        <w:rPr>
          <w:sz w:val="24"/>
          <w:szCs w:val="24"/>
          <w:color w:val="auto"/>
        </w:rPr>
      </w:pPr>
    </w:p>
    <w:p>
      <w:pPr>
        <w:ind w:right="320" w:firstLine="456"/>
        <w:spacing w:after="0" w:line="264" w:lineRule="auto"/>
        <w:rPr>
          <w:sz w:val="20"/>
          <w:szCs w:val="20"/>
          <w:color w:val="auto"/>
        </w:rPr>
      </w:pPr>
      <w:r>
        <w:rPr>
          <w:rFonts w:ascii="Arial" w:cs="Arial" w:eastAsia="Arial" w:hAnsi="Arial"/>
          <w:sz w:val="18"/>
          <w:szCs w:val="18"/>
          <w:color w:val="auto"/>
        </w:rPr>
        <w:t>The Company intends to use the net proceeds from the Combined Offering to pre-fund potential acquisitions and for general corporate purposes. Pending such use, the Company expects that the borrowings under its revolving credit facility and commercial paper program will be temporarily reduced with the proceeds of the Combined Offering.</w:t>
      </w:r>
    </w:p>
    <w:p>
      <w:pPr>
        <w:spacing w:after="0" w:line="181" w:lineRule="exact"/>
        <w:rPr>
          <w:sz w:val="24"/>
          <w:szCs w:val="24"/>
          <w:color w:val="auto"/>
        </w:rPr>
      </w:pPr>
    </w:p>
    <w:p>
      <w:pPr>
        <w:ind w:right="80" w:firstLine="456"/>
        <w:spacing w:after="0" w:line="302" w:lineRule="auto"/>
        <w:rPr>
          <w:sz w:val="20"/>
          <w:szCs w:val="20"/>
          <w:color w:val="auto"/>
        </w:rPr>
      </w:pPr>
      <w:r>
        <w:rPr>
          <w:rFonts w:ascii="Arial" w:cs="Arial" w:eastAsia="Arial" w:hAnsi="Arial"/>
          <w:sz w:val="16"/>
          <w:szCs w:val="16"/>
          <w:color w:val="auto"/>
        </w:rPr>
        <w:t>The Notes will have a maturity of three years, will be issued at 100% of the principal amount and will be mandatorily exchanged for ordinary shares of the Company (the “Exchange Shares”) at the maturity of the Notes unless earlier converted at the option of the holders or Weatherford Bermuda or upon certain specified events in accordance with the terms of the Notes. The Notes will be fully and unconditionally guaranteed by the Company on an unsecured, subordinated basis. The interest rate, exchange rate and other terms of the Notes will be determined at the time of pricing of the Notes offering.</w:t>
      </w:r>
    </w:p>
    <w:p>
      <w:pPr>
        <w:spacing w:after="0" w:line="154" w:lineRule="exact"/>
        <w:rPr>
          <w:sz w:val="24"/>
          <w:szCs w:val="24"/>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Combined Offering, there will be a 60-day lock-up period for the Company on issuances or sales of ordinary shares of the Company and securities that give the holder the right to acquire ordinary shares of the Company. Weatherford Bermuda will apply to list the Notes on the New York Stock Exchange (“NYSE”).</w:t>
      </w:r>
    </w:p>
    <w:p>
      <w:pPr>
        <w:spacing w:after="0" w:line="18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Citigroup and Wells Fargo Securities will serve as joint bookrunners of the Combined Offering.</w:t>
      </w:r>
    </w:p>
    <w:p>
      <w:pPr>
        <w:sectPr>
          <w:pgSz w:w="11900" w:h="16838" w:orient="portrait"/>
          <w:cols w:equalWidth="0" w:num="1">
            <w:col w:w="11420"/>
          </w:cols>
          <w:pgMar w:left="240" w:top="233" w:right="239" w:bottom="1440" w:gutter="0" w:footer="0" w:header="0"/>
        </w:sectPr>
      </w:pPr>
    </w:p>
    <w:bookmarkStart w:id="1" w:name="page2"/>
    <w:bookmarkEnd w:id="1"/>
    <w:p>
      <w:pPr>
        <w:ind w:right="8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offering of each of the Shares and the Notes are being made by means of a separate prospectus supplement and accompanying base prospectus as filed with the SEC. When available, copies of the preliminary prospectus supplements and accompanying base prospectus relating to each offering may be obtained free of charge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under the Company’s name or from the underwriters of the offering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Citigroup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Edgewood, New York 11717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(888) 603-5847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prospectus@citi.com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Equity Syndicate Dept.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cmclientsupport@wellsfargo.com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326-5897</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This press release does not constitute an offer to sell or a solicitation of an offer to buy the securities described above, nor shall there be any sale of these securities in any state or jurisdiction in which such offer, solicitation or sale would be unlawful prior to registration or qualification under the securities laws of such state or jurisdiction. The offer is being made only through the prospectus as supplemented, which is part of the Registration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1,350 locations, including manufacturing, service, research and development, and training facilities and employs approximately 44,000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as defined under federal law, including those related to the Company’s potential securities offering.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2014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ectPr>
          <w:pgSz w:w="11900" w:h="16838" w:orient="portrait"/>
          <w:cols w:equalWidth="0" w:num="1">
            <w:col w:w="11320"/>
          </w:cols>
          <w:pgMar w:left="240" w:top="27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760" w:type="dxa"/>
            <w:vAlign w:val="bottom"/>
          </w:tcPr>
          <w:p>
            <w:pPr>
              <w:spacing w:after="0"/>
              <w:rPr>
                <w:sz w:val="20"/>
                <w:szCs w:val="20"/>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color w:val="auto"/>
              </w:rPr>
              <w:t>Krishna Shivram</w:t>
            </w:r>
          </w:p>
        </w:tc>
        <w:tc>
          <w:tcPr>
            <w:tcW w:w="176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760" w:type="dxa"/>
            <w:vAlign w:val="bottom"/>
          </w:tcPr>
          <w:p>
            <w:pPr>
              <w:spacing w:after="0"/>
              <w:rPr>
                <w:sz w:val="20"/>
                <w:szCs w:val="20"/>
                <w:color w:val="auto"/>
              </w:rPr>
            </w:pPr>
          </w:p>
        </w:tc>
      </w:tr>
      <w:tr>
        <w:trPr>
          <w:trHeight w:val="445"/>
        </w:trPr>
        <w:tc>
          <w:tcPr>
            <w:tcW w:w="5420" w:type="dxa"/>
            <w:vAlign w:val="bottom"/>
          </w:tcPr>
          <w:p>
            <w:pPr>
              <w:spacing w:after="0"/>
              <w:rPr>
                <w:sz w:val="20"/>
                <w:szCs w:val="20"/>
                <w:color w:val="auto"/>
              </w:rPr>
            </w:pPr>
            <w:r>
              <w:rPr>
                <w:rFonts w:ascii="Arial" w:cs="Arial" w:eastAsia="Arial" w:hAnsi="Arial"/>
                <w:sz w:val="18"/>
                <w:szCs w:val="18"/>
                <w:color w:val="auto"/>
              </w:rPr>
              <w:t>Karen David-Green</w:t>
            </w:r>
          </w:p>
        </w:tc>
        <w:tc>
          <w:tcPr>
            <w:tcW w:w="17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Vice President – Investor Relations and Corporate Communications</w:t>
            </w:r>
          </w:p>
        </w:tc>
        <w:tc>
          <w:tcPr>
            <w:tcW w:w="17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 # #</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2019-12-09T04:53:53Z</dcterms:created>
  <dcterms:modified xsi:type="dcterms:W3CDTF">2019-12-09T04:53:53Z</dcterms:modified>
</cp:coreProperties>
</file>