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419735</wp:posOffset>
            </wp:positionH>
            <wp:positionV relativeFrom="page">
              <wp:posOffset>511810</wp:posOffset>
            </wp:positionV>
            <wp:extent cx="67151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15125" cy="5715"/>
                    </a:xfrm>
                    <a:prstGeom prst="rect">
                      <a:avLst/>
                    </a:prstGeom>
                    <a:noFill/>
                  </pic:spPr>
                </pic:pic>
              </a:graphicData>
            </a:graphic>
          </wp:anchor>
        </w:drawing>
        <w:t>UNITED STATES</w:t>
      </w:r>
    </w:p>
    <w:p>
      <w:pPr>
        <w:spacing w:after="0" w:line="23" w:lineRule="exact"/>
        <w:rPr>
          <w:sz w:val="24"/>
          <w:szCs w:val="24"/>
          <w:color w:val="auto"/>
        </w:rPr>
      </w:pPr>
    </w:p>
    <w:p>
      <w:pPr>
        <w:jc w:val="center"/>
        <w:ind w:right="-2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7"/>
        <w:spacing w:after="0"/>
        <w:rPr>
          <w:sz w:val="20"/>
          <w:szCs w:val="20"/>
          <w:color w:val="auto"/>
        </w:rPr>
      </w:pPr>
      <w:r>
        <w:rPr>
          <w:rFonts w:ascii="Arial" w:cs="Arial" w:eastAsia="Arial" w:hAnsi="Arial"/>
          <w:sz w:val="14"/>
          <w:szCs w:val="14"/>
          <w:b w:val="1"/>
          <w:bCs w:val="1"/>
          <w:color w:val="auto"/>
        </w:rPr>
        <w:t>WASHINGTON, D.C. 20549</w:t>
      </w:r>
    </w:p>
    <w:p>
      <w:pPr>
        <w:spacing w:after="0" w:line="147" w:lineRule="exact"/>
        <w:rPr>
          <w:sz w:val="24"/>
          <w:szCs w:val="24"/>
          <w:color w:val="auto"/>
        </w:rPr>
      </w:pPr>
    </w:p>
    <w:p>
      <w:pPr>
        <w:jc w:val="center"/>
        <w:ind w:right="-27"/>
        <w:spacing w:after="0"/>
        <w:rPr>
          <w:sz w:val="20"/>
          <w:szCs w:val="20"/>
          <w:color w:val="auto"/>
        </w:rPr>
      </w:pPr>
      <w:r>
        <w:rPr>
          <w:rFonts w:ascii="Arial" w:cs="Arial" w:eastAsia="Arial" w:hAnsi="Arial"/>
          <w:sz w:val="22"/>
          <w:szCs w:val="22"/>
          <w:b w:val="1"/>
          <w:bCs w:val="1"/>
          <w:color w:val="auto"/>
        </w:rPr>
        <w:t>FORM 8-K</w:t>
      </w:r>
    </w:p>
    <w:p>
      <w:pPr>
        <w:spacing w:after="0" w:line="21" w:lineRule="exact"/>
        <w:rPr>
          <w:sz w:val="24"/>
          <w:szCs w:val="24"/>
          <w:color w:val="auto"/>
        </w:rPr>
      </w:pPr>
    </w:p>
    <w:p>
      <w:pPr>
        <w:jc w:val="center"/>
        <w:ind w:right="-27"/>
        <w:spacing w:after="0"/>
        <w:rPr>
          <w:sz w:val="20"/>
          <w:szCs w:val="20"/>
          <w:color w:val="auto"/>
        </w:rPr>
      </w:pPr>
      <w:r>
        <w:rPr>
          <w:rFonts w:ascii="Arial" w:cs="Arial" w:eastAsia="Arial" w:hAnsi="Arial"/>
          <w:sz w:val="17"/>
          <w:szCs w:val="17"/>
          <w:b w:val="1"/>
          <w:bCs w:val="1"/>
          <w:color w:val="auto"/>
        </w:rPr>
        <w:t>CURRENT REPORT</w:t>
      </w:r>
    </w:p>
    <w:p>
      <w:pPr>
        <w:spacing w:after="0" w:line="4" w:lineRule="exact"/>
        <w:rPr>
          <w:sz w:val="24"/>
          <w:szCs w:val="24"/>
          <w:color w:val="auto"/>
        </w:rPr>
      </w:pPr>
    </w:p>
    <w:p>
      <w:pPr>
        <w:jc w:val="center"/>
        <w:ind w:right="-27"/>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58" w:lineRule="exact"/>
        <w:rPr>
          <w:sz w:val="24"/>
          <w:szCs w:val="24"/>
          <w:color w:val="auto"/>
        </w:rPr>
      </w:pPr>
    </w:p>
    <w:p>
      <w:pPr>
        <w:jc w:val="center"/>
        <w:ind w:right="-27"/>
        <w:spacing w:after="0"/>
        <w:rPr>
          <w:sz w:val="20"/>
          <w:szCs w:val="20"/>
          <w:color w:val="auto"/>
        </w:rPr>
      </w:pPr>
      <w:r>
        <w:rPr>
          <w:rFonts w:ascii="Arial" w:cs="Arial" w:eastAsia="Arial" w:hAnsi="Arial"/>
          <w:sz w:val="14"/>
          <w:szCs w:val="14"/>
          <w:b w:val="1"/>
          <w:bCs w:val="1"/>
          <w:color w:val="auto"/>
        </w:rPr>
        <w:t>Date of Report (Date of earliest event reported): May 26, 2021</w:t>
      </w:r>
    </w:p>
    <w:p>
      <w:pPr>
        <w:spacing w:after="0" w:line="159" w:lineRule="exact"/>
        <w:rPr>
          <w:sz w:val="24"/>
          <w:szCs w:val="24"/>
          <w:color w:val="auto"/>
        </w:rPr>
      </w:pPr>
    </w:p>
    <w:p>
      <w:pPr>
        <w:jc w:val="center"/>
        <w:ind w:right="-27"/>
        <w:spacing w:after="0"/>
        <w:rPr>
          <w:sz w:val="20"/>
          <w:szCs w:val="20"/>
          <w:color w:val="auto"/>
        </w:rPr>
      </w:pPr>
      <w:r>
        <w:rPr>
          <w:rFonts w:ascii="Arial" w:cs="Arial" w:eastAsia="Arial" w:hAnsi="Arial"/>
          <w:sz w:val="26"/>
          <w:szCs w:val="26"/>
          <w:b w:val="1"/>
          <w:bCs w:val="1"/>
          <w:color w:val="auto"/>
        </w:rPr>
        <w:t>Weatherford International plc</w:t>
      </w:r>
    </w:p>
    <w:p>
      <w:pPr>
        <w:spacing w:after="0" w:line="39" w:lineRule="exact"/>
        <w:rPr>
          <w:sz w:val="24"/>
          <w:szCs w:val="24"/>
          <w:color w:val="auto"/>
        </w:rPr>
      </w:pPr>
    </w:p>
    <w:tbl>
      <w:tblPr>
        <w:tblLayout w:type="fixed"/>
        <w:tblInd w:w="148" w:type="dxa"/>
        <w:tblCellMar>
          <w:top w:w="0" w:type="dxa"/>
          <w:left w:w="0" w:type="dxa"/>
          <w:bottom w:w="0" w:type="dxa"/>
          <w:right w:w="0" w:type="dxa"/>
        </w:tblCellMar>
      </w:tblPr>
      <w:tr>
        <w:trPr>
          <w:trHeight w:val="157"/>
        </w:trPr>
        <w:tc>
          <w:tcPr>
            <w:tcW w:w="8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540" w:type="dxa"/>
            <w:vAlign w:val="bottom"/>
          </w:tcPr>
          <w:p>
            <w:pPr>
              <w:jc w:val="center"/>
              <w:ind w:right="520"/>
              <w:spacing w:after="0"/>
              <w:rPr>
                <w:sz w:val="20"/>
                <w:szCs w:val="20"/>
                <w:color w:val="auto"/>
              </w:rPr>
            </w:pPr>
            <w:r>
              <w:rPr>
                <w:rFonts w:ascii="Arial" w:cs="Arial" w:eastAsia="Arial" w:hAnsi="Arial"/>
                <w:sz w:val="12"/>
                <w:szCs w:val="12"/>
                <w:b w:val="1"/>
                <w:bCs w:val="1"/>
                <w:color w:val="auto"/>
                <w:w w:val="89"/>
              </w:rPr>
              <w:t>(Exact name of registrant as specified in its charter)</w:t>
            </w:r>
          </w:p>
        </w:tc>
        <w:tc>
          <w:tcPr>
            <w:tcW w:w="26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7"/>
        </w:trPr>
        <w:tc>
          <w:tcPr>
            <w:tcW w:w="820" w:type="dxa"/>
            <w:vAlign w:val="bottom"/>
            <w:tcBorders>
              <w:bottom w:val="single" w:sz="8" w:color="auto"/>
            </w:tcBorders>
          </w:tcPr>
          <w:p>
            <w:pPr>
              <w:spacing w:after="0"/>
              <w:rPr>
                <w:sz w:val="13"/>
                <w:szCs w:val="13"/>
                <w:color w:val="auto"/>
              </w:rPr>
            </w:pPr>
          </w:p>
        </w:tc>
        <w:tc>
          <w:tcPr>
            <w:tcW w:w="3200" w:type="dxa"/>
            <w:vAlign w:val="bottom"/>
            <w:tcBorders>
              <w:bottom w:val="single" w:sz="8" w:color="auto"/>
            </w:tcBorders>
          </w:tcPr>
          <w:p>
            <w:pPr>
              <w:jc w:val="center"/>
              <w:ind w:right="1120"/>
              <w:spacing w:after="0"/>
              <w:rPr>
                <w:sz w:val="20"/>
                <w:szCs w:val="20"/>
                <w:color w:val="auto"/>
              </w:rPr>
            </w:pPr>
            <w:r>
              <w:rPr>
                <w:rFonts w:ascii="Arial" w:cs="Arial" w:eastAsia="Arial" w:hAnsi="Arial"/>
                <w:sz w:val="12"/>
                <w:szCs w:val="12"/>
                <w:b w:val="1"/>
                <w:bCs w:val="1"/>
                <w:color w:val="auto"/>
                <w:w w:val="96"/>
              </w:rPr>
              <w:t>Ireland</w:t>
            </w:r>
          </w:p>
        </w:tc>
        <w:tc>
          <w:tcPr>
            <w:tcW w:w="3540" w:type="dxa"/>
            <w:vAlign w:val="bottom"/>
            <w:tcBorders>
              <w:bottom w:val="single" w:sz="8" w:color="auto"/>
            </w:tcBorders>
          </w:tcPr>
          <w:p>
            <w:pPr>
              <w:jc w:val="center"/>
              <w:ind w:right="520"/>
              <w:spacing w:after="0"/>
              <w:rPr>
                <w:sz w:val="20"/>
                <w:szCs w:val="20"/>
                <w:color w:val="auto"/>
              </w:rPr>
            </w:pPr>
            <w:r>
              <w:rPr>
                <w:rFonts w:ascii="Arial" w:cs="Arial" w:eastAsia="Arial" w:hAnsi="Arial"/>
                <w:sz w:val="12"/>
                <w:szCs w:val="12"/>
                <w:b w:val="1"/>
                <w:bCs w:val="1"/>
                <w:color w:val="auto"/>
                <w:w w:val="90"/>
              </w:rPr>
              <w:t>001-36504</w:t>
            </w:r>
          </w:p>
        </w:tc>
        <w:tc>
          <w:tcPr>
            <w:tcW w:w="264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b w:val="1"/>
                <w:bCs w:val="1"/>
                <w:color w:val="auto"/>
              </w:rPr>
              <w:t>98-0606750</w:t>
            </w:r>
          </w:p>
        </w:tc>
        <w:tc>
          <w:tcPr>
            <w:tcW w:w="820" w:type="dxa"/>
            <w:vAlign w:val="bottom"/>
            <w:tcBorders>
              <w:bottom w:val="single" w:sz="8" w:color="auto"/>
            </w:tcBorders>
          </w:tcPr>
          <w:p>
            <w:pPr>
              <w:spacing w:after="0"/>
              <w:rPr>
                <w:sz w:val="13"/>
                <w:szCs w:val="13"/>
                <w:color w:val="auto"/>
              </w:rPr>
            </w:pPr>
          </w:p>
        </w:tc>
      </w:tr>
      <w:tr>
        <w:trPr>
          <w:trHeight w:val="142"/>
        </w:trPr>
        <w:tc>
          <w:tcPr>
            <w:tcW w:w="4020" w:type="dxa"/>
            <w:vAlign w:val="bottom"/>
            <w:gridSpan w:val="2"/>
          </w:tcPr>
          <w:p>
            <w:pPr>
              <w:jc w:val="center"/>
              <w:ind w:right="300"/>
              <w:spacing w:after="0"/>
              <w:rPr>
                <w:sz w:val="20"/>
                <w:szCs w:val="20"/>
                <w:color w:val="auto"/>
              </w:rPr>
            </w:pPr>
            <w:r>
              <w:rPr>
                <w:rFonts w:ascii="Arial" w:cs="Arial" w:eastAsia="Arial" w:hAnsi="Arial"/>
                <w:sz w:val="12"/>
                <w:szCs w:val="12"/>
                <w:color w:val="auto"/>
                <w:w w:val="92"/>
              </w:rPr>
              <w:t>(State or other jurisdiction of incorporation)</w:t>
            </w:r>
          </w:p>
        </w:tc>
        <w:tc>
          <w:tcPr>
            <w:tcW w:w="3540" w:type="dxa"/>
            <w:vAlign w:val="bottom"/>
          </w:tcPr>
          <w:p>
            <w:pPr>
              <w:jc w:val="center"/>
              <w:ind w:right="520"/>
              <w:spacing w:after="0"/>
              <w:rPr>
                <w:sz w:val="20"/>
                <w:szCs w:val="20"/>
                <w:color w:val="auto"/>
              </w:rPr>
            </w:pPr>
            <w:r>
              <w:rPr>
                <w:rFonts w:ascii="Arial" w:cs="Arial" w:eastAsia="Arial" w:hAnsi="Arial"/>
                <w:sz w:val="12"/>
                <w:szCs w:val="12"/>
                <w:color w:val="auto"/>
                <w:w w:val="92"/>
              </w:rPr>
              <w:t>(Commission File Number)</w:t>
            </w:r>
          </w:p>
        </w:tc>
        <w:tc>
          <w:tcPr>
            <w:tcW w:w="3460" w:type="dxa"/>
            <w:vAlign w:val="bottom"/>
            <w:gridSpan w:val="2"/>
          </w:tcPr>
          <w:p>
            <w:pPr>
              <w:jc w:val="center"/>
              <w:ind w:right="240"/>
              <w:spacing w:after="0"/>
              <w:rPr>
                <w:sz w:val="20"/>
                <w:szCs w:val="20"/>
                <w:color w:val="auto"/>
              </w:rPr>
            </w:pPr>
            <w:r>
              <w:rPr>
                <w:rFonts w:ascii="Arial" w:cs="Arial" w:eastAsia="Arial" w:hAnsi="Arial"/>
                <w:sz w:val="12"/>
                <w:szCs w:val="12"/>
                <w:color w:val="auto"/>
                <w:w w:val="94"/>
              </w:rPr>
              <w:t>(I.R.S. Employer Identification No.)</w:t>
            </w:r>
          </w:p>
        </w:tc>
      </w:tr>
      <w:tr>
        <w:trPr>
          <w:trHeight w:val="225"/>
        </w:trPr>
        <w:tc>
          <w:tcPr>
            <w:tcW w:w="820" w:type="dxa"/>
            <w:vAlign w:val="bottom"/>
          </w:tcPr>
          <w:p>
            <w:pPr>
              <w:spacing w:after="0"/>
              <w:rPr>
                <w:sz w:val="19"/>
                <w:szCs w:val="19"/>
                <w:color w:val="auto"/>
              </w:rPr>
            </w:pPr>
          </w:p>
        </w:tc>
        <w:tc>
          <w:tcPr>
            <w:tcW w:w="3200" w:type="dxa"/>
            <w:vAlign w:val="bottom"/>
            <w:tcBorders>
              <w:bottom w:val="single" w:sz="8" w:color="auto"/>
            </w:tcBorders>
          </w:tcPr>
          <w:p>
            <w:pPr>
              <w:ind w:left="1280"/>
              <w:spacing w:after="0"/>
              <w:rPr>
                <w:sz w:val="20"/>
                <w:szCs w:val="20"/>
                <w:color w:val="auto"/>
              </w:rPr>
            </w:pPr>
            <w:r>
              <w:rPr>
                <w:rFonts w:ascii="Arial" w:cs="Arial" w:eastAsia="Arial" w:hAnsi="Arial"/>
                <w:sz w:val="12"/>
                <w:szCs w:val="12"/>
                <w:b w:val="1"/>
                <w:bCs w:val="1"/>
                <w:color w:val="auto"/>
              </w:rPr>
              <w:t>2000 St. James Place ,   Houston,</w:t>
            </w:r>
          </w:p>
        </w:tc>
        <w:tc>
          <w:tcPr>
            <w:tcW w:w="3540" w:type="dxa"/>
            <w:vAlign w:val="bottom"/>
            <w:tcBorders>
              <w:bottom w:val="single" w:sz="8" w:color="auto"/>
            </w:tcBorders>
          </w:tcPr>
          <w:p>
            <w:pPr>
              <w:ind w:left="660"/>
              <w:spacing w:after="0"/>
              <w:rPr>
                <w:sz w:val="20"/>
                <w:szCs w:val="20"/>
                <w:color w:val="auto"/>
              </w:rPr>
            </w:pPr>
            <w:r>
              <w:rPr>
                <w:rFonts w:ascii="Arial" w:cs="Arial" w:eastAsia="Arial" w:hAnsi="Arial"/>
                <w:sz w:val="12"/>
                <w:szCs w:val="12"/>
                <w:b w:val="1"/>
                <w:bCs w:val="1"/>
                <w:color w:val="auto"/>
              </w:rPr>
              <w:t>Texas</w:t>
            </w:r>
          </w:p>
        </w:tc>
        <w:tc>
          <w:tcPr>
            <w:tcW w:w="2640" w:type="dxa"/>
            <w:vAlign w:val="bottom"/>
            <w:tcBorders>
              <w:bottom w:val="single" w:sz="8" w:color="auto"/>
            </w:tcBorders>
          </w:tcPr>
          <w:p>
            <w:pPr>
              <w:jc w:val="right"/>
              <w:ind w:right="760"/>
              <w:spacing w:after="0"/>
              <w:rPr>
                <w:sz w:val="20"/>
                <w:szCs w:val="20"/>
                <w:color w:val="auto"/>
              </w:rPr>
            </w:pPr>
            <w:r>
              <w:rPr>
                <w:rFonts w:ascii="Arial" w:cs="Arial" w:eastAsia="Arial" w:hAnsi="Arial"/>
                <w:sz w:val="12"/>
                <w:szCs w:val="12"/>
                <w:b w:val="1"/>
                <w:bCs w:val="1"/>
                <w:color w:val="auto"/>
              </w:rPr>
              <w:t>77056</w:t>
            </w:r>
          </w:p>
        </w:tc>
        <w:tc>
          <w:tcPr>
            <w:tcW w:w="820" w:type="dxa"/>
            <w:vAlign w:val="bottom"/>
          </w:tcPr>
          <w:p>
            <w:pPr>
              <w:spacing w:after="0"/>
              <w:rPr>
                <w:sz w:val="19"/>
                <w:szCs w:val="19"/>
                <w:color w:val="auto"/>
              </w:rPr>
            </w:pPr>
          </w:p>
        </w:tc>
      </w:tr>
      <w:tr>
        <w:trPr>
          <w:trHeight w:val="142"/>
        </w:trPr>
        <w:tc>
          <w:tcPr>
            <w:tcW w:w="820" w:type="dxa"/>
            <w:vAlign w:val="bottom"/>
          </w:tcPr>
          <w:p>
            <w:pPr>
              <w:spacing w:after="0"/>
              <w:rPr>
                <w:sz w:val="12"/>
                <w:szCs w:val="12"/>
                <w:color w:val="auto"/>
              </w:rPr>
            </w:pPr>
          </w:p>
        </w:tc>
        <w:tc>
          <w:tcPr>
            <w:tcW w:w="6740" w:type="dxa"/>
            <w:vAlign w:val="bottom"/>
            <w:gridSpan w:val="2"/>
          </w:tcPr>
          <w:p>
            <w:pPr>
              <w:ind w:left="1600"/>
              <w:spacing w:after="0"/>
              <w:rPr>
                <w:sz w:val="20"/>
                <w:szCs w:val="20"/>
                <w:color w:val="auto"/>
              </w:rPr>
            </w:pPr>
            <w:r>
              <w:rPr>
                <w:rFonts w:ascii="Arial" w:cs="Arial" w:eastAsia="Arial" w:hAnsi="Arial"/>
                <w:sz w:val="12"/>
                <w:szCs w:val="12"/>
                <w:color w:val="auto"/>
              </w:rPr>
              <w:t>(Address of principal executive offices)</w:t>
            </w:r>
          </w:p>
        </w:tc>
        <w:tc>
          <w:tcPr>
            <w:tcW w:w="346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(Zip Code)</w:t>
            </w:r>
          </w:p>
        </w:tc>
      </w:tr>
    </w:tbl>
    <w:p>
      <w:pPr>
        <w:spacing w:after="0" w:line="50" w:lineRule="exact"/>
        <w:rPr>
          <w:sz w:val="24"/>
          <w:szCs w:val="24"/>
          <w:color w:val="auto"/>
        </w:rPr>
      </w:pPr>
    </w:p>
    <w:p>
      <w:pPr>
        <w:ind w:left="3988"/>
        <w:spacing w:after="0"/>
        <w:rPr>
          <w:sz w:val="20"/>
          <w:szCs w:val="20"/>
          <w:color w:val="auto"/>
        </w:rPr>
      </w:pPr>
      <w:r>
        <w:rPr>
          <w:rFonts w:ascii="Arial" w:cs="Arial" w:eastAsia="Arial" w:hAnsi="Arial"/>
          <w:sz w:val="12"/>
          <w:szCs w:val="12"/>
          <w:b w:val="1"/>
          <w:bCs w:val="1"/>
          <w:color w:val="auto"/>
        </w:rPr>
        <w:t>Registrant’s telephone number, including area code: 713.836.4000</w:t>
      </w:r>
    </w:p>
    <w:p>
      <w:pPr>
        <w:spacing w:after="0" w:line="96" w:lineRule="exact"/>
        <w:rPr>
          <w:sz w:val="24"/>
          <w:szCs w:val="24"/>
          <w:color w:val="auto"/>
        </w:rPr>
      </w:pPr>
    </w:p>
    <w:p>
      <w:pPr>
        <w:ind w:left="5528"/>
        <w:spacing w:after="0"/>
        <w:rPr>
          <w:sz w:val="20"/>
          <w:szCs w:val="20"/>
          <w:color w:val="auto"/>
        </w:rPr>
      </w:pPr>
      <w:r>
        <w:rPr>
          <w:rFonts w:ascii="Arial" w:cs="Arial" w:eastAsia="Arial" w:hAnsi="Arial"/>
          <w:sz w:val="12"/>
          <w:szCs w:val="12"/>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462915</wp:posOffset>
            </wp:positionH>
            <wp:positionV relativeFrom="paragraph">
              <wp:posOffset>12065</wp:posOffset>
            </wp:positionV>
            <wp:extent cx="623506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35065" cy="5715"/>
                    </a:xfrm>
                    <a:prstGeom prst="rect">
                      <a:avLst/>
                    </a:prstGeom>
                    <a:noFill/>
                  </pic:spPr>
                </pic:pic>
              </a:graphicData>
            </a:graphic>
          </wp:anchor>
        </w:drawing>
      </w:r>
    </w:p>
    <w:p>
      <w:pPr>
        <w:spacing w:after="0" w:line="8" w:lineRule="exact"/>
        <w:rPr>
          <w:sz w:val="24"/>
          <w:szCs w:val="24"/>
          <w:color w:val="auto"/>
        </w:rPr>
      </w:pPr>
    </w:p>
    <w:p>
      <w:pPr>
        <w:ind w:left="4048"/>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60"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231" w:lineRule="exact"/>
        <w:rPr>
          <w:sz w:val="24"/>
          <w:szCs w:val="24"/>
          <w:color w:val="auto"/>
        </w:rPr>
      </w:pPr>
    </w:p>
    <w:p>
      <w:pPr>
        <w:ind w:left="168" w:hanging="168"/>
        <w:spacing w:after="0"/>
        <w:tabs>
          <w:tab w:leader="none" w:pos="168"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Written communications pursuant to Rule 425 under the Securities Act (17 CFR 230.425)</w:t>
      </w:r>
    </w:p>
    <w:p>
      <w:pPr>
        <w:spacing w:after="0" w:line="61" w:lineRule="exact"/>
        <w:rPr>
          <w:rFonts w:ascii="MS PGothic" w:cs="MS PGothic" w:eastAsia="MS PGothic" w:hAnsi="MS PGothic"/>
          <w:sz w:val="14"/>
          <w:szCs w:val="14"/>
          <w:color w:val="auto"/>
        </w:rPr>
      </w:pPr>
    </w:p>
    <w:p>
      <w:pPr>
        <w:ind w:left="168" w:hanging="168"/>
        <w:spacing w:after="0"/>
        <w:tabs>
          <w:tab w:leader="none" w:pos="168"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Soliciting material pursuant to Rule 14a-12 under the Exchange Act (17 CFR 240.14a-12)</w:t>
      </w:r>
    </w:p>
    <w:p>
      <w:pPr>
        <w:spacing w:after="0" w:line="61" w:lineRule="exact"/>
        <w:rPr>
          <w:rFonts w:ascii="MS PGothic" w:cs="MS PGothic" w:eastAsia="MS PGothic" w:hAnsi="MS PGothic"/>
          <w:sz w:val="14"/>
          <w:szCs w:val="14"/>
          <w:color w:val="auto"/>
        </w:rPr>
      </w:pPr>
    </w:p>
    <w:p>
      <w:pPr>
        <w:ind w:left="168" w:hanging="168"/>
        <w:spacing w:after="0"/>
        <w:tabs>
          <w:tab w:leader="none" w:pos="168"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14d-2(b) under the Exchange Act (17 CFR 240.14d-2(b))</w:t>
      </w:r>
    </w:p>
    <w:p>
      <w:pPr>
        <w:spacing w:after="0" w:line="61" w:lineRule="exact"/>
        <w:rPr>
          <w:rFonts w:ascii="MS PGothic" w:cs="MS PGothic" w:eastAsia="MS PGothic" w:hAnsi="MS PGothic"/>
          <w:sz w:val="14"/>
          <w:szCs w:val="14"/>
          <w:color w:val="auto"/>
        </w:rPr>
      </w:pPr>
    </w:p>
    <w:p>
      <w:pPr>
        <w:ind w:left="168" w:hanging="168"/>
        <w:spacing w:after="0"/>
        <w:tabs>
          <w:tab w:leader="none" w:pos="168"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13e-4(c) under the Exchange Act (17 CFR 240.13e-4(c))</w:t>
      </w:r>
    </w:p>
    <w:p>
      <w:pPr>
        <w:spacing w:after="0" w:line="160" w:lineRule="exact"/>
        <w:rPr>
          <w:sz w:val="24"/>
          <w:szCs w:val="24"/>
          <w:color w:val="auto"/>
        </w:rPr>
      </w:pPr>
    </w:p>
    <w:p>
      <w:pPr>
        <w:ind w:left="8"/>
        <w:spacing w:after="0"/>
        <w:rPr>
          <w:sz w:val="20"/>
          <w:szCs w:val="20"/>
          <w:color w:val="auto"/>
        </w:rPr>
      </w:pPr>
      <w:r>
        <w:rPr>
          <w:rFonts w:ascii="Arial" w:cs="Arial" w:eastAsia="Arial" w:hAnsi="Arial"/>
          <w:sz w:val="12"/>
          <w:szCs w:val="12"/>
          <w:color w:val="auto"/>
        </w:rPr>
        <w:t>Securities registered pursuant to Section 12(b) of the Act:</w:t>
      </w:r>
    </w:p>
    <w:p>
      <w:pPr>
        <w:spacing w:after="0" w:line="76" w:lineRule="exact"/>
        <w:rPr>
          <w:sz w:val="24"/>
          <w:szCs w:val="24"/>
          <w:color w:val="auto"/>
        </w:rPr>
      </w:pPr>
    </w:p>
    <w:tbl>
      <w:tblPr>
        <w:tblLayout w:type="fixed"/>
        <w:tblInd w:w="58" w:type="dxa"/>
        <w:tblCellMar>
          <w:top w:w="0" w:type="dxa"/>
          <w:left w:w="0" w:type="dxa"/>
          <w:bottom w:w="0" w:type="dxa"/>
          <w:right w:w="0" w:type="dxa"/>
        </w:tblCellMar>
      </w:tblPr>
      <w:tr>
        <w:trPr>
          <w:trHeight w:val="162"/>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Title of each class</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Trading Symbol(s)</w:t>
            </w:r>
          </w:p>
        </w:tc>
        <w:tc>
          <w:tcPr>
            <w:tcW w:w="4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Name of each exchange on which registered</w:t>
            </w:r>
          </w:p>
        </w:tc>
      </w:tr>
      <w:tr>
        <w:trPr>
          <w:trHeight w:val="142"/>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Ordinary Shares, par value $0.001 per share</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WFRD</w:t>
            </w:r>
          </w:p>
        </w:tc>
        <w:tc>
          <w:tcPr>
            <w:tcW w:w="4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The Nasdaq Global Select Market</w:t>
            </w:r>
          </w:p>
        </w:tc>
      </w:tr>
    </w:tbl>
    <w:p>
      <w:pPr>
        <w:spacing w:after="0" w:line="54" w:lineRule="exact"/>
        <w:rPr>
          <w:sz w:val="24"/>
          <w:szCs w:val="24"/>
          <w:color w:val="auto"/>
        </w:rPr>
      </w:pPr>
    </w:p>
    <w:p>
      <w:pPr>
        <w:ind w:left="8" w:right="140"/>
        <w:spacing w:after="0" w:line="258"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ind w:left="1228"/>
        <w:spacing w:after="0" w:line="161"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4"/>
          <w:szCs w:val="14"/>
          <w:color w:val="auto"/>
        </w:rPr>
        <w:t>☐</w:t>
      </w:r>
    </w:p>
    <w:p>
      <w:pPr>
        <w:spacing w:after="0" w:line="11" w:lineRule="exact"/>
        <w:rPr>
          <w:sz w:val="24"/>
          <w:szCs w:val="24"/>
          <w:color w:val="auto"/>
        </w:rPr>
      </w:pPr>
    </w:p>
    <w:p>
      <w:pPr>
        <w:ind w:left="8" w:right="60"/>
        <w:spacing w:after="0" w:line="149"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574675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859" w:right="339" w:bottom="1440" w:gutter="0" w:footer="0" w:header="0"/>
        </w:sectPr>
      </w:pPr>
    </w:p>
    <w:bookmarkStart w:id="1" w:name="page2"/>
    <w:bookmarkEnd w:id="1"/>
    <w:p>
      <w:pPr>
        <w:spacing w:after="0"/>
        <w:tabs>
          <w:tab w:leader="none" w:pos="1520" w:val="left"/>
        </w:tabs>
        <w:rPr>
          <w:sz w:val="20"/>
          <w:szCs w:val="20"/>
          <w:color w:val="auto"/>
        </w:rPr>
      </w:pPr>
      <w:r>
        <w:rPr>
          <w:rFonts w:ascii="Arial" w:cs="Arial" w:eastAsia="Arial" w:hAnsi="Arial"/>
          <w:sz w:val="12"/>
          <w:szCs w:val="12"/>
          <w:b w:val="1"/>
          <w:bCs w:val="1"/>
          <w:color w:val="auto"/>
        </w:rPr>
        <w:t>Item 5.05</w:t>
      </w:r>
      <w:r>
        <w:rPr>
          <w:sz w:val="20"/>
          <w:szCs w:val="20"/>
          <w:color w:val="auto"/>
        </w:rPr>
        <w:tab/>
      </w:r>
      <w:r>
        <w:rPr>
          <w:rFonts w:ascii="Arial" w:cs="Arial" w:eastAsia="Arial" w:hAnsi="Arial"/>
          <w:sz w:val="10"/>
          <w:szCs w:val="10"/>
          <w:b w:val="1"/>
          <w:bCs w:val="1"/>
          <w:color w:val="auto"/>
        </w:rPr>
        <w:t>Amendments to the Registrant’s Code of Ethics, or a Waiver of a Provision of the Code of Ethics.</w:t>
      </w:r>
    </w:p>
    <w:p>
      <w:pPr>
        <w:spacing w:after="0" w:line="235" w:lineRule="exact"/>
        <w:rPr>
          <w:sz w:val="20"/>
          <w:szCs w:val="20"/>
          <w:color w:val="auto"/>
        </w:rPr>
      </w:pPr>
    </w:p>
    <w:p>
      <w:pPr>
        <w:jc w:val="both"/>
        <w:ind w:right="20" w:firstLine="270"/>
        <w:spacing w:after="0" w:line="245" w:lineRule="auto"/>
        <w:rPr>
          <w:sz w:val="20"/>
          <w:szCs w:val="20"/>
          <w:color w:val="auto"/>
        </w:rPr>
      </w:pPr>
      <w:r>
        <w:rPr>
          <w:rFonts w:ascii="Arial" w:cs="Arial" w:eastAsia="Arial" w:hAnsi="Arial"/>
          <w:sz w:val="12"/>
          <w:szCs w:val="12"/>
          <w:color w:val="auto"/>
        </w:rPr>
        <w:t>On May 26, 2021, the Board of Directors of Weatherford International plc (“Weatherford”) approved the amended and restated Weatherford Code of Business Conduct (“Code of Conduct”), which collapsed Weatherford’s previous Code of Business Conduct and Supplemental Code of Business Conduct, in connection with the listing of its ordinary shares on the Nasdaq Stock Market (“Nasdaq”).</w:t>
      </w:r>
    </w:p>
    <w:p>
      <w:pPr>
        <w:spacing w:after="0" w:line="132" w:lineRule="exact"/>
        <w:rPr>
          <w:sz w:val="20"/>
          <w:szCs w:val="20"/>
          <w:color w:val="auto"/>
        </w:rPr>
      </w:pPr>
    </w:p>
    <w:p>
      <w:pPr>
        <w:jc w:val="both"/>
        <w:ind w:firstLine="270"/>
        <w:spacing w:after="0" w:line="245" w:lineRule="auto"/>
        <w:rPr>
          <w:sz w:val="20"/>
          <w:szCs w:val="20"/>
          <w:color w:val="auto"/>
        </w:rPr>
      </w:pPr>
      <w:r>
        <w:rPr>
          <w:rFonts w:ascii="Arial" w:cs="Arial" w:eastAsia="Arial" w:hAnsi="Arial"/>
          <w:sz w:val="12"/>
          <w:szCs w:val="12"/>
          <w:color w:val="auto"/>
        </w:rPr>
        <w:t>The foregoing description of the Code of Conduct is qualified in its entirety by reference to the text of the Code of Conduct, which is filed as Exhibit 14.1 to this Current Report on Form 8-K and incorporated by reference to this Item 5.05. The Code of Conduct will be made available on Weatherford’s website at www.weatherford.com.</w:t>
      </w:r>
    </w:p>
    <w:p>
      <w:pPr>
        <w:spacing w:after="0" w:line="173" w:lineRule="exact"/>
        <w:rPr>
          <w:sz w:val="20"/>
          <w:szCs w:val="20"/>
          <w:color w:val="auto"/>
        </w:rPr>
      </w:pPr>
    </w:p>
    <w:p>
      <w:pPr>
        <w:ind w:left="440"/>
        <w:spacing w:after="0"/>
        <w:tabs>
          <w:tab w:leader="none" w:pos="2060" w:val="left"/>
        </w:tabs>
        <w:rPr>
          <w:sz w:val="20"/>
          <w:szCs w:val="20"/>
          <w:color w:val="auto"/>
        </w:rPr>
      </w:pPr>
      <w:r>
        <w:rPr>
          <w:rFonts w:ascii="Arial" w:cs="Arial" w:eastAsia="Arial" w:hAnsi="Arial"/>
          <w:sz w:val="12"/>
          <w:szCs w:val="12"/>
          <w:b w:val="1"/>
          <w:bCs w:val="1"/>
          <w:color w:val="auto"/>
        </w:rPr>
        <w:t>Item 8.01</w:t>
      </w:r>
      <w:r>
        <w:rPr>
          <w:sz w:val="20"/>
          <w:szCs w:val="20"/>
          <w:color w:val="auto"/>
        </w:rPr>
        <w:tab/>
      </w:r>
      <w:r>
        <w:rPr>
          <w:rFonts w:ascii="Arial" w:cs="Arial" w:eastAsia="Arial" w:hAnsi="Arial"/>
          <w:sz w:val="10"/>
          <w:szCs w:val="10"/>
          <w:b w:val="1"/>
          <w:bCs w:val="1"/>
          <w:color w:val="auto"/>
        </w:rPr>
        <w:t>Other Events.</w:t>
      </w:r>
    </w:p>
    <w:p>
      <w:pPr>
        <w:spacing w:after="0" w:line="253" w:lineRule="exact"/>
        <w:rPr>
          <w:sz w:val="20"/>
          <w:szCs w:val="20"/>
          <w:color w:val="auto"/>
        </w:rPr>
      </w:pPr>
    </w:p>
    <w:p>
      <w:pPr>
        <w:jc w:val="both"/>
        <w:ind w:firstLine="270"/>
        <w:spacing w:after="0" w:line="234" w:lineRule="auto"/>
        <w:rPr>
          <w:sz w:val="20"/>
          <w:szCs w:val="20"/>
          <w:color w:val="auto"/>
        </w:rPr>
      </w:pPr>
      <w:r>
        <w:rPr>
          <w:rFonts w:ascii="Arial" w:cs="Arial" w:eastAsia="Arial" w:hAnsi="Arial"/>
          <w:sz w:val="12"/>
          <w:szCs w:val="12"/>
          <w:color w:val="auto"/>
        </w:rPr>
        <w:t>As previously disclosed, Weatherford filed with the U.S. Securities and Exchange Commission (the “Commission”) a registration statement on Form 10 (as amended, the “Registration Statement”) relating to Weatherford’s plan to list its ordinary shares on Nasdaq. On June 1, 2021, the Commission declared the Registration Statement effective, and also on June 1, 2021, Weatherford’s ordinary shares were approved to be listed for trading on Nasdaq under the ticker symbol “WFRD”. It is expected that the Company’s ordinary shares will begin trading on Nasdaq at the opening of trading on or about June 2, 2021.</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1"/>
          <w:szCs w:val="11"/>
          <w:color w:val="auto"/>
        </w:rPr>
        <w:t>A copy of the news release issued on June 1, 2021 announcing the effectiveness of the Form 10 and listing of the ordinary shares on Nasdaq is attached as Exhibit 99.1 to this report and is incorporated herein by reference.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620" w:type="dxa"/>
            <w:vAlign w:val="bottom"/>
            <w:gridSpan w:val="4"/>
          </w:tcPr>
          <w:p>
            <w:pPr>
              <w:spacing w:after="0"/>
              <w:rPr>
                <w:sz w:val="20"/>
                <w:szCs w:val="20"/>
                <w:color w:val="auto"/>
              </w:rPr>
            </w:pPr>
            <w:r>
              <w:rPr>
                <w:rFonts w:ascii="Arial" w:cs="Arial" w:eastAsia="Arial" w:hAnsi="Arial"/>
                <w:sz w:val="12"/>
                <w:szCs w:val="12"/>
                <w:b w:val="1"/>
                <w:bCs w:val="1"/>
                <w:color w:val="auto"/>
              </w:rPr>
              <w:t>Item 9.01</w:t>
            </w:r>
          </w:p>
        </w:tc>
        <w:tc>
          <w:tcPr>
            <w:tcW w:w="9680" w:type="dxa"/>
            <w:vAlign w:val="bottom"/>
            <w:gridSpan w:val="4"/>
          </w:tcPr>
          <w:p>
            <w:pPr>
              <w:spacing w:after="0"/>
              <w:rPr>
                <w:sz w:val="20"/>
                <w:szCs w:val="20"/>
                <w:color w:val="auto"/>
              </w:rPr>
            </w:pPr>
            <w:r>
              <w:rPr>
                <w:rFonts w:ascii="Arial" w:cs="Arial" w:eastAsia="Arial" w:hAnsi="Arial"/>
                <w:sz w:val="12"/>
                <w:szCs w:val="12"/>
                <w:b w:val="1"/>
                <w:bCs w:val="1"/>
                <w:color w:val="auto"/>
              </w:rPr>
              <w:t>Financial Statements and Exhibits.</w:t>
            </w:r>
          </w:p>
        </w:tc>
      </w:tr>
      <w:tr>
        <w:trPr>
          <w:trHeight w:val="297"/>
        </w:trPr>
        <w:tc>
          <w:tcPr>
            <w:tcW w:w="680" w:type="dxa"/>
            <w:vAlign w:val="bottom"/>
          </w:tcPr>
          <w:p>
            <w:pPr>
              <w:spacing w:after="0"/>
              <w:rPr>
                <w:sz w:val="24"/>
                <w:szCs w:val="24"/>
                <w:color w:val="auto"/>
              </w:rPr>
            </w:pPr>
          </w:p>
        </w:tc>
        <w:tc>
          <w:tcPr>
            <w:tcW w:w="940" w:type="dxa"/>
            <w:vAlign w:val="bottom"/>
            <w:gridSpan w:val="3"/>
          </w:tcPr>
          <w:p>
            <w:pPr>
              <w:jc w:val="center"/>
              <w:ind w:right="800"/>
              <w:spacing w:after="0"/>
              <w:rPr>
                <w:sz w:val="20"/>
                <w:szCs w:val="20"/>
                <w:color w:val="auto"/>
              </w:rPr>
            </w:pPr>
            <w:r>
              <w:rPr>
                <w:rFonts w:ascii="Arial" w:cs="Arial" w:eastAsia="Arial" w:hAnsi="Arial"/>
                <w:sz w:val="12"/>
                <w:szCs w:val="12"/>
                <w:color w:val="auto"/>
                <w:w w:val="95"/>
              </w:rPr>
              <w:t>(d)</w:t>
            </w:r>
          </w:p>
        </w:tc>
        <w:tc>
          <w:tcPr>
            <w:tcW w:w="9680" w:type="dxa"/>
            <w:vAlign w:val="bottom"/>
            <w:gridSpan w:val="4"/>
          </w:tcPr>
          <w:p>
            <w:pPr>
              <w:spacing w:after="0"/>
              <w:rPr>
                <w:sz w:val="20"/>
                <w:szCs w:val="20"/>
                <w:color w:val="auto"/>
              </w:rPr>
            </w:pPr>
            <w:r>
              <w:rPr>
                <w:rFonts w:ascii="Arial" w:cs="Arial" w:eastAsia="Arial" w:hAnsi="Arial"/>
                <w:sz w:val="12"/>
                <w:szCs w:val="12"/>
                <w:color w:val="auto"/>
              </w:rPr>
              <w:t>Exhibits</w:t>
            </w:r>
          </w:p>
        </w:tc>
      </w:tr>
      <w:tr>
        <w:trPr>
          <w:trHeight w:val="378"/>
        </w:trPr>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4"/>
              </w:rPr>
              <w:t>Exhibit Number</w:t>
            </w:r>
          </w:p>
        </w:tc>
        <w:tc>
          <w:tcPr>
            <w:tcW w:w="100" w:type="dxa"/>
            <w:vAlign w:val="bottom"/>
          </w:tcPr>
          <w:p>
            <w:pPr>
              <w:spacing w:after="0"/>
              <w:rPr>
                <w:sz w:val="24"/>
                <w:szCs w:val="24"/>
                <w:color w:val="auto"/>
              </w:rPr>
            </w:pPr>
          </w:p>
        </w:tc>
        <w:tc>
          <w:tcPr>
            <w:tcW w:w="964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rPr>
              <w:t>Exhibit Description</w:t>
            </w:r>
          </w:p>
        </w:tc>
        <w:tc>
          <w:tcPr>
            <w:tcW w:w="40" w:type="dxa"/>
            <w:vAlign w:val="bottom"/>
          </w:tcPr>
          <w:p>
            <w:pPr>
              <w:spacing w:after="0"/>
              <w:rPr>
                <w:sz w:val="24"/>
                <w:szCs w:val="24"/>
                <w:color w:val="auto"/>
              </w:rPr>
            </w:pPr>
          </w:p>
        </w:tc>
      </w:tr>
      <w:tr>
        <w:trPr>
          <w:trHeight w:val="115"/>
        </w:trPr>
        <w:tc>
          <w:tcPr>
            <w:tcW w:w="860" w:type="dxa"/>
            <w:vAlign w:val="bottom"/>
            <w:gridSpan w:val="2"/>
          </w:tcPr>
          <w:p>
            <w:pPr>
              <w:jc w:val="center"/>
              <w:ind w:left="600"/>
              <w:spacing w:after="0" w:line="115" w:lineRule="exact"/>
              <w:rPr>
                <w:rFonts w:ascii="Arial" w:cs="Arial" w:eastAsia="Arial" w:hAnsi="Arial"/>
                <w:sz w:val="12"/>
                <w:szCs w:val="12"/>
                <w:color w:val="0000FF"/>
                <w:w w:val="85"/>
              </w:rPr>
            </w:pPr>
            <w:hyperlink w:anchor="page4">
              <w:r>
                <w:rPr>
                  <w:rFonts w:ascii="Arial" w:cs="Arial" w:eastAsia="Arial" w:hAnsi="Arial"/>
                  <w:sz w:val="12"/>
                  <w:szCs w:val="12"/>
                  <w:color w:val="0000FF"/>
                  <w:w w:val="85"/>
                </w:rPr>
                <w:t>14.</w:t>
              </w:r>
              <w:r>
                <w:rPr>
                  <w:rFonts w:ascii="Arial" w:cs="Arial" w:eastAsia="Arial" w:hAnsi="Arial"/>
                  <w:sz w:val="12"/>
                  <w:szCs w:val="12"/>
                  <w:u w:val="single" w:color="auto"/>
                  <w:color w:val="0000FF"/>
                  <w:w w:val="85"/>
                </w:rPr>
                <w:t>1</w:t>
              </w:r>
            </w:hyperlink>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80" w:type="dxa"/>
            <w:vAlign w:val="bottom"/>
            <w:gridSpan w:val="4"/>
          </w:tcPr>
          <w:p>
            <w:pPr>
              <w:spacing w:after="0" w:line="115" w:lineRule="exact"/>
              <w:rPr>
                <w:rFonts w:ascii="Arial" w:cs="Arial" w:eastAsia="Arial" w:hAnsi="Arial"/>
                <w:sz w:val="12"/>
                <w:szCs w:val="12"/>
                <w:color w:val="0000FF"/>
              </w:rPr>
            </w:pPr>
            <w:hyperlink w:anchor="page4">
              <w:r>
                <w:rPr>
                  <w:rFonts w:ascii="Arial" w:cs="Arial" w:eastAsia="Arial" w:hAnsi="Arial"/>
                  <w:sz w:val="12"/>
                  <w:szCs w:val="12"/>
                  <w:color w:val="0000FF"/>
                </w:rPr>
                <w:t>Weatherford Code of Business Conduct, amended and restated May 26, 2021</w:t>
              </w:r>
            </w:hyperlink>
          </w:p>
        </w:tc>
      </w:tr>
      <w:tr>
        <w:trPr>
          <w:trHeight w:val="20"/>
        </w:trPr>
        <w:tc>
          <w:tcPr>
            <w:tcW w:w="6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860" w:type="dxa"/>
            <w:vAlign w:val="bottom"/>
            <w:gridSpan w:val="2"/>
          </w:tcPr>
          <w:p>
            <w:pPr>
              <w:jc w:val="center"/>
              <w:ind w:left="600"/>
              <w:spacing w:after="0" w:line="133" w:lineRule="exact"/>
              <w:rPr>
                <w:rFonts w:ascii="Arial" w:cs="Arial" w:eastAsia="Arial" w:hAnsi="Arial"/>
                <w:sz w:val="12"/>
                <w:szCs w:val="12"/>
                <w:color w:val="0000FF"/>
                <w:w w:val="85"/>
              </w:rPr>
            </w:pPr>
            <w:hyperlink w:anchor="page50">
              <w:r>
                <w:rPr>
                  <w:rFonts w:ascii="Arial" w:cs="Arial" w:eastAsia="Arial" w:hAnsi="Arial"/>
                  <w:sz w:val="12"/>
                  <w:szCs w:val="12"/>
                  <w:color w:val="0000FF"/>
                  <w:w w:val="85"/>
                </w:rPr>
                <w:t>99.</w:t>
              </w:r>
              <w:r>
                <w:rPr>
                  <w:rFonts w:ascii="Arial" w:cs="Arial" w:eastAsia="Arial" w:hAnsi="Arial"/>
                  <w:sz w:val="12"/>
                  <w:szCs w:val="12"/>
                  <w:u w:val="single" w:color="auto"/>
                  <w:color w:val="0000FF"/>
                  <w:w w:val="85"/>
                </w:rPr>
                <w:t>1</w:t>
              </w:r>
            </w:hyperlink>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80" w:type="dxa"/>
            <w:vAlign w:val="bottom"/>
            <w:gridSpan w:val="4"/>
          </w:tcPr>
          <w:p>
            <w:pPr>
              <w:spacing w:after="0" w:line="133" w:lineRule="exact"/>
              <w:rPr>
                <w:rFonts w:ascii="Arial" w:cs="Arial" w:eastAsia="Arial" w:hAnsi="Arial"/>
                <w:sz w:val="12"/>
                <w:szCs w:val="12"/>
                <w:color w:val="0000FF"/>
              </w:rPr>
            </w:pPr>
            <w:hyperlink w:anchor="page50">
              <w:r>
                <w:rPr>
                  <w:rFonts w:ascii="Arial" w:cs="Arial" w:eastAsia="Arial" w:hAnsi="Arial"/>
                  <w:sz w:val="12"/>
                  <w:szCs w:val="12"/>
                  <w:color w:val="0000FF"/>
                </w:rPr>
                <w:t xml:space="preserve">News Release dated June </w:t>
              </w:r>
            </w:hyperlink>
            <w:r>
              <w:rPr>
                <w:rFonts w:ascii="Arial" w:cs="Arial" w:eastAsia="Arial" w:hAnsi="Arial"/>
                <w:sz w:val="12"/>
                <w:szCs w:val="12"/>
                <w:color w:val="0000FF"/>
              </w:rPr>
              <w:t xml:space="preserve">1, </w:t>
            </w:r>
            <w:hyperlink w:anchor="page50">
              <w:r>
                <w:rPr>
                  <w:rFonts w:ascii="Arial" w:cs="Arial" w:eastAsia="Arial" w:hAnsi="Arial"/>
                  <w:sz w:val="12"/>
                  <w:szCs w:val="12"/>
                  <w:color w:val="0000FF"/>
                </w:rPr>
                <w:t>2021 announcing Relisting of Weatherford’s Ordinary Shares on NASDAQ</w:t>
              </w:r>
            </w:hyperlink>
          </w:p>
        </w:tc>
      </w:tr>
      <w:tr>
        <w:trPr>
          <w:trHeight w:val="20"/>
        </w:trPr>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0" w:type="dxa"/>
            <w:vAlign w:val="bottom"/>
            <w:gridSpan w:val="2"/>
            <w:shd w:val="clear" w:color="auto" w:fill="0000FF"/>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r>
      <w:tr>
        <w:trPr>
          <w:trHeight w:val="160"/>
        </w:trPr>
        <w:tc>
          <w:tcPr>
            <w:tcW w:w="860" w:type="dxa"/>
            <w:vAlign w:val="bottom"/>
            <w:gridSpan w:val="2"/>
          </w:tcPr>
          <w:p>
            <w:pPr>
              <w:jc w:val="center"/>
              <w:ind w:left="580"/>
              <w:spacing w:after="0"/>
              <w:rPr>
                <w:sz w:val="20"/>
                <w:szCs w:val="20"/>
                <w:color w:val="auto"/>
              </w:rPr>
            </w:pPr>
            <w:r>
              <w:rPr>
                <w:rFonts w:ascii="Arial" w:cs="Arial" w:eastAsia="Arial" w:hAnsi="Arial"/>
                <w:sz w:val="12"/>
                <w:szCs w:val="12"/>
                <w:color w:val="auto"/>
                <w:w w:val="89"/>
              </w:rPr>
              <w:t>104</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80" w:type="dxa"/>
            <w:vAlign w:val="bottom"/>
            <w:gridSpan w:val="4"/>
          </w:tcPr>
          <w:p>
            <w:pPr>
              <w:spacing w:after="0"/>
              <w:rPr>
                <w:sz w:val="20"/>
                <w:szCs w:val="20"/>
                <w:color w:val="auto"/>
              </w:rPr>
            </w:pPr>
            <w:r>
              <w:rPr>
                <w:rFonts w:ascii="Arial" w:cs="Arial" w:eastAsia="Arial" w:hAnsi="Arial"/>
                <w:sz w:val="12"/>
                <w:szCs w:val="12"/>
                <w:color w:val="auto"/>
              </w:rPr>
              <w:t>Cover Page Interactive Data File - the cover page XBRL tags are embedded within the Inline XBRL document.</w:t>
            </w:r>
          </w:p>
        </w:tc>
      </w:tr>
      <w:tr>
        <w:trPr>
          <w:trHeight w:val="648"/>
        </w:trPr>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29" w:right="299" w:bottom="1440" w:gutter="0" w:footer="0" w:header="0"/>
        </w:sectPr>
      </w:pPr>
    </w:p>
    <w:bookmarkStart w:id="2" w:name="page3"/>
    <w:bookmarkEnd w:id="2"/>
    <w:p>
      <w:pPr>
        <w:jc w:val="center"/>
        <w:ind w:right="320"/>
        <w:spacing w:after="0"/>
        <w:rPr>
          <w:sz w:val="20"/>
          <w:szCs w:val="20"/>
          <w:color w:val="auto"/>
        </w:rPr>
      </w:pPr>
      <w:r>
        <w:rPr>
          <w:rFonts w:ascii="Arial" w:cs="Arial" w:eastAsia="Arial" w:hAnsi="Arial"/>
          <w:sz w:val="12"/>
          <w:szCs w:val="12"/>
          <w:b w:val="1"/>
          <w:bCs w:val="1"/>
          <w:color w:val="auto"/>
        </w:rPr>
        <w:t>SIGNATURE</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91" w:lineRule="exact"/>
        <w:rPr>
          <w:sz w:val="20"/>
          <w:szCs w:val="20"/>
          <w:color w:val="auto"/>
        </w:rPr>
      </w:pPr>
    </w:p>
    <w:tbl>
      <w:tblPr>
        <w:tblLayout w:type="fixed"/>
        <w:tblInd w:w="320" w:type="dxa"/>
        <w:tblCellMar>
          <w:top w:w="0" w:type="dxa"/>
          <w:left w:w="0" w:type="dxa"/>
          <w:bottom w:w="0" w:type="dxa"/>
          <w:right w:w="0" w:type="dxa"/>
        </w:tblCellMar>
      </w:tblPr>
      <w:tr>
        <w:trPr>
          <w:trHeight w:val="157"/>
        </w:trPr>
        <w:tc>
          <w:tcPr>
            <w:tcW w:w="4620" w:type="dxa"/>
            <w:vAlign w:val="bottom"/>
          </w:tcPr>
          <w:p>
            <w:pPr>
              <w:spacing w:after="0"/>
              <w:rPr>
                <w:sz w:val="13"/>
                <w:szCs w:val="13"/>
                <w:color w:val="auto"/>
              </w:rPr>
            </w:pPr>
          </w:p>
        </w:tc>
        <w:tc>
          <w:tcPr>
            <w:tcW w:w="6100" w:type="dxa"/>
            <w:vAlign w:val="bottom"/>
          </w:tcPr>
          <w:p>
            <w:pPr>
              <w:jc w:val="center"/>
              <w:ind w:left="240"/>
              <w:spacing w:after="0"/>
              <w:rPr>
                <w:sz w:val="20"/>
                <w:szCs w:val="20"/>
                <w:color w:val="auto"/>
              </w:rPr>
            </w:pPr>
            <w:r>
              <w:rPr>
                <w:rFonts w:ascii="Arial" w:cs="Arial" w:eastAsia="Arial" w:hAnsi="Arial"/>
                <w:sz w:val="12"/>
                <w:szCs w:val="12"/>
                <w:b w:val="1"/>
                <w:bCs w:val="1"/>
                <w:color w:val="auto"/>
                <w:w w:val="93"/>
              </w:rPr>
              <w:t>Weatherford International plc</w:t>
            </w:r>
          </w:p>
        </w:tc>
      </w:tr>
      <w:tr>
        <w:trPr>
          <w:trHeight w:val="333"/>
        </w:trPr>
        <w:tc>
          <w:tcPr>
            <w:tcW w:w="4620" w:type="dxa"/>
            <w:vAlign w:val="bottom"/>
          </w:tcPr>
          <w:p>
            <w:pPr>
              <w:spacing w:after="0"/>
              <w:rPr>
                <w:sz w:val="20"/>
                <w:szCs w:val="20"/>
                <w:color w:val="auto"/>
              </w:rPr>
            </w:pPr>
            <w:r>
              <w:rPr>
                <w:rFonts w:ascii="Arial" w:cs="Arial" w:eastAsia="Arial" w:hAnsi="Arial"/>
                <w:sz w:val="12"/>
                <w:szCs w:val="12"/>
                <w:color w:val="auto"/>
              </w:rPr>
              <w:t>Date: June 2, 2021</w:t>
            </w:r>
          </w:p>
        </w:tc>
        <w:tc>
          <w:tcPr>
            <w:tcW w:w="6100" w:type="dxa"/>
            <w:vAlign w:val="bottom"/>
            <w:tcBorders>
              <w:bottom w:val="single" w:sz="8" w:color="auto"/>
            </w:tcBorders>
          </w:tcPr>
          <w:p>
            <w:pPr>
              <w:jc w:val="center"/>
              <w:ind w:left="260"/>
              <w:spacing w:after="0"/>
              <w:rPr>
                <w:sz w:val="20"/>
                <w:szCs w:val="20"/>
                <w:color w:val="auto"/>
              </w:rPr>
            </w:pPr>
            <w:r>
              <w:rPr>
                <w:rFonts w:ascii="Arial" w:cs="Arial" w:eastAsia="Arial" w:hAnsi="Arial"/>
                <w:sz w:val="12"/>
                <w:szCs w:val="12"/>
                <w:color w:val="auto"/>
                <w:w w:val="89"/>
              </w:rPr>
              <w:t>/s/ Scott C. Weatherholt</w:t>
            </w:r>
          </w:p>
        </w:tc>
      </w:tr>
      <w:tr>
        <w:trPr>
          <w:trHeight w:val="142"/>
        </w:trPr>
        <w:tc>
          <w:tcPr>
            <w:tcW w:w="4620" w:type="dxa"/>
            <w:vAlign w:val="bottom"/>
          </w:tcPr>
          <w:p>
            <w:pPr>
              <w:spacing w:after="0"/>
              <w:rPr>
                <w:sz w:val="12"/>
                <w:szCs w:val="12"/>
                <w:color w:val="auto"/>
              </w:rPr>
            </w:pPr>
          </w:p>
        </w:tc>
        <w:tc>
          <w:tcPr>
            <w:tcW w:w="6100" w:type="dxa"/>
            <w:vAlign w:val="bottom"/>
          </w:tcPr>
          <w:p>
            <w:pPr>
              <w:jc w:val="center"/>
              <w:ind w:left="240"/>
              <w:spacing w:after="0"/>
              <w:rPr>
                <w:sz w:val="20"/>
                <w:szCs w:val="20"/>
                <w:color w:val="auto"/>
              </w:rPr>
            </w:pPr>
            <w:r>
              <w:rPr>
                <w:rFonts w:ascii="Arial" w:cs="Arial" w:eastAsia="Arial" w:hAnsi="Arial"/>
                <w:sz w:val="12"/>
                <w:szCs w:val="12"/>
                <w:color w:val="auto"/>
                <w:w w:val="90"/>
              </w:rPr>
              <w:t>Scott C. Weatherholt</w:t>
            </w:r>
          </w:p>
        </w:tc>
      </w:tr>
      <w:tr>
        <w:trPr>
          <w:trHeight w:val="153"/>
        </w:trPr>
        <w:tc>
          <w:tcPr>
            <w:tcW w:w="4620" w:type="dxa"/>
            <w:vAlign w:val="bottom"/>
          </w:tcPr>
          <w:p>
            <w:pPr>
              <w:spacing w:after="0"/>
              <w:rPr>
                <w:sz w:val="13"/>
                <w:szCs w:val="13"/>
                <w:color w:val="auto"/>
              </w:rPr>
            </w:pPr>
          </w:p>
        </w:tc>
        <w:tc>
          <w:tcPr>
            <w:tcW w:w="6100" w:type="dxa"/>
            <w:vAlign w:val="bottom"/>
          </w:tcPr>
          <w:p>
            <w:pPr>
              <w:jc w:val="center"/>
              <w:ind w:left="240"/>
              <w:spacing w:after="0"/>
              <w:rPr>
                <w:sz w:val="20"/>
                <w:szCs w:val="20"/>
                <w:color w:val="auto"/>
              </w:rPr>
            </w:pPr>
            <w:r>
              <w:rPr>
                <w:rFonts w:ascii="Arial" w:cs="Arial" w:eastAsia="Arial" w:hAnsi="Arial"/>
                <w:sz w:val="12"/>
                <w:szCs w:val="12"/>
                <w:color w:val="auto"/>
                <w:w w:val="91"/>
              </w:rPr>
              <w:t>Executive Vice President, General Counsel and Chief Compliance Officer</w:t>
            </w:r>
          </w:p>
        </w:tc>
      </w:tr>
    </w:tbl>
    <w:p>
      <w:pPr>
        <w:sectPr>
          <w:pgSz w:w="11900" w:h="16838" w:orient="portrait"/>
          <w:cols w:equalWidth="0" w:num="1">
            <w:col w:w="11040"/>
          </w:cols>
          <w:pgMar w:left="580" w:top="640" w:right="27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850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5206365</wp:posOffset>
            </wp:positionV>
            <wp:extent cx="713041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5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4855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885825</wp:posOffset>
            </wp:positionV>
            <wp:extent cx="1268730" cy="520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68730" cy="52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60"/>
        <w:spacing w:after="0"/>
        <w:rPr>
          <w:sz w:val="20"/>
          <w:szCs w:val="20"/>
          <w:color w:val="auto"/>
        </w:rPr>
      </w:pPr>
      <w:r>
        <w:rPr>
          <w:rFonts w:ascii="Arial" w:cs="Arial" w:eastAsia="Arial" w:hAnsi="Arial"/>
          <w:sz w:val="12"/>
          <w:szCs w:val="12"/>
          <w:b w:val="1"/>
          <w:bCs w:val="1"/>
          <w:color w:val="auto"/>
        </w:rPr>
        <w:t>News Release</w:t>
      </w:r>
    </w:p>
    <w:p>
      <w:pPr>
        <w:spacing w:after="0" w:line="200" w:lineRule="exact"/>
        <w:rPr>
          <w:sz w:val="20"/>
          <w:szCs w:val="20"/>
          <w:color w:val="auto"/>
        </w:rPr>
      </w:pPr>
    </w:p>
    <w:p>
      <w:pPr>
        <w:spacing w:after="0" w:line="232"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Relisting of Weatherford’s Ordinary Shares on NASDAQ</w:t>
      </w:r>
    </w:p>
    <w:p>
      <w:pPr>
        <w:spacing w:after="0" w:line="176"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i w:val="1"/>
          <w:iCs w:val="1"/>
          <w:color w:val="auto"/>
        </w:rPr>
        <w:t>Company Will Trade Under the Symbol “WFRD”</w:t>
      </w:r>
    </w:p>
    <w:p>
      <w:pPr>
        <w:spacing w:after="0" w:line="213" w:lineRule="exact"/>
        <w:rPr>
          <w:sz w:val="20"/>
          <w:szCs w:val="20"/>
          <w:color w:val="auto"/>
        </w:rPr>
      </w:pPr>
    </w:p>
    <w:p>
      <w:pPr>
        <w:jc w:val="both"/>
        <w:ind w:right="80"/>
        <w:spacing w:after="0" w:line="393" w:lineRule="auto"/>
        <w:rPr>
          <w:sz w:val="20"/>
          <w:szCs w:val="20"/>
          <w:color w:val="auto"/>
        </w:rPr>
      </w:pPr>
      <w:r>
        <w:rPr>
          <w:rFonts w:ascii="Arial" w:cs="Arial" w:eastAsia="Arial" w:hAnsi="Arial"/>
          <w:sz w:val="13"/>
          <w:szCs w:val="13"/>
          <w:b w:val="1"/>
          <w:bCs w:val="1"/>
          <w:color w:val="auto"/>
        </w:rPr>
        <w:t xml:space="preserve">HOUSTON, June 1, 2021 – </w:t>
      </w:r>
      <w:r>
        <w:rPr>
          <w:rFonts w:ascii="Arial" w:cs="Arial" w:eastAsia="Arial" w:hAnsi="Arial"/>
          <w:sz w:val="13"/>
          <w:szCs w:val="13"/>
          <w:color w:val="auto"/>
        </w:rPr>
        <w:t>Weatherford International plc (OTC Pink: WFTLF) (“Weatherford” or the “Company”) today announced that The Nasdaq Stock Market LLC (“NASDAQ”) has approved its</w:t>
      </w:r>
      <w:r>
        <w:rPr>
          <w:rFonts w:ascii="Arial" w:cs="Arial" w:eastAsia="Arial" w:hAnsi="Arial"/>
          <w:sz w:val="13"/>
          <w:szCs w:val="13"/>
          <w:b w:val="1"/>
          <w:bCs w:val="1"/>
          <w:color w:val="auto"/>
        </w:rPr>
        <w:t xml:space="preserve"> </w:t>
      </w:r>
      <w:r>
        <w:rPr>
          <w:rFonts w:ascii="Arial" w:cs="Arial" w:eastAsia="Arial" w:hAnsi="Arial"/>
          <w:sz w:val="13"/>
          <w:szCs w:val="13"/>
          <w:color w:val="auto"/>
        </w:rPr>
        <w:t>application for the relisting of Weatherford’s ordinary shares on NASDAQ under the ticker symbol “WFRD”, effective with the opening of trading on Wednesday, June 2, 2021.</w:t>
      </w:r>
    </w:p>
    <w:p>
      <w:pPr>
        <w:spacing w:after="0" w:line="36" w:lineRule="exact"/>
        <w:rPr>
          <w:sz w:val="20"/>
          <w:szCs w:val="20"/>
          <w:color w:val="auto"/>
        </w:rPr>
      </w:pPr>
    </w:p>
    <w:p>
      <w:pPr>
        <w:jc w:val="both"/>
        <w:ind w:right="80"/>
        <w:spacing w:after="0" w:line="374" w:lineRule="auto"/>
        <w:rPr>
          <w:sz w:val="20"/>
          <w:szCs w:val="20"/>
          <w:color w:val="auto"/>
        </w:rPr>
      </w:pPr>
      <w:r>
        <w:rPr>
          <w:rFonts w:ascii="Arial" w:cs="Arial" w:eastAsia="Arial" w:hAnsi="Arial"/>
          <w:sz w:val="13"/>
          <w:szCs w:val="13"/>
          <w:color w:val="auto"/>
        </w:rPr>
        <w:t>Girish Saligram, President and Chief Executive Officer, commented, “We are excited to fully return to the public markets on the Nasdaq stock exchange as WFRD. We have great confidence in our operating posture and commercial profile to create sustainable profitability, and believe our relisting will allow a broader base of investors the opportunity to participate in that value creation. We are incredibly proud of our heritage, which is built on a legacy of innovation and believe our best days are ahead as we forge our path as the new Weatherford.”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Weatherford</w:t>
      </w:r>
    </w:p>
    <w:p>
      <w:pPr>
        <w:spacing w:after="0" w:line="187" w:lineRule="exact"/>
        <w:rPr>
          <w:sz w:val="20"/>
          <w:szCs w:val="20"/>
          <w:color w:val="auto"/>
        </w:rPr>
      </w:pPr>
    </w:p>
    <w:p>
      <w:pPr>
        <w:jc w:val="both"/>
        <w:ind w:right="100"/>
        <w:spacing w:after="0" w:line="374" w:lineRule="auto"/>
        <w:rPr>
          <w:sz w:val="20"/>
          <w:szCs w:val="20"/>
          <w:color w:val="auto"/>
        </w:rPr>
      </w:pPr>
      <w:r>
        <w:rPr>
          <w:rFonts w:ascii="Arial" w:cs="Arial" w:eastAsia="Arial" w:hAnsi="Arial"/>
          <w:sz w:val="13"/>
          <w:szCs w:val="13"/>
          <w:color w:val="auto"/>
        </w:rPr>
        <w:t xml:space="preserve">Weatherford is a leading wellbore and production solutions company. Operating in more than 75 countries, the Company answers the challenges of the energy industry with its global talent network of approximately 17,000 team members and approximately 380 operating locations, including manufacturing, research and development, service, and training facilities. Visit </w:t>
      </w:r>
      <w:r>
        <w:rPr>
          <w:rFonts w:ascii="Arial" w:cs="Arial" w:eastAsia="Arial" w:hAnsi="Arial"/>
          <w:sz w:val="13"/>
          <w:szCs w:val="13"/>
          <w:u w:val="single" w:color="auto"/>
          <w:color w:val="0000FF"/>
        </w:rPr>
        <w:t>weatherford.com</w:t>
      </w:r>
      <w:r>
        <w:rPr>
          <w:rFonts w:ascii="Arial" w:cs="Arial" w:eastAsia="Arial" w:hAnsi="Arial"/>
          <w:sz w:val="13"/>
          <w:szCs w:val="13"/>
          <w:color w:val="auto"/>
        </w:rPr>
        <w:t xml:space="preserve"> for more information or connect on </w:t>
      </w:r>
      <w:r>
        <w:rPr>
          <w:rFonts w:ascii="Arial" w:cs="Arial" w:eastAsia="Arial" w:hAnsi="Arial"/>
          <w:sz w:val="13"/>
          <w:szCs w:val="13"/>
          <w:u w:val="single" w:color="auto"/>
          <w:color w:val="0000FF"/>
        </w:rPr>
        <w:t>LinkedIn</w:t>
      </w:r>
      <w:r>
        <w:rPr>
          <w:rFonts w:ascii="Arial" w:cs="Arial" w:eastAsia="Arial" w:hAnsi="Arial"/>
          <w:sz w:val="13"/>
          <w:szCs w:val="13"/>
          <w:color w:val="auto"/>
        </w:rPr>
        <w:t xml:space="preserve">, </w:t>
      </w:r>
      <w:r>
        <w:rPr>
          <w:rFonts w:ascii="Arial" w:cs="Arial" w:eastAsia="Arial" w:hAnsi="Arial"/>
          <w:sz w:val="13"/>
          <w:szCs w:val="13"/>
          <w:u w:val="single" w:color="auto"/>
          <w:color w:val="0000FF"/>
        </w:rPr>
        <w:t>Facebook</w:t>
      </w:r>
      <w:r>
        <w:rPr>
          <w:rFonts w:ascii="Arial" w:cs="Arial" w:eastAsia="Arial" w:hAnsi="Arial"/>
          <w:sz w:val="13"/>
          <w:szCs w:val="13"/>
          <w:color w:val="auto"/>
        </w:rPr>
        <w:t xml:space="preserve">, </w:t>
      </w:r>
      <w:r>
        <w:rPr>
          <w:rFonts w:ascii="Arial" w:cs="Arial" w:eastAsia="Arial" w:hAnsi="Arial"/>
          <w:sz w:val="13"/>
          <w:szCs w:val="13"/>
          <w:u w:val="single" w:color="auto"/>
          <w:color w:val="0000FF"/>
        </w:rPr>
        <w:t>Twitter</w:t>
      </w:r>
      <w:r>
        <w:rPr>
          <w:rFonts w:ascii="Arial" w:cs="Arial" w:eastAsia="Arial" w:hAnsi="Arial"/>
          <w:sz w:val="13"/>
          <w:szCs w:val="13"/>
          <w:color w:val="auto"/>
        </w:rPr>
        <w:t xml:space="preserve">, </w:t>
      </w:r>
      <w:r>
        <w:rPr>
          <w:rFonts w:ascii="Arial" w:cs="Arial" w:eastAsia="Arial" w:hAnsi="Arial"/>
          <w:sz w:val="13"/>
          <w:szCs w:val="13"/>
          <w:u w:val="single" w:color="auto"/>
          <w:color w:val="0000FF"/>
        </w:rPr>
        <w:t>Instagram</w:t>
      </w:r>
      <w:r>
        <w:rPr>
          <w:rFonts w:ascii="Arial" w:cs="Arial" w:eastAsia="Arial" w:hAnsi="Arial"/>
          <w:sz w:val="13"/>
          <w:szCs w:val="13"/>
          <w:color w:val="auto"/>
        </w:rPr>
        <w:t xml:space="preserve">, or </w:t>
      </w:r>
      <w:r>
        <w:rPr>
          <w:rFonts w:ascii="Arial" w:cs="Arial" w:eastAsia="Arial" w:hAnsi="Arial"/>
          <w:sz w:val="13"/>
          <w:szCs w:val="13"/>
          <w:u w:val="single" w:color="auto"/>
          <w:color w:val="0000FF"/>
        </w:rPr>
        <w:t>YouTube</w:t>
      </w:r>
      <w:r>
        <w:rPr>
          <w:rFonts w:ascii="Arial" w:cs="Arial" w:eastAsia="Arial" w:hAnsi="Arial"/>
          <w:sz w:val="13"/>
          <w:szCs w:val="13"/>
          <w:color w:val="auto"/>
        </w:rPr>
        <w:t>.</w:t>
      </w:r>
    </w:p>
    <w:p>
      <w:pPr>
        <w:sectPr>
          <w:pgSz w:w="11900" w:h="16838" w:orient="portrait"/>
          <w:cols w:equalWidth="0" w:num="1">
            <w:col w:w="11240"/>
          </w:cols>
          <w:pgMar w:left="360" w:top="126" w:right="29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u w:val="single" w:color="auto"/>
          <w:color w:val="auto"/>
        </w:rPr>
        <w:t>Contacts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Investors:</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Mohammed Topiwala</w:t>
      </w:r>
    </w:p>
    <w:p>
      <w:pPr>
        <w:spacing w:after="0"/>
        <w:rPr>
          <w:sz w:val="20"/>
          <w:szCs w:val="20"/>
          <w:color w:val="auto"/>
        </w:rPr>
      </w:pPr>
      <w:r>
        <w:rPr>
          <w:rFonts w:ascii="Arial" w:cs="Arial" w:eastAsia="Arial" w:hAnsi="Arial"/>
          <w:sz w:val="13"/>
          <w:szCs w:val="13"/>
          <w:color w:val="auto"/>
        </w:rPr>
        <w:t>Weatherford Investor Relations</w:t>
      </w:r>
    </w:p>
    <w:p>
      <w:pPr>
        <w:spacing w:after="0" w:line="231" w:lineRule="auto"/>
        <w:rPr>
          <w:sz w:val="20"/>
          <w:szCs w:val="20"/>
          <w:color w:val="auto"/>
        </w:rPr>
      </w:pPr>
      <w:r>
        <w:rPr>
          <w:rFonts w:ascii="Arial" w:cs="Arial" w:eastAsia="Arial" w:hAnsi="Arial"/>
          <w:sz w:val="13"/>
          <w:szCs w:val="13"/>
          <w:color w:val="auto"/>
        </w:rPr>
        <w:t>+1 713-836-7777</w:t>
      </w:r>
    </w:p>
    <w:p>
      <w:pPr>
        <w:spacing w:after="0"/>
        <w:rPr>
          <w:sz w:val="20"/>
          <w:szCs w:val="20"/>
          <w:color w:val="auto"/>
        </w:rPr>
      </w:pPr>
      <w:r>
        <w:rPr>
          <w:rFonts w:ascii="Arial" w:cs="Arial" w:eastAsia="Arial" w:hAnsi="Arial"/>
          <w:sz w:val="13"/>
          <w:szCs w:val="13"/>
          <w:u w:val="single" w:color="auto"/>
          <w:color w:val="0000FF"/>
        </w:rPr>
        <w:t>investor.relations@weatherford.com</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Media:</w:t>
      </w:r>
    </w:p>
    <w:p>
      <w:pPr>
        <w:spacing w:after="0" w:line="62" w:lineRule="exact"/>
        <w:rPr>
          <w:sz w:val="20"/>
          <w:szCs w:val="20"/>
          <w:color w:val="auto"/>
        </w:rPr>
      </w:pPr>
    </w:p>
    <w:p>
      <w:pPr>
        <w:spacing w:after="0"/>
        <w:rPr>
          <w:sz w:val="20"/>
          <w:szCs w:val="20"/>
          <w:color w:val="auto"/>
        </w:rPr>
      </w:pPr>
      <w:r>
        <w:rPr>
          <w:rFonts w:ascii="Arial" w:cs="Arial" w:eastAsia="Arial" w:hAnsi="Arial"/>
          <w:sz w:val="13"/>
          <w:szCs w:val="13"/>
          <w:color w:val="auto"/>
        </w:rPr>
        <w:t>Kelley Hughes</w:t>
      </w:r>
    </w:p>
    <w:p>
      <w:pPr>
        <w:spacing w:after="0"/>
        <w:rPr>
          <w:sz w:val="20"/>
          <w:szCs w:val="20"/>
          <w:color w:val="auto"/>
        </w:rPr>
      </w:pPr>
      <w:r>
        <w:rPr>
          <w:rFonts w:ascii="Arial" w:cs="Arial" w:eastAsia="Arial" w:hAnsi="Arial"/>
          <w:sz w:val="13"/>
          <w:szCs w:val="13"/>
          <w:color w:val="auto"/>
        </w:rPr>
        <w:t>Director, Global Communications</w:t>
      </w:r>
    </w:p>
    <w:p>
      <w:pPr>
        <w:spacing w:after="0" w:line="231" w:lineRule="auto"/>
        <w:rPr>
          <w:sz w:val="20"/>
          <w:szCs w:val="20"/>
          <w:color w:val="auto"/>
        </w:rPr>
      </w:pPr>
      <w:r>
        <w:rPr>
          <w:rFonts w:ascii="Arial" w:cs="Arial" w:eastAsia="Arial" w:hAnsi="Arial"/>
          <w:sz w:val="13"/>
          <w:szCs w:val="13"/>
          <w:color w:val="auto"/>
        </w:rPr>
        <w:t>+1 713-836-4193</w:t>
      </w:r>
    </w:p>
    <w:p>
      <w:pPr>
        <w:spacing w:after="0"/>
        <w:rPr>
          <w:sz w:val="20"/>
          <w:szCs w:val="20"/>
          <w:color w:val="auto"/>
        </w:rPr>
      </w:pPr>
      <w:r>
        <w:rPr>
          <w:rFonts w:ascii="Arial" w:cs="Arial" w:eastAsia="Arial" w:hAnsi="Arial"/>
          <w:sz w:val="13"/>
          <w:szCs w:val="13"/>
          <w:u w:val="single" w:color="auto"/>
          <w:color w:val="0E31E0"/>
        </w:rPr>
        <w:t>kelley.hughes@weatherford.com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178" w:lineRule="exact"/>
        <w:rPr>
          <w:sz w:val="20"/>
          <w:szCs w:val="20"/>
          <w:color w:val="auto"/>
        </w:rPr>
      </w:pPr>
    </w:p>
    <w:p>
      <w:pPr>
        <w:jc w:val="both"/>
        <w:spacing w:after="0" w:line="396" w:lineRule="auto"/>
        <w:rPr>
          <w:sz w:val="20"/>
          <w:szCs w:val="20"/>
          <w:color w:val="auto"/>
        </w:rPr>
      </w:pPr>
      <w:r>
        <w:rPr>
          <w:rFonts w:ascii="Arial" w:cs="Arial" w:eastAsia="Arial" w:hAnsi="Arial"/>
          <w:sz w:val="12"/>
          <w:szCs w:val="12"/>
          <w:color w:val="auto"/>
        </w:rPr>
        <w:t>This news release contains forward-looking statements, which are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Weatherford’s ability to satisfy continued listing standards of NASDAQ; the price and price volatility of oil and natural gas; the extent or duration of business interruptions, demand for oil and gas and depressed commodity prices associated with COVID-19 pandemic; general global economic repercussions related to COVID-19 pandemic; the macroeconomic outlook for the oil and gas industry; and operational challenges relating to the COVID-19 pandemic and efforts to mitigate the spread of the virus, including logistical challenges, protecting the health and well-being of our employees, remote work arrangements, performance of contracts and supply chain disruptions; our ability to generate cash flow from operations to fund our operations; and the realization of additional cost savings and operational efficiencies. Forward-looking statements are also affected by the risk factors described in the Company’s Annual Report on Form 10-K, as amended, for the year ended December 31, 2020, and those set forth from time-to-time in the Company’s other filings with the SEC. We undertake no obligation to correct or update any forward-looking statement, whether as a result of new information, future events, or otherwise, except to the extent required under federal securities laws.</w:t>
      </w:r>
    </w:p>
    <w:sectPr>
      <w:pgSz w:w="11900" w:h="16838" w:orient="portrait"/>
      <w:cols w:equalWidth="0" w:num="1">
        <w:col w:w="11160"/>
      </w:cols>
      <w:pgMar w:left="360" w:top="89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2021-06-02T06:22:20Z</dcterms:created>
  <dcterms:modified xsi:type="dcterms:W3CDTF">2021-06-02T06:22:20Z</dcterms:modified>
</cp:coreProperties>
</file>