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80" w:space="720"/>
            <w:col w:w="2740" w:space="720"/>
            <w:col w:w="3060"/>
          </w:cols>
          <w:pgMar w:left="240" w:top="841"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498" w:lineRule="auto"/>
        <w:tabs>
          <w:tab w:leader="none" w:pos="7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previously disclosed on July 1, 2019, Weatherford International plc, Weatherford International Ltd., and Weatherford International, LLC (collectively, the “</w:t>
      </w:r>
      <w:r>
        <w:rPr>
          <w:rFonts w:ascii="Arial" w:cs="Arial" w:eastAsia="Arial" w:hAnsi="Arial"/>
          <w:sz w:val="17"/>
          <w:szCs w:val="17"/>
          <w:b w:val="1"/>
          <w:bCs w:val="1"/>
          <w:i w:val="1"/>
          <w:iCs w:val="1"/>
          <w:color w:val="auto"/>
        </w:rPr>
        <w:t>Weatherford Parties</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commenced voluntary cases (the “</w:t>
      </w:r>
      <w:r>
        <w:rPr>
          <w:rFonts w:ascii="Arial" w:cs="Arial" w:eastAsia="Arial" w:hAnsi="Arial"/>
          <w:sz w:val="17"/>
          <w:szCs w:val="17"/>
          <w:b w:val="1"/>
          <w:bCs w:val="1"/>
          <w:i w:val="1"/>
          <w:iCs w:val="1"/>
          <w:color w:val="auto"/>
        </w:rPr>
        <w:t>Cases</w:t>
      </w:r>
      <w:r>
        <w:rPr>
          <w:rFonts w:ascii="Arial" w:cs="Arial" w:eastAsia="Arial" w:hAnsi="Arial"/>
          <w:sz w:val="17"/>
          <w:szCs w:val="17"/>
          <w:color w:val="auto"/>
        </w:rPr>
        <w:t>”) under Chapter 11 of the United States Bankruptcy Code in the U.S. Bankruptcy Court for the Southern District of Texas (the “</w:t>
      </w:r>
      <w:r>
        <w:rPr>
          <w:rFonts w:ascii="Arial" w:cs="Arial" w:eastAsia="Arial" w:hAnsi="Arial"/>
          <w:sz w:val="17"/>
          <w:szCs w:val="17"/>
          <w:b w:val="1"/>
          <w:bCs w:val="1"/>
          <w:i w:val="1"/>
          <w:iCs w:val="1"/>
          <w:color w:val="auto"/>
        </w:rPr>
        <w:t>Bankruptcy Court</w:t>
      </w:r>
      <w:r>
        <w:rPr>
          <w:rFonts w:ascii="Arial" w:cs="Arial" w:eastAsia="Arial" w:hAnsi="Arial"/>
          <w:sz w:val="17"/>
          <w:szCs w:val="17"/>
          <w:color w:val="auto"/>
        </w:rPr>
        <w:t xml:space="preserve">”) under the caption </w:t>
      </w:r>
      <w:r>
        <w:rPr>
          <w:rFonts w:ascii="Arial" w:cs="Arial" w:eastAsia="Arial" w:hAnsi="Arial"/>
          <w:sz w:val="17"/>
          <w:szCs w:val="17"/>
          <w:i w:val="1"/>
          <w:iCs w:val="1"/>
          <w:color w:val="auto"/>
        </w:rPr>
        <w:t>In re Weatherford International plc, et al</w:t>
      </w:r>
      <w:r>
        <w:rPr>
          <w:rFonts w:ascii="Arial" w:cs="Arial" w:eastAsia="Arial" w:hAnsi="Arial"/>
          <w:sz w:val="17"/>
          <w:szCs w:val="17"/>
          <w:color w:val="auto"/>
        </w:rPr>
        <w:t>. seeking relief under the provisions of Chapter 11 of Title 11 (“</w:t>
      </w:r>
      <w:r>
        <w:rPr>
          <w:rFonts w:ascii="Arial" w:cs="Arial" w:eastAsia="Arial" w:hAnsi="Arial"/>
          <w:sz w:val="17"/>
          <w:szCs w:val="17"/>
          <w:b w:val="1"/>
          <w:bCs w:val="1"/>
          <w:i w:val="1"/>
          <w:iCs w:val="1"/>
          <w:color w:val="auto"/>
        </w:rPr>
        <w:t>Chapter 11</w:t>
      </w:r>
      <w:r>
        <w:rPr>
          <w:rFonts w:ascii="Arial" w:cs="Arial" w:eastAsia="Arial" w:hAnsi="Arial"/>
          <w:sz w:val="17"/>
          <w:szCs w:val="17"/>
          <w:color w:val="auto"/>
        </w:rPr>
        <w:t>”) of the United States Code (the “</w:t>
      </w:r>
      <w:r>
        <w:rPr>
          <w:rFonts w:ascii="Arial" w:cs="Arial" w:eastAsia="Arial" w:hAnsi="Arial"/>
          <w:sz w:val="17"/>
          <w:szCs w:val="17"/>
          <w:b w:val="1"/>
          <w:bCs w:val="1"/>
          <w:i w:val="1"/>
          <w:iCs w:val="1"/>
          <w:color w:val="auto"/>
        </w:rPr>
        <w:t>Bankruptcy Code</w:t>
      </w:r>
      <w:r>
        <w:rPr>
          <w:rFonts w:ascii="Arial" w:cs="Arial" w:eastAsia="Arial" w:hAnsi="Arial"/>
          <w:sz w:val="17"/>
          <w:szCs w:val="17"/>
          <w:color w:val="auto"/>
        </w:rPr>
        <w:t>”). On September 9, 2019, the Company filed with the Bankruptcy Court the proposed Second Amended Joint Prepackaged Plan of Reorganization of Weatherford International plc and its Affiliate Debtors, as described below (as amended, modified or supplemented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11, 2019, the Bankruptcy Court entered an order, Docket No. 343 (the “</w:t>
      </w:r>
      <w:r>
        <w:rPr>
          <w:rFonts w:ascii="Arial" w:cs="Arial" w:eastAsia="Arial" w:hAnsi="Arial"/>
          <w:sz w:val="18"/>
          <w:szCs w:val="18"/>
          <w:b w:val="1"/>
          <w:bCs w:val="1"/>
          <w:i w:val="1"/>
          <w:iCs w:val="1"/>
          <w:color w:val="auto"/>
        </w:rPr>
        <w:t>Confirmation Order</w:t>
      </w:r>
      <w:r>
        <w:rPr>
          <w:rFonts w:ascii="Arial" w:cs="Arial" w:eastAsia="Arial" w:hAnsi="Arial"/>
          <w:sz w:val="18"/>
          <w:szCs w:val="18"/>
          <w:color w:val="auto"/>
        </w:rPr>
        <w:t>”), confirming and approving the Plan. On December 13,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conditions to effectiveness of the Plan were satisfied and the Company emerged from Chapter 11, including, but not limited to the effectiveness of the schemes of arrangement in Ireland and Bermuda. The Company filed a notice of the Effective Date of the Plan with the Bankruptcy Court on December 13, 2019 (the “</w:t>
      </w:r>
      <w:r>
        <w:rPr>
          <w:rFonts w:ascii="Arial" w:cs="Arial" w:eastAsia="Arial" w:hAnsi="Arial"/>
          <w:sz w:val="18"/>
          <w:szCs w:val="18"/>
          <w:b w:val="1"/>
          <w:bCs w:val="1"/>
          <w:i w:val="1"/>
          <w:iCs w:val="1"/>
          <w:color w:val="auto"/>
        </w:rPr>
        <w:t>Notice of Effective Date</w:t>
      </w:r>
      <w:r>
        <w:rPr>
          <w:rFonts w:ascii="Arial" w:cs="Arial" w:eastAsia="Arial" w:hAnsi="Arial"/>
          <w:sz w:val="18"/>
          <w:szCs w:val="18"/>
          <w:color w:val="auto"/>
        </w:rPr>
        <w:t>”). A copy of the Notice of Effective Date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the Effective Date, pursuant to the terms of the Plan, the Company entered into a senior secured asset-based revolving credit agreement in an aggregate amount of $450 million (the “</w:t>
      </w:r>
      <w:r>
        <w:rPr>
          <w:rFonts w:ascii="Arial" w:cs="Arial" w:eastAsia="Arial" w:hAnsi="Arial"/>
          <w:sz w:val="18"/>
          <w:szCs w:val="18"/>
          <w:b w:val="1"/>
          <w:bCs w:val="1"/>
          <w:i w:val="1"/>
          <w:iCs w:val="1"/>
          <w:color w:val="auto"/>
        </w:rPr>
        <w:t>ABL Credit Agreement</w:t>
      </w:r>
      <w:r>
        <w:rPr>
          <w:rFonts w:ascii="Arial" w:cs="Arial" w:eastAsia="Arial" w:hAnsi="Arial"/>
          <w:sz w:val="18"/>
          <w:szCs w:val="18"/>
          <w:i w:val="1"/>
          <w:iCs w:val="1"/>
          <w:color w:val="auto"/>
        </w:rPr>
        <w:t>”</w:t>
      </w:r>
      <w:r>
        <w:rPr>
          <w:rFonts w:ascii="Arial" w:cs="Arial" w:eastAsia="Arial" w:hAnsi="Arial"/>
          <w:sz w:val="18"/>
          <w:szCs w:val="18"/>
          <w:color w:val="auto"/>
        </w:rPr>
        <w:t>) with the lenders party thereto and Wells Fargo Bank, N.A. as administrative agent. Among other things, proceeds of loans under the ABL Credit Agreement may be used to refinance certain existing indebtedness in connection with the Cases, pay fees and expenses associated with the ABL Credit Agreement and finance ongoing working capital and general corporate needs of the Company and certain of its subsidiaries.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maturity date of loans made under the ABL Credit Agreement is June 13, 2024. Revolving Loans (as defined in the ABL Credit Agreement) under the ABL Credit Agreement will bear interest at a rate of (i) in the case of LIBOR rate borrowings, the LIBOR rate plus an applicable margin in the range of 175-225 basis points per annum, with a zero LIBOR rate floor, and (ii) in the case of base rate borrowings, the base rate plus an applicable margin in the range of 75-125 basis points per annum, in the case of clauses (i) and (ii), based on the Average Excess Availability (as defined in the ABL Credit Agreement). The FILO Loans (as defined in the ABL Credit Agreement) under the ABL Credit Agreement will bear interest at a rate of (i) in the case of LIBOR rate borrowings, the LIBOR rate plus an applicable margin of 350 basis points per annum, with a zero LIBOR rate floor, and (ii) in the case of base rate borrowings, the base rate plus an applicable margin of 250 basis points per annum. In addition to paying interest on outstanding principal amounts under the ABL Credit Agreement, the Company will be required to pay (A) a letter of credit fee for each letter of credit issued thereunder equal to (i) in the case of those allocated to the Revolver Commitments (as defined in the ABL Credit Agreement), 175-225 basis points per annum based on the Average Excess Availability, and (ii) in the case of those allocated to the FILO Commitments (as defined in the ABL Credit Agreement), 350 basis points per annum, in each case, on the amount of each such letter of credit, and (b) a 12.5 basis point per annum fronting fee on the amount of each such letter of credit, and (B) an unused commitment fee in respect of the average unutilized Revolver Commitments and the average unutilized FILO Commitments at a rate of either 37.5 or 50 basis point per annum, based on the level of the Average Facility Usage (as defined in the ABL Credit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ABL Credit Agreement has a financial covenant that applies only after the occurrence of a Covenant Trigger Event (as defined in the ABL Credit Agreement) and requires, during any Covenant Testing Period (as defined in the ABL Credit Agreement), at least a 1.00 to 1.00 ratio of (a) Consolidated Adjusted EBITDA (as defined in the ABL Credit Agreement) minus Unfinanced Capital Expenditures (as defined in the ABL Credit Agreement) to (b) Fixed Charges (as defined in the ABL Credit Agreement). The ABL Credit Agreement is secured by substantially all of the personal assets and properties of the Company and certain of its subsidiaries (including a first lien on the priority collateral for the ABL Credit Agreement and a second lien on the priority collateral for the LC Credit Agreement (as defined below), in each case, subject to permitted liens). The ABL Credit Agreement is also guaranteed on an unsecured basis by certain other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Upon the Effective Date, the Company had $0 borrowings and approximately $123.0 million in outstanding letters of credit under the ABL Credit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ABL Credit Agreement does not purport to be complete and is qualified in its entirety by reference to the full text of the ABL Credit Agreement, which is attached hereto as Exhibit 10.1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Effective Date, pursuant to the terms of the Plan, the Company entered into a senior secured letter of credit credit agreement in an aggregate amount of $195 million (the “</w:t>
      </w:r>
      <w:r>
        <w:rPr>
          <w:rFonts w:ascii="Arial" w:cs="Arial" w:eastAsia="Arial" w:hAnsi="Arial"/>
          <w:sz w:val="18"/>
          <w:szCs w:val="18"/>
          <w:b w:val="1"/>
          <w:bCs w:val="1"/>
          <w:i w:val="1"/>
          <w:iCs w:val="1"/>
          <w:color w:val="auto"/>
        </w:rPr>
        <w:t>LC Credit Agreement</w:t>
      </w:r>
      <w:r>
        <w:rPr>
          <w:rFonts w:ascii="Arial" w:cs="Arial" w:eastAsia="Arial" w:hAnsi="Arial"/>
          <w:sz w:val="18"/>
          <w:szCs w:val="18"/>
          <w:color w:val="auto"/>
        </w:rPr>
        <w:t>”, together with the ABL Credit Agreement, the “</w:t>
      </w:r>
      <w:r>
        <w:rPr>
          <w:rFonts w:ascii="Arial" w:cs="Arial" w:eastAsia="Arial" w:hAnsi="Arial"/>
          <w:sz w:val="18"/>
          <w:szCs w:val="18"/>
          <w:b w:val="1"/>
          <w:bCs w:val="1"/>
          <w:i w:val="1"/>
          <w:iCs w:val="1"/>
          <w:color w:val="auto"/>
        </w:rPr>
        <w:t>Exit Credit Agreements</w:t>
      </w:r>
      <w:r>
        <w:rPr>
          <w:rFonts w:ascii="Arial" w:cs="Arial" w:eastAsia="Arial" w:hAnsi="Arial"/>
          <w:sz w:val="18"/>
          <w:szCs w:val="18"/>
          <w:color w:val="auto"/>
        </w:rPr>
        <w:t>”) with the lenders party thereto and Deutsche Bank Trust Company Americas as administrative agent. The LC Credit Agreement will be used for the issuance of bid and performance letters of credit of the Company and certain of its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maturity date under the LC Credit Agreement is June 13, 2024. The outstanding amount of each letter for credit under the LC Credit Agreement will bear interest at LIBOR plus an applicable margin of 350 basis points per annum. The LC Credit Agreement includes (i) a 12.5 basis point per annum fronting fee on the outstanding amount of each such letter of credit and (ii) an unused commitment fee in respect of the unutilized commitments at a rate of 50 basis point per annum on the average daily unused commitments under the LC Credit Agreement. Upon the Effective Date, the Company had approximately $65.8 million in outstanding letters of credit under the LC Credit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LC Credit Agreement has a minimum liquidity covenant of $200 million and is secured by substantially all the personal assets and properties of the Company and certain of its subsidiaries (including a first lien on the priority collateral for the LC Credit Agreement and a second lien on the priority collateral for the ABL Credit Agreement, in each case, subject to permitted liens). The LC Credit Agreement is also guaranteed on an unsecured basis by certain other subsidiaries of the Company.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LC Credit Agreement does not purport to be complete and is qualified in its entirety by reference to the full text of the LC Credit Agreement, which is attached hereto as Exhibit 10.2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Effective Date, Wells Fargo Bank, N.A., as administrative agent under the ABL Credit Agreement, Deutsche Bank Trust Company Americas, as administrative agent under the LC Credit Agreement, and the Company and certain of its subsidiaries entered into an Intercreditor Agreement that, among other things, sets forth the relative lien priorities of the secured parties under the Exit Credit Agreements on the collateral shared by the ABL Credit Agreement and the LC Credit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Intercreditor Agreement does not purport to be complete and is qualified in its entirety by reference to the full text of the Intercreditor Agreement, which is attached hereto as Exhibit 10.3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 and 11.00% Senior Notes due 2024</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entered into an indenture, dated as of the Effective Date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among the Company, the subsidiary guarantors party thereto and Deutsche Bank Trust Company Americas, as trustee, and issued $2.1 billion aggregate principal amount of its 11.00% Senior Notes due 2024 (the “</w:t>
      </w:r>
      <w:r>
        <w:rPr>
          <w:rFonts w:ascii="Arial" w:cs="Arial" w:eastAsia="Arial" w:hAnsi="Arial"/>
          <w:sz w:val="17"/>
          <w:szCs w:val="17"/>
          <w:b w:val="1"/>
          <w:bCs w:val="1"/>
          <w:i w:val="1"/>
          <w:iCs w:val="1"/>
          <w:color w:val="auto"/>
        </w:rPr>
        <w:t>Senior Notes</w:t>
      </w:r>
      <w:r>
        <w:rPr>
          <w:rFonts w:ascii="Arial" w:cs="Arial" w:eastAsia="Arial" w:hAnsi="Arial"/>
          <w:sz w:val="17"/>
          <w:szCs w:val="17"/>
          <w:color w:val="auto"/>
        </w:rPr>
        <w:t>”) thereunder. The Senior Notes are guaranteed on a senior basis by the Company’s existing domestic subsidiaries and certain foreign subsidiaries that guarantee its obligations under the Exit Credit Agreements (the “</w:t>
      </w:r>
      <w:r>
        <w:rPr>
          <w:rFonts w:ascii="Arial" w:cs="Arial" w:eastAsia="Arial" w:hAnsi="Arial"/>
          <w:sz w:val="17"/>
          <w:szCs w:val="17"/>
          <w:b w:val="1"/>
          <w:bCs w:val="1"/>
          <w:i w:val="1"/>
          <w:iCs w:val="1"/>
          <w:color w:val="auto"/>
        </w:rPr>
        <w:t>Guarantors</w:t>
      </w:r>
      <w:r>
        <w:rPr>
          <w:rFonts w:ascii="Arial" w:cs="Arial" w:eastAsia="Arial" w:hAnsi="Arial"/>
          <w:sz w:val="17"/>
          <w:szCs w:val="17"/>
          <w:color w:val="auto"/>
        </w:rPr>
        <w:t>”) on a full and unconditional basis. The following is a brief description of the material provisions of the Indenture and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color w:val="auto"/>
        </w:rPr>
        <w:t>The Senior Notes will mature on December 1, 2024. Interest on the Senior Notes will accrue at the rate of 11.00% per annum and will be payable semiannually in arrears on June 1 and December 1, commencing on June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prior to December 1, 2021, the Company may redeem the Senior Notes, in whole or in part, at a redemption price equal to the sum of (i) the principal amount thereof, plus (ii) the “make-whole” premium at the redemption date, plus (iii) accrued and unpaid interest, if any, to the redemption date (subject to the right of the noteholders of record on the relevant record date to receive interest due on an interest payment date that is on or prior to the redemption date). On and after December 1, 2021, the Company may redeem all or part of the Senior Notes at redemption prices (expressed as percentages of the principal amount) equal to (i) 105.500% for the twelve-month period beginning on December 1, 2021; (ii) 102.750% for the twelve-month period beginning on December 1, 2022; and (iii) 100.000% for the twelve-month period beginning December 1, 2023 and at any time thereafter, plus accrued and unpaid interest at the redemption date.</w:t>
      </w:r>
    </w:p>
    <w:p>
      <w:pPr>
        <w:spacing w:after="0" w:line="18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at any time prior to December 1, 2022, the Company may redeem up to $500 million in the aggregate principal amount of the Senior Notes at a redemption price of 103.00% of the principal amount thereof, plus accrued and unpaid interest, if any, to the redemption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change of control (as defined in the Indenture) occurs, holders of the Senior Notes will have the right to require the Company to repurchase all or any part of their Senior Notes at a purchase price equal to 101% of the aggregate principal amount of the Senior Notes repurchased, plus accrued and unpaid interest, if any, to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governing the Senior Notes contains covenants that limit, among other things, the Company’s ability and the ability of certain of its subsidiaries, to: incur, assume or guarantee additional indebtedness; pay dividends or distributions on capital stock or redeem or repurchase capital stock; make investments; sell stock of its subsidiaries; transfer or sell assets; create liens; enter into transactions with affiliates; and enter into mergers or consolidations.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such time as (1) the Senior Notes have an investment grade rating from both of Moody’s Investors Service, Inc. (“</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and Standard and Poor’s Ratings Services (“</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and (2) no default has occurred and is continuing under the Indenture, certain of these and other covenants will be suspended and cease to be in effect so long as the rating assigned by either Moody’s or S&amp;P has not subsequently declined to below Baa3 or BBB- (or equivalent).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also provides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Senior Notes to be declared due and payable immediately.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Indenture and the Senior Notes is qualified in its entirety by the full text of those documents, which are attached as Exhibits 4.1 and 4.2 to this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the Effective Date, pursuant to the terms of the Plan, the Company entered into a Warrant Agreement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with American Stock Transfer &amp; Trust Company, LLC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the Effective Date, pursuant to the terms of the Plan, the Company issued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and the holders thereof,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to holders of the Company’s existing ordinary shares, par value $0.001 (“</w:t>
      </w:r>
      <w:r>
        <w:rPr>
          <w:rFonts w:ascii="Arial" w:cs="Arial" w:eastAsia="Arial" w:hAnsi="Arial"/>
          <w:sz w:val="18"/>
          <w:szCs w:val="18"/>
          <w:b w:val="1"/>
          <w:bCs w:val="1"/>
          <w:i w:val="1"/>
          <w:iCs w:val="1"/>
          <w:color w:val="auto"/>
        </w:rPr>
        <w:t>Old Ordinary Shares</w:t>
      </w:r>
      <w:r>
        <w:rPr>
          <w:rFonts w:ascii="Arial" w:cs="Arial" w:eastAsia="Arial" w:hAnsi="Arial"/>
          <w:sz w:val="18"/>
          <w:szCs w:val="18"/>
          <w:color w:val="auto"/>
        </w:rPr>
        <w:t>”), to purchase up to an aggregate of 7,777,779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shares in the Company, par value $0.001 (the “</w:t>
      </w:r>
      <w:r>
        <w:rPr>
          <w:rFonts w:ascii="Arial" w:cs="Arial" w:eastAsia="Arial" w:hAnsi="Arial"/>
          <w:sz w:val="18"/>
          <w:szCs w:val="18"/>
          <w:b w:val="1"/>
          <w:bCs w:val="1"/>
          <w:i w:val="1"/>
          <w:iCs w:val="1"/>
          <w:color w:val="auto"/>
        </w:rPr>
        <w:t>New Ordinary Shares</w:t>
      </w:r>
      <w:r>
        <w:rPr>
          <w:rFonts w:ascii="Arial" w:cs="Arial" w:eastAsia="Arial" w:hAnsi="Arial"/>
          <w:sz w:val="18"/>
          <w:szCs w:val="18"/>
          <w:color w:val="auto"/>
        </w:rPr>
        <w:t>”), at an exercise price of $99.96 per ordinary share. The Warrants are exercisable until the earlier of (i) December 13, 2023 and (ii) the date of consummation of any Liquidity Event (as defined in the Warrant Agreement)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unexercised Warrants will expire, and the rights of the Warrant Holders to purchase New Ordinary Shares will terminate, on the Expiration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Rights as Stockholders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Warrant Agreement, no Warrant Holder, by virtue of holding or having a beneficial interest in a Warrant, will have the right to vote, to consent, to receive any cash dividends, stock dividends, allotments or rights or other distributions paid, allotted or distributed or distributable to the holders of New Ordinary Shares, or to exercise any rights whatsoever as a stockholder of the Company unless, until and only to the extent such persons become holders of record of New Ordinary Shares issued upon settlement of the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New Ordinary Shares for which a Warrant is exercisable, and the exercise price per share of such Warrant are subject to adjustment from time to time as described in the Warrant Agreement upon the occurrence of certain events including the issuance of New Ordinary Shares as a dividend or distribution to all holders of New Ordinary Shares, or a subdivision, combination, split, reverse split or reclassification of the outstanding New Ordinary Shares into a greater or smaller number of New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Fractional Amounts.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shall not issue any fraction of a Warrant or fraction of a share of New Ordinary Shares upon exercise of any Warrants and any fractions will be rounded down to the nearest whole number.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Warrant Agreement and Warrant is qualified in its entirety by the full text of those documents, which are attached as Exhibits 4.3 and 10.4 to this Form 8-K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Effective Date, the Company entered into a registration rights agreement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with certain parties who received New Ordinary Shares on the Effective Date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 The Registration Rights Agreement provides resale registration rights for the Stockholders’ Registrable Securities (as defined in the Registration Rights Agreement).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Registration Rights Agreement, Stockholders have customary underwritten offering and piggyback registration rights, subject to the limitations set forth in the Registration Rights Agreement. Under their underwritten offering registration rights, Stockholders have the right to demand the Company to effectuate the distribution of any or all of its Registrable Securities by means of an underwritten offering pursuant to an effective registration statement; provided, however, that the expected gross proceeds are equal to or greater than $30.0 million in the aggregate. The Company is not obligated to effect an underwritten demand notice upon certain circumstances, including within 180 days of closing an underwritten offering. Under their piggyback registration rights, if at any time the Company proposes to undertake a registered offering of New Ordinary Shares for its own account, the Company must give at least ten business days’ notice to all Stockholders of Registrable Securities to allow them to request to include a specified number of their shares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73" w:lineRule="auto"/>
        <w:rPr>
          <w:sz w:val="20"/>
          <w:szCs w:val="20"/>
          <w:color w:val="auto"/>
        </w:rPr>
      </w:pPr>
      <w:r>
        <w:rPr>
          <w:rFonts w:ascii="Arial" w:cs="Arial" w:eastAsia="Arial" w:hAnsi="Arial"/>
          <w:sz w:val="17"/>
          <w:szCs w:val="17"/>
          <w:color w:val="auto"/>
        </w:rPr>
        <w:t>These registration rights are subject to certain conditions and limitations, including the right of the underwriters to limit the number of shares to be included in an offering and the Company’s right to delay or withdraw a registration statement under certain circumstances. The Company will generally pay all registration expenses in connection with its obligations under the Registration Rights Agreement, regardless of whether a registration statement is filed or becomes effective. The registration rights granted in the Registration Rights Agreement are subject to customary indemnification and contribution provisions, as well as customary restrictions such as blackout periods and, if an underwritten offering is contemplated, limitations on the number of shares to be included in the underwritten offering that may be imposed by the managing underwriter.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reference to the full text of the Registration Rights Agreement, which is attached hereto as Exhibit 10.5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Interests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Effective Date, by operation of the Plan, all agreements, instruments, and other documents evidencing, relating to or connected with any equity interests of the Company, including the Old Ordinary Shares, issued and outstanding immediately prior to the Effective Date, and any rights of any holder in respect thereof, were deemed cancelled, discharged and of no force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DIP 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Effective Date, the senior secured superpriority debtor-in-possession credit agreement (the “</w:t>
      </w:r>
      <w:r>
        <w:rPr>
          <w:rFonts w:ascii="Arial" w:cs="Arial" w:eastAsia="Arial" w:hAnsi="Arial"/>
          <w:sz w:val="18"/>
          <w:szCs w:val="18"/>
          <w:b w:val="1"/>
          <w:bCs w:val="1"/>
          <w:i w:val="1"/>
          <w:iCs w:val="1"/>
          <w:color w:val="auto"/>
        </w:rPr>
        <w:t>DIP Credit Agreement</w:t>
      </w:r>
      <w:r>
        <w:rPr>
          <w:rFonts w:ascii="Arial" w:cs="Arial" w:eastAsia="Arial" w:hAnsi="Arial"/>
          <w:sz w:val="18"/>
          <w:szCs w:val="18"/>
          <w:color w:val="auto"/>
        </w:rPr>
        <w:t>”) the Company previously entered into with the lenders party thereto, Citibank, N.A., as administrative agent, collateral agent and issuing bank, was paid in full and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the Effective Date, by operation of the Plan, all outstanding obligations under each of the following debt instruments were cancelled and the applicable agreements governing such obligations were terminated.</w:t>
      </w:r>
    </w:p>
    <w:p>
      <w:pPr>
        <w:spacing w:after="0" w:line="170"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Credit Agreement, dated May 9, 2016, by and among Weatherford International Ltd., WOFS Assurance Limited, Weatherford International plc, by and among the other borrowers party thereto, JPMorgan Chase Bank, N.A. and the lenders party thereto from time to time;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5.125% Senior Notes due 2020, issued under that certain Indenture, dated as of October 1, 2003, by and among the Weatherford Parties and Deutsche Bank Trust Company Americas, as indenture trustee, as amended, restated, modified, supplemented, or replaced from time to time (the “</w:t>
      </w:r>
      <w:r>
        <w:rPr>
          <w:rFonts w:ascii="Arial" w:cs="Arial" w:eastAsia="Arial" w:hAnsi="Arial"/>
          <w:sz w:val="18"/>
          <w:szCs w:val="18"/>
          <w:b w:val="1"/>
          <w:bCs w:val="1"/>
          <w:i w:val="1"/>
          <w:iCs w:val="1"/>
          <w:color w:val="auto"/>
        </w:rPr>
        <w:t>Bermuda Indenture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5.875% Senior Notes due 2021,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7.75% Senior Notes due 2021,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 Senior Notes due 2022,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8.25% Senior Notes due 2023,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9.875% Senior Notes due 2024, issued under the Bermuda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9.875% Senior Notes due 2025, issued under that certain Indenture, dated as of June 18, 2007 by and among the Weatherford Parties and Deutsche Bank Trust Company Americas, as indenture trustee, as amended, restated, modified, supplemented, or replaced from time to time (the “</w:t>
      </w:r>
      <w:r>
        <w:rPr>
          <w:rFonts w:ascii="Arial" w:cs="Arial" w:eastAsia="Arial" w:hAnsi="Arial"/>
          <w:sz w:val="18"/>
          <w:szCs w:val="18"/>
          <w:b w:val="1"/>
          <w:bCs w:val="1"/>
          <w:i w:val="1"/>
          <w:iCs w:val="1"/>
          <w:color w:val="auto"/>
        </w:rPr>
        <w:t>Delaware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6.50% Senior Notes due 2036,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6.80% Senior Notes due 2037, issued under the Delaware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7.00% Senior Notes due 2038,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9.875% Senior Notes due 2039, issued under the Bermuda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6.75% Senior Notes due 2040, issued under the Bermuda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5.95% Senior Notes due 2042, issued under the Bermuda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the Introductory Note and Item 1.01 above relating to the Exit Credit Agreements, the Indenture and the Senior Notes is incorporated herein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effectiveness of the Plan, all previously issued and outstanding equity interests in the Company were cancelled and the Company issued 69,999,954 New Ordinary Shares to the holders of the Company’s existing senior notes and holders of Old Ordinary Shares. In addition, the Company issued the Warrants to holders of Old Ordinary Shares, subject to adjustment as set forth in the Warrant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Ordinary Shares and the Warrants described above were exempt from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pursuant to Section 1145 of the Bankruptcy Code (which generally exempts from such registration requirements the issuance of securities under a plan of reorganization).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regarding the terms governing the exercise of the Warrants set forth in Item 1.01 of this Current Report on Form 8-K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under the Introductory Note and Items 1.01, 1.02, 3.02, 5.01 and 5.03 of this Current Report on Form 8-K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previously disclosed, on the Effective Date, all previously issued and outstanding equity interests in the Company were cancelled. The Company issued New Ordinary Shares to holders of the Company’s unsecured notes and holders of Old Ordinary Shares pursuant to the Plan. For further information, see items 1.01, 1.02, 3.02 and 3.03 of this Current Report on Form 8-K,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and Appointment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Plan, as of the Effective Date, the following directors ceased to serve on the Company’s board of directors: Mohamed A. Awad, Roxanne J. Decyk, John D. Gass, Francis S. Kalman, David S. King, Angela Minas, Guillermo Ortiz and Emyr Jones Parry.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Plan, the Company’s new board of directors shall consist of seven members, including Mark A. McCollum, as chief executive officer, and the six members listed below, who were appointed as of the Effective Date:</w:t>
      </w:r>
    </w:p>
    <w:p>
      <w:pPr>
        <w:spacing w:after="0" w:line="170" w:lineRule="exact"/>
        <w:rPr>
          <w:sz w:val="20"/>
          <w:szCs w:val="20"/>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F. Glick</w:t>
      </w:r>
    </w:p>
    <w:p>
      <w:pPr>
        <w:spacing w:after="0" w:line="23"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Neal P. Goldman</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Thomas R. Bates, Jr.</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Jacqueline Mutschler</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Charles M. Sledge</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Gordon T. Hall</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as set forth in the Plan, there are no arrangements or understandings between any of the listed directors and any other persons pursuant to which such director was selected as a director and there are no transactions in which any of the listed directors has an interest in which requires disclosure under Item 404(a)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Plan, the Company adopted the 2019 Weatherford International Equity Incentive Plan (the “</w:t>
      </w:r>
      <w:r>
        <w:rPr>
          <w:rFonts w:ascii="Arial" w:cs="Arial" w:eastAsia="Arial" w:hAnsi="Arial"/>
          <w:sz w:val="18"/>
          <w:szCs w:val="18"/>
          <w:b w:val="1"/>
          <w:bCs w:val="1"/>
          <w:i w:val="1"/>
          <w:iCs w:val="1"/>
          <w:color w:val="auto"/>
        </w:rPr>
        <w:t>Equity Incentive Plan</w:t>
      </w:r>
      <w:r>
        <w:rPr>
          <w:rFonts w:ascii="Arial" w:cs="Arial" w:eastAsia="Arial" w:hAnsi="Arial"/>
          <w:sz w:val="18"/>
          <w:szCs w:val="18"/>
          <w:color w:val="auto"/>
        </w:rPr>
        <w:t>”) providing for the issuance from time to time, as approved by the Company’s new board of directors, of equity and equity-based awards with respect to New Ordinary Shares in the aggregate and on a fully-diluted basis, of up to 4,075,000 New Ordinary Shares, representing five percent (5%) of the New Ordinary Shares issued or to be issued as of the Effective Date. The New Ordinary Shares issued under the Equity Incentive Plan in the future will dilute all of the New Ordinary Shares equally.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Equity Incentive Plan does not purport to be complete and is qualified in its entirety by reference to the full text of the Equity Incentive Plan, which is attached hereto as Exhibit 10.8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the Company is party to a Change in Control Agreement (each, a “</w:t>
      </w:r>
      <w:r>
        <w:rPr>
          <w:rFonts w:ascii="Arial" w:cs="Arial" w:eastAsia="Arial" w:hAnsi="Arial"/>
          <w:sz w:val="18"/>
          <w:szCs w:val="18"/>
          <w:b w:val="1"/>
          <w:bCs w:val="1"/>
          <w:i w:val="1"/>
          <w:iCs w:val="1"/>
          <w:color w:val="auto"/>
        </w:rPr>
        <w:t>CIC Agreement</w:t>
      </w:r>
      <w:r>
        <w:rPr>
          <w:rFonts w:ascii="Arial" w:cs="Arial" w:eastAsia="Arial" w:hAnsi="Arial"/>
          <w:sz w:val="18"/>
          <w:szCs w:val="18"/>
          <w:color w:val="auto"/>
        </w:rPr>
        <w:t>”) with each member of the Company’s senior management (each, an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has entered into an Amendment to each CIC Agreement (each, an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to be effective on the Effective Date, with each Executive. Each Amendment provides for the continued effectiveness of the applicable CIC Agreement following the Company’s emergence from Chapter 11. The foregoing description of the CIC Agreements and Amendments does not purport to be complete and is qualified in its entirety by reference to the full text of those documents, forms of which are attached hereto as Exhibits 10.6 and 10.7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10, 2019, pursuant to the terms of an order of the Irish High Court, a new memorandum of association (the “</w:t>
      </w:r>
      <w:r>
        <w:rPr>
          <w:rFonts w:ascii="Arial" w:cs="Arial" w:eastAsia="Arial" w:hAnsi="Arial"/>
          <w:sz w:val="18"/>
          <w:szCs w:val="18"/>
          <w:b w:val="1"/>
          <w:bCs w:val="1"/>
          <w:i w:val="1"/>
          <w:iCs w:val="1"/>
          <w:color w:val="auto"/>
        </w:rPr>
        <w:t>Memorandum</w:t>
      </w:r>
      <w:r>
        <w:rPr>
          <w:rFonts w:ascii="Arial" w:cs="Arial" w:eastAsia="Arial" w:hAnsi="Arial"/>
          <w:sz w:val="18"/>
          <w:szCs w:val="18"/>
          <w:color w:val="auto"/>
        </w:rPr>
        <w:t>”) and articles of association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of Weatherford International plc (“</w:t>
      </w:r>
      <w:r>
        <w:rPr>
          <w:rFonts w:ascii="Arial" w:cs="Arial" w:eastAsia="Arial" w:hAnsi="Arial"/>
          <w:sz w:val="18"/>
          <w:szCs w:val="18"/>
          <w:b w:val="1"/>
          <w:bCs w:val="1"/>
          <w:i w:val="1"/>
          <w:iCs w:val="1"/>
          <w:color w:val="auto"/>
        </w:rPr>
        <w:t>WFT</w:t>
      </w:r>
      <w:r>
        <w:rPr>
          <w:rFonts w:ascii="Arial" w:cs="Arial" w:eastAsia="Arial" w:hAnsi="Arial"/>
          <w:sz w:val="18"/>
          <w:szCs w:val="18"/>
          <w:color w:val="auto"/>
        </w:rPr>
        <w:t>”) came into effect. Except as noted below, both the Memorandum and Articles are substantially similar to the prior version of each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10, 2019, WFT’s authorized share capital is $1,356,000, divided into 1,356,000,000 ordinary shares with a nominal value of $0.001 per share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and each an “</w:t>
      </w:r>
      <w:r>
        <w:rPr>
          <w:rFonts w:ascii="Arial" w:cs="Arial" w:eastAsia="Arial" w:hAnsi="Arial"/>
          <w:sz w:val="18"/>
          <w:szCs w:val="18"/>
          <w:b w:val="1"/>
          <w:bCs w:val="1"/>
          <w:i w:val="1"/>
          <w:iCs w:val="1"/>
          <w:color w:val="auto"/>
        </w:rPr>
        <w:t>Ordinary Share</w:t>
      </w:r>
      <w:r>
        <w:rPr>
          <w:rFonts w:ascii="Arial" w:cs="Arial" w:eastAsia="Arial" w:hAnsi="Arial"/>
          <w:sz w:val="18"/>
          <w:szCs w:val="18"/>
          <w:color w:val="auto"/>
        </w:rPr>
        <w:t>”). However, WFT may not issue non-voting capital stock or share capital of any class, series or other designation to the extent prohibited by Section 1123(a)(6) of title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648"/>
        <w:spacing w:after="0" w:line="255" w:lineRule="auto"/>
        <w:rPr>
          <w:sz w:val="20"/>
          <w:szCs w:val="20"/>
          <w:color w:val="auto"/>
        </w:rPr>
      </w:pPr>
      <w:r>
        <w:rPr>
          <w:rFonts w:ascii="Arial" w:cs="Arial" w:eastAsia="Arial" w:hAnsi="Arial"/>
          <w:sz w:val="18"/>
          <w:szCs w:val="18"/>
          <w:color w:val="auto"/>
        </w:rPr>
        <w:t>Under Irish law, the board of directors of WFT may issue new Ordinary Shares having the rights provided for in the Articles without shareholder approval once authorized to do so by the Articles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WFT has been authorized in the Articles, subject to the aforementioned restrictions in Section 1123(a)(6) of the Bankruptcy Code, to issue up to an aggregate nominal value of US$170,000 (170,000,000 Ordinary Shares) new Ordinary Shares as follows:</w:t>
      </w:r>
    </w:p>
    <w:p>
      <w:pPr>
        <w:spacing w:after="0" w:line="193" w:lineRule="exact"/>
        <w:rPr>
          <w:sz w:val="20"/>
          <w:szCs w:val="20"/>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$87,000 (87,000,000 Ordinary Shares) for the purposes of allotting relevant securities contemplated in (i) the examiner’s scheme of arrangement under Part 10 of the Companies Act 2014 of Ireland (the “</w:t>
      </w:r>
      <w:r>
        <w:rPr>
          <w:rFonts w:ascii="Arial" w:cs="Arial" w:eastAsia="Arial" w:hAnsi="Arial"/>
          <w:sz w:val="18"/>
          <w:szCs w:val="18"/>
          <w:b w:val="1"/>
          <w:bCs w:val="1"/>
          <w:i w:val="1"/>
          <w:iCs w:val="1"/>
          <w:color w:val="auto"/>
        </w:rPr>
        <w:t>Irish Companies Act</w:t>
      </w:r>
      <w:r>
        <w:rPr>
          <w:rFonts w:ascii="Arial" w:cs="Arial" w:eastAsia="Arial" w:hAnsi="Arial"/>
          <w:sz w:val="18"/>
          <w:szCs w:val="18"/>
          <w:color w:val="auto"/>
        </w:rPr>
        <w:t>”) in respect of WFT approved by the Irish High Court on December 12, 2019 and (ii) the provisional liquidator’s scheme of arrangement in respect of Weatherford International Ltd. pursuant to the Companies Act 1981 of Bermuda; and</w:t>
      </w:r>
    </w:p>
    <w:p>
      <w:pPr>
        <w:spacing w:after="0" w:line="18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$83,000 (83,000,000 Ordinary Shares), together with any Ordinary Shares authorised for allotment pursuant to the power detailed in the bullet point immediately above but not allotted (or otherwise counted for the purposes of that authority), which may be allotted as the directors of WFT see 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Preemption Rights, Share Warrants and Options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WFT has opted out of these preemption rights in the Articles as permitted under Irish law. Because Irish law requires this opt-out to be renewed every five years by a special resolution of shareholders, this opt-out must be so renewed in accordance with Irish statutory requirements. A “special resolution” requires the approval of not less than 75% of the votes cast, in person or by proxy, at a general meeting of shareholders at which a quorum is present. If the opt-out is not renewed, shares to be issued for cash must be offered to existing shareholders on a pro rata basis to their existing shareholding before the shares may be otherwise issued. Statutory preemption rights do not apply:</w:t>
      </w:r>
    </w:p>
    <w:p>
      <w:pPr>
        <w:spacing w:after="0" w:line="193" w:lineRule="exact"/>
        <w:rPr>
          <w:sz w:val="20"/>
          <w:szCs w:val="20"/>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225" w:lineRule="exact"/>
        <w:rPr>
          <w:rFonts w:ascii="Arial" w:cs="Arial" w:eastAsia="Arial" w:hAnsi="Arial"/>
          <w:sz w:val="18"/>
          <w:szCs w:val="18"/>
          <w:color w:val="auto"/>
        </w:rPr>
      </w:pPr>
    </w:p>
    <w:p>
      <w:pPr>
        <w:ind w:left="800" w:hanging="225"/>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General Meetings of Shareholders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Articles provide that business may be brought before an annual general meeting of shareholders if such business is (i) specified in the notice of meeting (or any supplement to the notice), (ii) otherwise properly brought before the meeting by or at the direction of the board of directors of WFT or (iii) otherwise properly brought before the meeting by a shareholder where such shareholder has given timely notice thereof in writing to the secretary of WFT in accordance with the Articles. The Articles require that such shareholder notice specifies certain information (the “</w:t>
      </w:r>
      <w:r>
        <w:rPr>
          <w:rFonts w:ascii="Arial" w:cs="Arial" w:eastAsia="Arial" w:hAnsi="Arial"/>
          <w:sz w:val="17"/>
          <w:szCs w:val="17"/>
          <w:b w:val="1"/>
          <w:bCs w:val="1"/>
          <w:i w:val="1"/>
          <w:iCs w:val="1"/>
          <w:color w:val="auto"/>
        </w:rPr>
        <w:t>Member Information</w:t>
      </w:r>
      <w:r>
        <w:rPr>
          <w:rFonts w:ascii="Arial" w:cs="Arial" w:eastAsia="Arial" w:hAnsi="Arial"/>
          <w:sz w:val="17"/>
          <w:szCs w:val="17"/>
          <w:color w:val="auto"/>
        </w:rPr>
        <w:t>”), including: (i) a brief description of the business desired to be brought before the annual general meeting and the reasons for conducting such business at the meeting, (ii) the name and address, as they appear on WFT’s share register, of the shareholder proposing such business (as well as the name and address of certain parties related to the relevant shareholder), (iii) the class, series and number of shares of WFT which are held, directly or indirectly, by the shareholder and the date on which they were acquired, (iv) certain information about derivatives, debt instruments and other interests related to the shares of WFT held directly or indirectly by the shareholder (as well as certain persons related to the shareholder), (v) any material interest of the shareholder in such business and (vi) a representation that the shareholder is a holder (either of record or beneficially) of not less than 0.05% of the paid up share capital of WFT as carries the right to vote at the meeting to propose such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Nominations of persons for election to the board of directors of WFT may only be made at a meeting properly called for the election of directors and only (i) by or at the direction of the board of directors of WFT or any committee thereof or (ii) by a person who is a shareholder when his or her notice of nomination is delivered to WFT and at the time of the relevant meeting. Such notice must include certain information and representations from the relevant shareholder, including the Member Information. The Articles specify time periods within which such notice must be delivered.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are elected by plurality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and Voting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Articles provide that no business shall be transacted at any general meeting unless a quorum is present. A quorum shall be one or more persons holding or representing by proxy more than 50% of the total issued voting rights of WFT’s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any meeting of the Company, all resolutions put to shareholders will be decided on a poll.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Irish Companies Act, and notwithstanding anything contained in the Memorandum or Articles or in any agreement between WFT and a director, shareholders may, by an ordinary resolution, remove a director from office before the expiration of his or her term, at a shareholders’ meeting at which the director is entitled to be heard. In addition, the Articles provide for a number of circumstances in which a director may be removed before the expiration of his period of office, including where that director:</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resigns his or her office by notice in writing to WFT;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becomes subject to a declaration of restriction under section 819 of the Irish Companies Act and the directors, during the period of that declaration, resolve that his or her office be vacated;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resigns his or her office by spoken declaration at any meeting of directors of WFT and such resignation is accepted by resolution of that meeting;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adjudicated insolvent or bankrupt or makes any arrangement or compromise with his creditors generally (in any jurisdiction);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removed from office by notice in writing to WFT by any shareholder or shareholders having the right to attend and vote at a general meeting of WFT on a resolution to remove a director and holding not less than 90% in nominal value of the shares giving that right;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subject to a resolution by the board of directors of WFT to that effect.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power of removal is without prejudice to any claim for damages for breach of contract (e.g., employment contract) that the director may have against WFT in respect of his removal.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Companies Act 201</w:t>
      </w:r>
      <w:r>
        <w:rPr>
          <w:rFonts w:ascii="Arial" w:cs="Arial" w:eastAsia="Arial" w:hAnsi="Arial"/>
          <w:sz w:val="18"/>
          <w:szCs w:val="18"/>
          <w:b w:val="1"/>
          <w:bCs w:val="1"/>
          <w:color w:val="auto"/>
        </w:rPr>
        <w:t>4</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Memorandum and Articles also include certain changes which have been made as a consequence of the enactment of the Irish Companies Act, which came into force after the previous versions of the articles of association and memorandum of association of WFT were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The foregoing description of the Memorandum and Articles does not purport to be complete and is qualified in its entirety by reference to the full text of the Memorandum and Articles, which are attached hereto as Exhibit 3.1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14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8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31750</wp:posOffset>
            </wp:positionV>
            <wp:extent cx="6663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000" w:space="720"/>
            <w:col w:w="5700"/>
          </w:cols>
          <w:pgMar w:left="240" w:top="908" w:right="239" w:bottom="1440" w:gutter="0" w:footer="0" w:header="0"/>
          <w:type w:val="continuous"/>
        </w:sectPr>
      </w:pPr>
    </w:p>
    <w:p>
      <w:pPr>
        <w:spacing w:after="0" w:line="47" w:lineRule="exact"/>
        <w:rPr>
          <w:sz w:val="20"/>
          <w:szCs w:val="20"/>
          <w:color w:val="auto"/>
        </w:rPr>
      </w:pPr>
    </w:p>
    <w:p>
      <w:pPr>
        <w:ind w:left="920" w:right="120" w:hanging="625"/>
        <w:spacing w:after="0" w:line="274" w:lineRule="auto"/>
        <w:tabs>
          <w:tab w:leader="none" w:pos="900" w:val="left"/>
        </w:tabs>
        <w:rPr>
          <w:rFonts w:ascii="Arial" w:cs="Arial" w:eastAsia="Arial" w:hAnsi="Arial"/>
          <w:sz w:val="17"/>
          <w:szCs w:val="17"/>
          <w:u w:val="single" w:color="auto"/>
          <w:color w:val="0000EE"/>
        </w:rPr>
      </w:pPr>
      <w:hyperlink r:id="rId24">
        <w:r>
          <w:rPr>
            <w:rFonts w:ascii="Arial" w:cs="Arial" w:eastAsia="Arial" w:hAnsi="Arial"/>
            <w:sz w:val="18"/>
            <w:szCs w:val="18"/>
            <w:u w:val="single" w:color="auto"/>
            <w:color w:val="0000EE"/>
          </w:rPr>
          <w:t>2.1</w:t>
        </w:r>
      </w:hyperlink>
      <w:r>
        <w:rPr>
          <w:rFonts w:ascii="Arial" w:cs="Arial" w:eastAsia="Arial" w:hAnsi="Arial"/>
          <w:sz w:val="18"/>
          <w:szCs w:val="18"/>
          <w:u w:val="single" w:color="auto"/>
          <w:color w:val="0000EE"/>
        </w:rPr>
        <w:tab/>
      </w:r>
      <w:hyperlink r:id="rId24">
        <w:r>
          <w:rPr>
            <w:rFonts w:ascii="Arial" w:cs="Arial" w:eastAsia="Arial" w:hAnsi="Arial"/>
            <w:sz w:val="17"/>
            <w:szCs w:val="17"/>
            <w:u w:val="single" w:color="auto"/>
            <w:color w:val="0000EE"/>
          </w:rPr>
          <w:t>Second Amended Joint Prepackaged Plan of Reorganization of Weatherford International plc and its Affiliate Debtors, dated September 9, 2019</w:t>
        </w:r>
      </w:hyperlink>
      <w:r>
        <w:rPr>
          <w:rFonts w:ascii="Arial" w:cs="Arial" w:eastAsia="Arial" w:hAnsi="Arial"/>
          <w:sz w:val="17"/>
          <w:szCs w:val="17"/>
          <w:u w:val="single" w:color="auto"/>
          <w:color w:val="0000EE"/>
        </w:rPr>
        <w:t xml:space="preserve"> </w:t>
      </w:r>
      <w:hyperlink r:id="rId24">
        <w:r>
          <w:rPr>
            <w:rFonts w:ascii="Arial" w:cs="Arial" w:eastAsia="Arial" w:hAnsi="Arial"/>
            <w:sz w:val="17"/>
            <w:szCs w:val="17"/>
            <w:u w:val="single" w:color="auto"/>
            <w:color w:val="0000EE"/>
          </w:rPr>
          <w:t>(incorporated by reference to Exhibit 99.1 of the Company’s Current Report on Form 8-K filed on September 10, 2019).</w:t>
        </w:r>
      </w:hyperlink>
    </w:p>
    <w:p>
      <w:pPr>
        <w:ind w:left="260"/>
        <w:spacing w:after="0"/>
        <w:tabs>
          <w:tab w:leader="none" w:pos="900" w:val="left"/>
        </w:tabs>
        <w:rPr>
          <w:rFonts w:ascii="Arial" w:cs="Arial" w:eastAsia="Arial" w:hAnsi="Arial"/>
          <w:sz w:val="16"/>
          <w:szCs w:val="16"/>
          <w:u w:val="single" w:color="auto"/>
          <w:color w:val="0000EE"/>
        </w:rPr>
      </w:pPr>
      <w:hyperlink w:anchor="page13">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13">
        <w:r>
          <w:rPr>
            <w:rFonts w:ascii="Arial" w:cs="Arial" w:eastAsia="Arial" w:hAnsi="Arial"/>
            <w:sz w:val="16"/>
            <w:szCs w:val="16"/>
            <w:u w:val="single" w:color="auto"/>
            <w:color w:val="0000EE"/>
          </w:rPr>
          <w:t>Amended and Restated Memorandum and Articles of Association of Weatherford International plc.</w:t>
        </w:r>
      </w:hyperlink>
    </w:p>
    <w:p>
      <w:pPr>
        <w:spacing w:after="0" w:line="9" w:lineRule="exact"/>
        <w:rPr>
          <w:sz w:val="20"/>
          <w:szCs w:val="20"/>
          <w:color w:val="auto"/>
        </w:rPr>
      </w:pPr>
    </w:p>
    <w:p>
      <w:pPr>
        <w:ind w:left="920" w:right="280" w:hanging="670"/>
        <w:spacing w:after="0" w:line="250" w:lineRule="auto"/>
        <w:tabs>
          <w:tab w:leader="none" w:pos="900" w:val="left"/>
        </w:tabs>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69">
        <w:r>
          <w:rPr>
            <w:rFonts w:ascii="Arial" w:cs="Arial" w:eastAsia="Arial" w:hAnsi="Arial"/>
            <w:sz w:val="18"/>
            <w:szCs w:val="18"/>
            <w:u w:val="single" w:color="auto"/>
            <w:color w:val="0000EE"/>
          </w:rPr>
          <w:t>Indenture, dated December 13, 2019, by and among Weatherford International Ltd., as issuer, the guarantors thereto and Deutsche Bank Trust</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Company Americas, as trustee.</w:t>
        </w:r>
      </w:hyperlink>
    </w:p>
    <w:p>
      <w:pPr>
        <w:spacing w:after="0" w:line="1" w:lineRule="exact"/>
        <w:rPr>
          <w:rFonts w:ascii="Arial" w:cs="Arial" w:eastAsia="Arial" w:hAnsi="Arial"/>
          <w:sz w:val="18"/>
          <w:szCs w:val="18"/>
          <w:u w:val="single" w:color="auto"/>
          <w:color w:val="0000EE"/>
        </w:rPr>
      </w:pPr>
    </w:p>
    <w:p>
      <w:pPr>
        <w:ind w:left="260"/>
        <w:spacing w:after="0"/>
        <w:tabs>
          <w:tab w:leader="none" w:pos="900" w:val="left"/>
        </w:tabs>
        <w:rPr>
          <w:rFonts w:ascii="Arial" w:cs="Arial" w:eastAsia="Arial" w:hAnsi="Arial"/>
          <w:sz w:val="16"/>
          <w:szCs w:val="16"/>
          <w:u w:val="single" w:color="auto"/>
          <w:color w:val="0000EE"/>
        </w:rPr>
      </w:pPr>
      <w:hyperlink w:anchor="page6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69">
        <w:r>
          <w:rPr>
            <w:rFonts w:ascii="Arial" w:cs="Arial" w:eastAsia="Arial" w:hAnsi="Arial"/>
            <w:sz w:val="16"/>
            <w:szCs w:val="16"/>
            <w:u w:val="single" w:color="auto"/>
            <w:color w:val="0000EE"/>
          </w:rPr>
          <w:t>Form of Senior Note (included in Exhibit 4.1).</w:t>
        </w:r>
      </w:hyperlink>
    </w:p>
    <w:p>
      <w:pPr>
        <w:spacing w:after="0" w:line="9" w:lineRule="exact"/>
        <w:rPr>
          <w:sz w:val="20"/>
          <w:szCs w:val="20"/>
          <w:color w:val="auto"/>
        </w:rPr>
      </w:pPr>
    </w:p>
    <w:p>
      <w:pPr>
        <w:ind w:left="260"/>
        <w:spacing w:after="0"/>
        <w:tabs>
          <w:tab w:leader="none" w:pos="900" w:val="left"/>
        </w:tabs>
        <w:rPr>
          <w:rFonts w:ascii="Arial" w:cs="Arial" w:eastAsia="Arial" w:hAnsi="Arial"/>
          <w:sz w:val="16"/>
          <w:szCs w:val="16"/>
          <w:u w:val="single" w:color="auto"/>
          <w:color w:val="0000EE"/>
        </w:rPr>
      </w:pPr>
      <w:hyperlink w:anchor="page1094">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094">
        <w:r>
          <w:rPr>
            <w:rFonts w:ascii="Arial" w:cs="Arial" w:eastAsia="Arial" w:hAnsi="Arial"/>
            <w:sz w:val="16"/>
            <w:szCs w:val="16"/>
            <w:u w:val="single" w:color="auto"/>
            <w:color w:val="0000EE"/>
          </w:rPr>
          <w:t>Form of Warrant Certificate (included in Exhibit 10.4).</w:t>
        </w:r>
      </w:hyperlink>
    </w:p>
    <w:p>
      <w:pPr>
        <w:spacing w:after="0" w:line="9" w:lineRule="exact"/>
        <w:rPr>
          <w:sz w:val="20"/>
          <w:szCs w:val="20"/>
          <w:color w:val="auto"/>
        </w:rPr>
      </w:pPr>
    </w:p>
    <w:p>
      <w:pPr>
        <w:ind w:left="920" w:right="300" w:hanging="715"/>
        <w:spacing w:after="0" w:line="250" w:lineRule="auto"/>
        <w:tabs>
          <w:tab w:leader="none" w:pos="900" w:val="left"/>
        </w:tabs>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200">
        <w:r>
          <w:rPr>
            <w:rFonts w:ascii="Arial" w:cs="Arial" w:eastAsia="Arial" w:hAnsi="Arial"/>
            <w:sz w:val="18"/>
            <w:szCs w:val="18"/>
            <w:u w:val="single" w:color="auto"/>
            <w:color w:val="0000EE"/>
          </w:rPr>
          <w:t>ABL Credit Agreement, dated December 13, 2019, by and among Weatherford International Ltd., Weatherford International plc, Weatherford</w:t>
        </w:r>
      </w:hyperlink>
      <w:r>
        <w:rPr>
          <w:rFonts w:ascii="Arial" w:cs="Arial" w:eastAsia="Arial" w:hAnsi="Arial"/>
          <w:sz w:val="18"/>
          <w:szCs w:val="18"/>
          <w:u w:val="single" w:color="auto"/>
          <w:color w:val="0000EE"/>
        </w:rPr>
        <w:t xml:space="preserve"> </w:t>
      </w:r>
      <w:hyperlink w:anchor="page200">
        <w:r>
          <w:rPr>
            <w:rFonts w:ascii="Arial" w:cs="Arial" w:eastAsia="Arial" w:hAnsi="Arial"/>
            <w:sz w:val="18"/>
            <w:szCs w:val="18"/>
            <w:u w:val="single" w:color="auto"/>
            <w:color w:val="0000EE"/>
          </w:rPr>
          <w:t>International LLC, Wells Fargo Bank, N.A. and the lenders party thereto from time to time.</w:t>
        </w:r>
      </w:hyperlink>
    </w:p>
    <w:p>
      <w:pPr>
        <w:spacing w:after="0" w:line="1" w:lineRule="exact"/>
        <w:rPr>
          <w:rFonts w:ascii="Arial" w:cs="Arial" w:eastAsia="Arial" w:hAnsi="Arial"/>
          <w:sz w:val="18"/>
          <w:szCs w:val="18"/>
          <w:u w:val="single" w:color="auto"/>
          <w:color w:val="0000EE"/>
        </w:rPr>
      </w:pPr>
    </w:p>
    <w:p>
      <w:pPr>
        <w:ind w:left="920" w:right="440" w:hanging="715"/>
        <w:spacing w:after="0" w:line="250" w:lineRule="auto"/>
        <w:tabs>
          <w:tab w:leader="none" w:pos="900" w:val="left"/>
        </w:tabs>
        <w:rPr>
          <w:rFonts w:ascii="Arial" w:cs="Arial" w:eastAsia="Arial" w:hAnsi="Arial"/>
          <w:sz w:val="18"/>
          <w:szCs w:val="18"/>
          <w:u w:val="single" w:color="auto"/>
          <w:color w:val="0000EE"/>
        </w:rPr>
      </w:pPr>
      <w:hyperlink w:anchor="page467">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467">
        <w:r>
          <w:rPr>
            <w:rFonts w:ascii="Arial" w:cs="Arial" w:eastAsia="Arial" w:hAnsi="Arial"/>
            <w:sz w:val="18"/>
            <w:szCs w:val="18"/>
            <w:u w:val="single" w:color="auto"/>
            <w:color w:val="0000EE"/>
          </w:rPr>
          <w:t>LC Credit Agreement, dated December 13, 2019, by and among Weatherford International Ltd., Weatherford International plc, Weatherford</w:t>
        </w:r>
      </w:hyperlink>
      <w:r>
        <w:rPr>
          <w:rFonts w:ascii="Arial" w:cs="Arial" w:eastAsia="Arial" w:hAnsi="Arial"/>
          <w:sz w:val="18"/>
          <w:szCs w:val="18"/>
          <w:u w:val="single" w:color="auto"/>
          <w:color w:val="0000EE"/>
        </w:rPr>
        <w:t xml:space="preserve"> </w:t>
      </w:r>
      <w:hyperlink w:anchor="page467">
        <w:r>
          <w:rPr>
            <w:rFonts w:ascii="Arial" w:cs="Arial" w:eastAsia="Arial" w:hAnsi="Arial"/>
            <w:sz w:val="18"/>
            <w:szCs w:val="18"/>
            <w:u w:val="single" w:color="auto"/>
            <w:color w:val="0000EE"/>
          </w:rPr>
          <w:t>International LLC, Deutsche Bank Trust Company Americas and the lenders party thereto from time to time.</w:t>
        </w:r>
      </w:hyperlink>
    </w:p>
    <w:p>
      <w:pPr>
        <w:spacing w:after="0" w:line="1" w:lineRule="exact"/>
        <w:rPr>
          <w:rFonts w:ascii="Arial" w:cs="Arial" w:eastAsia="Arial" w:hAnsi="Arial"/>
          <w:sz w:val="18"/>
          <w:szCs w:val="18"/>
          <w:u w:val="single" w:color="auto"/>
          <w:color w:val="0000EE"/>
        </w:rPr>
      </w:pPr>
    </w:p>
    <w:p>
      <w:pPr>
        <w:ind w:left="920" w:right="680" w:hanging="715"/>
        <w:spacing w:after="0" w:line="250" w:lineRule="auto"/>
        <w:tabs>
          <w:tab w:leader="none" w:pos="900" w:val="left"/>
        </w:tabs>
        <w:rPr>
          <w:rFonts w:ascii="Arial" w:cs="Arial" w:eastAsia="Arial" w:hAnsi="Arial"/>
          <w:sz w:val="18"/>
          <w:szCs w:val="18"/>
          <w:u w:val="single" w:color="auto"/>
          <w:color w:val="0000EE"/>
        </w:rPr>
      </w:pPr>
      <w:hyperlink w:anchor="page1007">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1007">
        <w:r>
          <w:rPr>
            <w:rFonts w:ascii="Arial" w:cs="Arial" w:eastAsia="Arial" w:hAnsi="Arial"/>
            <w:sz w:val="18"/>
            <w:szCs w:val="18"/>
            <w:u w:val="single" w:color="auto"/>
            <w:color w:val="0000EE"/>
          </w:rPr>
          <w:t>Intercreditor Agreement, dated December 13, 2019, by and between Wells Fargo Bank, N.A., Deutsche Bank Trust Company Americas,</w:t>
        </w:r>
      </w:hyperlink>
      <w:r>
        <w:rPr>
          <w:rFonts w:ascii="Arial" w:cs="Arial" w:eastAsia="Arial" w:hAnsi="Arial"/>
          <w:sz w:val="18"/>
          <w:szCs w:val="18"/>
          <w:u w:val="single" w:color="auto"/>
          <w:color w:val="0000EE"/>
        </w:rPr>
        <w:t xml:space="preserve"> </w:t>
      </w:r>
      <w:hyperlink w:anchor="page1007">
        <w:r>
          <w:rPr>
            <w:rFonts w:ascii="Arial" w:cs="Arial" w:eastAsia="Arial" w:hAnsi="Arial"/>
            <w:sz w:val="18"/>
            <w:szCs w:val="18"/>
            <w:u w:val="single" w:color="auto"/>
            <w:color w:val="0000EE"/>
          </w:rPr>
          <w:t>Weatherford International plc and the grantors party there to from time to time.</w:t>
        </w:r>
      </w:hyperlink>
    </w:p>
    <w:p>
      <w:pPr>
        <w:spacing w:after="0" w:line="1" w:lineRule="exact"/>
        <w:rPr>
          <w:rFonts w:ascii="Arial" w:cs="Arial" w:eastAsia="Arial" w:hAnsi="Arial"/>
          <w:sz w:val="18"/>
          <w:szCs w:val="18"/>
          <w:u w:val="single" w:color="auto"/>
          <w:color w:val="0000EE"/>
        </w:rPr>
      </w:pPr>
    </w:p>
    <w:p>
      <w:pPr>
        <w:ind w:left="920" w:right="200" w:hanging="715"/>
        <w:spacing w:after="0" w:line="250" w:lineRule="auto"/>
        <w:tabs>
          <w:tab w:leader="none" w:pos="900" w:val="left"/>
        </w:tabs>
        <w:rPr>
          <w:rFonts w:ascii="Arial" w:cs="Arial" w:eastAsia="Arial" w:hAnsi="Arial"/>
          <w:sz w:val="18"/>
          <w:szCs w:val="18"/>
          <w:u w:val="single" w:color="auto"/>
          <w:color w:val="0000EE"/>
        </w:rPr>
      </w:pPr>
      <w:hyperlink w:anchor="page1094">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1094">
        <w:r>
          <w:rPr>
            <w:rFonts w:ascii="Arial" w:cs="Arial" w:eastAsia="Arial" w:hAnsi="Arial"/>
            <w:sz w:val="18"/>
            <w:szCs w:val="18"/>
            <w:u w:val="single" w:color="auto"/>
            <w:color w:val="0000EE"/>
          </w:rPr>
          <w:t>Warrant Agreement, dated December 13, 2019, by and between Weatherford International plc and American Stock Transfer &amp; Trust Company,</w:t>
        </w:r>
      </w:hyperlink>
      <w:r>
        <w:rPr>
          <w:rFonts w:ascii="Arial" w:cs="Arial" w:eastAsia="Arial" w:hAnsi="Arial"/>
          <w:sz w:val="18"/>
          <w:szCs w:val="18"/>
          <w:u w:val="single" w:color="auto"/>
          <w:color w:val="0000EE"/>
        </w:rPr>
        <w:t xml:space="preserve"> </w:t>
      </w:r>
      <w:hyperlink w:anchor="page1094">
        <w:r>
          <w:rPr>
            <w:rFonts w:ascii="Arial" w:cs="Arial" w:eastAsia="Arial" w:hAnsi="Arial"/>
            <w:sz w:val="18"/>
            <w:szCs w:val="18"/>
            <w:u w:val="single" w:color="auto"/>
            <w:color w:val="0000EE"/>
          </w:rPr>
          <w:t>LLC.</w:t>
        </w:r>
      </w:hyperlink>
    </w:p>
    <w:p>
      <w:pPr>
        <w:spacing w:after="0" w:line="1"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6"/>
          <w:szCs w:val="16"/>
          <w:u w:val="single" w:color="auto"/>
          <w:color w:val="0000EE"/>
        </w:rPr>
      </w:pPr>
      <w:hyperlink w:anchor="page1138">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w:anchor="page1138">
        <w:r>
          <w:rPr>
            <w:rFonts w:ascii="Arial" w:cs="Arial" w:eastAsia="Arial" w:hAnsi="Arial"/>
            <w:sz w:val="16"/>
            <w:szCs w:val="16"/>
            <w:u w:val="single" w:color="auto"/>
            <w:color w:val="0000EE"/>
          </w:rPr>
          <w:t>Registration Rights Agreement, dated December 13, 2019, by and among Weatherford International plc and certain stockholders thereto.</w:t>
        </w:r>
      </w:hyperlink>
    </w:p>
    <w:p>
      <w:pPr>
        <w:spacing w:after="0" w:line="9" w:lineRule="exact"/>
        <w:rPr>
          <w:sz w:val="20"/>
          <w:szCs w:val="20"/>
          <w:color w:val="auto"/>
        </w:rPr>
      </w:pPr>
    </w:p>
    <w:p>
      <w:pPr>
        <w:ind w:left="920" w:right="580" w:hanging="670"/>
        <w:spacing w:after="0" w:line="250" w:lineRule="auto"/>
        <w:tabs>
          <w:tab w:leader="none" w:pos="900" w:val="left"/>
        </w:tabs>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25">
        <w:r>
          <w:rPr>
            <w:rFonts w:ascii="Arial" w:cs="Arial" w:eastAsia="Arial" w:hAnsi="Arial"/>
            <w:sz w:val="18"/>
            <w:szCs w:val="18"/>
            <w:u w:val="single" w:color="auto"/>
            <w:color w:val="0000EE"/>
          </w:rPr>
          <w:t>Form of Change in Control Agreement (incorporated by reference to Exhibit 10.1 of the Company’s Current Report on Form 8-K filed on</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December 15, 2016).</w:t>
        </w:r>
      </w:hyperlink>
    </w:p>
    <w:p>
      <w:pPr>
        <w:spacing w:after="0" w:line="1"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6"/>
          <w:szCs w:val="16"/>
          <w:u w:val="single" w:color="auto"/>
          <w:color w:val="0000EE"/>
        </w:rPr>
      </w:pPr>
      <w:hyperlink w:anchor="page1162">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w:anchor="page1162">
        <w:r>
          <w:rPr>
            <w:rFonts w:ascii="Arial" w:cs="Arial" w:eastAsia="Arial" w:hAnsi="Arial"/>
            <w:sz w:val="16"/>
            <w:szCs w:val="16"/>
            <w:u w:val="single" w:color="auto"/>
            <w:color w:val="0000EE"/>
          </w:rPr>
          <w:t>Form of Amendment to Change in Control Agreement.</w:t>
        </w:r>
      </w:hyperlink>
    </w:p>
    <w:p>
      <w:pPr>
        <w:spacing w:after="0" w:line="9"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hyperlink w:anchor="page1165">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w:anchor="page1165">
        <w:r>
          <w:rPr>
            <w:rFonts w:ascii="Arial" w:cs="Arial" w:eastAsia="Arial" w:hAnsi="Arial"/>
            <w:sz w:val="16"/>
            <w:szCs w:val="16"/>
            <w:u w:val="single" w:color="auto"/>
            <w:color w:val="0000EE"/>
          </w:rPr>
          <w:t>Weatherford International plc 2019 Equity Incentive Plan.</w:t>
        </w:r>
      </w:hyperlink>
    </w:p>
    <w:p>
      <w:pPr>
        <w:spacing w:after="0" w:line="9"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hyperlink w:anchor="page118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1185">
        <w:r>
          <w:rPr>
            <w:rFonts w:ascii="Arial" w:cs="Arial" w:eastAsia="Arial" w:hAnsi="Arial"/>
            <w:sz w:val="16"/>
            <w:szCs w:val="16"/>
            <w:u w:val="single" w:color="auto"/>
            <w:color w:val="0000EE"/>
          </w:rPr>
          <w:t>Notice of Effective Date.</w:t>
        </w:r>
      </w:hyperlink>
    </w:p>
    <w:p>
      <w:pPr>
        <w:spacing w:after="0" w:line="9" w:lineRule="exact"/>
        <w:rPr>
          <w:sz w:val="20"/>
          <w:szCs w:val="20"/>
          <w:color w:val="auto"/>
        </w:rPr>
      </w:pPr>
    </w:p>
    <w:p>
      <w:pPr>
        <w:ind w:left="640" w:right="2440" w:hanging="362"/>
        <w:spacing w:after="0" w:line="793" w:lineRule="auto"/>
        <w:tabs>
          <w:tab w:leader="none" w:pos="9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Weatherford International plc</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December 18, 2019</w:t>
            </w:r>
          </w:p>
        </w:tc>
        <w:tc>
          <w:tcPr>
            <w:tcW w:w="5140" w:type="dxa"/>
            <w:vAlign w:val="bottom"/>
          </w:tcPr>
          <w:p>
            <w:pPr>
              <w:spacing w:after="0"/>
              <w:rPr>
                <w:sz w:val="20"/>
                <w:szCs w:val="20"/>
                <w:color w:val="auto"/>
              </w:rPr>
            </w:pP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M. Ibrahim</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Christina M. Ibrahim</w:t>
            </w: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w w:val="92"/>
              </w:rPr>
              <w:t>Executive Vice President, General Counsel, Chief Compliance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Corporate Secretary</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Companies Act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CONSTITUTION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on December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OF ASSOCIATION</w:t>
      </w:r>
    </w:p>
    <w:p>
      <w:pPr>
        <w:spacing w:after="0" w:line="2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company is Weatherford International public limited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a public limited company, registered under Part 17 of the Companies Act 2014.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w:t>
      </w:r>
    </w:p>
    <w:p>
      <w:pPr>
        <w:spacing w:after="0" w:line="225" w:lineRule="exact"/>
        <w:rPr>
          <w:sz w:val="20"/>
          <w:szCs w:val="20"/>
          <w:color w:val="auto"/>
        </w:rPr>
      </w:pPr>
    </w:p>
    <w:p>
      <w:pPr>
        <w:jc w:val="both"/>
        <w:ind w:left="1800" w:hanging="647"/>
        <w:spacing w:after="0" w:line="255" w:lineRule="auto"/>
        <w:tabs>
          <w:tab w:leader="none" w:pos="1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branches and business locations,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board of directors of the Company and to exercise its powers as a shareholder, whether direct or indirect, of other companies.</w:t>
      </w:r>
    </w:p>
    <w:p>
      <w:pPr>
        <w:spacing w:after="0" w:line="189" w:lineRule="exact"/>
        <w:rPr>
          <w:sz w:val="20"/>
          <w:szCs w:val="20"/>
          <w:color w:val="auto"/>
        </w:rPr>
      </w:pPr>
    </w:p>
    <w:p>
      <w:pPr>
        <w:jc w:val="both"/>
        <w:ind w:left="1800" w:hanging="647"/>
        <w:spacing w:after="0" w:line="302" w:lineRule="auto"/>
        <w:tabs>
          <w:tab w:leader="none" w:pos="1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To acquire, hold, administer, control, sell and transfer equity securities in entities in Ireland and abroad, either directly or indirectly, in particular in entities which are active in the fields of providing services, financing, licensing, leasing, manufacturing and all other activities with respect to the acquisition and production of natural or alternative energy and to do all things usually dealt in by persons carrying on the above mentioned businesses or likely to be required in connection with any of the said businesses.</w:t>
      </w:r>
    </w:p>
    <w:p>
      <w:pPr>
        <w:spacing w:after="0" w:line="154" w:lineRule="exact"/>
        <w:rPr>
          <w:sz w:val="20"/>
          <w:szCs w:val="20"/>
          <w:color w:val="auto"/>
        </w:rPr>
      </w:pPr>
    </w:p>
    <w:p>
      <w:pPr>
        <w:jc w:val="both"/>
        <w:ind w:left="1800" w:hanging="647"/>
        <w:spacing w:after="0" w:line="277" w:lineRule="auto"/>
        <w:tabs>
          <w:tab w:leader="none" w:pos="1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To engage in any commercial, financial or other activities which are, directly or indirectly, related to the purpose or objects of the Company.</w:t>
      </w:r>
    </w:p>
    <w:p>
      <w:pPr>
        <w:spacing w:after="0" w:line="170" w:lineRule="exact"/>
        <w:rPr>
          <w:sz w:val="20"/>
          <w:szCs w:val="20"/>
          <w:color w:val="auto"/>
        </w:rPr>
      </w:pPr>
    </w:p>
    <w:p>
      <w:pPr>
        <w:jc w:val="both"/>
        <w:ind w:left="1800" w:hanging="647"/>
        <w:spacing w:after="0" w:line="264" w:lineRule="auto"/>
        <w:tabs>
          <w:tab w:leader="none" w:pos="1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To generally engage in all types of transactions and take all measures that appear appropriate to promote, whether directly or indirectly, the purpose or objects of the Company and/or the general interest of the Company or the group of companies to which the Company belongs, or that are related thereto.</w:t>
      </w:r>
    </w:p>
    <w:p>
      <w:pPr>
        <w:spacing w:after="0" w:line="181" w:lineRule="exact"/>
        <w:rPr>
          <w:sz w:val="20"/>
          <w:szCs w:val="20"/>
          <w:color w:val="auto"/>
        </w:rPr>
      </w:pPr>
    </w:p>
    <w:p>
      <w:pPr>
        <w:jc w:val="both"/>
        <w:ind w:left="1800" w:right="20" w:hanging="647"/>
        <w:spacing w:after="0" w:line="277" w:lineRule="auto"/>
        <w:tabs>
          <w:tab w:leader="none" w:pos="1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To participate in the financing, including by means of the providing of guarantees, support, security and sureties of any kind, of other entities of the group of companies to which the Company belongs in the general interest of such group.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jc w:val="both"/>
        <w:ind w:left="600" w:hanging="647"/>
        <w:spacing w:after="0" w:line="259" w:lineRule="auto"/>
        <w:tabs>
          <w:tab w:leader="none" w:pos="5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To acquire shares, stocks, debentures, debenture stock, indentures, notes, loan notes, loan stock, bonds, obligations and other securities of any description, by original subscription, tender, purchase, exchange or otherwise and to subscribe for the same either conditionally or otherwise, and to guarantee the subscription thereof and to exercise and enforce all rights and powers conferred by or incidental to the ownership thereof.</w:t>
      </w:r>
    </w:p>
    <w:p>
      <w:pPr>
        <w:spacing w:after="0" w:line="187" w:lineRule="exact"/>
        <w:rPr>
          <w:sz w:val="20"/>
          <w:szCs w:val="20"/>
          <w:color w:val="auto"/>
        </w:rPr>
      </w:pPr>
    </w:p>
    <w:p>
      <w:pPr>
        <w:jc w:val="both"/>
        <w:ind w:left="600" w:hanging="647"/>
        <w:spacing w:after="0" w:line="257" w:lineRule="auto"/>
        <w:tabs>
          <w:tab w:leader="none" w:pos="5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To facilitate, effect, and encourage the creation, issue or conversion of, and to offer for public or private subscription, tender, purchase or exchange, shares, stocks, debentures, debenture stock, indentures, notes, loan notes, loan stock, bonds, obligations and other securities of any description of the Company, of any member of the group to which the Company belongs or of any other person and to act as trustees in connection with any such securities and to take part in the conversion of business concerns and undertakings into companies.</w:t>
      </w:r>
    </w:p>
    <w:p>
      <w:pPr>
        <w:spacing w:after="0" w:line="188" w:lineRule="exact"/>
        <w:rPr>
          <w:sz w:val="20"/>
          <w:szCs w:val="20"/>
          <w:color w:val="auto"/>
        </w:rPr>
      </w:pPr>
    </w:p>
    <w:p>
      <w:pPr>
        <w:jc w:val="both"/>
        <w:ind w:left="600" w:hanging="647"/>
        <w:spacing w:after="0" w:line="272" w:lineRule="auto"/>
        <w:tabs>
          <w:tab w:leader="none" w:pos="5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To purchase or by any other means acquire any freehold, leasehold or other property and real estate and in particular lands, tenements and hereditaments of any tenure, whether subject or not to any charges or encumbrances, for any estate or interest whatever, and any rights, privileges or easements over or in respect of any property and real estate, and any buildings, factories, mills, works, wharves, roads, rigs, machinery, engines, plant, live and dead stock, barges, vessels or things, and any real or personal property or rights whatsoever which may be necessary for, or may conveniently be used with, or may enhance the value or property of the Company, and to hold or to sell, let, alienate, mortgage, charge or otherwise deal with all or any such freehold, leasehold, or other property and real estate, lands, tenements or hereditaments, rights, privileges or easements.</w:t>
      </w:r>
    </w:p>
    <w:p>
      <w:pPr>
        <w:spacing w:after="0" w:line="178" w:lineRule="exact"/>
        <w:rPr>
          <w:sz w:val="20"/>
          <w:szCs w:val="20"/>
          <w:color w:val="auto"/>
        </w:rPr>
      </w:pPr>
    </w:p>
    <w:p>
      <w:pPr>
        <w:jc w:val="both"/>
        <w:ind w:left="600" w:hanging="647"/>
        <w:spacing w:after="0" w:line="302" w:lineRule="auto"/>
        <w:tabs>
          <w:tab w:leader="none" w:pos="5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To establish and contribute to any scheme (including any share option scheme, restricted share unit scheme or similar scheme) for the purchase of shares in the Company to be held for the benefit of the Company's directors, employees and consultants and to lend or otherwise provide money to such schemes or the directors, employees and consultants of the Company or any of its subsidiaries or associated companies to enable them to purchase shares of the Company, in each case subject to applicable law.</w:t>
      </w:r>
    </w:p>
    <w:p>
      <w:pPr>
        <w:spacing w:after="0" w:line="154" w:lineRule="exact"/>
        <w:rPr>
          <w:sz w:val="20"/>
          <w:szCs w:val="20"/>
          <w:color w:val="auto"/>
        </w:rPr>
      </w:pPr>
    </w:p>
    <w:p>
      <w:pPr>
        <w:jc w:val="both"/>
        <w:ind w:left="600" w:hanging="647"/>
        <w:spacing w:after="0" w:line="255" w:lineRule="auto"/>
        <w:tabs>
          <w:tab w:leader="none" w:pos="5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To sell, lease, exchange, grant, convey, transfer or otherwise dispose of any or all of the property and real estate, investments or assets of the Company of whatever nature or tenure for such price, consideration, sum or other return whether equal to or less than the market value thereof and whether by way of gift or otherwise as the Directors shall deem fit and to grant any fee farm grant or lease or to enter into any agreement for letting or hire of any such property or asset for a rent or return equal to or less than the market or rack rent therefor or at no rent and subject to or free from covenants and restrictions as the Directors shall deem appropriate.</w:t>
      </w:r>
    </w:p>
    <w:p>
      <w:pPr>
        <w:spacing w:after="0" w:line="193" w:lineRule="exact"/>
        <w:rPr>
          <w:sz w:val="20"/>
          <w:szCs w:val="20"/>
          <w:color w:val="auto"/>
        </w:rPr>
      </w:pPr>
    </w:p>
    <w:p>
      <w:pPr>
        <w:jc w:val="both"/>
        <w:ind w:left="600" w:hanging="647"/>
        <w:spacing w:after="0" w:line="290" w:lineRule="auto"/>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limiting competition or for mutual assistance with any such person, firm or company and to give or accept by way of consideration for any of the acts or things aforesaid or property acquired, any shares, stocks, debentures, debenture stock, indentures, notes, loan notes, loan stock, bonds, obligations and other securities of any description that may be agreed upon, and to hold and retain or sell, mortgage or deal with any shares, stocks, debentures, debenture stock, indentures, notes, loan notes, loan stock, bonds, obligations and other securities of any description so received.</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jc w:val="both"/>
        <w:ind w:left="600" w:hanging="647"/>
        <w:spacing w:after="0" w:line="255" w:lineRule="auto"/>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To apply for, register, purchase, acquire, sell, lease, hold, use, administer, control, license or otherwise deal with any patents, brevets d'invention, copyrights, trademarks, licences, technical and industrial know-how, concessions and the like conferring any exclusive or non-exclusive or limited rights to use or any secret or other inventing information as to any invention that may seem capable of being used for any of the purposes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193"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To enter into any partnership or into any arrangement for sharing profits, union of interests, co-operation, joint venture, reciprocal concession or otherwise with any company, firm or person, carrying on or engaged in or about to carry on or engage in any business or transaction which the Company is authorised to carry on or engage in or any business or transaction capable of being conducted so as to, directly or indirectly, benefit the Company.</w:t>
      </w:r>
    </w:p>
    <w:p>
      <w:pPr>
        <w:spacing w:after="0" w:line="187" w:lineRule="exact"/>
        <w:rPr>
          <w:sz w:val="20"/>
          <w:szCs w:val="20"/>
          <w:color w:val="auto"/>
        </w:rPr>
      </w:pPr>
    </w:p>
    <w:p>
      <w:pPr>
        <w:jc w:val="both"/>
        <w:ind w:left="600" w:hanging="647"/>
        <w:spacing w:after="0" w:line="277" w:lineRule="auto"/>
        <w:tabs>
          <w:tab w:leader="none" w:pos="5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To incorporate or cause to be incorporated any one or more subsidiaries (as defined in the Companies Act 2014) for the purpose of carrying on any business.</w:t>
      </w:r>
    </w:p>
    <w:p>
      <w:pPr>
        <w:spacing w:after="0" w:line="170" w:lineRule="exact"/>
        <w:rPr>
          <w:sz w:val="20"/>
          <w:szCs w:val="20"/>
          <w:color w:val="auto"/>
        </w:rPr>
      </w:pPr>
    </w:p>
    <w:p>
      <w:pPr>
        <w:jc w:val="both"/>
        <w:ind w:left="600" w:hanging="647"/>
        <w:spacing w:after="0" w:line="277" w:lineRule="auto"/>
        <w:tabs>
          <w:tab w:leader="none" w:pos="5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To invest and deal with the moneys of the Company not immediately required upon such securities and in such manner as may from time to time be determined.</w:t>
      </w:r>
    </w:p>
    <w:p>
      <w:pPr>
        <w:spacing w:after="0" w:line="170"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To lend money to and guarantee the performance of the contracts or obligations of any company, firm or person, and the repayment of the capital and principal of, and dividends, interest or premiums payable on, any stock, shares and securities of any company, whether having objects similar to those of this Company or not, and to give all kinds of indemnities.</w:t>
      </w:r>
    </w:p>
    <w:p>
      <w:pPr>
        <w:spacing w:after="0" w:line="166" w:lineRule="exact"/>
        <w:rPr>
          <w:sz w:val="20"/>
          <w:szCs w:val="20"/>
          <w:color w:val="auto"/>
        </w:rPr>
      </w:pPr>
    </w:p>
    <w:p>
      <w:pPr>
        <w:jc w:val="both"/>
        <w:ind w:left="600" w:hanging="647"/>
        <w:spacing w:after="0" w:line="287" w:lineRule="auto"/>
        <w:tabs>
          <w:tab w:leader="none" w:pos="5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To enter into, invest or engage in, acquire, hold or dispose of any financial instruments or risk management instruments, whether or not of a type currently in existence, and currency exchange, interest rate or commodity or index linked transactions (whether in connection with or incidental to any other contract, undertaking or business entered into or carried on by the Company or whether as an independent object or activity), including securities in respect of which the return or redemption amount is calculated by reference to any index, price or rate, monetary and financial instruments of all kinds, futures contracts, swaps and hedges (including credit default, interest rate and currency swaps and hedges of any kind whatsoever), options contracts, contracts for differences, commodities (including bullion and other precious metals), forward rate agreements, debentures, debenture stock, warrants, commercial paper, promissory notes, mortgage backed securities, asset backed securities, dealings in foreign currency, spot and forward rate exchange contracts, caps, floors, collars, and any other foreign exchange, interest rate or commodity or index linked arrangements, and such other instruments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the termination of any such transactions.</w:t>
      </w: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600" w:hanging="647"/>
        <w:spacing w:after="0" w:line="273" w:lineRule="auto"/>
        <w:tabs>
          <w:tab w:leader="none" w:pos="5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To guarantee, support or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the Companies Act 2014), as amended, or a subsidiary as therein defined of any such holding company or otherwise associated with the Company in business.</w:t>
      </w:r>
    </w:p>
    <w:p>
      <w:pPr>
        <w:spacing w:after="0" w:line="178" w:lineRule="exact"/>
        <w:rPr>
          <w:sz w:val="20"/>
          <w:szCs w:val="20"/>
          <w:color w:val="auto"/>
        </w:rPr>
      </w:pPr>
    </w:p>
    <w:p>
      <w:pPr>
        <w:jc w:val="both"/>
        <w:ind w:left="600" w:hanging="647"/>
        <w:spacing w:after="0" w:line="293" w:lineRule="auto"/>
        <w:tabs>
          <w:tab w:leader="none" w:pos="5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To borrow or raise finance or secure the payment of money in such manner as the Company shall think fit, and in particular by the provision of a guarantee or by the issue of shares, stock, debentures, debenture stock, notes, loan notes, loan stock, bonds, obligations and other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65" w:lineRule="exact"/>
        <w:rPr>
          <w:sz w:val="20"/>
          <w:szCs w:val="20"/>
          <w:color w:val="auto"/>
        </w:rPr>
      </w:pPr>
    </w:p>
    <w:p>
      <w:pPr>
        <w:jc w:val="both"/>
        <w:ind w:left="600" w:hanging="647"/>
        <w:spacing w:after="0" w:line="290" w:lineRule="auto"/>
        <w:tabs>
          <w:tab w:leader="none" w:pos="5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To carry on the business of financing and re-financing whether asset based or not (including financing and re-financing of financial assets), including managing financial assets with or without security in whatever currency including financing or re-financing by way of loan, acceptance credits, commercial paper, euro medium term bonds, euro bonds, asset-backed securities, securitisation, synthetic securitisation, collateralised debt obligations, bank placements, leasing, hire purchase, credit sale, conditional sale, factoring, forfeiting, invoice discounting, note issue facilities, project financing, bond issuances, participation and syndications, assignment, novation, factoring, discounting, participation, sub-participation, derivative contracts, securities/stock lending contracts, repurchase agreements or other appropriate methods of finance and to discount mortgage receivables, loan receivables and lease rentals for persons wherever situated in any currency whatsoever, and to do all of the foregoing as principal, agent or broker.</w:t>
      </w:r>
    </w:p>
    <w:p>
      <w:pPr>
        <w:spacing w:after="0" w:line="166" w:lineRule="exact"/>
        <w:rPr>
          <w:sz w:val="20"/>
          <w:szCs w:val="20"/>
          <w:color w:val="auto"/>
        </w:rPr>
      </w:pPr>
    </w:p>
    <w:p>
      <w:pPr>
        <w:jc w:val="both"/>
        <w:ind w:left="600" w:hanging="647"/>
        <w:spacing w:after="0" w:line="277" w:lineRule="auto"/>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To draw, make, accept, endorse, discount, execute, negotiate and issue promissory notes, bills of exchange, bills of lading, warrants, indentures, debentures and other negotiable or transferable instruments.</w:t>
      </w:r>
    </w:p>
    <w:p>
      <w:pPr>
        <w:spacing w:after="0" w:line="170" w:lineRule="exact"/>
        <w:rPr>
          <w:sz w:val="20"/>
          <w:szCs w:val="20"/>
          <w:color w:val="auto"/>
        </w:rPr>
      </w:pPr>
    </w:p>
    <w:p>
      <w:pPr>
        <w:jc w:val="both"/>
        <w:ind w:left="600" w:hanging="647"/>
        <w:spacing w:after="0" w:line="264" w:lineRule="auto"/>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To subscribe for, take, purchase or otherwise acquire, hold, sell and transfer shares, stock, debentures, debenture stock, indentures, notes, loan notes, loan stock, bonds, obligations and other securities of any description of, or other interests in, any other company or person.</w:t>
      </w:r>
    </w:p>
    <w:p>
      <w:pPr>
        <w:spacing w:after="0" w:line="181" w:lineRule="exact"/>
        <w:rPr>
          <w:sz w:val="20"/>
          <w:szCs w:val="20"/>
          <w:color w:val="auto"/>
        </w:rPr>
      </w:pPr>
    </w:p>
    <w:p>
      <w:pPr>
        <w:jc w:val="both"/>
        <w:ind w:left="600" w:hanging="647"/>
        <w:spacing w:after="0" w:line="257" w:lineRule="auto"/>
        <w:tabs>
          <w:tab w:leader="none" w:pos="5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To hold in trust as trustees or as nominees and to deal with, manage and turn to account, any real or personal property of any kind, and in particular shares, stock, debentures, debenture stock, indentures, notes, loan notes, loan stock, bonds, obligations and other securities of any description, policies, book debts, claims and choses in actions, lands, buildings, hereditaments, business concerns and undertakings, mortgages, charges, annuities, patents, licences, and any interest in real or personal property, and any claims against such property or against any person or company.</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 w:name="page17"/>
    <w:bookmarkEnd w:id="16"/>
    <w:p>
      <w:pPr>
        <w:jc w:val="both"/>
        <w:ind w:left="600" w:hanging="647"/>
        <w:spacing w:after="0" w:line="259" w:lineRule="auto"/>
        <w:tabs>
          <w:tab w:leader="none" w:pos="5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To constitute any trusts with a view to the issue of preferred and, deferred or other special stocks or securities based on or representing any shares, stocks and other assets specifically appropriated for the purpose of any such trust and to settle and regulate and if thought fit to undertake and execute any such trusts and to issue dispose of or hold any such preferred, deferred or other special stocks or securities.</w:t>
      </w:r>
    </w:p>
    <w:p>
      <w:pPr>
        <w:spacing w:after="0" w:line="187" w:lineRule="exact"/>
        <w:rPr>
          <w:sz w:val="20"/>
          <w:szCs w:val="20"/>
          <w:color w:val="auto"/>
        </w:rPr>
      </w:pPr>
    </w:p>
    <w:p>
      <w:pPr>
        <w:jc w:val="both"/>
        <w:ind w:left="600" w:hanging="647"/>
        <w:spacing w:after="0" w:line="264" w:lineRule="auto"/>
        <w:tabs>
          <w:tab w:leader="none" w:pos="5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To give any guarantee in relation to the payment of any debentures, debenture stock, indentures, notes, loan notes, loan stock, bonds, obligations or other securities of any description and to guarantee the payment of interest thereon or of dividends on any stocks or shares of any company.</w:t>
      </w:r>
    </w:p>
    <w:p>
      <w:pPr>
        <w:spacing w:after="0" w:line="181"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To construct, erect and maintain buildings, houses, flats, shops and all other works, erections, and things of any description whatsoever either upon the lands acquired by the Company or upon other lands and to hold, retain as investments or to sell, let, alienate, mortgage, charge or deal with all or any of the same and generally to alter, develop and improve the lands and other property of the Company.</w:t>
      </w:r>
    </w:p>
    <w:p>
      <w:pPr>
        <w:spacing w:after="0" w:line="187" w:lineRule="exact"/>
        <w:rPr>
          <w:sz w:val="20"/>
          <w:szCs w:val="20"/>
          <w:color w:val="auto"/>
        </w:rPr>
      </w:pPr>
    </w:p>
    <w:p>
      <w:pPr>
        <w:jc w:val="both"/>
        <w:ind w:left="600" w:hanging="647"/>
        <w:spacing w:after="0" w:line="255" w:lineRule="auto"/>
        <w:tabs>
          <w:tab w:leader="none" w:pos="58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color w:val="auto"/>
        </w:rPr>
        <w:t>To provide for the welfare of persons in the employment of or holding office under or formerly in the employment of or holding office under the Company including Directors and ex-Directors of the Company or any of its subsidiary or associated companies and the wives, widows and families, dependents or connections of such persons by grants of money, pensions or other payments and by forming and contributing to pension, provident or benefit funds or profit sharing or co-partnership schemes for the benefit of such persons and to form, subscribe to or otherwise aid charitable, benevolent, religious, scientific, national or other institutions, exhibitions or objects which shall have any moral or other claims to support or aid by the Company by reason of the locality of its operation or otherwise.</w:t>
      </w:r>
    </w:p>
    <w:p>
      <w:pPr>
        <w:spacing w:after="0" w:line="189" w:lineRule="exact"/>
        <w:rPr>
          <w:sz w:val="20"/>
          <w:szCs w:val="20"/>
          <w:color w:val="auto"/>
        </w:rPr>
      </w:pPr>
    </w:p>
    <w:p>
      <w:pPr>
        <w:jc w:val="both"/>
        <w:ind w:left="600" w:hanging="647"/>
        <w:spacing w:after="0" w:line="273" w:lineRule="auto"/>
        <w:tabs>
          <w:tab w:leader="none" w:pos="58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7"/>
          <w:szCs w:val="17"/>
          <w:color w:val="auto"/>
        </w:rPr>
        <w:t>To remunerate by cash payments or allotment of shares or securities of the Company credited as fully paid up or otherwise any person or company for services rendered or to be rendered to the Company or any member of the group to which the Company belongs, whether in the course of employment with the Company or any group company or the conduct or the management of the business of the Company or any group company or in placing or assisting to place or guaranteeing the placing of any of the shares or other securities of the Company's, or any group company's capital, or any debentures or other securities of the Company or any group company or in or about the formation or promotion of the Company or any group company.</w:t>
      </w:r>
    </w:p>
    <w:p>
      <w:pPr>
        <w:spacing w:after="0" w:line="178" w:lineRule="exact"/>
        <w:rPr>
          <w:sz w:val="20"/>
          <w:szCs w:val="20"/>
          <w:color w:val="auto"/>
        </w:rPr>
      </w:pPr>
    </w:p>
    <w:p>
      <w:pPr>
        <w:jc w:val="both"/>
        <w:ind w:left="600" w:hanging="647"/>
        <w:spacing w:after="0" w:line="308" w:lineRule="auto"/>
        <w:tabs>
          <w:tab w:leader="none" w:pos="58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7"/>
          <w:szCs w:val="17"/>
          <w:color w:val="auto"/>
        </w:rPr>
        <w:t>To enter into and carry into effect any arrangement for joint working in business or for sharing of profits or for amalgamation with any other company or association or any partnership or person carrying on any business within the objects of the Company.</w:t>
      </w:r>
    </w:p>
    <w:p>
      <w:pPr>
        <w:spacing w:after="0" w:line="147" w:lineRule="exact"/>
        <w:rPr>
          <w:sz w:val="20"/>
          <w:szCs w:val="20"/>
          <w:color w:val="auto"/>
        </w:rPr>
      </w:pPr>
    </w:p>
    <w:p>
      <w:pPr>
        <w:jc w:val="both"/>
        <w:ind w:left="600" w:hanging="647"/>
        <w:spacing w:after="0" w:line="264" w:lineRule="auto"/>
        <w:tabs>
          <w:tab w:leader="none" w:pos="580" w:val="left"/>
        </w:tabs>
        <w:rPr>
          <w:sz w:val="20"/>
          <w:szCs w:val="20"/>
          <w:color w:val="auto"/>
        </w:rPr>
      </w:pPr>
      <w:r>
        <w:rPr>
          <w:rFonts w:ascii="Arial" w:cs="Arial" w:eastAsia="Arial" w:hAnsi="Arial"/>
          <w:sz w:val="18"/>
          <w:szCs w:val="18"/>
          <w:color w:val="auto"/>
        </w:rPr>
        <w:t>3.30</w:t>
      </w:r>
      <w:r>
        <w:rPr>
          <w:sz w:val="20"/>
          <w:szCs w:val="20"/>
          <w:color w:val="auto"/>
        </w:rPr>
        <w:tab/>
      </w:r>
      <w:r>
        <w:rPr>
          <w:rFonts w:ascii="Arial" w:cs="Arial" w:eastAsia="Arial" w:hAnsi="Arial"/>
          <w:sz w:val="18"/>
          <w:szCs w:val="18"/>
          <w:color w:val="auto"/>
        </w:rPr>
        <w:t>To distribute in specie or as otherwise may be resolved all or any portion of the assets of the Company among its members and in particular the shares, debentures or other securities of any other company belonging to this Company or of which this Company may have the power of disposing.</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 w:name="page18"/>
    <w:bookmarkEnd w:id="17"/>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To vest any real or personal property, rights or interest acquired or belonging to the Company in any person or company on behalf of or for the benefit of the Company, and with or without any declared trust in favour of the Company.</w:t>
      </w:r>
    </w:p>
    <w:p>
      <w:pPr>
        <w:spacing w:after="0" w:line="170"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To transact or carry on any business which may seem to be capable of being conveniently carried on in connection with any of these objects or calculated directly or indirectly to enhance the value of or facilitate the realisation of or render profitable any of the Company's property or rights.</w:t>
      </w:r>
    </w:p>
    <w:p>
      <w:pPr>
        <w:spacing w:after="0" w:line="181"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To accept stock or shares in or indentures, debentures, mortgages or securities of any other company in payment or part payment for any services rendered or for any sale made to or debt owing from any such company, whether such shares shall be wholly or partly paid up.</w:t>
      </w:r>
    </w:p>
    <w:p>
      <w:pPr>
        <w:spacing w:after="0" w:line="181"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To pay all costs, charges and expenses incurred or sustained in or about the promotion and establishment of the Company or which the Company shall consider to be preliminary thereto and to issue shares as fully or in part paid up, and to pay out of the funds of the Company all brokerage and charges incidental thereto.</w:t>
      </w:r>
    </w:p>
    <w:p>
      <w:pPr>
        <w:spacing w:after="0" w:line="18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To procure the Company to be registered or recognized in Ireland or in any foreign country or in any colony or dependency of any such foreign country or that the central management and control and/or place of effective management of the Company be located in any country, and to establish branches offices, places of business or subsidiaries in Ireland or any such foreign country or in any colony or dependency of any such foreign country.</w:t>
      </w:r>
    </w:p>
    <w:p>
      <w:pPr>
        <w:spacing w:after="0" w:line="187"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To do all or any of the matters hereby authorised in any part of the world or in conjunction with or as trustee or agent for any other company or person or by or through any factors, trustees or agents.</w:t>
      </w:r>
    </w:p>
    <w:p>
      <w:pPr>
        <w:spacing w:after="0" w:line="170"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8"/>
          <w:szCs w:val="18"/>
          <w:color w:val="auto"/>
        </w:rPr>
        <w:t>To make gifts or grant bonuses to the Directors or any other persons who are or have provided services as Directors or been in the employment of the Company including substitute and alternate directors.</w:t>
      </w:r>
    </w:p>
    <w:p>
      <w:pPr>
        <w:spacing w:after="0" w:line="170"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8"/>
          <w:szCs w:val="18"/>
          <w:color w:val="auto"/>
        </w:rPr>
        <w:t>To do all such other things that the Company may consider incidental or conducive to the attainment of the above objects or as are capable of being conveniently carried on in connection therewith.</w:t>
      </w:r>
    </w:p>
    <w:p>
      <w:pPr>
        <w:spacing w:after="0" w:line="170"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8"/>
          <w:szCs w:val="18"/>
          <w:color w:val="auto"/>
        </w:rPr>
        <w:t>To carry on any business which the Company may lawfully engage in and to do all such things incidental or conducive to the business of the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3.40</w:t>
      </w:r>
      <w:r>
        <w:rPr>
          <w:sz w:val="20"/>
          <w:szCs w:val="20"/>
          <w:color w:val="auto"/>
        </w:rPr>
        <w:tab/>
      </w:r>
      <w:r>
        <w:rPr>
          <w:rFonts w:ascii="Arial" w:cs="Arial" w:eastAsia="Arial" w:hAnsi="Arial"/>
          <w:sz w:val="16"/>
          <w:szCs w:val="16"/>
          <w:color w:val="auto"/>
        </w:rPr>
        <w:t>To make or receive gifts by way of capital contribution or otherwise.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To reduce its share capital in any manner permitted by law.</w:t>
      </w:r>
    </w:p>
    <w:p>
      <w:pPr>
        <w:spacing w:after="0" w:line="225"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To the extent permitted by law, to give whether directly or indirectly, any kind of financial assistance for the purpose of, or in connection with, the purchase of, or subscription for, shares, stock, debentures, debenture stock, indentures, notes, loan notes, loan stock, bonds, obligations and other securities of any description of the Company or of any body corporate which is at any given time the Company's holding company.</w:t>
      </w:r>
    </w:p>
    <w:p>
      <w:pPr>
        <w:spacing w:after="0" w:line="200" w:lineRule="exact"/>
        <w:rPr>
          <w:sz w:val="20"/>
          <w:szCs w:val="20"/>
          <w:color w:val="auto"/>
        </w:rPr>
      </w:pP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60"/>
          </w:cols>
          <w:pgMar w:left="1400" w:top="908" w:right="239" w:bottom="1440" w:gutter="0" w:footer="0" w:header="0"/>
        </w:sectPr>
      </w:pPr>
    </w:p>
    <w:bookmarkStart w:id="18" w:name="page19"/>
    <w:bookmarkEnd w:id="18"/>
    <w:p>
      <w:pPr>
        <w:jc w:val="both"/>
        <w:ind w:left="1800" w:hanging="647"/>
        <w:spacing w:after="0" w:line="259" w:lineRule="auto"/>
        <w:tabs>
          <w:tab w:leader="none" w:pos="178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To do and take all such things, measures, acts and actions (including, but not limited to, entering into agreements, contracts, deeds and other documents or instruments and giving undertakings, covenants, representations, warranties, indemnities and other commitments and promises) as the Company considers may be necessary or required in connection with, or incidental or conducive to, attainment of the above objects, or any of them.</w:t>
      </w:r>
    </w:p>
    <w:p>
      <w:pPr>
        <w:spacing w:after="0" w:line="187" w:lineRule="exact"/>
        <w:rPr>
          <w:sz w:val="20"/>
          <w:szCs w:val="20"/>
          <w:color w:val="auto"/>
        </w:rPr>
      </w:pPr>
    </w:p>
    <w:p>
      <w:pPr>
        <w:jc w:val="both"/>
        <w:ind w:left="1800" w:hanging="647"/>
        <w:spacing w:after="0" w:line="293" w:lineRule="auto"/>
        <w:tabs>
          <w:tab w:leader="none" w:pos="178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color w:val="auto"/>
        </w:rPr>
        <w:t>The objects set forth in any sub-clause of this clause shall be regarded as independent objects and shall not, except, where the 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165"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NOTE: It is hereby declared that the word "company" in this clause, except where used in reference to this Company shall be deemed to include any partnership, body corporate or other body of persons whether incorporated or not incorporated and whether domiciled in Ireland or elsewhere and the intention is that the objects specified in each paragraph of this clause shall except where otherwise expressed in such paragraph be in no way limited or restricted by reference to or inference from the terms of any other paragraph.</w:t>
      </w:r>
    </w:p>
    <w:p>
      <w:pPr>
        <w:spacing w:after="0" w:line="17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liability of the members is limited to the amount, if any, unpaid on the shares held by them.</w:t>
      </w:r>
    </w:p>
    <w:p>
      <w:pPr>
        <w:spacing w:after="0" w:line="225"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share capital of the Company is US$1,356,000 divided into 1,356,000,000 ordinary shares of US$0.001 each. Notwithstanding anything herein to the contrary, the Company shall not be authorised to issue non-voting capital stock or share capital of any class, series or other designation to the extent prohibited by Section 1123(a)(6) of title 11 of the Bankruptcy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restriction shall (i) have no further force and effect beyond that required under Section 1123(a)(6) of the Bankruptcy Code and (ii) only have such force and effect to the extent and for so long as such Section 1123(a)(6)of the Bankruptcy Code is in effect and applies to the Company.</w:t>
      </w:r>
    </w:p>
    <w:p>
      <w:pPr>
        <w:spacing w:after="0" w:line="172" w:lineRule="exact"/>
        <w:rPr>
          <w:rFonts w:ascii="Arial" w:cs="Arial" w:eastAsia="Arial" w:hAnsi="Arial"/>
          <w:sz w:val="17"/>
          <w:szCs w:val="17"/>
          <w:color w:val="auto"/>
        </w:rPr>
      </w:pPr>
    </w:p>
    <w:p>
      <w:pPr>
        <w:jc w:val="both"/>
        <w:ind w:left="660" w:hanging="652"/>
        <w:spacing w:after="0" w:line="29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Regulations shall apply to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general</w:t>
      </w:r>
    </w:p>
    <w:p>
      <w:pPr>
        <w:spacing w:after="0" w:line="229" w:lineRule="exact"/>
        <w:rPr>
          <w:sz w:val="20"/>
          <w:szCs w:val="20"/>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Sections 83, 84 and, for the avoidance of doubt, 117(9) of the Act shall apply to the Company but, subject to that, the provisions set out in these Articles shall constitute the whole of the regulations applicable to the Company and no other “optional provisions” as defined by section 1007(2) of the Act shall apply to the Company.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these Articles: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Act</w:t>
      </w:r>
      <w:r>
        <w:rPr>
          <w:rFonts w:ascii="Arial" w:cs="Arial" w:eastAsia="Arial" w:hAnsi="Arial"/>
          <w:sz w:val="16"/>
          <w:szCs w:val="16"/>
          <w:color w:val="auto"/>
        </w:rPr>
        <w:t>”, means the Companies Act 2014 and every statutory modification and re-enactment thereof for the time being in force;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color w:val="auto"/>
        </w:rPr>
        <w:t>“</w:t>
      </w:r>
      <w:r>
        <w:rPr>
          <w:rFonts w:ascii="Arial" w:cs="Arial" w:eastAsia="Arial" w:hAnsi="Arial"/>
          <w:sz w:val="16"/>
          <w:szCs w:val="16"/>
          <w:b w:val="1"/>
          <w:bCs w:val="1"/>
          <w:color w:val="auto"/>
        </w:rPr>
        <w:t>Adoption Date</w:t>
      </w:r>
      <w:r>
        <w:rPr>
          <w:rFonts w:ascii="Arial" w:cs="Arial" w:eastAsia="Arial" w:hAnsi="Arial"/>
          <w:sz w:val="16"/>
          <w:szCs w:val="16"/>
          <w:color w:val="auto"/>
        </w:rPr>
        <w:t>”, means the effective date of adoption of these Articles;</w:t>
      </w:r>
    </w:p>
    <w:p>
      <w:pPr>
        <w:spacing w:after="0" w:line="225" w:lineRule="exact"/>
        <w:rPr>
          <w:rFonts w:ascii="Arial" w:cs="Arial" w:eastAsia="Arial" w:hAnsi="Arial"/>
          <w:sz w:val="18"/>
          <w:szCs w:val="18"/>
          <w:color w:val="auto"/>
        </w:rPr>
      </w:pPr>
    </w:p>
    <w:p>
      <w:pPr>
        <w:ind w:left="1300" w:hanging="648"/>
        <w:spacing w:after="0" w:line="282" w:lineRule="auto"/>
        <w:rPr>
          <w:rFonts w:ascii="Arial" w:cs="Arial" w:eastAsia="Arial" w:hAnsi="Arial"/>
          <w:sz w:val="18"/>
          <w:szCs w:val="18"/>
          <w:color w:val="auto"/>
        </w:rPr>
      </w:pPr>
      <w:r>
        <w:rPr>
          <w:rFonts w:ascii="Arial" w:cs="Arial" w:eastAsia="Arial" w:hAnsi="Arial"/>
          <w:sz w:val="18"/>
          <w:szCs w:val="18"/>
          <w:color w:val="auto"/>
        </w:rPr>
        <w:t>2.3“</w:t>
      </w:r>
      <w:r>
        <w:rPr>
          <w:rFonts w:ascii="Arial" w:cs="Arial" w:eastAsia="Arial" w:hAnsi="Arial"/>
          <w:sz w:val="18"/>
          <w:szCs w:val="18"/>
          <w:b w:val="1"/>
          <w:bCs w:val="1"/>
          <w:color w:val="auto"/>
        </w:rPr>
        <w:t>Approved Nominee</w:t>
      </w:r>
      <w:r>
        <w:rPr>
          <w:rFonts w:ascii="Arial" w:cs="Arial" w:eastAsia="Arial" w:hAnsi="Arial"/>
          <w:sz w:val="18"/>
          <w:szCs w:val="18"/>
          <w:color w:val="auto"/>
        </w:rPr>
        <w:t>”, means a person appointed under contractual arrangements with the Company to hold shares or rights or interests in shares of the Company on a nominee basis;</w:t>
      </w:r>
    </w:p>
    <w:p>
      <w:pPr>
        <w:spacing w:after="0" w:line="1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2.4</w:t>
      </w:r>
      <w:r>
        <w:rPr>
          <w:rFonts w:ascii="Arial" w:cs="Arial" w:eastAsia="Arial" w:hAnsi="Arial"/>
          <w:sz w:val="16"/>
          <w:szCs w:val="16"/>
          <w:color w:val="auto"/>
        </w:rPr>
        <w:t>“</w:t>
      </w:r>
      <w:r>
        <w:rPr>
          <w:rFonts w:ascii="Arial" w:cs="Arial" w:eastAsia="Arial" w:hAnsi="Arial"/>
          <w:sz w:val="16"/>
          <w:szCs w:val="16"/>
          <w:b w:val="1"/>
          <w:bCs w:val="1"/>
          <w:color w:val="auto"/>
        </w:rPr>
        <w:t>Article</w:t>
      </w:r>
      <w:r>
        <w:rPr>
          <w:rFonts w:ascii="Arial" w:cs="Arial" w:eastAsia="Arial" w:hAnsi="Arial"/>
          <w:sz w:val="16"/>
          <w:szCs w:val="16"/>
          <w:color w:val="auto"/>
        </w:rPr>
        <w:t>”, means an article of these Articles;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2.5</w:t>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means these articles of association as from time to time and for the time being in force;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2.6</w:t>
      </w:r>
      <w:r>
        <w:rPr>
          <w:rFonts w:ascii="Arial" w:cs="Arial" w:eastAsia="Arial" w:hAnsi="Arial"/>
          <w:sz w:val="16"/>
          <w:szCs w:val="16"/>
          <w:color w:val="auto"/>
        </w:rPr>
        <w:t>“</w:t>
      </w:r>
      <w:r>
        <w:rPr>
          <w:rFonts w:ascii="Arial" w:cs="Arial" w:eastAsia="Arial" w:hAnsi="Arial"/>
          <w:sz w:val="16"/>
          <w:szCs w:val="16"/>
          <w:b w:val="1"/>
          <w:bCs w:val="1"/>
          <w:color w:val="auto"/>
        </w:rPr>
        <w:t>Auditors</w:t>
      </w:r>
      <w:r>
        <w:rPr>
          <w:rFonts w:ascii="Arial" w:cs="Arial" w:eastAsia="Arial" w:hAnsi="Arial"/>
          <w:sz w:val="16"/>
          <w:szCs w:val="16"/>
          <w:color w:val="auto"/>
        </w:rPr>
        <w:t>”, means the auditors for the time being of the Company;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2.7</w:t>
      </w: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means title 11 of the United States Code §§101-1532;</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2.8</w:t>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2.9</w:t>
      </w:r>
      <w:r>
        <w:rPr>
          <w:rFonts w:ascii="Arial" w:cs="Arial" w:eastAsia="Arial" w:hAnsi="Arial"/>
          <w:sz w:val="16"/>
          <w:szCs w:val="16"/>
          <w:color w:val="auto"/>
        </w:rPr>
        <w:t>“</w:t>
      </w:r>
      <w:r>
        <w:rPr>
          <w:rFonts w:ascii="Arial" w:cs="Arial" w:eastAsia="Arial" w:hAnsi="Arial"/>
          <w:sz w:val="16"/>
          <w:szCs w:val="16"/>
          <w:b w:val="1"/>
          <w:bCs w:val="1"/>
          <w:color w:val="auto"/>
        </w:rPr>
        <w:t>Chairperson</w:t>
      </w:r>
      <w:r>
        <w:rPr>
          <w:rFonts w:ascii="Arial" w:cs="Arial" w:eastAsia="Arial" w:hAnsi="Arial"/>
          <w:sz w:val="16"/>
          <w:szCs w:val="16"/>
          <w:color w:val="auto"/>
        </w:rPr>
        <w:t>”, means the person occupying the position of Chairperson of the Board from time to time;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2.10</w:t>
      </w:r>
      <w:r>
        <w:rPr>
          <w:rFonts w:ascii="Arial" w:cs="Arial" w:eastAsia="Arial" w:hAnsi="Arial"/>
          <w:sz w:val="16"/>
          <w:szCs w:val="16"/>
          <w:color w:val="auto"/>
        </w:rPr>
        <w:t>“</w:t>
      </w:r>
      <w:r>
        <w:rPr>
          <w:rFonts w:ascii="Arial" w:cs="Arial" w:eastAsia="Arial" w:hAnsi="Arial"/>
          <w:sz w:val="16"/>
          <w:szCs w:val="16"/>
          <w:b w:val="1"/>
          <w:bCs w:val="1"/>
          <w:color w:val="auto"/>
        </w:rPr>
        <w:t>Chief Executive Officer</w:t>
      </w:r>
      <w:r>
        <w:rPr>
          <w:rFonts w:ascii="Arial" w:cs="Arial" w:eastAsia="Arial" w:hAnsi="Arial"/>
          <w:sz w:val="16"/>
          <w:szCs w:val="16"/>
          <w:color w:val="auto"/>
        </w:rPr>
        <w:t>”, shall include any equivalent office;</w:t>
      </w:r>
    </w:p>
    <w:p>
      <w:pPr>
        <w:spacing w:after="0" w:line="225" w:lineRule="exact"/>
        <w:rPr>
          <w:rFonts w:ascii="Arial" w:cs="Arial" w:eastAsia="Arial" w:hAnsi="Arial"/>
          <w:sz w:val="18"/>
          <w:szCs w:val="18"/>
          <w:color w:val="auto"/>
        </w:rPr>
      </w:pPr>
    </w:p>
    <w:p>
      <w:pPr>
        <w:ind w:left="1300" w:hanging="648"/>
        <w:spacing w:after="0" w:line="347" w:lineRule="auto"/>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6"/>
          <w:szCs w:val="16"/>
          <w:color w:val="auto"/>
        </w:rPr>
        <w:t>“</w:t>
      </w:r>
      <w:r>
        <w:rPr>
          <w:rFonts w:ascii="Arial" w:cs="Arial" w:eastAsia="Arial" w:hAnsi="Arial"/>
          <w:sz w:val="16"/>
          <w:szCs w:val="16"/>
          <w:b w:val="1"/>
          <w:bCs w:val="1"/>
          <w:color w:val="auto"/>
        </w:rPr>
        <w:t>Clear Days</w:t>
      </w:r>
      <w:r>
        <w:rPr>
          <w:rFonts w:ascii="Arial" w:cs="Arial" w:eastAsia="Arial" w:hAnsi="Arial"/>
          <w:sz w:val="16"/>
          <w:szCs w:val="16"/>
          <w:color w:val="auto"/>
        </w:rPr>
        <w:t>”, means, in relation to a period of notice, that period excluding the day when the notice is given or deemed to be given and excluding the day for which notice is being given or on which an action or event for which notice is being given is to occur or take effect;</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2.12</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the company whose name appears in the heading to these Articles;</w:t>
      </w:r>
    </w:p>
    <w:p>
      <w:pPr>
        <w:spacing w:after="0" w:line="225" w:lineRule="exact"/>
        <w:rPr>
          <w:rFonts w:ascii="Arial" w:cs="Arial" w:eastAsia="Arial" w:hAnsi="Arial"/>
          <w:sz w:val="18"/>
          <w:szCs w:val="18"/>
          <w:color w:val="auto"/>
        </w:rPr>
      </w:pPr>
    </w:p>
    <w:p>
      <w:pPr>
        <w:ind w:left="1300" w:right="20" w:hanging="648"/>
        <w:spacing w:after="0" w:line="282" w:lineRule="auto"/>
        <w:rPr>
          <w:rFonts w:ascii="Arial" w:cs="Arial" w:eastAsia="Arial" w:hAnsi="Arial"/>
          <w:sz w:val="18"/>
          <w:szCs w:val="18"/>
          <w:color w:val="auto"/>
        </w:rPr>
      </w:pPr>
      <w:r>
        <w:rPr>
          <w:rFonts w:ascii="Arial" w:cs="Arial" w:eastAsia="Arial" w:hAnsi="Arial"/>
          <w:sz w:val="18"/>
          <w:szCs w:val="18"/>
          <w:color w:val="auto"/>
        </w:rPr>
        <w:t>2.13“</w:t>
      </w:r>
      <w:r>
        <w:rPr>
          <w:rFonts w:ascii="Arial" w:cs="Arial" w:eastAsia="Arial" w:hAnsi="Arial"/>
          <w:sz w:val="18"/>
          <w:szCs w:val="18"/>
          <w:b w:val="1"/>
          <w:bCs w:val="1"/>
          <w:color w:val="auto"/>
        </w:rPr>
        <w:t>Company Secretary</w:t>
      </w:r>
      <w:r>
        <w:rPr>
          <w:rFonts w:ascii="Arial" w:cs="Arial" w:eastAsia="Arial" w:hAnsi="Arial"/>
          <w:sz w:val="18"/>
          <w:szCs w:val="18"/>
          <w:color w:val="auto"/>
        </w:rPr>
        <w:t>”, means the person or persons appointed as company secretary or joint company secretary of the Company from time to time and shall include any assistant or deputy secretary;</w:t>
      </w:r>
    </w:p>
    <w:p>
      <w:pPr>
        <w:spacing w:after="0" w:line="161" w:lineRule="exact"/>
        <w:rPr>
          <w:rFonts w:ascii="Arial" w:cs="Arial" w:eastAsia="Arial" w:hAnsi="Arial"/>
          <w:sz w:val="18"/>
          <w:szCs w:val="18"/>
          <w:color w:val="auto"/>
        </w:rPr>
      </w:pPr>
    </w:p>
    <w:p>
      <w:pPr>
        <w:ind w:left="1300" w:hanging="648"/>
        <w:spacing w:after="0" w:line="266" w:lineRule="auto"/>
        <w:rPr>
          <w:rFonts w:ascii="Arial" w:cs="Arial" w:eastAsia="Arial" w:hAnsi="Arial"/>
          <w:sz w:val="18"/>
          <w:szCs w:val="18"/>
          <w:color w:val="auto"/>
        </w:rPr>
      </w:pPr>
      <w:r>
        <w:rPr>
          <w:rFonts w:ascii="Arial" w:cs="Arial" w:eastAsia="Arial" w:hAnsi="Arial"/>
          <w:sz w:val="18"/>
          <w:szCs w:val="18"/>
          <w:color w:val="auto"/>
        </w:rPr>
        <w:t>2.14“</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0" w:name="page21"/>
    <w:bookmarkEnd w:id="20"/>
    <w:p>
      <w:pPr>
        <w:spacing w:after="0"/>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Directors</w:t>
      </w:r>
      <w:r>
        <w:rPr>
          <w:rFonts w:ascii="Arial" w:cs="Arial" w:eastAsia="Arial" w:hAnsi="Arial"/>
          <w:sz w:val="16"/>
          <w:szCs w:val="16"/>
          <w:color w:val="auto"/>
        </w:rPr>
        <w:t>”, means the directors for the time being of the Company or any of them acting as the Board;</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has the meaning given to that word in the Electronic Commerce Act 2000 and in addition includes in the case of notices or documents issued on behalf of the Company, such documents being made available or displayed on a website of the Company (or a website designated by the Board);</w:t>
      </w:r>
    </w:p>
    <w:p>
      <w:pPr>
        <w:spacing w:after="0" w:line="176"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means any securities exchange or other system on which the shares of the Company may be listed or otherwise authorised for trading from time to time in circumstances where the Company has approved such listing or trading;</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of the United States;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its subsidiaries from time to time and for the time being;</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holding company</w:t>
      </w:r>
      <w:r>
        <w:rPr>
          <w:rFonts w:ascii="Arial" w:cs="Arial" w:eastAsia="Arial" w:hAnsi="Arial"/>
          <w:sz w:val="16"/>
          <w:szCs w:val="16"/>
          <w:color w:val="auto"/>
        </w:rPr>
        <w:t>”, shall have the meaning ascribed thereto in section 8 of the Act;</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in relation to any share, the member whose name is entered in the Register as the holder of the share or, where the context permits, the members whose names are entered in the Register as the joint holders of shares and shall include a member’s personal representatives in consequence of his or her death or bankruptcy;</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Member Associated Person</w:t>
      </w:r>
      <w:r>
        <w:rPr>
          <w:rFonts w:ascii="Arial" w:cs="Arial" w:eastAsia="Arial" w:hAnsi="Arial"/>
          <w:sz w:val="18"/>
          <w:szCs w:val="18"/>
          <w:color w:val="auto"/>
        </w:rPr>
        <w:t>”, means with respect to any member, (i) any other beneficial owner of stock or share capital of the Company that is owned by such member and (ii) any person that directly, or indirectly through one or more intermediaries, controls, or is controlled by, or is under common control with, the member or such beneficial owner;</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Memorandum</w:t>
      </w:r>
      <w:r>
        <w:rPr>
          <w:rFonts w:ascii="Arial" w:cs="Arial" w:eastAsia="Arial" w:hAnsi="Arial"/>
          <w:sz w:val="16"/>
          <w:szCs w:val="16"/>
          <w:color w:val="auto"/>
        </w:rPr>
        <w:t>”, means the memorandum of association of the Company;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Office</w:t>
      </w:r>
      <w:r>
        <w:rPr>
          <w:rFonts w:ascii="Arial" w:cs="Arial" w:eastAsia="Arial" w:hAnsi="Arial"/>
          <w:sz w:val="16"/>
          <w:szCs w:val="16"/>
          <w:color w:val="auto"/>
        </w:rPr>
        <w:t>”, means the registered office for the time being of the Company;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means the ordinary shares of US$0.001 each in the capital of the Company;</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Public Disclosure</w:t>
      </w:r>
      <w:r>
        <w:rPr>
          <w:rFonts w:ascii="Arial" w:cs="Arial" w:eastAsia="Arial" w:hAnsi="Arial"/>
          <w:sz w:val="18"/>
          <w:szCs w:val="18"/>
          <w:color w:val="auto"/>
        </w:rPr>
        <w:t>”, of any date or other information means disclosure thereof by a press release reported by the Dow Jones News Services, Associated Press or comparable U.S. national news service or in a document publicly filed by the Company with the SEC pursuant to Sections 13, 14 or 15(d) of the Exchange Act;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Redeemable Shares</w:t>
      </w:r>
      <w:r>
        <w:rPr>
          <w:rFonts w:ascii="Arial" w:cs="Arial" w:eastAsia="Arial" w:hAnsi="Arial"/>
          <w:sz w:val="16"/>
          <w:szCs w:val="16"/>
          <w:color w:val="auto"/>
        </w:rPr>
        <w:t>”, means redeemable shares as defined by section 64 of the Act;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means the register of members of the Company to be kept as required by the Act;</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means collectively (i) the examiner’s scheme of arrangement under Part 10 of the Act in respect of the Company approved by the Irish High Court on the Adoption Date, and (ii) the provisional liquidator’s scheme of arrangement in respect of Weatherford International Ltd. pursuant to the Companies Act 1981 of Bermuda.</w:t>
      </w:r>
    </w:p>
    <w:p>
      <w:pPr>
        <w:spacing w:after="0" w:line="39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21" w:name="page22"/>
    <w:bookmarkEnd w:id="21"/>
    <w:p>
      <w:pPr>
        <w:ind w:left="660"/>
        <w:spacing w:after="0"/>
        <w:tabs>
          <w:tab w:leader="none" w:pos="12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U.S. Securities and Exchange Commission;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shall have the meaning ascribed thereto in section 7 of the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it is hereby declared that in these Articles:</w:t>
      </w:r>
    </w:p>
    <w:p>
      <w:pPr>
        <w:spacing w:after="0" w:line="225" w:lineRule="exact"/>
        <w:rPr>
          <w:sz w:val="20"/>
          <w:szCs w:val="20"/>
          <w:color w:val="auto"/>
        </w:rPr>
      </w:pPr>
    </w:p>
    <w:p>
      <w:pPr>
        <w:jc w:val="both"/>
        <w:ind w:left="130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word “company” or “corporation”, except where used in reference to this Company, shall be deemed to include a body corporate, whether a company (wherever formed, registered or incorporated), a corporation aggregate, a corporation sole, a partnership, joint venture, trust, non-profit entity, a national or local government or other legal entity;</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word or expression used in the Articles which is not otherwise defined and which is also used in the Act shall have the same meaning here, as it has in the Act;</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words denoting the singular number only shall include the plural number and vice versa and references to one gender includes all genders where applicable or as the context may require; and</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references in these Articles to any enactment or legislation or any section or provision thereof shall mean such enactment, section or provision as the same may be amended, replaced or re-enacted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Authorised share capital</w:t>
      </w:r>
    </w:p>
    <w:p>
      <w:pPr>
        <w:spacing w:after="0" w:line="22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authorised share capital of the Company is US$1,356,000 divided into 1,356,000,000 ordinary shares of US$0.001 each.</w:t>
      </w:r>
    </w:p>
    <w:p>
      <w:pPr>
        <w:spacing w:after="0" w:line="225"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shall not be authorised to issue non-voting capital stock or share capital of any class, series or other designation to the extent prohibited by Section 1123(a)(6) of title 11 of the Bankruptcy Code; provided, however, that the foregoing restriction shall (i) have no further force and effect beyond that required under Section 1123(a)(6) of the Bankruptcy Code and (ii) only have such force and effect to the extent and for so long as such Section 1123(a)(6) is in effect and applies to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Rights attaching to shares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Without prejudice to any special rights conferred on the members of any existing shares or class of shares and subject to the provisions of the Act, any share may be issued with such preferred or deferred or other special rights or such restrictions, whether in regard to dividend, voting, return of capital or otherwise as the Company may from time to time determine by ordinary resolution.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Allotment and acquisition of shares</w:t>
      </w:r>
    </w:p>
    <w:p>
      <w:pPr>
        <w:spacing w:after="0" w:line="22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provisions shall apply:</w:t>
      </w:r>
    </w:p>
    <w:p>
      <w:pPr>
        <w:spacing w:after="0" w:line="225" w:lineRule="exact"/>
        <w:rPr>
          <w:rFonts w:ascii="Arial" w:cs="Arial" w:eastAsia="Arial" w:hAnsi="Arial"/>
          <w:sz w:val="18"/>
          <w:szCs w:val="18"/>
          <w:color w:val="auto"/>
        </w:rPr>
      </w:pPr>
    </w:p>
    <w:p>
      <w:pPr>
        <w:ind w:left="1300" w:hanging="648"/>
        <w:spacing w:after="0" w:line="297"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Subject to the provisions of these Articles relating to new shares, the shares shall be at the disposal of the Directors, and they may (subject to the provisions of the Act) allot, grant options over or otherwise dispose of them to such persons, on such terms and conditions and at such times as they may consider to be in the best interests of the Company and its members, but so that no share shall be issued at a discount to its nominal value and so that, in the case of shares offered to the public for subscription, the amount payable on application on each share shall not be less than one-quarter of the nominal amount of the share and the whole of any premium thereon.</w:t>
      </w:r>
    </w:p>
    <w:p>
      <w:pPr>
        <w:spacing w:after="0" w:line="158" w:lineRule="exact"/>
        <w:rPr>
          <w:rFonts w:ascii="Arial" w:cs="Arial" w:eastAsia="Arial" w:hAnsi="Arial"/>
          <w:sz w:val="18"/>
          <w:szCs w:val="18"/>
          <w:color w:val="auto"/>
        </w:rPr>
      </w:pPr>
    </w:p>
    <w:p>
      <w:pPr>
        <w:ind w:left="1300" w:hanging="648"/>
        <w:spacing w:after="0" w:line="273" w:lineRule="auto"/>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7"/>
          <w:szCs w:val="17"/>
          <w:color w:val="auto"/>
        </w:rPr>
        <w:t>Without prejudice to the generality of the powers conferred on the Directors by other paragraphs of these Articles, and subject to any requirement to obtain the approval of the members under any applicable rule of law or of any Exchange, the Directors may grant from time to time options to subscribe for the unallotted shares in the capital of the Company to Directors and other persons in the service or employment of the Company or any subsidiary or associate company of the Company on such terms and subject to such conditions as may be approved from time to time by the Directors or by any committee thereof appointed by the Directors for the purpose of such approval and on the terms and conditions required to obtain the approval of any statutory authority in any jurisdiction.</w:t>
      </w:r>
    </w:p>
    <w:p>
      <w:pPr>
        <w:spacing w:after="0" w:line="178" w:lineRule="exact"/>
        <w:rPr>
          <w:rFonts w:ascii="Arial" w:cs="Arial" w:eastAsia="Arial" w:hAnsi="Arial"/>
          <w:sz w:val="18"/>
          <w:szCs w:val="18"/>
          <w:color w:val="auto"/>
        </w:rPr>
      </w:pPr>
    </w:p>
    <w:p>
      <w:pPr>
        <w:ind w:left="1300" w:hanging="648"/>
        <w:spacing w:after="0" w:line="312" w:lineRule="auto"/>
        <w:rPr>
          <w:rFonts w:ascii="Arial" w:cs="Arial" w:eastAsia="Arial" w:hAnsi="Arial"/>
          <w:sz w:val="18"/>
          <w:szCs w:val="18"/>
          <w:color w:val="auto"/>
        </w:rPr>
      </w:pPr>
      <w:r>
        <w:rPr>
          <w:rFonts w:ascii="Arial" w:cs="Arial" w:eastAsia="Arial" w:hAnsi="Arial"/>
          <w:sz w:val="18"/>
          <w:szCs w:val="18"/>
          <w:color w:val="auto"/>
        </w:rPr>
        <w:t>6.3</w:t>
      </w:r>
      <w:r>
        <w:rPr>
          <w:rFonts w:ascii="Arial" w:cs="Arial" w:eastAsia="Arial" w:hAnsi="Arial"/>
          <w:sz w:val="16"/>
          <w:szCs w:val="16"/>
          <w:color w:val="auto"/>
        </w:rPr>
        <w:t>The Directors are hereby generally and unconditionally authorised to exercise all the powers of the Company to allot relevant securities within the meaning of section 1021 of the Act. The maximum amount of relevant securities which may be allotted under the authority hereby conferred shall be up to an aggregate nominal value of US$170,000 (170,000,000 Ordinary Shares) allocated as follows:</w:t>
      </w:r>
    </w:p>
    <w:p>
      <w:pPr>
        <w:spacing w:after="0" w:line="146"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up to US$87,000 (87,000,000 Ordinary Shares) for the purposes of allotting relevant securities contemplated in the Scheme; and</w:t>
      </w:r>
    </w:p>
    <w:p>
      <w:pPr>
        <w:spacing w:after="0" w:line="248"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up to US$83,000 (83,000,000 Ordinary Shares) together with any relevant securities authorized pursuant to Article 6.3(a) that are not allotted (or otherwise counted for the purposes of this Article 6.3) pursuant to the Scheme, for the purposes of allotting relevant securities as the Directors see fit.</w:t>
      </w:r>
    </w:p>
    <w:p>
      <w:pPr>
        <w:spacing w:after="0" w:line="181"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authority hereby conferred shall expire on the date which is five years after the Adoption Date unless and to the extent that such authority is renewed, revoked or extended prior to such date. The Company may before such expiry make an offer or agreement which would or might require relevant securities to be allotted after such expiry and the Directors may allot relevant securities in pursuance of such offer or agreement, notwithstanding that the authority hereby conferred has expired.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Company may issue permissible letters of allotment (as defined by section 1019 of the Act) to the extent permitted by the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The Directors are hereby empowered pursuant to sections 1022 and 1023(3) of the Act to allot equity securities within the meaning of the said section 1022 for cash pursuant to the authority conferred by Article 6.3 as if section 1022(1) of the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Article 6.5 had not expired.</w:t>
      </w:r>
    </w:p>
    <w:p>
      <w:pPr>
        <w:spacing w:after="0" w:line="188"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Unless otherwise determined by the Directors or the rights attaching to or by the terms of issue of any particular shares, or to the extent required by the Act, any Exchange, depository or any operator of any clearance or settlement system, no person whose name is entered as a member in the Register shall be entitled to receive a share certificate for any shares of any class held by him or her in the capital of the Company (nor on transferring part of a holding, to a certificate for the balance).</w:t>
      </w:r>
    </w:p>
    <w:p>
      <w:pPr>
        <w:spacing w:after="0" w:line="187"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Any share certificate, if issued, shall specify the number of shares in respect of which it is issued and the amount paid thereon or the fact that they are fully paid, as the case may be, and may otherwise be in such form as shall be determined by the Directors. Such certificates may be under seal. All certificates for shares in the capital of the Company shall be consecutively numbered or otherwise identified and shall specify the shares in the capital of the Company to which they relate. The name and address of the person to whom the shares represented thereby are issued, with the number of shares and date of issue, shall be entered in the Register. All certificates surrendered to the Company for transfer shall be cancelled and no new certificate shall be issued until the former certificate for a like number of shares in the capital of the Company shall have been surrendered and cancelled. The Directors may authorise certificates to be issued with the seal and authorised signature(s) affixed by some method or system of mechanical process. In respect of a share or shares in the capital of the Company held jointly by several persons, the Company shall not be bound to issue a certificate or certificates to each such person, and the issue and delivery of a certificate or certificates to one of several joint holders shall be sufficient delivery to all such holders. If a share certificate is defaced, worn out, lost or destroyed, it may be renewed on such terms (if any) as to evidence and indemnity and on the payment of such expenses reasonably incurred by the Company in investigating such evidence, as the Directors may prescribe, and, in the case of defacement or wearing out, upon delivery of the old certificate.</w:t>
      </w:r>
    </w:p>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7.1may give financial assistance for the purpose of an acquisition of its shares or, where the Company is a subsidiary, shares in its holding company where permitted by sections 82 and 1043 of the Act, and</w:t>
      </w:r>
    </w:p>
    <w:p>
      <w:pPr>
        <w:spacing w:after="0" w:line="170" w:lineRule="exact"/>
        <w:rPr>
          <w:rFonts w:ascii="Arial" w:cs="Arial" w:eastAsia="Arial" w:hAnsi="Arial"/>
          <w:sz w:val="18"/>
          <w:szCs w:val="18"/>
          <w:color w:val="auto"/>
        </w:rPr>
      </w:pPr>
    </w:p>
    <w:p>
      <w:pPr>
        <w:ind w:left="1300" w:hanging="648"/>
        <w:spacing w:after="0" w:line="253" w:lineRule="auto"/>
        <w:rPr>
          <w:rFonts w:ascii="Arial" w:cs="Arial" w:eastAsia="Arial" w:hAnsi="Arial"/>
          <w:sz w:val="18"/>
          <w:szCs w:val="18"/>
          <w:color w:val="auto"/>
        </w:rPr>
      </w:pPr>
      <w:r>
        <w:rPr>
          <w:rFonts w:ascii="Arial" w:cs="Arial" w:eastAsia="Arial" w:hAnsi="Arial"/>
          <w:sz w:val="18"/>
          <w:szCs w:val="18"/>
          <w:color w:val="auto"/>
        </w:rPr>
        <w:t>7.2is authorised, for the purposes of section 105(4)(a) of the Act, but subject to section 1073 of the Act, to acquire its own shares. Notwithstanding the provisions of Article 47, unless the Board determines otherwise, any share in the capital of the Company shall be deemed to be a Redeemable Share on, and from the time of, the existence or creation of an agreement, transaction or trade between the Company and any person (who may or may not be a member) pursuant to which the Company acquires or will acquire a share in the capital of the Company, or an interest in shares in the capital of the Company, from the relevant person, save for an acquisition for nil consideration pursuant to section 102(1)(a) of the Act. In these circumstances, the acquisition of such shares by the Company, save where acquired for nil consideration in accordance with the Act, shall constitute the redemption of a Redeemable Share in accordance with Chapter 6 of Part 3 of the Act. No resolution, whether special or otherwise, shall be required to be passed to deem any share in the capital of the Company a Redeemable Share.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Directors (and any committee established under Article 190 and so authorised by the Directors and any person so authorised by the Directors or such committee) may without prejudice to Article 171 and notwithstanding the provisions of Article 6.2:</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color w:val="auto"/>
        </w:rPr>
        <w:t>allot, issue, grant options over and otherwise dispose of shares in the Company; and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color w:val="auto"/>
        </w:rPr>
        <w:t>exercise the Company's powers under Article 6,</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such terms and subject to such conditions as they think fit, subject only to the provisions of the Act and these Articles.</w:t>
      </w:r>
    </w:p>
    <w:p>
      <w:pPr>
        <w:spacing w:after="0" w:line="225" w:lineRule="exact"/>
        <w:rPr>
          <w:rFonts w:ascii="Arial" w:cs="Arial" w:eastAsia="Arial" w:hAnsi="Arial"/>
          <w:sz w:val="18"/>
          <w:szCs w:val="18"/>
          <w:color w:val="auto"/>
        </w:rPr>
      </w:pPr>
    </w:p>
    <w:p>
      <w:pPr>
        <w:jc w:val="both"/>
        <w:ind w:left="660" w:hanging="652"/>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paid shares or any combination of the two. The Company may also, on any issue of shares, pay such brokerage as may be lawful.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Class Rights</w:t>
      </w:r>
    </w:p>
    <w:p>
      <w:pPr>
        <w:spacing w:after="0" w:line="229" w:lineRule="exact"/>
        <w:rPr>
          <w:sz w:val="20"/>
          <w:szCs w:val="20"/>
          <w:color w:val="auto"/>
        </w:rPr>
      </w:pPr>
    </w:p>
    <w:p>
      <w:pPr>
        <w:jc w:val="both"/>
        <w:ind w:left="660" w:hanging="652"/>
        <w:spacing w:after="0" w:line="289"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Where the shares in the Company are divided into different classes, the rights attaching to a class of shares may only be varied or abrogated if (a) the holders of 75% (or, in the circumstances described in section 88(4)(b) of the Act, greater than 50%) in nominal value of the issued shares of that class consent in writing to the variation, or (b) a special resolution (or, in the circumstances described in section 88(4)(b) of the Act, an ordinary resolution), passed at a separate general meeting of the holders of that class, sanctions the variation. The quorum at any such separate general meeting, other than an adjourned meeting, shall be two persons holding or representing by proxy at least one-third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the Company of its own shares or by the creation or issue of further shares ranking pari passu therewith or subordinate thereto.</w:t>
      </w:r>
    </w:p>
    <w:p>
      <w:pPr>
        <w:spacing w:after="0" w:line="166" w:lineRule="exact"/>
        <w:rPr>
          <w:rFonts w:ascii="Arial" w:cs="Arial" w:eastAsia="Arial" w:hAnsi="Arial"/>
          <w:sz w:val="16"/>
          <w:szCs w:val="16"/>
          <w:color w:val="auto"/>
        </w:rPr>
      </w:pPr>
    </w:p>
    <w:p>
      <w:pPr>
        <w:ind w:left="6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Trusts not recognised</w:t>
      </w:r>
    </w:p>
    <w:p>
      <w:pPr>
        <w:spacing w:after="0" w:line="229" w:lineRule="exact"/>
        <w:rPr>
          <w:sz w:val="20"/>
          <w:szCs w:val="20"/>
          <w:color w:val="auto"/>
        </w:rPr>
      </w:pPr>
    </w:p>
    <w:p>
      <w:pPr>
        <w:jc w:val="both"/>
        <w:ind w:left="660" w:hanging="652"/>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member. This shall not preclude (i) the Company from requiring the members or a transferee of shares to furnish the Company with information as to the beneficial ownership of any share when such information is reasonably required by the Company, or (ii) the Directors, where they consider it appropriate, providing the information given to the members of shares to the holders of depositary instruments in such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Disclosure of interests</w:t>
      </w:r>
    </w:p>
    <w:p>
      <w:pPr>
        <w:spacing w:after="0" w:line="229" w:lineRule="exact"/>
        <w:rPr>
          <w:sz w:val="20"/>
          <w:szCs w:val="20"/>
          <w:color w:val="auto"/>
        </w:rPr>
      </w:pPr>
    </w:p>
    <w:p>
      <w:pPr>
        <w:jc w:val="both"/>
        <w:ind w:left="660" w:hanging="652"/>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at any time the Directors are satisfied that any member, or any other person appearing to be interested in shares held by such member, has been duly served with a notice under section 1062 of the Act (a “</w:t>
      </w:r>
      <w:r>
        <w:rPr>
          <w:rFonts w:ascii="Arial" w:cs="Arial" w:eastAsia="Arial" w:hAnsi="Arial"/>
          <w:sz w:val="18"/>
          <w:szCs w:val="18"/>
          <w:b w:val="1"/>
          <w:bCs w:val="1"/>
          <w:color w:val="auto"/>
        </w:rPr>
        <w:t>Section 1062 Notice</w:t>
      </w:r>
      <w:r>
        <w:rPr>
          <w:rFonts w:ascii="Arial" w:cs="Arial" w:eastAsia="Arial" w:hAnsi="Arial"/>
          <w:sz w:val="18"/>
          <w:szCs w:val="18"/>
          <w:color w:val="auto"/>
        </w:rPr>
        <w:t>”) and is in default for the prescribed period (as defined in Article 18.2) in supplying to the Company the information thereby required, or, in purported compliance with such a notice, has made a statement which is false or inadequate in a material particular, then the Directors may, in their absolute discretion at any time thereafter by notice (a “</w:t>
      </w:r>
      <w:r>
        <w:rPr>
          <w:rFonts w:ascii="Arial" w:cs="Arial" w:eastAsia="Arial" w:hAnsi="Arial"/>
          <w:sz w:val="18"/>
          <w:szCs w:val="18"/>
          <w:b w:val="1"/>
          <w:bCs w:val="1"/>
          <w:color w:val="auto"/>
        </w:rPr>
        <w:t>Direction Notice</w:t>
      </w:r>
      <w:r>
        <w:rPr>
          <w:rFonts w:ascii="Arial" w:cs="Arial" w:eastAsia="Arial" w:hAnsi="Arial"/>
          <w:sz w:val="18"/>
          <w:szCs w:val="18"/>
          <w:color w:val="auto"/>
        </w:rPr>
        <w:t>”) to such member direct that:</w:t>
      </w:r>
    </w:p>
    <w:p>
      <w:pPr>
        <w:spacing w:after="0" w:line="184" w:lineRule="exact"/>
        <w:rPr>
          <w:rFonts w:ascii="Arial" w:cs="Arial" w:eastAsia="Arial" w:hAnsi="Arial"/>
          <w:sz w:val="18"/>
          <w:szCs w:val="18"/>
          <w:color w:val="auto"/>
        </w:rPr>
      </w:pPr>
    </w:p>
    <w:p>
      <w:pPr>
        <w:ind w:left="1300" w:hanging="648"/>
        <w:spacing w:after="0" w:line="266" w:lineRule="auto"/>
        <w:rPr>
          <w:rFonts w:ascii="Arial" w:cs="Arial" w:eastAsia="Arial" w:hAnsi="Arial"/>
          <w:sz w:val="18"/>
          <w:szCs w:val="18"/>
          <w:color w:val="auto"/>
        </w:rPr>
      </w:pPr>
      <w:r>
        <w:rPr>
          <w:rFonts w:ascii="Arial" w:cs="Arial" w:eastAsia="Arial" w:hAnsi="Arial"/>
          <w:sz w:val="18"/>
          <w:szCs w:val="18"/>
          <w:color w:val="auto"/>
        </w:rPr>
        <w:t>13.1in respect of the shares in relation to which the default occurred (the “</w:t>
      </w:r>
      <w:r>
        <w:rPr>
          <w:rFonts w:ascii="Arial" w:cs="Arial" w:eastAsia="Arial" w:hAnsi="Arial"/>
          <w:sz w:val="18"/>
          <w:szCs w:val="18"/>
          <w:b w:val="1"/>
          <w:bCs w:val="1"/>
          <w:color w:val="auto"/>
        </w:rPr>
        <w:t>Default Shares</w:t>
      </w:r>
      <w:r>
        <w:rPr>
          <w:rFonts w:ascii="Arial" w:cs="Arial" w:eastAsia="Arial" w:hAnsi="Arial"/>
          <w:sz w:val="18"/>
          <w:szCs w:val="18"/>
          <w:color w:val="auto"/>
        </w:rPr>
        <w:t>”) the member shall not be entitled to attend or to vote at a general meeting either personally or by proxy or to exercise any other right conferred by membership in relation to meetings of the Company;</w:t>
      </w:r>
    </w:p>
    <w:p>
      <w:pPr>
        <w:spacing w:after="0" w:line="180"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13.2where the nominal value of the Default Shares represents at least 0.25 per cent of the nominal value of the issued shares of the class concerned, then the Direction Notice may additionally direct that:</w:t>
      </w:r>
    </w:p>
    <w:p>
      <w:pPr>
        <w:spacing w:after="0" w:line="170"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other distribution shall be made on the Default Shares;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transfer of any of the Default Shares held by such member shall be registered unless:</w:t>
      </w:r>
    </w:p>
    <w:p>
      <w:pPr>
        <w:spacing w:after="0" w:line="225" w:lineRule="exact"/>
        <w:rPr>
          <w:rFonts w:ascii="Arial" w:cs="Arial" w:eastAsia="Arial" w:hAnsi="Arial"/>
          <w:sz w:val="18"/>
          <w:szCs w:val="18"/>
          <w:color w:val="auto"/>
        </w:rPr>
      </w:pPr>
    </w:p>
    <w:p>
      <w:pPr>
        <w:jc w:val="both"/>
        <w:ind w:left="2600" w:hanging="647"/>
        <w:spacing w:after="0" w:line="279" w:lineRule="auto"/>
        <w:tabs>
          <w:tab w:leader="none" w:pos="26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the member is not himself or herself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71" w:lineRule="exact"/>
        <w:rPr>
          <w:rFonts w:ascii="Arial" w:cs="Arial" w:eastAsia="Arial" w:hAnsi="Arial"/>
          <w:sz w:val="17"/>
          <w:szCs w:val="17"/>
          <w:color w:val="auto"/>
        </w:rPr>
      </w:pPr>
    </w:p>
    <w:p>
      <w:pPr>
        <w:ind w:left="2600" w:hanging="647"/>
        <w:spacing w:after="0"/>
        <w:tabs>
          <w:tab w:leader="none" w:pos="2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transfer is an approved transfer (as defined in Article 18.3).</w:t>
      </w:r>
    </w:p>
    <w:p>
      <w:pPr>
        <w:spacing w:after="0" w:line="225"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70" w:lineRule="exact"/>
        <w:rPr>
          <w:sz w:val="20"/>
          <w:szCs w:val="20"/>
          <w:color w:val="auto"/>
        </w:rPr>
      </w:pPr>
    </w:p>
    <w:p>
      <w:pPr>
        <w:jc w:val="both"/>
        <w:ind w:left="660" w:hanging="65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any person appearing to be interested in the Default Shares has been duly served with a Direction Notice and the Default Shares which are the subject of such Direction Notice are held by an Approved Nominee, the provisions of Articles 13 to 20 shall be treated as applying only to such Default Shares held by the Approved Nominee and not (insofar as such person’s apparent interest is concerned) to any other shares held by the Approved Nominee.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left="660" w:hanging="652"/>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member on which a Section 1062 Notice is served is an Approved Nominee acting in its capacity as such, the obligations of the Approved Nominee as a member of the Company shall be limited to disclosing to the Company such information relating to any person appearing to be interested in the shares held by it as has been recorded by it pursuant to the arrangements entered into by the Company or approved by the Directors pursuant to which it was appointed as an Approved Nominee.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Direction Notice shall cease to have effect: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16.1</w:t>
      </w:r>
      <w:r>
        <w:rPr>
          <w:rFonts w:ascii="Arial" w:cs="Arial" w:eastAsia="Arial" w:hAnsi="Arial"/>
          <w:sz w:val="16"/>
          <w:szCs w:val="16"/>
          <w:color w:val="auto"/>
        </w:rPr>
        <w:t>in relation to any shares which are transferred by such member by means of an approved transfer; or</w:t>
      </w:r>
    </w:p>
    <w:p>
      <w:pPr>
        <w:spacing w:after="0" w:line="225"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16.2when the Directors are satisfied that such member and any other person appearing to be interested in shares held by such member, has given to the Company the information required by the relevant Section 1062 Notice.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Directors may at any time give notice cancelling a Direction Notice.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purposes of Articles 13 to 20:</w:t>
      </w:r>
    </w:p>
    <w:p>
      <w:pPr>
        <w:spacing w:after="0" w:line="225" w:lineRule="exact"/>
        <w:rPr>
          <w:rFonts w:ascii="Arial" w:cs="Arial" w:eastAsia="Arial" w:hAnsi="Arial"/>
          <w:sz w:val="18"/>
          <w:szCs w:val="18"/>
          <w:color w:val="auto"/>
        </w:rPr>
      </w:pPr>
    </w:p>
    <w:p>
      <w:pPr>
        <w:ind w:left="1300" w:hanging="648"/>
        <w:spacing w:after="0" w:line="279" w:lineRule="auto"/>
        <w:rPr>
          <w:rFonts w:ascii="Arial" w:cs="Arial" w:eastAsia="Arial" w:hAnsi="Arial"/>
          <w:sz w:val="18"/>
          <w:szCs w:val="18"/>
          <w:color w:val="auto"/>
        </w:rPr>
      </w:pPr>
      <w:r>
        <w:rPr>
          <w:rFonts w:ascii="Arial" w:cs="Arial" w:eastAsia="Arial" w:hAnsi="Arial"/>
          <w:sz w:val="18"/>
          <w:szCs w:val="18"/>
          <w:color w:val="auto"/>
        </w:rPr>
        <w:t>18.1</w:t>
      </w:r>
      <w:r>
        <w:rPr>
          <w:rFonts w:ascii="Arial" w:cs="Arial" w:eastAsia="Arial" w:hAnsi="Arial"/>
          <w:sz w:val="17"/>
          <w:szCs w:val="17"/>
          <w:color w:val="auto"/>
        </w:rPr>
        <w:t>a person shall be treated as appearing to be interested in any shares if the member holding such shares has given to the Company a notification under the said section 1062 which either (i) names such person as being so interested or (ii) fails to establish the identities of all those interested in the shares and (after taking into account the said notification and any other relevant section 1062 notification) the Company knows or has reasonable cause to believe that the person in question is or may be interested in the shares;</w:t>
      </w:r>
    </w:p>
    <w:p>
      <w:pPr>
        <w:spacing w:after="0" w:line="171" w:lineRule="exact"/>
        <w:rPr>
          <w:rFonts w:ascii="Arial" w:cs="Arial" w:eastAsia="Arial" w:hAnsi="Arial"/>
          <w:sz w:val="18"/>
          <w:szCs w:val="18"/>
          <w:color w:val="auto"/>
        </w:rPr>
      </w:pPr>
    </w:p>
    <w:p>
      <w:pPr>
        <w:jc w:val="right"/>
        <w:ind w:left="1300" w:hanging="648"/>
        <w:spacing w:after="0" w:line="342" w:lineRule="auto"/>
        <w:rPr>
          <w:rFonts w:ascii="Arial" w:cs="Arial" w:eastAsia="Arial" w:hAnsi="Arial"/>
          <w:sz w:val="18"/>
          <w:szCs w:val="18"/>
          <w:color w:val="auto"/>
        </w:rPr>
      </w:pPr>
      <w:r>
        <w:rPr>
          <w:rFonts w:ascii="Arial" w:cs="Arial" w:eastAsia="Arial" w:hAnsi="Arial"/>
          <w:sz w:val="18"/>
          <w:szCs w:val="18"/>
          <w:color w:val="auto"/>
        </w:rPr>
        <w:t>18.2</w:t>
      </w:r>
      <w:r>
        <w:rPr>
          <w:rFonts w:ascii="Arial" w:cs="Arial" w:eastAsia="Arial" w:hAnsi="Arial"/>
          <w:sz w:val="16"/>
          <w:szCs w:val="16"/>
          <w:color w:val="auto"/>
        </w:rPr>
        <w:t>the prescribed period is 28 days from the date of service of the said Section 1062 Notice unless the nominal value of the Default Shares represents at least 0.25 per cent of the nominal value of the issued shares of that class, when the prescribed period is 14 days from that date;</w:t>
      </w:r>
    </w:p>
    <w:p>
      <w:pPr>
        <w:spacing w:after="0" w:line="1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18.3</w:t>
      </w:r>
      <w:r>
        <w:rPr>
          <w:rFonts w:ascii="Arial" w:cs="Arial" w:eastAsia="Arial" w:hAnsi="Arial"/>
          <w:sz w:val="16"/>
          <w:szCs w:val="16"/>
          <w:color w:val="auto"/>
        </w:rPr>
        <w:t>a transfer of shares is an approved transfer if but only if:</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it is a transfer of shares to an offeror by way or in pursuance of acceptance of an offer made to all the members (or all the members other than the person making the offer and his nominees) of the shares in the Company to acquire those shares or a specified proportion of them; or</w:t>
      </w:r>
    </w:p>
    <w:p>
      <w:pPr>
        <w:spacing w:after="0" w:line="181" w:lineRule="exact"/>
        <w:rPr>
          <w:rFonts w:ascii="Arial" w:cs="Arial" w:eastAsia="Arial" w:hAnsi="Arial"/>
          <w:sz w:val="18"/>
          <w:szCs w:val="18"/>
          <w:color w:val="auto"/>
        </w:rPr>
      </w:pPr>
    </w:p>
    <w:p>
      <w:pPr>
        <w:ind w:left="1960" w:right="20" w:hanging="655"/>
        <w:spacing w:after="0" w:line="342" w:lineRule="auto"/>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transfer results from a sale made through an Exchange on which the Company’s shares are normally traded.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Nothing contained in Articles 13 to 20 shall limit the power of the Company under section 1066 of the Act or otherwise under Irish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right="2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purpose of establishing whether or not the terms of any notice served under Articles 13 to 20 shall have been complied with the decision of the Directors in this regard shall be final and conclusive and shall bind all persons interested.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Directors may from time to time make calls upon the members in respect of any consideration unpaid on their shares in the Company (whether on account of the nominal value of the shares or by way of premium), provided that in the case where the conditions of allotment or issuance of shares provide for the payment of consideration in respect of such shares at fixed times, the Directors shall only make calls in accordance with such conditions.</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member shall (subject to receiving at least 30 days’ notice specifying the time or times and place of payment, or such lesser or greater period of notice provided in the conditions of allotment or issuance of the shares) pay to the Company, at the time or times and place so specified, the amount called on the shares.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call may be revoked or postponed, as the Directors may determine.</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conditions of allotment or issuance of the shares, a call shall be deemed to have been made at the time when the resolution of the Directors authorising the call was passed and may be required to be paid by instalments if specified in the call.</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of it.</w:t>
      </w:r>
    </w:p>
    <w:p>
      <w:pPr>
        <w:spacing w:after="0" w:line="225"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consideration called in respect of a share or in respect of a particular instalment is not paid in full before or on the day appointed for payment of it, the person from whom the sum is due shall pay interest in cash on the unpaid value from the day appointed for payment of it to the time of actual payment of such rate, not exceeding five per cent per annum or such other rate as may be specified by an order under section 2(7) of the Act, as the Directors may determine, but the Directors may waive payment of such interest wholly or in part.</w:t>
      </w:r>
    </w:p>
    <w:p>
      <w:pPr>
        <w:spacing w:after="0" w:line="171"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consideration which, by the terms of issue of a share, becomes payable on allotment or issuance or at any fixed date (whether on account of the nominal value of the share or by way of premium) shall, for the purposes of these Articles, be deemed to be a call duly made and payable on the date on which, by the terms of issue, that consideration becomes payable, and in the case of non-payment of such a consideration, all the relevant provisions of these Articles as to payment of interest and expenses, forfeiture or otherwise, shall apply as if such consideration had become payable by virtue of a call duly made and notified.</w:t>
      </w:r>
    </w:p>
    <w:p>
      <w:pPr>
        <w:spacing w:after="0" w:line="18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Directors may, on the issue of shares, differentiate between the holders of different classes as to the amount of calls to be paid and the times of payment.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Directors may, if they think fit:</w:t>
      </w:r>
    </w:p>
    <w:p>
      <w:pPr>
        <w:spacing w:after="0" w:line="225" w:lineRule="exact"/>
        <w:rPr>
          <w:rFonts w:ascii="Arial" w:cs="Arial" w:eastAsia="Arial" w:hAnsi="Arial"/>
          <w:sz w:val="18"/>
          <w:szCs w:val="18"/>
          <w:color w:val="auto"/>
        </w:rPr>
      </w:pPr>
    </w:p>
    <w:p>
      <w:pPr>
        <w:ind w:left="1220" w:right="20" w:hanging="564"/>
        <w:spacing w:after="0" w:line="277" w:lineRule="auto"/>
        <w:tabs>
          <w:tab w:leader="none" w:pos="1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receive from any member willing to advance such consideration, all or any part of the consideration uncalled and unpaid upon any shares held by him or her; and/or</w:t>
      </w:r>
    </w:p>
    <w:p>
      <w:pPr>
        <w:spacing w:after="0" w:line="170" w:lineRule="exact"/>
        <w:rPr>
          <w:rFonts w:ascii="Arial" w:cs="Arial" w:eastAsia="Arial" w:hAnsi="Arial"/>
          <w:sz w:val="18"/>
          <w:szCs w:val="18"/>
          <w:color w:val="auto"/>
        </w:rPr>
      </w:pPr>
    </w:p>
    <w:p>
      <w:pPr>
        <w:jc w:val="both"/>
        <w:ind w:left="1220" w:hanging="564"/>
        <w:spacing w:after="0" w:line="259" w:lineRule="auto"/>
        <w:tabs>
          <w:tab w:leader="none" w:pos="1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pay, upon all or any of the consideration so advanced (until the amount concerned would, but for such advance, become payable) interest at such rate (not exceeding, unless the Company in a general meeting otherwise directs, five per cent per annum or such other rate as may be specified by an order under section 2(7) of the Act) as may be agreed upon between the Directors and the member paying such consideration in advance.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may:</w:t>
      </w:r>
    </w:p>
    <w:p>
      <w:pPr>
        <w:spacing w:after="0" w:line="225" w:lineRule="exact"/>
        <w:rPr>
          <w:rFonts w:ascii="Arial" w:cs="Arial" w:eastAsia="Arial" w:hAnsi="Arial"/>
          <w:sz w:val="18"/>
          <w:szCs w:val="18"/>
          <w:color w:val="auto"/>
        </w:rPr>
      </w:pPr>
    </w:p>
    <w:p>
      <w:pPr>
        <w:ind w:left="1220" w:right="20" w:hanging="564"/>
        <w:spacing w:after="0" w:line="277" w:lineRule="auto"/>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acting by its Directors, make arrangements on the issue of shares for a difference between the members in the amounts and times of payment of calls on their shares;</w:t>
      </w:r>
    </w:p>
    <w:p>
      <w:pPr>
        <w:spacing w:after="0" w:line="170" w:lineRule="exact"/>
        <w:rPr>
          <w:rFonts w:ascii="Arial" w:cs="Arial" w:eastAsia="Arial" w:hAnsi="Arial"/>
          <w:sz w:val="18"/>
          <w:szCs w:val="18"/>
          <w:color w:val="auto"/>
        </w:rPr>
      </w:pPr>
    </w:p>
    <w:p>
      <w:pPr>
        <w:ind w:left="1220" w:hanging="564"/>
        <w:spacing w:after="0" w:line="277" w:lineRule="auto"/>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acting by its Directors, accept from any member the whole or a part of the amount remaining unpaid on any shares held by him or her, although no part of that amount has been called up;</w:t>
      </w:r>
    </w:p>
    <w:p>
      <w:pPr>
        <w:spacing w:after="0" w:line="170" w:lineRule="exact"/>
        <w:rPr>
          <w:rFonts w:ascii="Arial" w:cs="Arial" w:eastAsia="Arial" w:hAnsi="Arial"/>
          <w:sz w:val="18"/>
          <w:szCs w:val="18"/>
          <w:color w:val="auto"/>
        </w:rPr>
      </w:pPr>
    </w:p>
    <w:p>
      <w:pPr>
        <w:ind w:left="1220" w:hanging="564"/>
        <w:spacing w:after="0" w:line="277" w:lineRule="auto"/>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acting by its Directors and subject to the Act, pay a dividend in proportion to the amount paid up on each share where a larger amount is paid up on some shares than on others; and</w:t>
      </w:r>
    </w:p>
    <w:p>
      <w:pPr>
        <w:spacing w:after="0" w:line="170" w:lineRule="exact"/>
        <w:rPr>
          <w:rFonts w:ascii="Arial" w:cs="Arial" w:eastAsia="Arial" w:hAnsi="Arial"/>
          <w:sz w:val="18"/>
          <w:szCs w:val="18"/>
          <w:color w:val="auto"/>
        </w:rPr>
      </w:pPr>
    </w:p>
    <w:p>
      <w:pPr>
        <w:jc w:val="both"/>
        <w:ind w:left="1220" w:hanging="564"/>
        <w:spacing w:after="0" w:line="264" w:lineRule="auto"/>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by special resolution determine that any portion of its share capital which has not been already called up shall not be capable of being called up except in the event and for the purposes of the Company being wound up; upon the Company doing so, that portion of its share capital shall not be capable of being called up except in that event and for those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w:t>
      </w:r>
    </w:p>
    <w:p>
      <w:pPr>
        <w:spacing w:after="0" w:line="229" w:lineRule="exact"/>
        <w:rPr>
          <w:sz w:val="20"/>
          <w:szCs w:val="20"/>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on every share (not being a fully paid share) for all consideration (whether immediately payable or not) called, or payable at a fixed time, in respect of that share.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Directors may at any time declare any share in the Company to be wholly or in part exempt from Article 31.</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lien on a share shall extend to all dividends payable on it.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sell, in such manner as the Directors think fit, any shares on which the Company has a lien, but no sale shall be made unless (i) a sum in respect of which the lien exists is immediately payable; and (ii) the following conditions are satisfied:</w:t>
      </w:r>
    </w:p>
    <w:p>
      <w:pPr>
        <w:spacing w:after="0" w:line="170"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34.1a notice in writing, stating and demanding payment of such part of the amount in respect of which the lien exists as is immediately payable, has been given to the registered holder of the share for the time being, or the person entitled thereto by reason of his or her death or bankruptcy; and</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34.2</w:t>
      </w:r>
      <w:r>
        <w:rPr>
          <w:rFonts w:ascii="Arial" w:cs="Arial" w:eastAsia="Arial" w:hAnsi="Arial"/>
          <w:sz w:val="16"/>
          <w:szCs w:val="16"/>
          <w:color w:val="auto"/>
        </w:rPr>
        <w:t>a period of 14 days after the date of giving of that notice has expired.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provisions apply in relation to a sale referred to in Article 34:</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35.1</w:t>
      </w:r>
      <w:r>
        <w:rPr>
          <w:rFonts w:ascii="Arial" w:cs="Arial" w:eastAsia="Arial" w:hAnsi="Arial"/>
          <w:sz w:val="16"/>
          <w:szCs w:val="16"/>
          <w:color w:val="auto"/>
        </w:rPr>
        <w:t>to give effect to any such sale, the Directors may authorise some person to transfer the shares sold to the purchaser of them;</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35.2</w:t>
      </w:r>
      <w:r>
        <w:rPr>
          <w:rFonts w:ascii="Arial" w:cs="Arial" w:eastAsia="Arial" w:hAnsi="Arial"/>
          <w:sz w:val="16"/>
          <w:szCs w:val="16"/>
          <w:color w:val="auto"/>
        </w:rPr>
        <w:t>the purchaser shall be registered as the holder of the shares comprised in any such transfer;</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35.3the purchaser shall not be bound to see to the application of the purchase consideration, nor shall his or her title to the shares be affected by any irregularity or invalidity in the proceedings in reference to the sale;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81" w:lineRule="exact"/>
        <w:rPr>
          <w:sz w:val="20"/>
          <w:szCs w:val="20"/>
          <w:color w:val="auto"/>
        </w:rPr>
      </w:pPr>
    </w:p>
    <w:p>
      <w:pPr>
        <w:jc w:val="both"/>
        <w:ind w:left="660" w:hanging="652"/>
        <w:spacing w:after="0" w:line="27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 or in respect of any dividends, bonuses or other moneys due or payable or accruing due or which may become due or payable to such member by the Company on or in respect of any shares registered as aforesaid or for or on account or in respect of any member and whether in consequence of:</w:t>
      </w:r>
    </w:p>
    <w:p>
      <w:pPr>
        <w:spacing w:after="0" w:line="17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36.1</w:t>
      </w:r>
      <w:r>
        <w:rPr>
          <w:rFonts w:ascii="Arial" w:cs="Arial" w:eastAsia="Arial" w:hAnsi="Arial"/>
          <w:sz w:val="16"/>
          <w:szCs w:val="16"/>
          <w:color w:val="auto"/>
        </w:rPr>
        <w:t>the death of such member;</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36.2</w:t>
      </w:r>
      <w:r>
        <w:rPr>
          <w:rFonts w:ascii="Arial" w:cs="Arial" w:eastAsia="Arial" w:hAnsi="Arial"/>
          <w:sz w:val="16"/>
          <w:szCs w:val="16"/>
          <w:color w:val="auto"/>
        </w:rPr>
        <w:t>the non-payment of any income tax or other tax by such member;</w:t>
      </w:r>
    </w:p>
    <w:p>
      <w:pPr>
        <w:spacing w:after="0" w:line="225" w:lineRule="exact"/>
        <w:rPr>
          <w:rFonts w:ascii="Arial" w:cs="Arial" w:eastAsia="Arial" w:hAnsi="Arial"/>
          <w:sz w:val="17"/>
          <w:szCs w:val="17"/>
          <w:color w:val="auto"/>
        </w:rPr>
      </w:pPr>
    </w:p>
    <w:p>
      <w:pPr>
        <w:ind w:left="1300" w:hanging="648"/>
        <w:spacing w:after="0" w:line="277" w:lineRule="auto"/>
        <w:rPr>
          <w:rFonts w:ascii="Arial" w:cs="Arial" w:eastAsia="Arial" w:hAnsi="Arial"/>
          <w:sz w:val="17"/>
          <w:szCs w:val="17"/>
          <w:color w:val="auto"/>
        </w:rPr>
      </w:pPr>
      <w:r>
        <w:rPr>
          <w:rFonts w:ascii="Arial" w:cs="Arial" w:eastAsia="Arial" w:hAnsi="Arial"/>
          <w:sz w:val="18"/>
          <w:szCs w:val="18"/>
          <w:color w:val="auto"/>
        </w:rPr>
        <w:t>36.3the non-payment of any estate, probate, succession, death, stamp, or other duty by the executor or administrator of such member or by or out of his estate; or</w:t>
      </w:r>
    </w:p>
    <w:p>
      <w:pPr>
        <w:spacing w:after="0" w:line="17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36.4</w:t>
      </w:r>
      <w:r>
        <w:rPr>
          <w:rFonts w:ascii="Arial" w:cs="Arial" w:eastAsia="Arial" w:hAnsi="Arial"/>
          <w:sz w:val="16"/>
          <w:szCs w:val="16"/>
          <w:color w:val="auto"/>
        </w:rPr>
        <w:t>any other act or thing;</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every such case (except to the extent that the rights conferred upon members of any class of shares render the Company liable to make additional payments in respect of sums withheld on account of the foregoing):</w:t>
      </w:r>
    </w:p>
    <w:p>
      <w:pPr>
        <w:spacing w:after="0" w:line="170"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be fully indemnified by such member or his executor or administrator from all liability;</w:t>
      </w:r>
    </w:p>
    <w:p>
      <w:pPr>
        <w:spacing w:after="0" w:line="225" w:lineRule="exact"/>
        <w:rPr>
          <w:rFonts w:ascii="Arial" w:cs="Arial" w:eastAsia="Arial" w:hAnsi="Arial"/>
          <w:sz w:val="18"/>
          <w:szCs w:val="18"/>
          <w:color w:val="auto"/>
        </w:rPr>
      </w:pPr>
    </w:p>
    <w:p>
      <w:pPr>
        <w:jc w:val="both"/>
        <w:ind w:left="1960" w:hanging="655"/>
        <w:spacing w:after="0" w:line="273" w:lineRule="auto"/>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shall have a lien upon all dividends and other moneys payable in respect of the shares registered in the Register as held either jointly or solely by such member for all moneys paid or payable by the Company in respect of such shares or in respect of any dividends or other moneys as aforesaid thereon or for or on account or in respect of such member under or in consequence of any 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178"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recover as a debt due from such member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181"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if any such money is paid or payable by it under any such law as aforesaid, refuse to register a transfer of any shares by any such member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left="1960" w:hanging="655"/>
        <w:spacing w:after="0" w:line="302" w:lineRule="auto"/>
        <w:tabs>
          <w:tab w:leader="none" w:pos="1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subject to the rights conferred upon the members of any class of shares, nothing herein contained shall prejudice or affect any right or remedy which any law may confer or purport to confer on the Company and as between the Company and every such member as aforesaid, his or her estate representative, executor, administrator and estate wheresoever constituted or situate, any right or remedy which such law shall confer or purport to confer on the Company shall be enforceable by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w:t>
      </w:r>
    </w:p>
    <w:p>
      <w:pPr>
        <w:spacing w:after="0" w:line="229" w:lineRule="exact"/>
        <w:rPr>
          <w:sz w:val="20"/>
          <w:szCs w:val="20"/>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member of the Company fails to pay any call or instalment of a call on the day appointed for payment of it, the Directors may, at any time thereafter during such time as any part of the call or instalment remains unpaid, serve a notice on the member requiring payment of so much of the call or instalment as is unpaid, together with any interest which may have accrued.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notice referred to in Article 37 shall:</w:t>
      </w:r>
    </w:p>
    <w:p>
      <w:pPr>
        <w:spacing w:after="0" w:line="225"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38.1specify a further day (not earlier than the expiration of 14 days after the date of service of the notice) on or before which the payment required by the notice is to be made; and</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38.2state that, if the amount concerned is not paid by the day so specified, the shares in respect of which the call was made will be liable to be forfeited.</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requirements of the notice referred to in Article 38 are not complied with, any share in respect of which the notice has been served may at any time after the day so specified (but before, should it occur, the payment required by the notice has been made) be forfeited by a resolution of the Directors to that effect and such forfeiture shall include all dividends declared in respect of the forfeited shares and not actually paid before the forfeiture.</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70"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member of the Company in respect of the forfeited shares, but shall, notwithstanding, remain liable to pay to the Company all consideration which, at the date of forfeiture, were payable by him or her to the Company in respect of the shares, but his or her liability shall cease if and when the Company shall have received payment in full of all such consideration in respect of the shares.</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statement in writing that the maker of the statement is a Director or the Company Secretary, and that a share in the Company has been duly forfeited on a date stated in the statement, shall be conclusive evidence of the facts stated in it as against all persons claiming to be entitled to the share.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provisions apply in relation to a sale or other disposition of a share referred to in Article 40: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Company may receive the consideration, if any, given for the share on the sale or other disposition of it and may execute a transfer of the share in favour of the person to whom the share is sold or otherwise disposed of (the “</w:t>
      </w:r>
      <w:r>
        <w:rPr>
          <w:rFonts w:ascii="Arial" w:cs="Arial" w:eastAsia="Arial" w:hAnsi="Arial"/>
          <w:sz w:val="18"/>
          <w:szCs w:val="18"/>
          <w:b w:val="1"/>
          <w:bCs w:val="1"/>
          <w:color w:val="auto"/>
        </w:rPr>
        <w:t>disponee</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upon such execution, the disponee shall be registered as the holder of the share; and</w:t>
      </w:r>
    </w:p>
    <w:p>
      <w:pPr>
        <w:spacing w:after="0" w:line="225"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the disponee shall not be bound to see to the application of the purchase consideration, if any, nor shall his or her title to the share be affected by any irregularity or invalidity in the proceedings in reference to the forfeiture, sale or disposal of the share.</w:t>
      </w:r>
    </w:p>
    <w:p>
      <w:pPr>
        <w:spacing w:after="0" w:line="170" w:lineRule="exact"/>
        <w:rPr>
          <w:sz w:val="20"/>
          <w:szCs w:val="20"/>
          <w:color w:val="auto"/>
        </w:rPr>
      </w:pPr>
    </w:p>
    <w:p>
      <w:pPr>
        <w:jc w:val="both"/>
        <w:ind w:left="660" w:right="2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in the capital of the Company, becomes payable at a fixed time, whether on account of the nominal value of the share in the capital of the Company or by way of premium, as if the same had been payable by virtue of a call duly made and notified.</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Directors may accept the surrender of any share in the capital of the Company which the Directors have resolved to have been forfeited upon such terms and conditions as may be agreed and, subject to any such terms and conditions, a surrendered share in the capital of the Company shall be treated as if it has been forfeited.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company capital</w:t>
      </w:r>
    </w:p>
    <w:p>
      <w:pPr>
        <w:spacing w:after="0" w:line="2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may, by ordinary resolution and in accordance with section 83 of the Act, do any one or more of the following, from time to time: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46.1</w:t>
      </w:r>
      <w:r>
        <w:rPr>
          <w:rFonts w:ascii="Arial" w:cs="Arial" w:eastAsia="Arial" w:hAnsi="Arial"/>
          <w:sz w:val="16"/>
          <w:szCs w:val="16"/>
          <w:color w:val="auto"/>
        </w:rPr>
        <w:t>consolidate and divide all or any of its shares into shares of a larger nominal value than its existing shares;</w:t>
      </w:r>
    </w:p>
    <w:p>
      <w:pPr>
        <w:spacing w:after="0" w:line="225" w:lineRule="exact"/>
        <w:rPr>
          <w:rFonts w:ascii="Arial" w:cs="Arial" w:eastAsia="Arial" w:hAnsi="Arial"/>
          <w:sz w:val="17"/>
          <w:szCs w:val="17"/>
          <w:color w:val="auto"/>
        </w:rPr>
      </w:pPr>
    </w:p>
    <w:p>
      <w:pPr>
        <w:ind w:left="1300" w:hanging="648"/>
        <w:spacing w:after="0" w:line="264" w:lineRule="auto"/>
        <w:rPr>
          <w:rFonts w:ascii="Arial" w:cs="Arial" w:eastAsia="Arial" w:hAnsi="Arial"/>
          <w:sz w:val="17"/>
          <w:szCs w:val="17"/>
          <w:color w:val="auto"/>
        </w:rPr>
      </w:pPr>
      <w:r>
        <w:rPr>
          <w:rFonts w:ascii="Arial" w:cs="Arial" w:eastAsia="Arial" w:hAnsi="Arial"/>
          <w:sz w:val="18"/>
          <w:szCs w:val="18"/>
          <w:color w:val="auto"/>
        </w:rPr>
        <w:t>46.2subdivide its shares, or any of them, into shares of a smaller nominal value, so however, that in the subdivision the proportion between the amount paid and the amount, if any, unpaid on each reduced share shall be the same as it was in the case of the share from which the reduced share is derived;</w:t>
      </w:r>
    </w:p>
    <w:p>
      <w:pPr>
        <w:spacing w:after="0" w:line="18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46.3</w:t>
      </w:r>
      <w:r>
        <w:rPr>
          <w:rFonts w:ascii="Arial" w:cs="Arial" w:eastAsia="Arial" w:hAnsi="Arial"/>
          <w:sz w:val="16"/>
          <w:szCs w:val="16"/>
          <w:color w:val="auto"/>
        </w:rPr>
        <w:t>increase the nominal value of any of its shares by the addition to them of any undenominated capital;</w:t>
      </w:r>
    </w:p>
    <w:p>
      <w:pPr>
        <w:spacing w:after="0" w:line="225" w:lineRule="exact"/>
        <w:rPr>
          <w:rFonts w:ascii="Arial" w:cs="Arial" w:eastAsia="Arial" w:hAnsi="Arial"/>
          <w:sz w:val="17"/>
          <w:szCs w:val="17"/>
          <w:color w:val="auto"/>
        </w:rPr>
      </w:pPr>
    </w:p>
    <w:p>
      <w:pPr>
        <w:ind w:left="1300" w:hanging="648"/>
        <w:spacing w:after="0" w:line="277" w:lineRule="auto"/>
        <w:rPr>
          <w:rFonts w:ascii="Arial" w:cs="Arial" w:eastAsia="Arial" w:hAnsi="Arial"/>
          <w:sz w:val="17"/>
          <w:szCs w:val="17"/>
          <w:color w:val="auto"/>
        </w:rPr>
      </w:pPr>
      <w:r>
        <w:rPr>
          <w:rFonts w:ascii="Arial" w:cs="Arial" w:eastAsia="Arial" w:hAnsi="Arial"/>
          <w:sz w:val="18"/>
          <w:szCs w:val="18"/>
          <w:color w:val="auto"/>
        </w:rPr>
        <w:t>46.4reduce the nominal value of any of its shares by the deduction from them of any part of that value, subject to the crediting of the amount of the deduction to undenominated capital, other than the share premium account;</w:t>
      </w:r>
    </w:p>
    <w:p>
      <w:pPr>
        <w:spacing w:after="0" w:line="170" w:lineRule="exact"/>
        <w:rPr>
          <w:rFonts w:ascii="Arial" w:cs="Arial" w:eastAsia="Arial" w:hAnsi="Arial"/>
          <w:sz w:val="17"/>
          <w:szCs w:val="17"/>
          <w:color w:val="auto"/>
        </w:rPr>
      </w:pPr>
    </w:p>
    <w:p>
      <w:pPr>
        <w:ind w:left="1300" w:right="20" w:hanging="648"/>
        <w:spacing w:after="0" w:line="277" w:lineRule="auto"/>
        <w:rPr>
          <w:rFonts w:ascii="Arial" w:cs="Arial" w:eastAsia="Arial" w:hAnsi="Arial"/>
          <w:sz w:val="17"/>
          <w:szCs w:val="17"/>
          <w:color w:val="auto"/>
        </w:rPr>
      </w:pPr>
      <w:r>
        <w:rPr>
          <w:rFonts w:ascii="Arial" w:cs="Arial" w:eastAsia="Arial" w:hAnsi="Arial"/>
          <w:sz w:val="18"/>
          <w:szCs w:val="18"/>
          <w:color w:val="auto"/>
        </w:rPr>
        <w:t>46.5without prejudice or limitation to Articles 87 to 92 and the powers conferred on the Directors thereby, convert any undenominated capital into shares for allotment as bonus shares to holders of existing shares;</w:t>
      </w:r>
    </w:p>
    <w:p>
      <w:pPr>
        <w:spacing w:after="0" w:line="17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46.6</w:t>
      </w:r>
      <w:r>
        <w:rPr>
          <w:rFonts w:ascii="Arial" w:cs="Arial" w:eastAsia="Arial" w:hAnsi="Arial"/>
          <w:sz w:val="16"/>
          <w:szCs w:val="16"/>
          <w:color w:val="auto"/>
        </w:rPr>
        <w:t>increase its share capital by new shares of such amount as it thinks expedient; or</w:t>
      </w:r>
    </w:p>
    <w:p>
      <w:pPr>
        <w:spacing w:after="0" w:line="225" w:lineRule="exact"/>
        <w:rPr>
          <w:rFonts w:ascii="Arial" w:cs="Arial" w:eastAsia="Arial" w:hAnsi="Arial"/>
          <w:sz w:val="17"/>
          <w:szCs w:val="17"/>
          <w:color w:val="auto"/>
        </w:rPr>
      </w:pPr>
    </w:p>
    <w:p>
      <w:pPr>
        <w:ind w:left="1300" w:right="20" w:hanging="648"/>
        <w:spacing w:after="0" w:line="277" w:lineRule="auto"/>
        <w:rPr>
          <w:rFonts w:ascii="Arial" w:cs="Arial" w:eastAsia="Arial" w:hAnsi="Arial"/>
          <w:sz w:val="17"/>
          <w:szCs w:val="17"/>
          <w:color w:val="auto"/>
        </w:rPr>
      </w:pPr>
      <w:r>
        <w:rPr>
          <w:rFonts w:ascii="Arial" w:cs="Arial" w:eastAsia="Arial" w:hAnsi="Arial"/>
          <w:sz w:val="18"/>
          <w:szCs w:val="18"/>
          <w:color w:val="auto"/>
        </w:rPr>
        <w:t>46.7cancel shares of its share capital which, at the date of the passing of the resolution, have not been taken or agreed to be taken by any person, and diminish the amount of its share capital by the amount of the shares so cancelled.</w:t>
      </w:r>
    </w:p>
    <w:p>
      <w:pPr>
        <w:spacing w:after="0" w:line="170"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Where any difficulty arises in regard to any division, consolidation or sub-division under this Article 46, the Directors may settle the same as they think expedient and in particular, may, on behalf of applicable members, arrange for the sale of the shares representing fractions and distribute the net proceeds of such sale in due proportion among the members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Without prejudice to Article 7.2, the Company may by special resolution, and subject to the provisions of the Act governing the variation of rights attached to classes of shares and the amendment of the Articles, convert any of its shares into redeemable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company capital</w:t>
      </w:r>
    </w:p>
    <w:p>
      <w:pPr>
        <w:spacing w:after="0" w:line="229" w:lineRule="exact"/>
        <w:rPr>
          <w:sz w:val="20"/>
          <w:szCs w:val="20"/>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may, in accordance with the provisions of sections 84 to 87 of the Act, reduce its company capital in any way it thinks expedient and, without prejudice to the generality of the foregoing, may thereby:</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48.1</w:t>
      </w:r>
      <w:r>
        <w:rPr>
          <w:rFonts w:ascii="Arial" w:cs="Arial" w:eastAsia="Arial" w:hAnsi="Arial"/>
          <w:sz w:val="16"/>
          <w:szCs w:val="16"/>
          <w:color w:val="auto"/>
        </w:rPr>
        <w:t>extinguish or reduce the liability on any of its shares in respect of share capital not paid up;</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48.2either with or without extinguishing or reducing liability on any of its shares, cancel any paid up company capital which is lost or unrepresented by available assets; or</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48.3either with or without extinguishing or reducing liability on any of its shares, pay off any paid up company capital which is in excess of the wants of the Company.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Unless the special resolution provides otherwise, a reserve arising from the reduction of company capital is to be treated for all purposes as a realised profit in accordance with section 117(9) of the Act. Nothing in this Article 48 shall, however, prejudice or limit the Company’s ability to perform or engage in any of the actions described in section 83(1) of the Act by way of ordinary resolution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right="2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Act and to such of the restrictions contained in these Articles as may be applicable, any member may transfer all or any of his shares (of any class) by an instrument of transfer in the usual common form or in any other form which the Board may from time to time approve. The instrument of transfer may be endorsed on the certificate.</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instrument of transfer of a share shall be signed by or on behalf of the transferor and, if the share is not fully paid, by or on behalf of the transferee. The transferor shall be deemed to remain the holder of the share until the name of the transferee is entered in the Register in respect of it. All instruments of transfer may be retained by the Company.</w:t>
      </w:r>
    </w:p>
    <w:p>
      <w:pPr>
        <w:spacing w:after="0" w:line="181"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instrument of transfer of any share may be executed for and on behalf of the transferor by the Company Secretary or any other party designated by the Board for such purpose, and the Company Secretary or any other party designated by the Board for such purpose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and the price per share, shall, once executed by the transferor or the Company Secretary or any other party designated by the Board for such purpose as agent for the transferor, be deemed to be a proper instrument of transfer for the purposes of the Act. The transferor shall be deemed to remain the member holding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left="660" w:hanging="652"/>
        <w:spacing w:after="0" w:line="272"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reimbursement of the stamp duty from the transferee, (ii) set-off the stamp duty against any dividends payable to the transferee of those shares and (iii) to the extent permitted by section 1042 of the Act, claim a first and paramount lien on the shares on which stamp duty has been paid by the Company or its subsidiary for the amount of stamp duty paid. The Company’s lien shall extend to all dividends paid on those shares.</w:t>
      </w:r>
    </w:p>
    <w:p>
      <w:pPr>
        <w:spacing w:after="0" w:line="177"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provisions of these Articles and subject to applicable law, or any regulations made under section 1086 of the Act, title to any shares in the Company may also be evidenced and transferred without a written instrument in accordance with section 1086 of the Act or any regulations made thereunder. The Directors shall have power 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9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Subject to such of the restrictions of these Articles and to such of the conditions of issue of share warrants as may be applicable any share warrant may be transferred by instrument in writing in any usual or common for or any other form which the Directors may approve.</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for its decision, decline to register any transfer of any share which is not a fully-paid share. The Board may also decline to register any transfer if:</w:t>
      </w:r>
    </w:p>
    <w:p>
      <w:pPr>
        <w:spacing w:after="0" w:line="170"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55.1the instrument of transfer is not duly stamped, if required, and lodged at the Office or any other place as the Board may from time to time specify for the purpose, accompanied by the certificate (if any) for the shares to which it relates and such other evidence as the Board may reasonably require to show the right of the transferor to make the transfer;</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55.2</w:t>
      </w:r>
      <w:r>
        <w:rPr>
          <w:rFonts w:ascii="Arial" w:cs="Arial" w:eastAsia="Arial" w:hAnsi="Arial"/>
          <w:sz w:val="16"/>
          <w:szCs w:val="16"/>
          <w:color w:val="auto"/>
        </w:rPr>
        <w:t>the instrument of transfer is in respect of more than one class of share;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55.3</w:t>
      </w:r>
      <w:r>
        <w:rPr>
          <w:rFonts w:ascii="Arial" w:cs="Arial" w:eastAsia="Arial" w:hAnsi="Arial"/>
          <w:sz w:val="16"/>
          <w:szCs w:val="16"/>
          <w:color w:val="auto"/>
        </w:rPr>
        <w:t>the instrument of transfer is in favour of more than four persons jointly;</w:t>
      </w:r>
    </w:p>
    <w:p>
      <w:pPr>
        <w:spacing w:after="0" w:line="225" w:lineRule="exact"/>
        <w:rPr>
          <w:rFonts w:ascii="Arial" w:cs="Arial" w:eastAsia="Arial" w:hAnsi="Arial"/>
          <w:sz w:val="18"/>
          <w:szCs w:val="18"/>
          <w:color w:val="auto"/>
        </w:rPr>
      </w:pPr>
    </w:p>
    <w:p>
      <w:pPr>
        <w:ind w:left="1300" w:hanging="648"/>
        <w:spacing w:after="0" w:line="308" w:lineRule="auto"/>
        <w:rPr>
          <w:rFonts w:ascii="Arial" w:cs="Arial" w:eastAsia="Arial" w:hAnsi="Arial"/>
          <w:sz w:val="18"/>
          <w:szCs w:val="18"/>
          <w:color w:val="auto"/>
        </w:rPr>
      </w:pPr>
      <w:r>
        <w:rPr>
          <w:rFonts w:ascii="Arial" w:cs="Arial" w:eastAsia="Arial" w:hAnsi="Arial"/>
          <w:sz w:val="18"/>
          <w:szCs w:val="18"/>
          <w:color w:val="auto"/>
        </w:rPr>
        <w:t>55.4</w:t>
      </w:r>
      <w:r>
        <w:rPr>
          <w:rFonts w:ascii="Arial" w:cs="Arial" w:eastAsia="Arial" w:hAnsi="Arial"/>
          <w:sz w:val="17"/>
          <w:szCs w:val="17"/>
          <w:color w:val="auto"/>
        </w:rPr>
        <w:t>it is not satisfied that all applicable consents, authorisations, permissions or approvals of any governmental body or agency in Ireland or any other applicable jurisdiction required to be obtained under relevant law prior to such transfer have been obtained; or</w:t>
      </w:r>
    </w:p>
    <w:p>
      <w:pPr>
        <w:spacing w:after="0" w:line="146"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55.5it is not satisfied that the transfer would not violate the terms of any agreement to which the Company (or any of its subsidiaries) and the transferor are party or subject.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Company Secretary or any other party designated by the Board for such purpose may exercise the powers and discretions of the Board under Article 55, Article 79, Article 86 and Article 88.</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Board declines to register a transfer it shall, within one month after the date on which the instrument of transfer was lodged, send to the transferee notice of such refusal.</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or for making any entry in the Register concerning any other document relating to or affecting the title to any share (except that the Company may require payment of a sum sufficient to cover any stamp or other tax or other governmental charge that may be imposed on it in connection with such transfer or entry).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52"/>
        <w:spacing w:after="0" w:line="276"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case of the death of a member, the survivor or survivors, where the deceased was a joint holder, and the personal representatives of the deceased where he or she was a sole holder, shall be the only persons recognised by the Company as having any title to his or her interest in the shares.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not be obliged to recognise a claim in respect of the estate of any joint holder except in case of the last survivor of such joint holders.</w:t>
      </w:r>
    </w:p>
    <w:p>
      <w:pPr>
        <w:spacing w:after="0" w:line="172"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Nothing in Article 59 shall release the estate of a deceased joint holder from any liability in respect of any share which had been jointly held by him or her with other persons.</w:t>
      </w:r>
    </w:p>
    <w:p>
      <w:pPr>
        <w:spacing w:after="0" w:line="170"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member may, upon such evidence being produced as may from time to time properly be required by the Directors and subject to Article 62, elect either: (a) to be registered himself or herself as holder of the share; or (b) to have some person nominated by him or her (being a person who consents to being so registered) registered as the transferee thereof.</w:t>
      </w:r>
    </w:p>
    <w:p>
      <w:pPr>
        <w:spacing w:after="0" w:line="14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Directors shall, in either of those cases, have the same right to decline or suspend registration as they would have had in the case of a transfer of the share by that member before his or her death or bankruptcy, as the case may be.</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person becoming entitled as mentioned in Article 61: (a) elects to be registered himself or herself, the person shall furnish to the Company a notice in writing signed by him or her stating that he or she so elects; or (b) elects to have another person registered, the person shall testify his or her election by executing to that other person a transfer of the share.</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the limitations, restrictions and provisions of Articles 59 to 63 shall be applicable to a notice or transfer referred to in Article 63 as if the death or bankruptcy of the member concerned had not occurred and the notice or transfer were a transfer signed by that member.</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Subject to Article 66 and Article 67, a person becoming entitled to a share by reason of the death or bankruptcy of the holder shall be entitled to the same dividends and other advantages to which he or she would be entitled if he or she were the registered holder of the share.</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referred to in Article 65 shall not, before being registered as a member in respect of the share, be entitled in respect of it to exercise any right conferred by membership in relation to meetings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left="660" w:hanging="652"/>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Directors may at any time serve a notice on any such person requiring the person to make the election provided for by Article 61 and, if the person does not make that election (and proceed to do, consequent on that election, whichever of the things mentioned in Article 63 is appropriate) within 90 days after the date of service of the notice, the Directors may thereupon withhold payment of all dividends, bonuses or other moneys payable in respect of the share until the requirements of the notice have been complied with.</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may charge a fee not exceeding US$10.00 on the registration of every probate, letters of administration, certificate of death, power of attorney, notice as to stock or other instrument or order.</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Directors may determine such procedures as they shall think fit regarding the transmission of shares in the Company held by a company that are transmitted by operation of law in consequence of a merger or division.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Register or Fixing Record Date</w:t>
      </w:r>
    </w:p>
    <w:p>
      <w:pPr>
        <w:spacing w:after="0" w:line="229" w:lineRule="exact"/>
        <w:rPr>
          <w:sz w:val="20"/>
          <w:szCs w:val="20"/>
          <w:color w:val="auto"/>
        </w:rPr>
      </w:pPr>
    </w:p>
    <w:p>
      <w:pPr>
        <w:jc w:val="both"/>
        <w:ind w:left="660" w:hanging="652"/>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section 174 of the Act, that the Register shall be closed for transfers at such times and for such periods, not exceeding in the whole 30 days in each year.</w:t>
      </w:r>
    </w:p>
    <w:p>
      <w:pPr>
        <w:spacing w:after="0" w:line="18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lieu of, or apart from, closing the Register, the Board may fix in advance a date as the record date (a) for any such determination of members entitled to notice of or to vote at a meeting of the members, which record date shall not, subject to applicable law and Exchange rules, be more than 90 days before the date of such meeting, and (b) for the purpose of determining the members entitled to receive payment of any dividend or other distribution, or in order to make a determination of members for any other proper purpose, which record date shall not, subject to applicable law and Exchange rules, be more than 60 days prior to the date of payment of such dividend or other distribution or the taking of any action to which such determination of members is relevant.</w:t>
      </w:r>
    </w:p>
    <w:p>
      <w:pPr>
        <w:spacing w:after="0" w:line="19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Register is not so closed and no record date is fixed for the determination of members entitled to notice of or to vote at a meeting of members, the date immediately preceding the date on which notice of the meeting is deemed given under these Articles shall be the record date for such determination of members. Where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in a general meeting may declare dividends, but no dividends shall exceed the amount recommended by the Directors. Any general meeting declaring a dividend and any resolution of the Directors declaring an interim dividend may direct payment of such dividend or interim dividend wholly or partly by the distribution of specific assets including paid up shares, debentures or debenture stocks of any other company or in any one or more of such ways, and the Directors shall give effect to such resolution.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Directors may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8"/>
          <w:szCs w:val="18"/>
          <w:color w:val="auto"/>
        </w:rPr>
        <w:t>pay to the members such dividends (whether as either interim dividends or final dividends) as appear to the Directors to be justified by the profits of the Company, subject to section 117 and Chapter 6 of Part 17 of the Act;</w:t>
      </w:r>
    </w:p>
    <w:p>
      <w:pPr>
        <w:spacing w:after="0" w:line="170"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before declaring any dividend, set aside out of the profits of the Company such sums as they think proper as a reserve or reserves which shall, at the sole discretion of the Directors, be applicable for any purpose to which the profits of the Company may be properly applied, and pending such application may, at the like sole discretion either be employed in the business of the Company or be held as cash or cash equivalents or invested in such investments as the Directors may lawfully determine; and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6"/>
          <w:szCs w:val="16"/>
          <w:color w:val="auto"/>
        </w:rPr>
        <w:t>without placing the profits of the Company to reserve, carry forward any profits which they may think prudent not to distribute.</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otherwise specified by the Directors at the time of declaring a dividend, the dividend shall be a final dividend.</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Where the Directors specify that a dividend is an interim dividend at the time it is declared, such interim dividend shall not constitute a debt recoverable against the Company and the declaration may be revoked by the Directors at any time prior to its payment provided that the holders of the same class of share are treated equally on any revocation.</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rights of persons, if any, entitled to shares with special rights as to dividend (and to the rights of the Company under Articles 31 to 36 and Article 79) all dividends shall be declared and paid such that shares of the same class shall rank equally irrespective of the premium credited as paid up on such shares.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any share is issued on terms providing that it shall rank for a dividend as from a particular date, such share shall rank for dividend accordingly.</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Directors may deduct from any dividend payable to any member, all sums of money (if any) immediately payable by him or her to the Company on account of calls or otherwise in relation to the shares of the Company.</w:t>
      </w:r>
    </w:p>
    <w:p>
      <w:pPr>
        <w:spacing w:after="0" w:line="17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Directors when declaring a dividend or bonus may direct payment of such dividend or bonus wholly or partly by the distribution of specific assets and, in particular, paid up shares, debentures or debenture stock of any other company or in any one or more of such ways.</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Where any difficulty arises in regard to a distribution, the Directors may settle the matter as they think expedient and, in particular, may:</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81.1issue fractional certificates (subject always to the restriction on the issue of fractional shares) and fix the value for distribution of such specific assets or any part of them;</w:t>
      </w:r>
    </w:p>
    <w:p>
      <w:pPr>
        <w:spacing w:after="0" w:line="170"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81.2determine that cash payments shall be made to any members upon the footing of the value so fixed, in order to adjust the rights of all the parties; and</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81.3</w:t>
      </w:r>
      <w:r>
        <w:rPr>
          <w:rFonts w:ascii="Arial" w:cs="Arial" w:eastAsia="Arial" w:hAnsi="Arial"/>
          <w:sz w:val="15"/>
          <w:szCs w:val="15"/>
          <w:color w:val="auto"/>
        </w:rPr>
        <w:t>vest any such specific assets in trustees as may seem expedient to the Directors.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dividend, interest or other moneys payable in cash in respect of any shares may be paid:</w:t>
      </w:r>
    </w:p>
    <w:p>
      <w:pPr>
        <w:spacing w:after="0" w:line="225" w:lineRule="exact"/>
        <w:rPr>
          <w:rFonts w:ascii="Arial" w:cs="Arial" w:eastAsia="Arial" w:hAnsi="Arial"/>
          <w:sz w:val="18"/>
          <w:szCs w:val="18"/>
          <w:color w:val="auto"/>
        </w:rPr>
      </w:pPr>
    </w:p>
    <w:p>
      <w:pPr>
        <w:ind w:left="1300" w:right="20" w:hanging="648"/>
        <w:spacing w:after="0" w:line="264" w:lineRule="auto"/>
        <w:rPr>
          <w:rFonts w:ascii="Arial" w:cs="Arial" w:eastAsia="Arial" w:hAnsi="Arial"/>
          <w:sz w:val="18"/>
          <w:szCs w:val="18"/>
          <w:color w:val="auto"/>
        </w:rPr>
      </w:pPr>
      <w:r>
        <w:rPr>
          <w:rFonts w:ascii="Arial" w:cs="Arial" w:eastAsia="Arial" w:hAnsi="Arial"/>
          <w:sz w:val="18"/>
          <w:szCs w:val="18"/>
          <w:color w:val="auto"/>
        </w:rPr>
        <w:t>82.1by cheque or negotiable instrument sent by post directed to or otherwise delivered to the registered address of the holder, or where there are joint holders, to the registered address of that one of the joint holders who is first named on the register or to such person and to such address as the holder or the joint holders may in writing direct;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by transfer to a bank account nominated by the payee or where such an account has not been so nominated, to the account of a trustee nominated by the Company to hold such moneys,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provided that the debiting of the Company’s account in respect of the relevant amount shall be evidence of good discharge of the Company’s obligations in respect of any payment made by any such methods.</w:t>
      </w:r>
    </w:p>
    <w:p>
      <w:pPr>
        <w:spacing w:after="0" w:line="17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such cheque or negotiable instrument referred to in Article 82 shall be made payable to the order of the person to whom it is sent.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one of two or more joint holders may give valid receipts for any dividends, bonuses or other moneys payable in respect of the shares held by them as joint holders, whether paid by cheque or negotiable instrument or direct transfer.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Directors so resolve, any dividend or distribution which has remained unclaimed for twelve years from the date of its declaration shall be forfeited and cease to remain owing by the Company. The payment by the Directors of any unclaimed dividend, distribution or other moneys payable in respect of a share into a separate account shall not constitute the Company a trustee in respect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issue of shares</w:t>
      </w:r>
    </w:p>
    <w:p>
      <w:pPr>
        <w:spacing w:after="0" w:line="22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capitalisation provided for in Articles 88 to 92 inclusive will not require approval or ratification by the members.</w:t>
      </w:r>
    </w:p>
    <w:p>
      <w:pPr>
        <w:spacing w:after="0" w:line="225"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Directors may resolve to capitalise any part of a relevant sum (within the meaning of Article 89) by applying such sum in paying up in full unissued shares of a nominal value or nominal value and premium, equal to the sum capitalised, to be allotted and issued as fully paid bonus shares, to those members of the Company who would have been entitled to that sum if it were distributed by way of dividend (and in the same proportions).</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purposes of Article 88, “relevant sum” means: (a) any sum for the time being standing to the credit of the Company’s undenominated capital;</w:t>
      </w:r>
    </w:p>
    <w:p>
      <w:pPr>
        <w:spacing w:after="0" w:line="46"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(b) any of the Company’s profits available for distribution; (c) any sum representing unrealised revaluation reserves; or (d) a merger reserve or any other capital reserve of the Company.</w:t>
      </w:r>
    </w:p>
    <w:p>
      <w:pPr>
        <w:spacing w:after="0" w:line="18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Directors may in giving effect to any resolution under Article 88 make: (a) all appropriations and applications of the undivided profits resolved to be capitalised by the resolution; and (b) all allotments and issues of fully paid shares, if any, and generally shall do all acts and things required to give effect to the resolution.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Without limiting Article 90, the Directors may:</w:t>
      </w:r>
    </w:p>
    <w:p>
      <w:pPr>
        <w:spacing w:after="0" w:line="225"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91.1make such provision as they think fit for the case of shares becoming distributable in fractions (and, again, without limiting the foregoing, may sell the shares represented by such fractions and distribute the net proceeds of such sale amongst the members otherwise entitled to such fractions in due proportions);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authorise any person to enter, on behalf of all the members concerned, into an agreement with the Company providing for the allotment to them, respectively credited as fully paid up, of any further shares to which they may become entitled on the capitalisation concerned or, as the case may require, for the payment by the application thereto of their respective proportions of the profits resolved to be capitalised of the amounts remaining unpaid on their existing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agreement made under such authority shall be effective and binding on all the members concerned.</w:t>
      </w:r>
    </w:p>
    <w:p>
      <w:pPr>
        <w:spacing w:after="0" w:line="225" w:lineRule="exact"/>
        <w:rPr>
          <w:sz w:val="20"/>
          <w:szCs w:val="20"/>
          <w:color w:val="auto"/>
        </w:rPr>
      </w:pPr>
    </w:p>
    <w:p>
      <w:pPr>
        <w:jc w:val="both"/>
        <w:ind w:left="660" w:hanging="652"/>
        <w:spacing w:after="0" w:line="31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Where the Directors have resolved to approve a bona fide revaluation of all the fixed assets of the Company, the net capital surplus in excess of the previous book value of the assets arising from such revaluation may be: (a) credited by the Directors to undenominated capital, other than the share premium account; or (b) used in paying up unissued shares of the Company to be issued to members as fully paid bonus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 General</w:t>
      </w:r>
    </w:p>
    <w:p>
      <w:pPr>
        <w:spacing w:after="0" w:line="229" w:lineRule="exact"/>
        <w:rPr>
          <w:sz w:val="20"/>
          <w:szCs w:val="20"/>
          <w:color w:val="auto"/>
        </w:rPr>
      </w:pPr>
    </w:p>
    <w:p>
      <w:pPr>
        <w:jc w:val="both"/>
        <w:ind w:left="660" w:right="2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in each year hold a general meeting as its annual general meeting in addition to any other meeting in that year, and shall specify the meeting as such in the notices calling it; and not more than 15 months shall elapse between the date of one annual general meeting of the Company and that of the next.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annual general meeting shall be held in such place and at such time as the Directors shall determine.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general meetings of the Company other than annual general meetings shall be called extraordinary general meetings.</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Directors may, whenever they think fit, convene an extraordinary general meeting and extraordinary general meetings shall also be convened by the Directors, on such requisition, or in default, may be convened by such requisitionists, as provided by section 178(3) to (7) of the Act. In addition, one or more members holding at least 25% of the outstanding shares may convene an extraordinary general meeting in accordance with section 178(2) of the Act.</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at any time the number of Directors is less than the minimum number of Directors, any Director may convene an extraordinary general meeting in the same manner as nearly as possible as that in which meetings may be convened by the Directors.</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annual general meeting or extraordinary general meeting of the Company may be held outside of Ireland. The Company shall make, at its expense, all necessary arrangements to ensure that members can by technological means participate in any such meeting without leaving Ireland, unless all of the members entitled to attend and vote at such meeting consent in writing to it being held outside of Ireland.</w:t>
      </w:r>
    </w:p>
    <w:p>
      <w:pPr>
        <w:spacing w:after="0" w:line="165"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general meeting of the Company may be held in two or more venues (whether inside or outside of Ireland) at the same time using any technology that provides members, as a whole, with a reasonable opportunity to participate, and such participation shall be deemed to constitute presence in person at the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only persons entitled to notice of general meetings of the Company are: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100.1   the members;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100.2   the personal representatives of a deceased member, which member would but for his death be entitled to vote;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100.3   the assignee in bankruptcy of a bankrupt member of the Company (being a bankrupt member who is entitled to vote at the meeting);</w:t>
      </w:r>
    </w:p>
    <w:p>
      <w:pPr>
        <w:spacing w:after="0" w:line="23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100.4   the Directors and Company Secretary; and</w:t>
      </w:r>
    </w:p>
    <w:p>
      <w:pPr>
        <w:spacing w:after="0" w:line="225"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100.5 unless the Company is entitled to and has availed itself of the audit exemption under the Act, the Auditors (who shall also be entitled to receive other communications relating to any general meeting which a member is entitled to receive).</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the provisions of the Act allowing a general meeting to be called by shorter notice, an annual general meeting, and an extraordinary general meeting called for the passing of a special resolution, shall be called by not less than 21 days’ notice and all other extraordinary general meetings shall be called by not less than 14 days’ notice.</w:t>
      </w:r>
    </w:p>
    <w:p>
      <w:pPr>
        <w:spacing w:after="0" w:line="181"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notice convening a general meeting shall specify the time and place of the meeting and, in the case of special business, the general nature of that business and, in reasonable prominence, that a member entitled to attend, speak and vote is entitled to appoint a proxy or one or more proxies to attend, speak and vote in his place and that a proxy need not be a member of the Company. It shall also give particulars of any persons who are recommended by the Directors for election or re-election as Directors at the meeting or in respect of whom notice has been duly given to the Company of the intention to propose them for election or re-election as Directors at the meeting; provided, however, that the latter requirement shall only apply where the intention to propose the person has been received by the Company in accordance with the provisions of these Articles. Every notice shall specify such other details as are required by applicable law or the relevant code, rules and regulations applicable to the listing of the shares on any Exchange. Subject to any restrictions imposed on any shares, the notice shall be given to all the members and to the Directors and Auditors.</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the meeting.</w:t>
      </w:r>
    </w:p>
    <w:p>
      <w:pPr>
        <w:spacing w:after="0" w:line="170" w:lineRule="exact"/>
        <w:rPr>
          <w:rFonts w:ascii="Arial" w:cs="Arial" w:eastAsia="Arial" w:hAnsi="Arial"/>
          <w:sz w:val="18"/>
          <w:szCs w:val="18"/>
          <w:color w:val="auto"/>
        </w:rPr>
      </w:pPr>
    </w:p>
    <w:p>
      <w:pPr>
        <w:jc w:val="both"/>
        <w:ind w:left="660" w:hanging="652"/>
        <w:spacing w:after="0" w:line="30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cases where instruments of proxy are sent out with notices, the accidental omission to send such instrument of proxy to, or the non-receipt of such instrument of proxy by, any person entitled to receive such notice shall not invalidate any resolution passed or any proceeding at any such meeting. A member present, either in person or by proxy, at any general meeting of the Company or of the holders of any class of shares in the Company will be deemed, subject to Article 107, to have received notice of that meeting and, where required, of the purpose for which it was called.</w:t>
      </w:r>
    </w:p>
    <w:p>
      <w:pPr>
        <w:spacing w:after="0" w:line="154"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by any provision contained in the Act, extended notice is required of a resolution, the resolution shall not be effective (except where the Directors have resolved to submit it) unless notice of the intention to move it has been given to the Company not less than 28 days (or such shorter period as the Act permits) before the meeting at which it is moved, and the Company shall give to the members notice of any such resolution as required by and in accordance with the provisions of the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determining the correct period of notice for a general meeting, only Clear Days shall be counted.</w:t>
      </w:r>
    </w:p>
    <w:p>
      <w:pPr>
        <w:spacing w:after="0" w:line="225"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Whenever any notice is required to be given by law or by these Articles to any person or persons, a waiver thereof in writing, signed by the person or persons entitled to the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decision of sole member</w:t>
      </w:r>
    </w:p>
    <w:p>
      <w:pPr>
        <w:spacing w:after="0" w:line="229" w:lineRule="exact"/>
        <w:rPr>
          <w:sz w:val="20"/>
          <w:szCs w:val="20"/>
          <w:color w:val="auto"/>
        </w:rPr>
      </w:pPr>
    </w:p>
    <w:p>
      <w:pPr>
        <w:ind w:left="66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any time that the Company is a single-member company, its sole member may pass any resolution as a written decision in accordance with section 196 of the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 or more members present in person or by proxy and having the right to attend and vote at the meeting and together holding shares representing more than 50% of the votes that may be cast by all members at the relevant time shall be a quorum at a general meeting. Abstentions and broker non-votes will be counted as present for purposes of determining whether there is a quorum.</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within 15 minutes (or such greater time determined by the chairperson) after the time appointed for a general meeting a quorum is not present, then:</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110.1 the meeting shall stand adjourned to the same day in the next week, at the same time and place or to such other day and at such other time and place as the Directors may determine; and</w:t>
      </w:r>
    </w:p>
    <w:p>
      <w:pPr>
        <w:spacing w:after="0" w:line="170"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110.2 if at the adjourned meeting a quorum is not present within half an hour (or such greater time determined by the chairperson) after the time appointed for the meeting, the members present shall be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left="660" w:hanging="652"/>
        <w:spacing w:after="0" w:line="270"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Every member entitled to attend, speak and vote at a general meeting may appoint a proxy to attend, speak and vote on his or her behalf and may appoint more than one proxy to attend, speak and vote at the same meeting. The appointment of a proxy shall be in any usual form or in any other form which the Board may approve, subject to compliance with any requirements as to form under the Act and the Exchange Act and, in the case of an instrument in writing, shall be executed by or on behalf of the appointor, but need not be witnessed. In the case of an instrument in writing, a company may execute a form of proxy either under its common seal (or in any other manner permitted by law and having the same effect as if executed under seal) or under the hand of a duly authorised officer, attorney or other person. A member may appoint more than one proxy to attend on the same occasion, but only one proxy may be appointed in respect of any one share. A proxy need not be a member. The appointment of a proxy shall not preclude a member from attending and voting at the meeting or at any adjournment of it. A form of proxy shall, unless it provides to the contrary, be valid for any adjournment of the meeting to which it relates.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660" w:right="2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appointment of a proxy and any authority under which it is executed or a copy of the authority certified notarially or in some other way approved by the Board shall:</w:t>
      </w:r>
    </w:p>
    <w:p>
      <w:pPr>
        <w:spacing w:after="0" w:line="170"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112.1 in the case of an instrument in writing, be deposited at the Office or at such other place as is specified in the notice convening the meeting, or in any instrument of proxy sent out by the Company in relation to the meeting, not less than 48 hours, or such other time as is specified in the notice convening the meeting, before the time for holding the meeting or adjourned meeting at which the person named in the instrument proposes to vote;</w:t>
      </w:r>
    </w:p>
    <w:p>
      <w:pPr>
        <w:spacing w:after="0" w:line="186"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112.2 in the case of an appointment contained in a communication by electronic means, where an address has been specified for the purpose of receiving communications by electronic means: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any instrument of proxy sent out by the Company in relation to the meeting; or</w:t>
      </w:r>
    </w:p>
    <w:p>
      <w:pPr>
        <w:spacing w:after="0" w:line="225" w:lineRule="exact"/>
        <w:rPr>
          <w:rFonts w:ascii="Arial" w:cs="Arial" w:eastAsia="Arial" w:hAnsi="Arial"/>
          <w:sz w:val="18"/>
          <w:szCs w:val="18"/>
          <w:color w:val="auto"/>
        </w:rPr>
      </w:pPr>
    </w:p>
    <w:p>
      <w:pPr>
        <w:jc w:val="both"/>
        <w:ind w:left="1960" w:hanging="655"/>
        <w:spacing w:after="0" w:line="312" w:lineRule="auto"/>
        <w:tabs>
          <w:tab w:leader="none" w:pos="19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 any invitation contained in an communication by electronic means to appoint a proxy issued by the Company in relation to the meeting, be received at such address not less than 48 hours, or such other time as is specified in the notice convening the meeting, before the time for holding the meeting or adjourned meeting at which the person named in the appointment proposes to vote;</w:t>
      </w:r>
    </w:p>
    <w:p>
      <w:pPr>
        <w:spacing w:after="0" w:line="147"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112.3</w:t>
        <w:tab/>
        <w:t>be deemed to include the right to speak at the meeting and to vote on any amendment of a resolution put to the meeting for which it is given as the proxy thinks fit; and</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112.4</w:t>
        <w:tab/>
        <w:t>unless the contrary is stated therein, be valid as well for any adjournment of the meeting as for the meeting to which it relates; and an appointment of proxy which is not deposited, delivered or received in a manner so permitted shall be invalid (unless, subject to the requirements of the Act, the Board, in its absolute discretion in relation to any such appointment, waives any such requirement and decides to treat such appointment as valid).</w:t>
      </w:r>
    </w:p>
    <w:p>
      <w:pPr>
        <w:spacing w:after="0" w:line="187" w:lineRule="exact"/>
        <w:rPr>
          <w:sz w:val="20"/>
          <w:szCs w:val="20"/>
          <w:color w:val="auto"/>
        </w:rPr>
      </w:pPr>
    </w:p>
    <w:p>
      <w:pPr>
        <w:jc w:val="both"/>
        <w:ind w:left="660" w:hanging="652"/>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If the Company is unable to determine which appointment was last validly delivered or received, none of them shall be treated as valid in respect of that share.</w:t>
      </w:r>
    </w:p>
    <w:p>
      <w:pPr>
        <w:spacing w:after="0" w:line="186"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Board may at the expense of the Company send forms of appointment of proxy to the members by post, by communication by electronic means or otherwise (with or without provision for their return by pre-paid post) for use at any general meeting or at any separate meeting of the holders of any class of shares, either blank or nominating as proxy in the alternative any one or more of the Directors or any other person and worded so as to enable the proxy to vote either for or against or to withhold their vote in respect of the resolutions to be proposed at the meeting at which the proxy is to be used. If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left="660" w:hanging="652"/>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shall be valid notwithstanding the death or mental disorder of the principal or the revocation of the instrument of proxy, or of the authority under which the instrument of proxy was executed, or the transfer of the share in respect of which the instrument of proxy is given, provided that no intimation in writing of such death, mental disorder, revocation or transfer shall have been received by the Company at the Office, or at such other place as is referred to in Article 113.1, not less than 48 hours, or such other time as is specified in the notice convening the meeting, before the commencement of the meeting or adjourned meeting at which the instrument of proxy is used.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Representative</w:t>
      </w:r>
    </w:p>
    <w:p>
      <w:pPr>
        <w:spacing w:after="0" w:line="229" w:lineRule="exact"/>
        <w:rPr>
          <w:sz w:val="20"/>
          <w:szCs w:val="20"/>
          <w:color w:val="auto"/>
        </w:rPr>
      </w:pPr>
    </w:p>
    <w:p>
      <w:pPr>
        <w:jc w:val="both"/>
        <w:ind w:left="660" w:hanging="652"/>
        <w:spacing w:after="0" w:line="289"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accordance with the Act, any corporation or company which is a member entitled to attend a meeting of the Company or a meeting of the holders of any class of its shares may, by resolution of its Directors or other governing body, authorise such person or persons as it thinks fit to act as its representative or representatives at any such meeting of the Company or at any such meeting of the holders of any class of its shares. Any person so authorised shall be entitled to exercise the same powers on behalf of the corporation or company (in respect of that part of its holdings to which the authority relates) as the corporation or company could exercise if it were an individual shareholder. The corporation or company shall for the purposes of these Articles be deemed to be present in person at any such meeting if a person so authorised is present at it. All references in these Articles to attendance and voting in person shall be construed accordingly. A Director, the Secretary or some other person authorised for the purpose by the Secretary may (but is not bound to) require the representative to produce a certified copy of the resolution so authorising him or her or such other evidence of his or her authority reasonably satisfactory to such person before permitting him or her to exercise his or her powers.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of general meetings</w:t>
      </w:r>
    </w:p>
    <w:p>
      <w:pPr>
        <w:spacing w:after="0" w:line="229" w:lineRule="exact"/>
        <w:rPr>
          <w:sz w:val="20"/>
          <w:szCs w:val="20"/>
          <w:color w:val="auto"/>
        </w:rPr>
      </w:pPr>
    </w:p>
    <w:p>
      <w:pPr>
        <w:ind w:left="6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business shall be deemed to be special business that is transacted at an extraordinary general meeting and that is transacted at an annual general meeting other than, in the case of an annual general meeting, the business specified in Article 126 which shall be ordinary business.</w:t>
      </w:r>
    </w:p>
    <w:p>
      <w:pPr>
        <w:spacing w:after="0" w:line="14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any meeting of the members, only such business shall be conducted as shall have been properly brought before such meeting. To be properly brought before an annual general meeting, business must be:</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118.1   specified in the notice of meeting (or any supplement thereto) given by or at the direction of the Board;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118.2   otherwise properly brought before the meeting by or at the direction of the Board; or</w:t>
      </w:r>
    </w:p>
    <w:p>
      <w:pPr>
        <w:spacing w:after="0" w:line="225" w:lineRule="exact"/>
        <w:rPr>
          <w:rFonts w:ascii="Arial" w:cs="Arial" w:eastAsia="Arial" w:hAnsi="Arial"/>
          <w:sz w:val="18"/>
          <w:szCs w:val="18"/>
          <w:color w:val="auto"/>
        </w:rPr>
      </w:pPr>
    </w:p>
    <w:p>
      <w:pPr>
        <w:ind w:left="1300" w:hanging="648"/>
        <w:spacing w:after="0" w:line="255" w:lineRule="auto"/>
        <w:rPr>
          <w:rFonts w:ascii="Arial" w:cs="Arial" w:eastAsia="Arial" w:hAnsi="Arial"/>
          <w:sz w:val="18"/>
          <w:szCs w:val="18"/>
          <w:color w:val="auto"/>
        </w:rPr>
      </w:pPr>
      <w:r>
        <w:rPr>
          <w:rFonts w:ascii="Arial" w:cs="Arial" w:eastAsia="Arial" w:hAnsi="Arial"/>
          <w:sz w:val="18"/>
          <w:szCs w:val="18"/>
          <w:color w:val="auto"/>
        </w:rPr>
        <w:t>118.3 otherwise properly brought before the meeting by a member who (A) was a member of record of the Company when the notice required by this Article 118.3 is delivered to the Secretary of the Company and at the time of the meeting, (B) is entitled to vote at the meeting and (C) complies with the notice and other provisions of Articles 119, 120 and 122. Subject to Article 125, and except with respect to nominations or elections of Directors, which are governed by Article 159, Article 118.3 is the exclusive means by which a member may bring business before a meeting of members. Any business brought before a meeting in accordance with Article 118.3 is referred to as “</w:t>
      </w:r>
      <w:r>
        <w:rPr>
          <w:rFonts w:ascii="Arial" w:cs="Arial" w:eastAsia="Arial" w:hAnsi="Arial"/>
          <w:sz w:val="18"/>
          <w:szCs w:val="18"/>
          <w:b w:val="1"/>
          <w:bCs w:val="1"/>
          <w:color w:val="auto"/>
        </w:rPr>
        <w:t>Member</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660" w:right="20"/>
        <w:spacing w:after="0" w:line="286" w:lineRule="auto"/>
        <w:rPr>
          <w:sz w:val="20"/>
          <w:szCs w:val="20"/>
          <w:color w:val="auto"/>
        </w:rPr>
      </w:pPr>
      <w:r>
        <w:rPr>
          <w:rFonts w:ascii="Arial" w:cs="Arial" w:eastAsia="Arial" w:hAnsi="Arial"/>
          <w:sz w:val="17"/>
          <w:szCs w:val="17"/>
          <w:color w:val="auto"/>
        </w:rPr>
        <w:t>To be properly brought before an extraordinary general meeting, business must be: (i) specified in the notice of meeting (or any supplement thereto) given by or at the direction of the Board or by the Company Secretary pursuant to the applicable provisions of these Articles; (ii) properly brought before the meeting by or at the direction of the Board; or (iii) otherwise properly brought in accordance with the Act.</w:t>
      </w:r>
    </w:p>
    <w:p>
      <w:pPr>
        <w:spacing w:after="0" w:line="166" w:lineRule="exact"/>
        <w:rPr>
          <w:sz w:val="20"/>
          <w:szCs w:val="20"/>
          <w:color w:val="auto"/>
        </w:rPr>
      </w:pPr>
    </w:p>
    <w:p>
      <w:pPr>
        <w:jc w:val="both"/>
        <w:ind w:left="660" w:hanging="652"/>
        <w:spacing w:after="0" w:line="269"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Without prejudice to any procedure which may be permitted under the Act and subject to Article 125, at any annual general meeting of members, all proposals of Member Business must be made by timely written notice given by or on behalf of a member of record of the Company (the “</w:t>
      </w:r>
      <w:r>
        <w:rPr>
          <w:rFonts w:ascii="Arial" w:cs="Arial" w:eastAsia="Arial" w:hAnsi="Arial"/>
          <w:sz w:val="17"/>
          <w:szCs w:val="17"/>
          <w:b w:val="1"/>
          <w:b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w:t>
      </w:r>
      <w:r>
        <w:rPr>
          <w:rFonts w:ascii="Arial" w:cs="Arial" w:eastAsia="Arial" w:hAnsi="Arial"/>
          <w:sz w:val="17"/>
          <w:szCs w:val="17"/>
          <w:color w:val="auto"/>
        </w:rPr>
        <w:t>”) and must otherwise be a proper matter for member action. To be timely, the Notice of Business must be delivered personally or mailed to,</w:t>
      </w:r>
      <w:r>
        <w:rPr>
          <w:rFonts w:ascii="Arial" w:cs="Arial" w:eastAsia="Arial" w:hAnsi="Arial"/>
          <w:sz w:val="17"/>
          <w:szCs w:val="17"/>
          <w:b w:val="1"/>
          <w:bCs w:val="1"/>
          <w:color w:val="auto"/>
        </w:rPr>
        <w:t xml:space="preserve"> </w:t>
      </w:r>
      <w:r>
        <w:rPr>
          <w:rFonts w:ascii="Arial" w:cs="Arial" w:eastAsia="Arial" w:hAnsi="Arial"/>
          <w:sz w:val="17"/>
          <w:szCs w:val="17"/>
          <w:color w:val="auto"/>
        </w:rPr>
        <w:t>and received at the Office of the Company, addressed to the Secretary of the Company, by no earlier than 120 days and no later than 90 days before the first anniversary of the date of the prior year’s annual general meeting of members; provided, however, that (i) if the annual general meeting of members is advanced by more than 30 days, or delayed by more than 60 days, from the first anniversary of the prior year’s annual general meeting of members, (ii) if no annual general meeting was held during the prior year or (iii) in the case of the Company’s first annual meeting of members following the Company’s adoption of these Articles, the notice by the member to be timely must be received (A) no earlier than 120 days before such annual general meeting and (B) no later than the later of 90 days before such annual general meeting and the tenth day after the day on which the notice of such annual general meeting was first made by mail or Public Disclosure. In no event shall an adjournment or postponement, or Public Disclosure of an adjournment or postponement, of a general meeting commence a new time period (or extend any time period) for the giving of the Notice of Business.</w:t>
      </w:r>
    </w:p>
    <w:p>
      <w:pPr>
        <w:spacing w:after="0" w:line="179" w:lineRule="exact"/>
        <w:rPr>
          <w:rFonts w:ascii="Arial" w:cs="Arial" w:eastAsia="Arial" w:hAnsi="Arial"/>
          <w:sz w:val="17"/>
          <w:szCs w:val="17"/>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Notice of Business must set forth:</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120.1   the name and record address of each member proposing Member Business (the “</w:t>
      </w:r>
      <w:r>
        <w:rPr>
          <w:rFonts w:ascii="Arial" w:cs="Arial" w:eastAsia="Arial" w:hAnsi="Arial"/>
          <w:sz w:val="17"/>
          <w:szCs w:val="17"/>
          <w:b w:val="1"/>
          <w:bCs w:val="1"/>
          <w:color w:val="auto"/>
        </w:rPr>
        <w:t>Proponent</w:t>
      </w:r>
      <w:r>
        <w:rPr>
          <w:rFonts w:ascii="Arial" w:cs="Arial" w:eastAsia="Arial" w:hAnsi="Arial"/>
          <w:sz w:val="17"/>
          <w:szCs w:val="17"/>
          <w:color w:val="auto"/>
        </w:rPr>
        <w:t>”), as it appears on the Company’s books;</w:t>
      </w:r>
    </w:p>
    <w:p>
      <w:pPr>
        <w:spacing w:after="0" w:line="2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120.2   the name and address of any Member Associated Person;</w:t>
      </w:r>
    </w:p>
    <w:p>
      <w:pPr>
        <w:spacing w:after="0" w:line="225" w:lineRule="exact"/>
        <w:rPr>
          <w:rFonts w:ascii="Arial" w:cs="Arial" w:eastAsia="Arial" w:hAnsi="Arial"/>
          <w:sz w:val="18"/>
          <w:szCs w:val="18"/>
          <w:color w:val="auto"/>
        </w:rPr>
      </w:pPr>
    </w:p>
    <w:p>
      <w:pPr>
        <w:ind w:left="1300" w:hanging="648"/>
        <w:spacing w:after="0" w:line="267" w:lineRule="auto"/>
        <w:rPr>
          <w:rFonts w:ascii="Arial" w:cs="Arial" w:eastAsia="Arial" w:hAnsi="Arial"/>
          <w:sz w:val="18"/>
          <w:szCs w:val="18"/>
          <w:color w:val="auto"/>
        </w:rPr>
      </w:pPr>
      <w:r>
        <w:rPr>
          <w:rFonts w:ascii="Arial" w:cs="Arial" w:eastAsia="Arial" w:hAnsi="Arial"/>
          <w:sz w:val="17"/>
          <w:szCs w:val="17"/>
          <w:color w:val="auto"/>
        </w:rPr>
        <w:t>120.3 as to each Proponent and any Member Associated Person, (A) the class or series and number of shares directly or indirectly held of record and beneficially by the Proponent or Member Associated Person, (B) the date such shares were acquired, (C) a description of any agreement, arrangement or understanding, direct or indirect, with respect to such Member Business between or among the Proponent, any Member Associated Person or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Member Associated Person, the effect or intent of which is to mitigate loss to, manage risk or benefit of share price changes for, or increase or decrease the voting power of the Proponent or any Member Associated Person with respect to shares of the Company (a “</w:t>
      </w:r>
      <w:r>
        <w:rPr>
          <w:rFonts w:ascii="Arial" w:cs="Arial" w:eastAsia="Arial" w:hAnsi="Arial"/>
          <w:sz w:val="17"/>
          <w:szCs w:val="17"/>
          <w:b w:val="1"/>
          <w:bCs w:val="1"/>
          <w:color w:val="auto"/>
        </w:rPr>
        <w:t>Derivative</w:t>
      </w:r>
      <w:r>
        <w:rPr>
          <w:rFonts w:ascii="Arial" w:cs="Arial" w:eastAsia="Arial" w:hAnsi="Arial"/>
          <w:sz w:val="17"/>
          <w:szCs w:val="17"/>
          <w:color w:val="auto"/>
        </w:rPr>
        <w:t>”), (E) a description in reasonable detail of any proxy (including revocable proxies), contract, arrangement, understanding or other relationship pursuant to which the Proponent or any Member Associated Person has a right to vote any shares of the Company, (F) any rights to dividends on the shares of the Company owned beneficially by the Proponent or any Member Associated Person that are separated or separable from the underlying shares of the Company, (G) any proportionate interest in stock and/or shares of the Company or Derivatives held, directly or indirectly, by a general or limited partnership in which the Proponent or any Member Associated Person is a general partner or, directly or indirectly, beneficially owns an interest in a general partner, (H) any performance-related fees (other than an asset-based fee) that the Proponent or any Member Associated Person is entitled to that is based on any increase or decrease in the value of shares of the Company or Derivatives thereof, if any, as of the date of such notice and (I) a representation that the member is the holder (either of record or beneficially) of not less than .05 per cent of the paid up share capital of the Company as carries the right to vote at the meeting to propose such business. The information specified in Article 120.1 to Article 120.3 is referred to herein as “</w:t>
      </w:r>
      <w:r>
        <w:rPr>
          <w:rFonts w:ascii="Arial" w:cs="Arial" w:eastAsia="Arial" w:hAnsi="Arial"/>
          <w:sz w:val="17"/>
          <w:szCs w:val="17"/>
          <w:b w:val="1"/>
          <w:bCs w:val="1"/>
          <w:color w:val="auto"/>
        </w:rPr>
        <w:t>Member</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120.4</w:t>
        <w:tab/>
        <w:t>a representation that each Proponent is a holder of record of shares of the Company entitled to vote at the meeting and intends to appear in person or by proxy at the meeting to propose such Member Business,</w:t>
      </w:r>
    </w:p>
    <w:p>
      <w:pPr>
        <w:spacing w:after="0" w:line="1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120.5</w:t>
      </w:r>
      <w:r>
        <w:rPr>
          <w:sz w:val="20"/>
          <w:szCs w:val="20"/>
          <w:color w:val="auto"/>
        </w:rPr>
        <w:tab/>
      </w:r>
      <w:r>
        <w:rPr>
          <w:rFonts w:ascii="Arial" w:cs="Arial" w:eastAsia="Arial" w:hAnsi="Arial"/>
          <w:sz w:val="17"/>
          <w:szCs w:val="17"/>
          <w:color w:val="auto"/>
        </w:rPr>
        <w:t>a brief description of the Member Business desired to be brought before the annual meeting, the text of the proposal (including the text of any resolutions proposed for consideration and, if such business includes a proposal to amend the Constitution of the Company, the language of the proposed amendment) and the reasons for conducting such Member Business at the meeting;</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120.6</w:t>
      </w:r>
      <w:r>
        <w:rPr>
          <w:sz w:val="20"/>
          <w:szCs w:val="20"/>
          <w:color w:val="auto"/>
        </w:rPr>
        <w:tab/>
      </w:r>
      <w:r>
        <w:rPr>
          <w:rFonts w:ascii="Arial" w:cs="Arial" w:eastAsia="Arial" w:hAnsi="Arial"/>
          <w:sz w:val="16"/>
          <w:szCs w:val="16"/>
          <w:color w:val="auto"/>
        </w:rPr>
        <w:t>any material interest of each Proponent and any Member Associated Person in such Member Business;</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120.7</w:t>
        <w:tab/>
        <w:t>a representation as to whether the Proponent intends (A) to deliver a proxy statement and form of proxy to holders of at least the percentage of the Company’s outstanding shares required to approve or adopt such Member Business or (B) otherwise to solicit proxies from members in support of such Member Business;</w:t>
      </w:r>
    </w:p>
    <w:p>
      <w:pPr>
        <w:spacing w:after="0" w:line="18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120.8</w:t>
        <w:tab/>
        <w:t>all other information that would be required to be filed with the SEC if the Proponents or Member Associated Persons were participants in a solicitation subject to Section 14 of the Exchange Act;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120.9</w:t>
      </w:r>
      <w:r>
        <w:rPr>
          <w:sz w:val="20"/>
          <w:szCs w:val="20"/>
          <w:color w:val="auto"/>
        </w:rPr>
        <w:tab/>
      </w:r>
      <w:r>
        <w:rPr>
          <w:rFonts w:ascii="Arial" w:cs="Arial" w:eastAsia="Arial" w:hAnsi="Arial"/>
          <w:sz w:val="16"/>
          <w:szCs w:val="16"/>
          <w:color w:val="auto"/>
        </w:rPr>
        <w:t>a representation that the Proponents shall provide any other information reasonably requested by the Company.</w:t>
      </w:r>
    </w:p>
    <w:p>
      <w:pPr>
        <w:spacing w:after="0" w:line="22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Proponents shall also provide any other information reasonably requested by the Company within ten days after such request.</w:t>
      </w:r>
    </w:p>
    <w:p>
      <w:pPr>
        <w:spacing w:after="0" w:line="225"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addition, the Proponent shall affirm as true and correct the information provided to the Company in the Notice of Business or at the Company’s request pursuant to Article 121 (and shall update or supplement such information as needed so that such information shall be true and correct) as of</w:t>
      </w:r>
    </w:p>
    <w:p>
      <w:pPr>
        <w:jc w:val="both"/>
        <w:ind w:left="660" w:hanging="4"/>
        <w:spacing w:after="0" w:line="252" w:lineRule="auto"/>
        <w:tabs>
          <w:tab w:leader="none" w:pos="901"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record date for the meeting, (ii) the date that is 10 days before the first anniversary date of the Company’s proxy statement released to members in connection with the previous year’s annual general meeting and (iii) the date that is the later of 10 days before the meeting or any adjournment or postponement thereof. Such affirmation, update and/or supplement must be delivered personally or mailed to, and received at the Office of the Company, addressed to the Secretary of the Company, by no later than (x) 5 days after the applicable date specified in clause (i) or (ii) of the foregoing sentence (in the case of the affirmation, update and/or supplement required to be made as of those dates), and (y) not later than 7 days before the date for the meeting (in the case of the affirmation, update and/or supplement required to be made as of 10 days before the meeting or any adjournment or postponement thereof).</w:t>
      </w:r>
    </w:p>
    <w:p>
      <w:pPr>
        <w:spacing w:after="0" w:line="19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person presiding over the meeting shall have the power, with respect to any Member Business attempted to be introduced at a meeting by resolution or proposal made by a member, to determine and declare at the meeting, that such business was not properly brought before the meeting in accordance with the procedures set forth in Article 118.3, and to exclude the consideration of any such business at the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left="660" w:hanging="652"/>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Proponent (or a qualified representative of the Proponent) does not appear, at the meeting to present the Member Business such business shall not be transacted, notwithstanding that proxies in respect of such vote may have been received by the Company. For purposes of these Articles, to be considered a qualified representative of the member, a person must be a duly authorised officer, manager or partner of such member or must be authorised by a writing executed by such member or an electronic communication delivered by such member to act for such member as proxy at the meeting of members and such person must produce such writing or electronic communication, or a reliable reproduction of the writing or electronic communication, at the meeting of members.</w:t>
      </w:r>
    </w:p>
    <w:p>
      <w:pPr>
        <w:spacing w:after="0" w:line="19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notice requirements of Article 118.3 shall be deemed satisfied with respect to member proposals that have been properly brought under Rule 14a-8 of the Exchange Act and that are included in a proxy statement that has been prepared by the Company to solicit proxies for such annual meeting.</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business of the annual general meeting shall include:</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126.1 the consideration of the Company’s statutory financial statements and the report of the Directors and the report of the Auditors on those statements and that report;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126.2   the review by the members of the Company’s affairs;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126.3   the authorisation of the Directors to approve the remuneration of the Auditors (if any);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126.4</w:t>
      </w:r>
      <w:r>
        <w:rPr>
          <w:sz w:val="20"/>
          <w:szCs w:val="20"/>
          <w:color w:val="auto"/>
        </w:rPr>
        <w:tab/>
      </w:r>
      <w:r>
        <w:rPr>
          <w:rFonts w:ascii="Arial" w:cs="Arial" w:eastAsia="Arial" w:hAnsi="Arial"/>
          <w:sz w:val="16"/>
          <w:szCs w:val="16"/>
          <w:color w:val="auto"/>
        </w:rPr>
        <w:t>the appointment or re-appointment of Auditors.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Chairperson, if any, shall preside as chairperson at every general meeting of the Company, or if there is no such Chairperson, or if he or she is not present at the time appointed for the holding of the meeting or is unwilling to act, the Directors present shall elect one of their number to be chairperson of the meeting.</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at any meeting no Director is willing to act as chairperson or if no Director is present at the time appointed for holding the meeting, the members present shall choose one of their number to be chairperson of the meeting.</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Directors may adopt such rules, regulations and procedures for the conduct of any meeting of the members as they deem appropriate. Except to the extent inconsistent with any applicable rules, regulations and procedures adopted by the Board, the chairperson of any meeting may adopt such rules, regulations and procedures for the meeting, which need not be in writing, and take such actions with respect to the conduct of the meeting, as the chairperson of the meeting deems appropriate, to maintain order and safety and for the conduct of the meeting. Without limiting the foregoing, he or she may:</w:t>
      </w:r>
    </w:p>
    <w:p>
      <w:pPr>
        <w:spacing w:after="0" w:line="188"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129.1 limit attendance at or participation in the meeting to members of record of the Company, their duly authorised proxies or such other persons as the chairperson of the meeting shall determine;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spacing w:after="0"/>
        <w:tabs>
          <w:tab w:leader="none" w:pos="1280" w:val="left"/>
        </w:tabs>
        <w:rPr>
          <w:sz w:val="20"/>
          <w:szCs w:val="20"/>
          <w:color w:val="auto"/>
        </w:rPr>
      </w:pPr>
      <w:r>
        <w:rPr>
          <w:rFonts w:ascii="Arial" w:cs="Arial" w:eastAsia="Arial" w:hAnsi="Arial"/>
          <w:sz w:val="18"/>
          <w:szCs w:val="18"/>
          <w:color w:val="auto"/>
        </w:rPr>
        <w:t>129.2</w:t>
      </w:r>
      <w:r>
        <w:rPr>
          <w:sz w:val="20"/>
          <w:szCs w:val="20"/>
          <w:color w:val="auto"/>
        </w:rPr>
        <w:tab/>
      </w:r>
      <w:r>
        <w:rPr>
          <w:rFonts w:ascii="Arial" w:cs="Arial" w:eastAsia="Arial" w:hAnsi="Arial"/>
          <w:sz w:val="16"/>
          <w:szCs w:val="16"/>
          <w:color w:val="auto"/>
        </w:rPr>
        <w:t>restrict dissemination of materials and use of audio or visual recording devices at the meeting;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129.3</w:t>
      </w:r>
      <w:r>
        <w:rPr>
          <w:sz w:val="20"/>
          <w:szCs w:val="20"/>
          <w:color w:val="auto"/>
        </w:rPr>
        <w:tab/>
      </w:r>
      <w:r>
        <w:rPr>
          <w:rFonts w:ascii="Arial" w:cs="Arial" w:eastAsia="Arial" w:hAnsi="Arial"/>
          <w:sz w:val="16"/>
          <w:szCs w:val="16"/>
          <w:color w:val="auto"/>
        </w:rPr>
        <w:t>take steps to maintain order and safety at the meeting;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129.4</w:t>
      </w:r>
      <w:r>
        <w:rPr>
          <w:sz w:val="20"/>
          <w:szCs w:val="20"/>
          <w:color w:val="auto"/>
        </w:rPr>
        <w:tab/>
      </w:r>
      <w:r>
        <w:rPr>
          <w:rFonts w:ascii="Arial" w:cs="Arial" w:eastAsia="Arial" w:hAnsi="Arial"/>
          <w:sz w:val="15"/>
          <w:szCs w:val="15"/>
          <w:color w:val="auto"/>
        </w:rPr>
        <w:t>establish seating arrangements;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129.5</w:t>
      </w:r>
      <w:r>
        <w:rPr>
          <w:sz w:val="20"/>
          <w:szCs w:val="20"/>
          <w:color w:val="auto"/>
        </w:rPr>
        <w:tab/>
      </w:r>
      <w:r>
        <w:rPr>
          <w:rFonts w:ascii="Arial" w:cs="Arial" w:eastAsia="Arial" w:hAnsi="Arial"/>
          <w:sz w:val="16"/>
          <w:szCs w:val="16"/>
          <w:color w:val="auto"/>
        </w:rPr>
        <w:t>restrict entry to the meeting after the time fixed for its commencement;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129.6</w:t>
      </w:r>
      <w:r>
        <w:rPr>
          <w:sz w:val="20"/>
          <w:szCs w:val="20"/>
          <w:color w:val="auto"/>
        </w:rPr>
        <w:tab/>
      </w:r>
      <w:r>
        <w:rPr>
          <w:rFonts w:ascii="Arial" w:cs="Arial" w:eastAsia="Arial" w:hAnsi="Arial"/>
          <w:sz w:val="15"/>
          <w:szCs w:val="15"/>
          <w:color w:val="auto"/>
        </w:rPr>
        <w:t>establish an agenda or order of business;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129.7</w:t>
      </w:r>
      <w:r>
        <w:rPr>
          <w:sz w:val="20"/>
          <w:szCs w:val="20"/>
          <w:color w:val="auto"/>
        </w:rPr>
        <w:tab/>
      </w:r>
      <w:r>
        <w:rPr>
          <w:rFonts w:ascii="Arial" w:cs="Arial" w:eastAsia="Arial" w:hAnsi="Arial"/>
          <w:sz w:val="16"/>
          <w:szCs w:val="16"/>
          <w:color w:val="auto"/>
        </w:rPr>
        <w:t>adjourn the meeting without a vote of the members, whether or not there is a quorum present;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129.8</w:t>
      </w:r>
      <w:r>
        <w:rPr>
          <w:sz w:val="20"/>
          <w:szCs w:val="20"/>
          <w:color w:val="auto"/>
        </w:rPr>
        <w:tab/>
      </w:r>
      <w:r>
        <w:rPr>
          <w:rFonts w:ascii="Arial" w:cs="Arial" w:eastAsia="Arial" w:hAnsi="Arial"/>
          <w:sz w:val="16"/>
          <w:szCs w:val="16"/>
          <w:color w:val="auto"/>
        </w:rPr>
        <w:t>limit the time allotted to member questions or comments;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129.9</w:t>
      </w:r>
      <w:r>
        <w:rPr>
          <w:sz w:val="20"/>
          <w:szCs w:val="20"/>
          <w:color w:val="auto"/>
        </w:rPr>
        <w:tab/>
      </w:r>
      <w:r>
        <w:rPr>
          <w:rFonts w:ascii="Arial" w:cs="Arial" w:eastAsia="Arial" w:hAnsi="Arial"/>
          <w:sz w:val="16"/>
          <w:szCs w:val="16"/>
          <w:color w:val="auto"/>
        </w:rPr>
        <w:t>make rules governing speeches and debate including time limits and access to microphones.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chairperson of the meeting acts in his or her absolute discretion and his or her rulings are not subject to appeal.</w:t>
      </w:r>
    </w:p>
    <w:p>
      <w:pPr>
        <w:spacing w:after="0" w:line="225" w:lineRule="exact"/>
        <w:rPr>
          <w:sz w:val="20"/>
          <w:szCs w:val="20"/>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chairperson of the meeting may, with the consent of any meeting at which a quorum is present, and shall if so directed by the meeting, adjourn the meeting from time to time and from place to place.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business shall be transacted at any adjourned meeting other than the business left unfinished at the meeting from which the adjournment took place.</w:t>
      </w:r>
    </w:p>
    <w:p>
      <w:pPr>
        <w:spacing w:after="0" w:line="17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When a meeting is adjourned for 30 days or more, notice of the adjourned meeting shall be given as in the case of an original meeting but, subject to that, it shall not be necessary to give any notice of an adjournment or of the business to be transacted at an adjourned meeting.</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Director and the Auditors shall be entitled to attend and speak at any general meeting of the Company.</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134.</w:t>
      </w:r>
    </w:p>
    <w:p>
      <w:pPr>
        <w:spacing w:after="0" w:line="225"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134.1</w:t>
        <w:tab/>
        <w:t>No amendment may be made to a resolution, at or before the time when it is put to a vote, unless the chairperson of the meeting decides that the amendment or the amended resolution may properly be put to a vote at that meeting.</w:t>
      </w:r>
    </w:p>
    <w:p>
      <w:pPr>
        <w:spacing w:after="0" w:line="1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134.2</w:t>
      </w:r>
      <w:r>
        <w:rPr>
          <w:sz w:val="20"/>
          <w:szCs w:val="20"/>
          <w:color w:val="auto"/>
        </w:rPr>
        <w:tab/>
      </w:r>
      <w:r>
        <w:rPr>
          <w:rFonts w:ascii="Arial" w:cs="Arial" w:eastAsia="Arial" w:hAnsi="Arial"/>
          <w:sz w:val="17"/>
          <w:szCs w:val="17"/>
          <w:color w:val="auto"/>
        </w:rPr>
        <w:t>If the chairperson of the meeting rules a resolution or an amendment to a resolution admissible or out of order (as the case may be), the proceedings of the meeting or on the resolution in question shall not be invalidated by any error in his or her ruling. Any ruling by the chairperson of the meeting in relation to a resolution or an amendment to a resolution shall be final and conclusive.</w:t>
      </w:r>
    </w:p>
    <w:p>
      <w:pPr>
        <w:spacing w:after="0" w:line="166" w:lineRule="exact"/>
        <w:rPr>
          <w:sz w:val="20"/>
          <w:szCs w:val="20"/>
          <w:color w:val="auto"/>
        </w:rPr>
      </w:pPr>
    </w:p>
    <w:p>
      <w:pPr>
        <w:ind w:left="660" w:hanging="652"/>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where a greater majority is required by the Act or these Articles, any question proposed for a decision of the members at any general meeting of the Company or a decision of any class of members at a separate meeting of any class of shares shall be decided by an ordinary resolution.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poll.</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poll shall be taken in such manner as the chairperson of the meeting directs and he or she may appoint scrutineers (who need not be members) and fix a time and place for declaring the result of the poll. The result of the poll shall be deemed to be the resolution of the meeting at which the poll was demanded.</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authorised by the Directors, any vote taken by written ballot may be satisfied by a ballot submitted by electronic and/or telephonic transmission, provided that any such electronic or telephonic submission must either set forth or be submitted with information from which it can be determined that the electronic or telephonic submission has been authorised by the member or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of Members</w:t>
      </w:r>
    </w:p>
    <w:p>
      <w:pPr>
        <w:spacing w:after="0" w:line="229" w:lineRule="exact"/>
        <w:rPr>
          <w:sz w:val="20"/>
          <w:szCs w:val="20"/>
          <w:color w:val="auto"/>
        </w:rPr>
      </w:pPr>
    </w:p>
    <w:p>
      <w:pPr>
        <w:ind w:left="660" w:hanging="652"/>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the provisions of these Articles and any rights or restrictions for the time being attached to any class or classes of shares in the capital of the Company, every member of record present in person or by proxy shall have one vote for each share registered in his or her name in the Register.</w:t>
      </w:r>
    </w:p>
    <w:p>
      <w:pPr>
        <w:spacing w:after="0" w:line="12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there are joint holders of a share, the vote of the senior who tenders a vote, whether in person or by proxy, shall be accepted to the exclusion of the votes of the other joint holder or holders; and for this purpose, seniority shall be determined by the order in which the names of the joint holders stand in the Register.</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member who has made an enduring power of attorney, or a member in respect of whom an order has been made by any court having jurisdiction in cases of unsound mind, may vote by his or her committee, donee of an enduring power of attorney, receiver, guardian or other person appointed by the foregoing court, and any such committee, donee of an enduring power of attorney, receiver, guardian or other persons appointed by the foregoing court may speak or vote by proxy.</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(or such other time as may be determined by the Board, from time to time) before the time appointed for holding the meeting or adjourned meeting at which the right to vote is to be exercised and in default the right to vote shall not be exercisable.</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chairperson of the general meeting whose decision shall be final and conclusive.</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w:t>
      </w:r>
    </w:p>
    <w:p>
      <w:pPr>
        <w:spacing w:after="0" w:line="181"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Votes may be given either personally (including by a duly authorised representative of a corporate member) or by proxy. On a poll taken at a meeting of the members of the Company or a meeting of any class of members of the Company, a member, whether present in person or by proxy, entitled to more than one vote need not, if he votes, use all his votes or cast all the votes he uses in the same way.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left="66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Subject to such requirements and restrictions as the Directors may specify, the Company may permit members who are not physically present at a meeting to vote by electronic means at the general meeting in respect of one or more of the resolutions proposed at a meeting.</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there is an equality of votes, the chairperson of the meeting shall not have a second or casting vote.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member shall be entitled to vote at any general meeting of the Company unless all calls or other sums immediately payable by him or her in respect of shares in the Company have been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meetings</w:t>
      </w:r>
    </w:p>
    <w:p>
      <w:pPr>
        <w:spacing w:after="0" w:line="229" w:lineRule="exact"/>
        <w:rPr>
          <w:sz w:val="20"/>
          <w:szCs w:val="20"/>
          <w:color w:val="auto"/>
        </w:rPr>
      </w:pPr>
    </w:p>
    <w:p>
      <w:pPr>
        <w:ind w:left="66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shall, as far as applicable, apply in relation to any meeting of any class of member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229" w:lineRule="exact"/>
        <w:rPr>
          <w:sz w:val="20"/>
          <w:szCs w:val="20"/>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Directors shall be fixed from time to time by the Board, provided that in no case shall the number fixed by the Board be less than three nor more than fourteen.</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Director shall (unless his office is earlier vacated in accordance with these Articles) serve for a one-year term concluding at the later of (x) the annual general meeting after such Director was last appointed or re-appointed and (y) subject to Article 155, until his successor is elected and qualified. Any Director retiring at an annual general meeting will be eligible for re-appointment at that annual general meeting in accordance with these Articles.</w:t>
      </w:r>
    </w:p>
    <w:p>
      <w:pPr>
        <w:spacing w:after="0" w:line="186"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Nominations of persons for election to the Board may only be made at a meeting properly called for the election of Directors and only (i) by or at the direction of the Board or any committee thereof or (ii) by a member who (A) was a member of record of the Company when the notice required by Article 159 is delivered to the Secretary of the Company and at the time of the meeting, (B) is entitled to vote for the election of Directors at the meeting and (C) complies with the notice and other provisions of Article 159 provided, in the case of an extraordinary general meeting, that the Board has determined that directors shall be elected at such special meeting. Persons nominated by a member in accordance with Article 159 are referred to as “</w:t>
      </w:r>
      <w:r>
        <w:rPr>
          <w:rFonts w:ascii="Arial" w:cs="Arial" w:eastAsia="Arial" w:hAnsi="Arial"/>
          <w:sz w:val="16"/>
          <w:szCs w:val="16"/>
          <w:b w:val="1"/>
          <w:bCs w:val="1"/>
          <w:color w:val="auto"/>
        </w:rPr>
        <w:t>Member Nominees</w:t>
      </w:r>
      <w:r>
        <w:rPr>
          <w:rFonts w:ascii="Arial" w:cs="Arial" w:eastAsia="Arial" w:hAnsi="Arial"/>
          <w:sz w:val="16"/>
          <w:szCs w:val="16"/>
          <w:color w:val="auto"/>
        </w:rPr>
        <w:t>”. A member nominating persons for election to the Board is referred to as the “</w:t>
      </w:r>
      <w:r>
        <w:rPr>
          <w:rFonts w:ascii="Arial" w:cs="Arial" w:eastAsia="Arial" w:hAnsi="Arial"/>
          <w:sz w:val="16"/>
          <w:szCs w:val="16"/>
          <w:b w:val="1"/>
          <w:bCs w:val="1"/>
          <w:color w:val="auto"/>
        </w:rPr>
        <w:t>Nominating Member</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Directors may be appointed by the members in general meeting, provided, however, that no person other than a Director retiring at the meeting shall, save where nominated by the Board or a member pursuant to Article 152, be eligible for election to the office of Director at any general meeting unless the requirements of Article 167 as to his or her eligibility for that purposes have been complied with.</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Director shall be elected by an ordinary resolution at such meeting, provided that if the number of Director nominees exceeds the number of Directors to be elected (a “</w:t>
      </w:r>
      <w:r>
        <w:rPr>
          <w:rFonts w:ascii="Arial" w:cs="Arial" w:eastAsia="Arial" w:hAnsi="Arial"/>
          <w:sz w:val="18"/>
          <w:szCs w:val="18"/>
          <w:b w:val="1"/>
          <w:bCs w:val="1"/>
          <w:color w:val="auto"/>
        </w:rPr>
        <w:t>contested election</w:t>
      </w:r>
      <w:r>
        <w:rPr>
          <w:rFonts w:ascii="Arial" w:cs="Arial" w:eastAsia="Arial" w:hAnsi="Arial"/>
          <w:sz w:val="18"/>
          <w:szCs w:val="18"/>
          <w:color w:val="auto"/>
        </w:rPr>
        <w:t>”), each of those nominees shall be voted upon as a separate resolution and the Directors shall be elected by a plurality of the votes of the shares present in person or represented by proxy at any such meeting and entitled to vote on the election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line="282" w:lineRule="auto"/>
        <w:rPr>
          <w:sz w:val="20"/>
          <w:szCs w:val="20"/>
          <w:color w:val="auto"/>
        </w:rPr>
      </w:pPr>
      <w:r>
        <w:rPr>
          <w:rFonts w:ascii="Arial" w:cs="Arial" w:eastAsia="Arial" w:hAnsi="Arial"/>
          <w:sz w:val="18"/>
          <w:szCs w:val="18"/>
          <w:color w:val="auto"/>
        </w:rPr>
        <w:t>For the purposes of this Article 154, “</w:t>
      </w:r>
      <w:r>
        <w:rPr>
          <w:rFonts w:ascii="Arial" w:cs="Arial" w:eastAsia="Arial" w:hAnsi="Arial"/>
          <w:sz w:val="18"/>
          <w:szCs w:val="18"/>
          <w:b w:val="1"/>
          <w:bCs w:val="1"/>
          <w:color w:val="auto"/>
        </w:rPr>
        <w:t>elected by a plurality</w:t>
      </w:r>
      <w:r>
        <w:rPr>
          <w:rFonts w:ascii="Arial" w:cs="Arial" w:eastAsia="Arial" w:hAnsi="Arial"/>
          <w:sz w:val="18"/>
          <w:szCs w:val="18"/>
          <w:color w:val="auto"/>
        </w:rPr>
        <w:t>” means the election of those director nominees, equalling in number to the number of positions to be filled at the relevant general meeting that received the highest number of votes.</w:t>
      </w:r>
    </w:p>
    <w:p>
      <w:pPr>
        <w:spacing w:after="0" w:line="166" w:lineRule="exact"/>
        <w:rPr>
          <w:sz w:val="20"/>
          <w:szCs w:val="20"/>
          <w:color w:val="auto"/>
        </w:rPr>
      </w:pPr>
    </w:p>
    <w:p>
      <w:pPr>
        <w:jc w:val="both"/>
        <w:ind w:left="660" w:hanging="652"/>
        <w:spacing w:after="0" w:line="29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nominee for election to the Board who is then serving as a Director and, in an uncontested election (where the number of Director nominees does not exceed the number of Directors to be elected),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regarding whether to accept, reject or take other action with respect to his/her resignation.</w:t>
      </w:r>
    </w:p>
    <w:p>
      <w:pPr>
        <w:spacing w:after="0" w:line="158"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Directors may from time to time appoint any person to be a Director, either to fill a casual vacancy or as an addition to the existing Directors, provided that the total number of Directors shall not at any time exceed the number as may be provided for in these Articles.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Director who is appointed pursuant to Article 156 shall be required to retire at the next following annual general meeting, subject to the provisions of Article 151.</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may, by ordinary resolution, appoint another person in place of a Director removed from office under section 146 of the Act and, without prejudice to the powers of the Directors under Article 156, the Company in a general meeting may appoint any person to be a Director either to fill a casual vacancy or as an additional Director.</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nominations of Member Nominees must be made by timely written notice given by or on behalf of a member of record of the Company (the “</w:t>
      </w:r>
      <w:r>
        <w:rPr>
          <w:rFonts w:ascii="Arial" w:cs="Arial" w:eastAsia="Arial" w:hAnsi="Arial"/>
          <w:sz w:val="18"/>
          <w:szCs w:val="18"/>
          <w:b w:val="1"/>
          <w:bCs w:val="1"/>
          <w:color w:val="auto"/>
        </w:rPr>
        <w:t>Notice of Nomination</w:t>
      </w:r>
      <w:r>
        <w:rPr>
          <w:rFonts w:ascii="Arial" w:cs="Arial" w:eastAsia="Arial" w:hAnsi="Arial"/>
          <w:sz w:val="18"/>
          <w:szCs w:val="18"/>
          <w:color w:val="auto"/>
        </w:rPr>
        <w:t>”). To be timely, the Notice of Nomination must be delivered personally or mailed to and received at the Office of the Company, addressed to the attention of the Secretary of the Company, by the following dates:</w:t>
      </w:r>
    </w:p>
    <w:p>
      <w:pPr>
        <w:spacing w:after="0" w:line="181" w:lineRule="exact"/>
        <w:rPr>
          <w:rFonts w:ascii="Arial" w:cs="Arial" w:eastAsia="Arial" w:hAnsi="Arial"/>
          <w:sz w:val="18"/>
          <w:szCs w:val="18"/>
          <w:color w:val="auto"/>
        </w:rPr>
      </w:pPr>
    </w:p>
    <w:p>
      <w:pPr>
        <w:ind w:left="1300" w:hanging="648"/>
        <w:spacing w:after="0" w:line="271" w:lineRule="auto"/>
        <w:rPr>
          <w:rFonts w:ascii="Arial" w:cs="Arial" w:eastAsia="Arial" w:hAnsi="Arial"/>
          <w:sz w:val="18"/>
          <w:szCs w:val="18"/>
          <w:color w:val="auto"/>
        </w:rPr>
      </w:pPr>
      <w:r>
        <w:rPr>
          <w:rFonts w:ascii="Arial" w:cs="Arial" w:eastAsia="Arial" w:hAnsi="Arial"/>
          <w:sz w:val="17"/>
          <w:szCs w:val="17"/>
          <w:color w:val="auto"/>
        </w:rPr>
        <w:t>159.1 in the case of the nomination of a Member Nominee for election to the Board at an annual general meeting of members, no earlier than 120 days and no later than 90 days before the first anniversary of the date of the prior year’s annual general meeting of members; provided, however, that (A) if the annual meeting of members is advanced by more than 30 days, or delayed by more than 60 days, from the first anniversary of the prior year’s annual general meeting of members, (B) if no annual meeting was held during the prior year or (C) in the case of the Company’s first annual general meeting of members following the Company’s adoption of these Articles, the notice by the member to be timely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 and</w:t>
      </w:r>
    </w:p>
    <w:p>
      <w:pPr>
        <w:spacing w:after="0" w:line="178"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159.2 in the case of the nomination of a Member Nominee for election to the Board at an extraordinary general meeting of members, no earlier than 120 days before and no later than the later of 90 days before such special meeting and the tenth day after the day on which the notice of such special meeting was first made by mail or Public Disclosure.</w:t>
      </w:r>
    </w:p>
    <w:p>
      <w:pPr>
        <w:spacing w:after="0" w:line="181"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anything to the contrary, if the number of Directors to be elected to the Board at a meeting of members is increased and there is no Public Disclosure by the Company naming the nominees for the additional directorships at least 100 days before the first anniversary of the preceding year’s annual meeting, a Notice of Nomination shall also be considered timely, but only with respect to nominees for the additional directorships, if it shall be delivered personally and received at the Office of the Company, addressed to the attention of the Secretary of the Company, no later than the close of business on the tenth day following the day on which such Public Disclosure is first made by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0" w:name="page51"/>
    <w:bookmarkEnd w:id="50"/>
    <w:p>
      <w:pPr>
        <w:ind w:left="66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no event shall an adjournment or postponement, or Public Disclosure of an adjournment or postponement, of an annual or extraordinary general meeting commence a new time period (or extend any time period) for the giving of the Notice of Nomination.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Notice of Nomination shall set forth:</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162.1 the Member Information with respect to each Nominating Member and Member Associated Person (except that references to the “Proponent” in Article 120.1 to Article 120.3 shall instead refer to the “Nominating Member” for purposes of this Article 162.1);</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162.2 a representation that each member nominating a Member Nominee is a holder of record of shares of the Company entitled to vote at the meeting and intends to appear in person or by proxy at the meeting to propose such nomination;</w:t>
      </w:r>
    </w:p>
    <w:p>
      <w:pPr>
        <w:spacing w:after="0" w:line="170" w:lineRule="exact"/>
        <w:rPr>
          <w:rFonts w:ascii="Arial" w:cs="Arial" w:eastAsia="Arial" w:hAnsi="Arial"/>
          <w:sz w:val="18"/>
          <w:szCs w:val="18"/>
          <w:color w:val="auto"/>
        </w:rPr>
      </w:pPr>
    </w:p>
    <w:p>
      <w:pPr>
        <w:ind w:left="1300" w:hanging="648"/>
        <w:spacing w:after="0" w:line="312" w:lineRule="auto"/>
        <w:rPr>
          <w:rFonts w:ascii="Arial" w:cs="Arial" w:eastAsia="Arial" w:hAnsi="Arial"/>
          <w:sz w:val="18"/>
          <w:szCs w:val="18"/>
          <w:color w:val="auto"/>
        </w:rPr>
      </w:pPr>
      <w:r>
        <w:rPr>
          <w:rFonts w:ascii="Arial" w:cs="Arial" w:eastAsia="Arial" w:hAnsi="Arial"/>
          <w:sz w:val="16"/>
          <w:szCs w:val="16"/>
          <w:color w:val="auto"/>
        </w:rPr>
        <w:t>162.3 all information regarding each Member Nominee and Member Associated Person that would be required to be disclosed in a solicitation of proxies subject to Section 14 of the Exchange Act, the written consent of each Member Nominee to being named in a proxy statement as a nominee and to serve if elected and a completed signed questionnaire, representation and agreement required by Article 167;</w:t>
      </w:r>
    </w:p>
    <w:p>
      <w:pPr>
        <w:spacing w:after="0" w:line="146" w:lineRule="exact"/>
        <w:rPr>
          <w:rFonts w:ascii="Arial" w:cs="Arial" w:eastAsia="Arial" w:hAnsi="Arial"/>
          <w:sz w:val="18"/>
          <w:szCs w:val="18"/>
          <w:color w:val="auto"/>
        </w:rPr>
      </w:pPr>
    </w:p>
    <w:p>
      <w:pPr>
        <w:ind w:left="1300" w:hanging="648"/>
        <w:spacing w:after="0" w:line="297" w:lineRule="auto"/>
        <w:rPr>
          <w:rFonts w:ascii="Arial" w:cs="Arial" w:eastAsia="Arial" w:hAnsi="Arial"/>
          <w:sz w:val="18"/>
          <w:szCs w:val="18"/>
          <w:color w:val="auto"/>
        </w:rPr>
      </w:pPr>
      <w:r>
        <w:rPr>
          <w:rFonts w:ascii="Arial" w:cs="Arial" w:eastAsia="Arial" w:hAnsi="Arial"/>
          <w:sz w:val="16"/>
          <w:szCs w:val="16"/>
          <w:color w:val="auto"/>
        </w:rPr>
        <w:t>162.4 a description of all direct and indirect compensation and other material monetary agreements, arrangements and understandings during the past three years, and any other material relationships, between or among a Nominating Member, Member Associated Person or their respective associates, or others acting in concert therewith, including all information that would be required to be disclosed pursuant to Rule 404 promulgated under Regulation S-K if the Nominating Member, Member Associated Person or any person acting in concert therewith, were the “registrant” for purposes of such rule and the Member Nominee were a director or executive of such registrant;</w:t>
      </w:r>
    </w:p>
    <w:p>
      <w:pPr>
        <w:spacing w:after="0" w:line="158"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162.5 a representation as to whether the Nominating Members intends (A) to deliver a proxy statement and form of proxy to holders of at least the percentage of the Company’s outstanding share capital required to approve the nomination or (B) otherwise to solicit proxies from members in support of such nomination;</w:t>
      </w:r>
    </w:p>
    <w:p>
      <w:pPr>
        <w:spacing w:after="0" w:line="181"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162.6 all other information that would be required to be filed with the SEC if the Nominating Members and Member Associated Person were participants in a solicitation subject to Section 14 of the Exchange Act; and</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162.7   a representation that the Nominating Members shall provide any other information reasonably requested by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Nominating Members shall also provide any other information reasonably requested by the Company within 10 days after such request.</w:t>
      </w:r>
    </w:p>
    <w:p>
      <w:pPr>
        <w:spacing w:after="0" w:line="236" w:lineRule="exact"/>
        <w:rPr>
          <w:rFonts w:ascii="Arial" w:cs="Arial" w:eastAsia="Arial" w:hAnsi="Arial"/>
          <w:sz w:val="17"/>
          <w:szCs w:val="17"/>
          <w:color w:val="auto"/>
        </w:rPr>
      </w:pPr>
    </w:p>
    <w:p>
      <w:pPr>
        <w:jc w:val="both"/>
        <w:ind w:left="660" w:hanging="652"/>
        <w:spacing w:after="0" w:line="270"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addition, the Nominating Member shall affirm as true and correct the information provided to the Company in the Notice of Nomination or at the Company’s request pursuant to Article 163 (and shall update or supplement such information as needed so that such information shall be true and correct) as of (i) the record date for the meeting, (ii) the date that is 10 days before the first anniversary date of the Company’s proxy statement released to members in connection with the previous year’s annual general meeting (in the case of an annual general meeting) or 50 days before the date of the meeting (in the case of an extraordinary general meeting) and (iii) the date that is 10 days before the date of the meeting or any adjournment or postponement thereof. Such affirmation, update and/or supplement must be delivered personally or mailed to, and received at the Office of the Company, addressed to the Secretary of the Company, by no later than (1) 5 days after the applicable date specified in clause (i) or (ii) of the foregoing sentence (in the case of the affirmation, update and/or supplement required to be made as of those dates), and (2) not later than 7 days before the date for the meeting (in the case of the affirmation, update and/or supplement required to be made as of 10 days before the meeting or any adjournment or postponement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both"/>
        <w:ind w:left="66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person presiding over the meeting shall, if the facts warrant, determine and declare to the meeting, that the nomination was not made in accordance with the procedures set forth in these Articles, and, if he or she should so determine, he or she shall so declare to the meeting and the defective nomination shall be disregarded.</w:t>
      </w:r>
    </w:p>
    <w:p>
      <w:pPr>
        <w:spacing w:after="0" w:line="181"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member (or a qualified representative of the member) does not appear at the applicable meeting to nominate the Member Nominees, such nomination shall be disregarded and such business shall not be transacted, notwithstanding that proxies in respect of such vote may have been received by the Company. For purposes of this Article 166, to be considered a qualified representative of the member, a person must be a duly authorised officer, manager or partner of such member or must be authorised by a writing executed by such member or an electronic communication delivered by such member to act for such member as proxy at the meeting of members and such person must produce such writing or electronic communication, or a reliable reproduction of the writing or electronic communication, at the meeting of members.</w:t>
      </w:r>
    </w:p>
    <w:p>
      <w:pPr>
        <w:spacing w:after="0" w:line="164" w:lineRule="exact"/>
        <w:rPr>
          <w:rFonts w:ascii="Arial" w:cs="Arial" w:eastAsia="Arial" w:hAnsi="Arial"/>
          <w:sz w:val="16"/>
          <w:szCs w:val="16"/>
          <w:color w:val="auto"/>
        </w:rPr>
      </w:pPr>
    </w:p>
    <w:p>
      <w:pPr>
        <w:jc w:val="both"/>
        <w:ind w:left="660" w:hanging="652"/>
        <w:spacing w:after="0" w:line="28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be eligible to be a nominee for election or re-election as a Director, the Member Nominee must deliver (in accordance with the time periods prescribed for delivery of notice under Article 159) to the Secretary at the Office of the Company (a) a completed and signed written questionnaire to be provided on request to the Company with respect to the background and qualification of such person and the background of any other person or entity on whose behalf the nomination is being made (which questionnaire shall be provided by the Secretary upon written request), (b) information as necessary to permit the Board to determine if each Member Nominee (i) is independent under any applicable rule of law or of any Exchange and any publicly disclosed standards used by the Board in determining and disclosing the independence of the Directors, (ii) qualifies as an “outside director” for the purposes of Section 162(m) of the Code (or any successor provision) (if required), (iii) is not or has not been, within the past three years, an officer or director of a competitor, as defined in Section 8 of the Clayton Antitrust Act of 1914 of the United States or (iv) is not a named subject of a pending criminal proceeding (excluding traffic violations and other minor offenses) or has been convicted in a criminal proceeding within the past ten years, (c)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will act or vote as a Director on any issue or question (a “</w:t>
      </w:r>
      <w:r>
        <w:rPr>
          <w:rFonts w:ascii="Arial" w:cs="Arial" w:eastAsia="Arial" w:hAnsi="Arial"/>
          <w:sz w:val="16"/>
          <w:szCs w:val="16"/>
          <w:b w:val="1"/>
          <w:bCs w:val="1"/>
          <w:color w:val="auto"/>
        </w:rPr>
        <w:t>Voting Commitment</w:t>
      </w:r>
      <w:r>
        <w:rPr>
          <w:rFonts w:ascii="Arial" w:cs="Arial" w:eastAsia="Arial" w:hAnsi="Arial"/>
          <w:sz w:val="16"/>
          <w:szCs w:val="16"/>
          <w:color w:val="auto"/>
        </w:rPr>
        <w:t>”) that has not been disclosed to the Company or (B) any Voting Commitment that could limit or interfere with such person’s ability to comply with such person’s fiduciary duties as a Director under applicable law, (ii)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(iii) will comply with all applicable publicly disclosed corporate governance, conflict of interest, confidentiality and share and stock ownership and trading and other policies and guidelines of the Company that are applicable to Directors and (iv) currently intends to serve as a Director for the full term for which he or she is standing for election and (d) such person’s written consent to being named as a Member Nominee and to serving as a Director if elected.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Vacation of office by Directors</w:t>
      </w:r>
    </w:p>
    <w:p>
      <w:pPr>
        <w:spacing w:after="0" w:line="229"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circumstances described in sections 146, 148(1) and 196(2) of the Act, the office of Director shall be vacated: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168.1   ipso facto, if that Director: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resigns his or her office by notice in writing to the Company;</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becomes subject to a declaration of restriction under section 819 of the Act and the Directors, at any time during the currency of the declaration, resolve that his or her office be vacated;</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resigns his office by spoken declaration at any Board meeting and such resignation is accepted by resolution of that meeting, in which case such resignation shall take effect at the conclusion of such meeting unless otherwise resolved;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is adjudicated insolvent or bankrupt or makes any arrangement or compromise with his creditors generally (in any jurisdiction); or</w:t>
      </w:r>
    </w:p>
    <w:p>
      <w:pPr>
        <w:spacing w:after="0" w:line="248" w:lineRule="exact"/>
        <w:rPr>
          <w:rFonts w:ascii="Arial" w:cs="Arial" w:eastAsia="Arial" w:hAnsi="Arial"/>
          <w:sz w:val="16"/>
          <w:szCs w:val="16"/>
          <w:color w:val="auto"/>
        </w:rPr>
      </w:pPr>
    </w:p>
    <w:p>
      <w:pPr>
        <w:jc w:val="both"/>
        <w:ind w:left="1960" w:hanging="655"/>
        <w:spacing w:after="0" w:line="259"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is removed from office by notice in writing to the Company: where there is a sole member, by the sole member or where there is more than one member, by any member or members having the right to attend and vote at a general meeting of the Company on a resolution to remove a Director and holding for the time being not less than 90% in nominal value of the shares giving that right; and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168.2</w:t>
      </w:r>
      <w:r>
        <w:rPr>
          <w:sz w:val="20"/>
          <w:szCs w:val="20"/>
          <w:color w:val="auto"/>
        </w:rPr>
        <w:tab/>
      </w:r>
      <w:r>
        <w:rPr>
          <w:rFonts w:ascii="Arial" w:cs="Arial" w:eastAsia="Arial" w:hAnsi="Arial"/>
          <w:sz w:val="16"/>
          <w:szCs w:val="16"/>
          <w:color w:val="auto"/>
        </w:rPr>
        <w:t>by resolution of the Board:</w:t>
      </w:r>
    </w:p>
    <w:p>
      <w:pPr>
        <w:spacing w:after="0" w:line="225" w:lineRule="exact"/>
        <w:rPr>
          <w:sz w:val="20"/>
          <w:szCs w:val="20"/>
          <w:color w:val="auto"/>
        </w:rPr>
      </w:pPr>
    </w:p>
    <w:p>
      <w:pPr>
        <w:ind w:left="1960" w:right="20" w:hanging="655"/>
        <w:spacing w:after="0" w:line="277"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that Director can no longer be reasonably regarded as possessing an adequate decision making capacity by reason of his or her health;</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that Director is sentenced to a term of imprisonment (whether or not the term is suspended) following conviction of a criminal offense in any jurisdiction;</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that Director is for more than six months absent, without the permission of the Directors, from meetings of the Directors held during that period; or</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that Director is in employment of the Company, the Company’s holding company or a subsidiary of the Company’s holding company, upon the termination of such employment;</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168.3</w:t>
        <w:tab/>
        <w:t>and a Director so removed shall have no right to prior notice or to raise any objection to his or her removal from office but any removal (other than one initiated by the Director) shall be without prejudice to any claim for compensation or damages payable as a result of the removal also terminating any contract of service.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Directors’ remuneration and expenses</w:t>
      </w:r>
    </w:p>
    <w:p>
      <w:pPr>
        <w:spacing w:after="0" w:line="229" w:lineRule="exact"/>
        <w:rPr>
          <w:sz w:val="20"/>
          <w:szCs w:val="20"/>
          <w:color w:val="auto"/>
        </w:rPr>
      </w:pPr>
    </w:p>
    <w:p>
      <w:pPr>
        <w:jc w:val="both"/>
        <w:ind w:left="660" w:hanging="652"/>
        <w:spacing w:after="0" w:line="29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remuneration of the Directors shall be such as is determined, from time to time, by the Board. The Board may from time to time determine that, subject to the requirements of the Act, all or part of any fees or other remuneration payable to any Director shall be provided in the form of cash, bonus or shares or other securities of the Company or any subsidiary of the Company, or options or rights to acquire such shares or other securities, or by reference to the value of such securities, on such terms as the Board may decide. 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167" w:lineRule="exact"/>
        <w:rPr>
          <w:rFonts w:ascii="Arial" w:cs="Arial" w:eastAsia="Arial" w:hAnsi="Arial"/>
          <w:sz w:val="16"/>
          <w:szCs w:val="16"/>
          <w:color w:val="auto"/>
        </w:rPr>
      </w:pPr>
    </w:p>
    <w:p>
      <w:pPr>
        <w:ind w:left="660" w:hanging="652"/>
        <w:spacing w:after="0" w:line="34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Directors may also be paid all travelling, hotel and other expenses properly incurred by them: (a) in attending and returning from: (i) meetings of the Directors or any committee; or (ii) general meetings of the Company, or (b) otherwise in connection with the business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power of management and delegation</w:t>
      </w:r>
    </w:p>
    <w:p>
      <w:pPr>
        <w:spacing w:after="0" w:line="229" w:lineRule="exact"/>
        <w:rPr>
          <w:sz w:val="20"/>
          <w:szCs w:val="20"/>
          <w:color w:val="auto"/>
        </w:rPr>
      </w:pPr>
    </w:p>
    <w:p>
      <w:pPr>
        <w:jc w:val="both"/>
        <w:ind w:left="66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business of the Company shall be managed by its Directors who may pay all expenses incurred in promoting and registering the Company and may exercise all such powers of the Company as are not, by the Act or by the Memorandum of these Articles, required to be exercised by the Company in a general meeting, but subject to:</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171.1   any regulations contained in these Articles;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171.2   the provisions of the Act; and</w:t>
      </w:r>
    </w:p>
    <w:p>
      <w:pPr>
        <w:spacing w:after="0" w:line="225" w:lineRule="exact"/>
        <w:rPr>
          <w:rFonts w:ascii="Arial" w:cs="Arial" w:eastAsia="Arial" w:hAnsi="Arial"/>
          <w:sz w:val="18"/>
          <w:szCs w:val="18"/>
          <w:color w:val="auto"/>
        </w:rPr>
      </w:pPr>
    </w:p>
    <w:p>
      <w:pPr>
        <w:ind w:left="1300" w:right="200" w:hanging="648"/>
        <w:spacing w:after="0" w:line="277" w:lineRule="auto"/>
        <w:rPr>
          <w:rFonts w:ascii="Arial" w:cs="Arial" w:eastAsia="Arial" w:hAnsi="Arial"/>
          <w:sz w:val="18"/>
          <w:szCs w:val="18"/>
          <w:color w:val="auto"/>
        </w:rPr>
      </w:pPr>
      <w:r>
        <w:rPr>
          <w:rFonts w:ascii="Arial" w:cs="Arial" w:eastAsia="Arial" w:hAnsi="Arial"/>
          <w:sz w:val="18"/>
          <w:szCs w:val="18"/>
          <w:color w:val="auto"/>
        </w:rPr>
        <w:t>171.3 such directions, not being inconsistent with the foregoing regulations or provisions, as the Company in a general meeting may (by special resolution) give.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direction given by the Company in a general meeting under Article 171.3 shall invalidate any prior act of the Directors which would have been valid if that direction had not been given.</w:t>
      </w:r>
    </w:p>
    <w:p>
      <w:pPr>
        <w:spacing w:after="0" w:line="170"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prejudice to the generality of Article 171, Article 171 operates to enable, subject to a limitation (if any) arising under any of paragraphs 171.1 to 171.3 of it, the Directors exercise all powers of the Company to borrow money and to mortgage or charge its undertaking, property and uncalled capital, or any part thereof.</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prejudice to section 40 of the Act, the Directors may delegate any of their powers (including any power referred to in these Articles) to such person or persons as they think fit, including committees; any such person or committee shall, in the exercise of the powers so delegated, conform to any regulations that may be imposed on it by the Directors.</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reference to a power of the Company required to be exercised by the Company in a general meeting includes a reference to a power of the Company that, but for the power of the members to pass a written resolution to effect the first-mentioned power’s exercise, would be required to be exercised by the Company in a general meeting.</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acts of the Board or of any committee established by the Board or any delegee of the Board shall be valid notwithstanding any defect which may afterwards be discovered in the appointment or qualification of any Director, committee member or delegee.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left="660" w:right="20" w:hanging="652"/>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Directors may appoint a sole or joint company secretary, an assistant company secretary and a deputy company secretary for such term, at such remuneration and upon such conditions as they may think fit; and any such person so appointed may be removed by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executives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Directors may from time to time appoint one or more of themselves to the office of Chief Executive Officer (by whatever name called including managing director) or such other office or position with the Company and for such period and on such terms as to remuneration, if any (whether by way of salary, commission, participation in profits or otherwise) as the Board may determine, and, subject to the terms of any agreement entered into in any particular case, may revoke such appointment.</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Without prejudice to any claim the person so appointed under Article 178 may have for damages for breach of any contract of service between the person and the Company, the person’s appointment shall cease upon his or her ceasing, from any cause, to be a Director.</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Chief Executive Office of the Company shall receive such remuneration whether by way of salary, commission or participation in the profits, or partly in one way and partly in another, as the Directors may determine.</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Board may appoint any person whether or not he or she is a Director, to hold such executive or official position (except that of Auditor) as the Board may from time to time determine. The same person may hold more than one office of executive or official position.</w:t>
      </w:r>
    </w:p>
    <w:p>
      <w:pPr>
        <w:spacing w:after="0" w:line="146"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Board shall determine from time to time, the powers and duties of any such office holder or official appointed under Articles 178 and/or Article 181, and subject to the provisions of the Act and these Articles, the Directors may confer upon an office holder or official any of the powers exercisable by them upon such terms and conditions and with such restrictions as they may think fit and in conferring any such powers, the Directors may specify that the conferral is to operate either: (a) so that the powers concerned may be exercised concurrently by them and the relevant office holder; or (b) to the exclusion of their own such powers.</w:t>
      </w:r>
    </w:p>
    <w:p>
      <w:pPr>
        <w:spacing w:after="0" w:line="18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Directors may (a) revoke any conferral of powers under Article 182 or (b) amend any such conferral (whether as to the powers conferred or the terms, conditions or restrictions subject to which the conferral is made). The use or inclusion of the word “officer” (or similar words) in the title of any executive or other position shall not be deemed to imply that the person holding such executive or other position is an “officer” of the Company within the meaning of the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Directors and committees</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184.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184.1</w:t>
      </w:r>
      <w:r>
        <w:rPr>
          <w:sz w:val="20"/>
          <w:szCs w:val="20"/>
          <w:color w:val="auto"/>
        </w:rPr>
        <w:tab/>
      </w:r>
      <w:r>
        <w:rPr>
          <w:rFonts w:ascii="Arial" w:cs="Arial" w:eastAsia="Arial" w:hAnsi="Arial"/>
          <w:sz w:val="16"/>
          <w:szCs w:val="16"/>
          <w:color w:val="auto"/>
        </w:rPr>
        <w:t>The Directors may meet together for the dispatch of business, adjourn and otherwise regulate their meetings as they think fit.</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184.2</w:t>
        <w:tab/>
        <w:t>The Directors may establish attendance and procedural guidelines from time to time about how their meetings are to be conducted consistent with good corporate governance and applicable tax requirements.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184.3</w:t>
      </w:r>
      <w:r>
        <w:rPr>
          <w:sz w:val="20"/>
          <w:szCs w:val="20"/>
          <w:color w:val="auto"/>
        </w:rPr>
        <w:tab/>
      </w:r>
      <w:r>
        <w:rPr>
          <w:rFonts w:ascii="Arial" w:cs="Arial" w:eastAsia="Arial" w:hAnsi="Arial"/>
          <w:sz w:val="16"/>
          <w:szCs w:val="16"/>
          <w:color w:val="auto"/>
        </w:rPr>
        <w:t>Such meetings shall take place at such time and place as the Directors may determine.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184.4</w:t>
        <w:tab/>
        <w:t>Questions arising at any such meeting shall be decided by a majority of votes and where there is an equality of votes, the chairperson of the meeting shall not have a second or casting vote.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184.5</w:t>
      </w:r>
      <w:r>
        <w:rPr>
          <w:sz w:val="20"/>
          <w:szCs w:val="20"/>
          <w:color w:val="auto"/>
        </w:rPr>
        <w:tab/>
      </w:r>
      <w:r>
        <w:rPr>
          <w:rFonts w:ascii="Arial" w:cs="Arial" w:eastAsia="Arial" w:hAnsi="Arial"/>
          <w:sz w:val="16"/>
          <w:szCs w:val="16"/>
          <w:color w:val="auto"/>
        </w:rPr>
        <w:t>A Director may, and the Company Secretary on the requisition of a Director shall, at any time summon a meeting of the Directors.</w:t>
      </w:r>
    </w:p>
    <w:p>
      <w:pPr>
        <w:spacing w:after="0" w:line="225"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Directors shall be entitled to reasonable notice of any meeting of the Directors.</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Nothing in Article 185 or any other provision of the Act enables a person, other than a Director, to object to the notice given for any meeting of the Directors.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Directors shall be a majority of the total number of Directors. The act of a majority of the Directors present at any meeting at which there is a quorum shall be the act of the Board, except as may be otherwise specifically provided by applicable law or these Articles.</w:t>
      </w:r>
    </w:p>
    <w:p>
      <w:pPr>
        <w:spacing w:after="0" w:line="181"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continuing Directors may act notwithstanding any vacancy in their number but, if and so long as their number is reduced below the number fixed in accordance with these Articles as the necessary quorum of Directors, the continuing Directors or Director may act for the purpose of increasing the number of Directors to that number or of summoning a general meeting of the Company but for no other purpose.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Chairperson</w:t>
      </w:r>
    </w:p>
    <w:p>
      <w:pPr>
        <w:spacing w:after="0" w:line="229" w:lineRule="exact"/>
        <w:rPr>
          <w:sz w:val="20"/>
          <w:szCs w:val="20"/>
          <w:color w:val="auto"/>
        </w:rPr>
      </w:pPr>
    </w:p>
    <w:p>
      <w:pPr>
        <w:jc w:val="both"/>
        <w:ind w:left="660" w:hanging="652"/>
        <w:spacing w:after="0" w:line="279"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Directors may elect a Chairperson and determine the period for which he or she is to hold office, but if no such Chairperson is elected, or, if at any meeting the Chairperson is not present after the time appointed for holding it, the Directors present may choose one of their members to be chairperson of a Board meeting. The Chairperson shall vacate office if he or she vacates his or her office as a Director (otherwise than by the expiration of his or her term of office at a general meeting of the Company at which he or she is re-appointed).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left="660" w:hanging="652"/>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Directors may establish one or more committees consisting in whole or in part of members of the Board. The composition, function, power and obligations of any such committee will be determined by the Board from time to time.</w:t>
      </w:r>
    </w:p>
    <w:p>
      <w:pPr>
        <w:spacing w:after="0" w:line="166"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committee established under Article 190 (a “</w:t>
      </w:r>
      <w:r>
        <w:rPr>
          <w:rFonts w:ascii="Arial" w:cs="Arial" w:eastAsia="Arial" w:hAnsi="Arial"/>
          <w:sz w:val="18"/>
          <w:szCs w:val="18"/>
          <w:b w:val="1"/>
          <w:bCs w:val="1"/>
          <w:color w:val="auto"/>
        </w:rPr>
        <w:t>committee</w:t>
      </w:r>
      <w:r>
        <w:rPr>
          <w:rFonts w:ascii="Arial" w:cs="Arial" w:eastAsia="Arial" w:hAnsi="Arial"/>
          <w:sz w:val="18"/>
          <w:szCs w:val="18"/>
          <w:color w:val="auto"/>
        </w:rPr>
        <w:t>”) may elect a chairperson of its meetings; if no such chairperson is elected, or if at any meeting the chairperson is not present after the time appointed for holding it, the members of the committee present may choose one of their number to be chairperson of the meeting.</w:t>
      </w:r>
    </w:p>
    <w:p>
      <w:pPr>
        <w:spacing w:after="0" w:line="180"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committee may meet and adjourn as it thinks proper. Committee meetings shall take place at such time and place as the relevant committee may determine. Questions arising at any meeting of a committee shall be determined (subject to Article 190) by a majority of votes of the members of the committee present, and where there is an equality of votes, the chairperson of the committee shall not have a second or casting vote.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any committee is established by the Directors :</w:t>
      </w:r>
    </w:p>
    <w:p>
      <w:pPr>
        <w:spacing w:after="0" w:line="225"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193.1 the meetings and proceedings of such committee shall be governed by the provisions of these Articles regulating the meetings and proceedings of the Directors so far as the same are applicable and are not superseded by any regulations imposed upon such committee by the Directors; and</w:t>
      </w:r>
    </w:p>
    <w:p>
      <w:pPr>
        <w:spacing w:after="0" w:line="18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193.2</w:t>
        <w:tab/>
        <w:t>the Directors may authorise, or may authorise such committee to authorise, any person who is not a Director to attend all or any meetings of any such committee on such terms as the Directors or the committee think fit, provided that any such person shall not be entitled to vote at meetings of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 and telephonic meetings of the Directors</w:t>
      </w:r>
    </w:p>
    <w:p>
      <w:pPr>
        <w:spacing w:after="0" w:line="229"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following provision shall apply:</w:t>
      </w:r>
    </w:p>
    <w:p>
      <w:pPr>
        <w:spacing w:after="0" w:line="225" w:lineRule="exact"/>
        <w:rPr>
          <w:rFonts w:ascii="Arial" w:cs="Arial" w:eastAsia="Arial" w:hAnsi="Arial"/>
          <w:sz w:val="18"/>
          <w:szCs w:val="18"/>
          <w:color w:val="auto"/>
        </w:rPr>
      </w:pPr>
    </w:p>
    <w:p>
      <w:pPr>
        <w:ind w:left="1300" w:hanging="648"/>
        <w:spacing w:after="0" w:line="286" w:lineRule="auto"/>
        <w:rPr>
          <w:rFonts w:ascii="Arial" w:cs="Arial" w:eastAsia="Arial" w:hAnsi="Arial"/>
          <w:sz w:val="18"/>
          <w:szCs w:val="18"/>
          <w:color w:val="auto"/>
        </w:rPr>
      </w:pPr>
      <w:r>
        <w:rPr>
          <w:rFonts w:ascii="Arial" w:cs="Arial" w:eastAsia="Arial" w:hAnsi="Arial"/>
          <w:sz w:val="17"/>
          <w:szCs w:val="17"/>
          <w:color w:val="auto"/>
        </w:rPr>
        <w:t>194.1 A resolution in writing signed by all the Directors, or by all the Directors being members of a committee referred to in Article 190, and who are for the time being entitled to receive notice of a meeting of the Directors or, as the case may be, of such a committee, shall be as valid as if it had been passed at a meeting of the Directors or such a committee duly convened and held.</w:t>
      </w:r>
    </w:p>
    <w:p>
      <w:pPr>
        <w:spacing w:after="0" w:line="165"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194.2 A resolution in writing shall be deemed to have been signed by a Director where the Chairperson, Company Secretary or other person designated by the Board has received an email from that Director’s Certified Email Address (as defined by Article 194.3) which identifies the resolution and states, unconditionally, “I hereby sign the resolution”.</w:t>
      </w:r>
    </w:p>
    <w:p>
      <w:pPr>
        <w:spacing w:after="0" w:line="18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194.3 A Director’s Certified Email Address is such email address as the Director has, from time to time, notified to such person and in such manner as may from time to time be prescribed by the Board.</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194.4 The Company shall cause a copy of every email referred to in Article 194.2 to be entered in the books kept pursuant to section 166 of the Act.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Article 196, where one or more of the Directors (other than a majority of them) would not, by reason of:</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195.1   the Act or any other enactment;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195.2   these Articles; or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195.3   an applicable rule of law or of any Exchange,</w:t>
      </w:r>
    </w:p>
    <w:p>
      <w:pPr>
        <w:spacing w:after="0" w:line="225"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be permitted to vote on a resolution such as is referred to in Article 194, if it were sought to pass the resolution at a meeting of the Directors duly convened and held, then such a resolution, notwithstanding anything in Article 194.1, shall be valid for the purposes of that subsection if the resolution is signed by those of the Directors who would have been permitted to vote on it had it been sought to pass it at such a meeting.</w:t>
      </w:r>
    </w:p>
    <w:p>
      <w:pPr>
        <w:spacing w:after="0" w:line="16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 case falling within Article 195, the resolution shall state the name of each Director who did not sign it and the basis on which he or she did not sign it.</w:t>
      </w:r>
    </w:p>
    <w:p>
      <w:pPr>
        <w:spacing w:after="0" w:line="170"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the avoidance of doubt, nothing in Articles 194 to 196 dealing with a resolution that is signed by other than all of the Directors shall be read as making available, in the case of an equality of votes, a second or casting vote to the one of their number who would, or might have been, if a meeting had been held to transact the business concerned, chairperson of that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660" w:hanging="652"/>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resolution referred to in Article 194 may consist of several documents in like form each signed by one or more Directors and for all purposes shall take effect from the time that it is signed by the last Director.</w:t>
      </w:r>
    </w:p>
    <w:p>
      <w:pPr>
        <w:spacing w:after="0" w:line="170"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meeting of the Directors or of a committee referred to in Article 190 may consist of a conference between some or all of the Directors or, as the case may be, members of the committee who are not all in one place, but each of whom is able (directly or by means of telephonic, video or other electronic communication) to speak to each of the others and to be heard by each of the others or to otherwise be able to communicate and:</w:t>
      </w:r>
    </w:p>
    <w:p>
      <w:pPr>
        <w:spacing w:after="0" w:line="146" w:lineRule="exact"/>
        <w:rPr>
          <w:rFonts w:ascii="Arial" w:cs="Arial" w:eastAsia="Arial" w:hAnsi="Arial"/>
          <w:sz w:val="16"/>
          <w:szCs w:val="16"/>
          <w:color w:val="auto"/>
        </w:rPr>
      </w:pPr>
    </w:p>
    <w:p>
      <w:pPr>
        <w:ind w:left="1300" w:hanging="648"/>
        <w:spacing w:after="0" w:line="277" w:lineRule="auto"/>
        <w:rPr>
          <w:rFonts w:ascii="Arial" w:cs="Arial" w:eastAsia="Arial" w:hAnsi="Arial"/>
          <w:sz w:val="16"/>
          <w:szCs w:val="16"/>
          <w:color w:val="auto"/>
        </w:rPr>
      </w:pPr>
      <w:r>
        <w:rPr>
          <w:rFonts w:ascii="Arial" w:cs="Arial" w:eastAsia="Arial" w:hAnsi="Arial"/>
          <w:sz w:val="18"/>
          <w:szCs w:val="18"/>
          <w:color w:val="auto"/>
        </w:rPr>
        <w:t>199.1 a Director or as the case may be a member of the committee taking part in such a conference shall be deemed to be present in person at the meeting and shall be entitled to vote (subject to Article 195) and be counted in a quorum accordingly; and</w:t>
      </w:r>
    </w:p>
    <w:p>
      <w:pPr>
        <w:spacing w:after="0" w:line="17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199.2   such a meeting shall be deemed to take place:</w:t>
      </w:r>
    </w:p>
    <w:p>
      <w:pPr>
        <w:spacing w:after="0" w:line="225" w:lineRule="exact"/>
        <w:rPr>
          <w:rFonts w:ascii="Arial" w:cs="Arial" w:eastAsia="Arial" w:hAnsi="Arial"/>
          <w:sz w:val="16"/>
          <w:szCs w:val="16"/>
          <w:color w:val="auto"/>
        </w:rPr>
      </w:pPr>
    </w:p>
    <w:p>
      <w:pPr>
        <w:ind w:left="1960" w:hanging="655"/>
        <w:spacing w:after="0"/>
        <w:tabs>
          <w:tab w:leader="none" w:pos="1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the largest group of those Directors participating in the conference is assembled;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there is no such group, where the chairperson of the meeting then is;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neither subparagraph (a) or (b) applies, in such location as the meeting itself decides.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duties, conflicts of interest, etc.</w:t>
      </w:r>
    </w:p>
    <w:p>
      <w:pPr>
        <w:spacing w:after="0" w:line="229" w:lineRule="exact"/>
        <w:rPr>
          <w:sz w:val="20"/>
          <w:szCs w:val="20"/>
          <w:color w:val="auto"/>
        </w:rPr>
      </w:pPr>
    </w:p>
    <w:p>
      <w:pPr>
        <w:ind w:left="660" w:hanging="652"/>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Director may have regard to the interests of any other companies in a group of which the Company is a member to the full extent permitted by the Act.</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Director is expressly permitted (for the purposes of section 228(1)(d) of the Act) to use facilities, vehicles, telephones, computers, aircraft, accommodation and any other Company property where such use is approved by the Board or by a person so authorised by the Board or where such use is in accordance with a Director’s terms of employment, compensation arrangements, letter of appointment or other contract or in the course of the discharge of the Director’s duties or responsibilities or in the course of the discharge of a Director’s employment.</w:t>
      </w:r>
    </w:p>
    <w:p>
      <w:pPr>
        <w:spacing w:after="0" w:line="171" w:lineRule="exact"/>
        <w:rPr>
          <w:rFonts w:ascii="Arial" w:cs="Arial" w:eastAsia="Arial" w:hAnsi="Arial"/>
          <w:sz w:val="17"/>
          <w:szCs w:val="17"/>
          <w:color w:val="auto"/>
        </w:rPr>
      </w:pPr>
    </w:p>
    <w:p>
      <w:pPr>
        <w:jc w:val="both"/>
        <w:ind w:left="660" w:hanging="652"/>
        <w:spacing w:after="0" w:line="31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Nothing in section 228(1)(e) of the Act shall restrict a Director from entering into any commitment which has been approved by the Board or has been approved pursuant to such authority as may be delegated by the Board in accordance with these Articles. It shall be the duty of each Director to obtain the prior approval of the Board, before entering into any commitment permitted by sections 228(1)(e)(ii) and 228(2) of the Act.</w:t>
      </w:r>
    </w:p>
    <w:p>
      <w:pPr>
        <w:spacing w:after="0" w:line="14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shall be the duty of a Director who is in any way, whether directly or indirectly, interested (within the meaning of section 231 of the Act) in a contract or proposed contract with the Company, to declare the nature of his or her interest at a meeting of the Directors.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any applicable rule of law or of any Exchange, a Director may vote in respect of any contract, appointment or arrangement in which he or she is interested and shall be counted in the quorum present at the meeting and is hereby released from his or her duty set out in section 228(1)(f) of the Act and a Director may vote on his or her own appointment or arrangement and the terms of 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both"/>
        <w:ind w:left="660" w:hanging="652"/>
        <w:spacing w:after="0" w:line="25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Directors may exercise the voting powers conferred by the shares of any other company held or owned by the Company in such manner in all respects as they think fit and, in particular, they may exercise the voting powers in favour of any resolution: (a) appointing the Directors or any of them as directors or officers of such other company; or (b) providing for the payment of remuneration or pensions to the directors or officers of such other company.</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Director may vote in favour of the exercise of such voting rights notwithstanding that he or she may be or may be about to become a Director or officer of the other company referred to in Article 205 and as such or in any other way is or may be interested in the exercise of such voting rights in the foregoing manner.</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Auditor) in conjunction with his or her office of Director for such period and on such terms as to remuneration and otherwise as the Directors may determine.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Without prejudice to the provisions of section 228 of the Act, a Director may be or become a director or other officer of, or otherwise interested in, any company promoted by the Company or in which the Company may be interested as member or otherwise.</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Director may act by himself or herself, or his or her firm, in a professional capacity for the Company; and any Director, in such a case, or his or her firm, shall be entitled to remuneration for professional services as if he or she were not a Director, but nothing in this Article authorises a Director, or his or her firm, to act as Auditor.</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Director or nominee for Director shall be disqualified by his or her office from contracting with the Company either with regard to his or her tenure of any such other office or place of profit or as vendor, purchaser or otherwise.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particular, neither shall:</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211.1 any contract with respect to any of the matters referred to in Article 204 nor any contract or arrangement entered into by or on behalf of the Company in which a Director is in any way interested, be liable to be avoided; nor</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211.2 a Director so contracting or being so interested be liable to account to the Company for any profit realised by any such contract or arrangement,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by reason of such Director holding that office or of the fiduciary relation thereby established.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Director, notwithstanding his or her interest, may be counted in the quorum present at any meeting at which:</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212.1 that Director or any other Director is appointed to hold any such office or place of profit under the Company as is mentioned in Article 207; or</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212.2   the terms of any such appointment are arranged,</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and he or she may vote on any such appointment or arrangement, subject to any applicable rule of law or of any Exchange.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The common seal, official seal and securities seal</w:t>
      </w:r>
    </w:p>
    <w:p>
      <w:pPr>
        <w:spacing w:after="0" w:line="229" w:lineRule="exact"/>
        <w:rPr>
          <w:sz w:val="20"/>
          <w:szCs w:val="20"/>
          <w:color w:val="auto"/>
        </w:rPr>
      </w:pPr>
    </w:p>
    <w:p>
      <w:pPr>
        <w:jc w:val="both"/>
        <w:ind w:left="660" w:hanging="652"/>
        <w:spacing w:after="0" w:line="286"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seal of the Company shall be used only by the authority of the Directors, a committee authorised by the Directors to exercise such authority or by any one or more persons severally or jointly so authorised by the Directors or such a committee, and the use of the seal shall be deemed to be authorised for these purposes where the matter or transaction pursuant to which the seal is to be used has been so authorised.</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instrument to which a Company’s seal shall be affixed shall be signed by: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214.1   two Directors;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214.2   one Director and the Company Secretary; or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214.3   any two other persons authorised to sign by (i) the Directors or (ii) a committee of the Board.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may have one or more duplicate common seals or official seals for use in different locations including for use abroad.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of notices on members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notice required or authorised to be served on or given to a member of the Company pursuant to a provision of the Act or these Articles shall, save where the means of serving or giving it specified in Article 216.4 is used, be in writing and may be served on or given to the member in one of the following ways:</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216.1   by delivering it to the member;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216.2   by leaving it at the registered address of the member;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216.3   by sending it by post in a prepaid letter to the registered address of the member; or</w:t>
      </w:r>
    </w:p>
    <w:p>
      <w:pPr>
        <w:spacing w:after="0" w:line="225" w:lineRule="exact"/>
        <w:rPr>
          <w:rFonts w:ascii="Arial" w:cs="Arial" w:eastAsia="Arial" w:hAnsi="Arial"/>
          <w:sz w:val="18"/>
          <w:szCs w:val="18"/>
          <w:color w:val="auto"/>
        </w:rPr>
      </w:pPr>
    </w:p>
    <w:p>
      <w:pPr>
        <w:ind w:left="1300" w:hanging="648"/>
        <w:spacing w:after="0" w:line="286" w:lineRule="auto"/>
        <w:rPr>
          <w:rFonts w:ascii="Arial" w:cs="Arial" w:eastAsia="Arial" w:hAnsi="Arial"/>
          <w:sz w:val="18"/>
          <w:szCs w:val="18"/>
          <w:color w:val="auto"/>
        </w:rPr>
      </w:pPr>
      <w:r>
        <w:rPr>
          <w:rFonts w:ascii="Arial" w:cs="Arial" w:eastAsia="Arial" w:hAnsi="Arial"/>
          <w:sz w:val="17"/>
          <w:szCs w:val="17"/>
          <w:color w:val="auto"/>
        </w:rPr>
        <w:t>216.4 subject to Article 221, by electronic mail or other means of electronic communication approved by the Directors to the contact details notified to the Company by any such member for such purpose (or if not so notified, then to the contact details of the member last known to the Company). A notice or document may be sent by electronic means to the fullest extent permitted by the Act.</w:t>
      </w:r>
    </w:p>
    <w:p>
      <w:pPr>
        <w:spacing w:after="0" w:line="165"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Without prejudice or limitation to the foregoing provisions of Article 216.1 to 216.4, for the purposes of these Articles and the Act,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notice served or given in accordance with Article 216 shall be deemed, in the absence of any agreement to the contrary between the Company (or, as the case may be, the officer of it) and the member, to have been served or given:</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218.1   in the case of its being delivered, at the time of delivery (or, if delivery is refused, when tendered);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218.2   in the case of its being left, at the time that it is left;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218.3</w:t>
        <w:tab/>
        <w:t>in the case of its being posted on any day other than a Friday, Saturday or Sunday, 24 hours after despatch and in the case of its being posted:</w:t>
      </w:r>
    </w:p>
    <w:p>
      <w:pPr>
        <w:spacing w:after="0" w:line="170" w:lineRule="exact"/>
        <w:rPr>
          <w:sz w:val="20"/>
          <w:szCs w:val="20"/>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a Friday — 72 hours after despatch;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a Saturday or Sunday — 48 hours after despatch;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218.4</w:t>
      </w:r>
      <w:r>
        <w:rPr>
          <w:sz w:val="20"/>
          <w:szCs w:val="20"/>
          <w:color w:val="auto"/>
        </w:rPr>
        <w:tab/>
      </w:r>
      <w:r>
        <w:rPr>
          <w:rFonts w:ascii="Arial" w:cs="Arial" w:eastAsia="Arial" w:hAnsi="Arial"/>
          <w:sz w:val="16"/>
          <w:szCs w:val="16"/>
          <w:color w:val="auto"/>
        </w:rPr>
        <w:t>in the case of electronic means being used in relation to it, twelve hours after despatch,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but this Article is without prejudice to section 181(3) of the Act.</w:t>
      </w:r>
    </w:p>
    <w:p>
      <w:pPr>
        <w:spacing w:after="0" w:line="225" w:lineRule="exact"/>
        <w:rPr>
          <w:sz w:val="20"/>
          <w:szCs w:val="20"/>
          <w:color w:val="auto"/>
        </w:rPr>
      </w:pPr>
    </w:p>
    <w:p>
      <w:pPr>
        <w:jc w:val="both"/>
        <w:ind w:left="660" w:hanging="652"/>
        <w:spacing w:after="0" w:line="279"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216.4, if sent to the address notified to the Company by the member for such purpose notwithstanding that the Company may have notice of the death, his or her being of unsound mind, bankruptcy, liquidation or disability of such member.</w:t>
      </w:r>
    </w:p>
    <w:p>
      <w:pPr>
        <w:spacing w:after="0" w:line="171"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contained in these Articles to the contrary, the Company shall not be obliged to take account of or make any investigations as to the existence of any suspension or curtailment of postal services within or in relation to all or any part of any jurisdiction.</w:t>
      </w:r>
    </w:p>
    <w:p>
      <w:pPr>
        <w:spacing w:after="0" w:line="146" w:lineRule="exact"/>
        <w:rPr>
          <w:rFonts w:ascii="Arial" w:cs="Arial" w:eastAsia="Arial" w:hAnsi="Arial"/>
          <w:sz w:val="17"/>
          <w:szCs w:val="17"/>
          <w:color w:val="auto"/>
        </w:rPr>
      </w:pPr>
    </w:p>
    <w:p>
      <w:pPr>
        <w:jc w:val="both"/>
        <w:ind w:left="660" w:hanging="652"/>
        <w:spacing w:after="0" w:line="269"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requirement in these Articles for the consent of a member in regard to the receipt by such member of electronic mail or other means of electronic communications approved by the Directors, including the receipt of the Company’s annual report, statutory financial statements and the Directors’ and Auditor’s reports thereon, shall be deemed to have been satisfied where the Company has written to the member informing him or her of its intention to use electronic communications for such purposes and the member has not, within four weeks of the issue of such notice, served an objection in writing on the Company to such member. Where a member has given, or is deemed to have given, his/her consent to the receipt by such member of electronic mail or other means of electronic communications approved by the Directors, she/he may revoke such consent at any time by requesting the Company to communicate with him or her in documented form; provided, however, that such revocation shall not take effect until 5 days after written notice of the revocation is received by the Company. Notwithstanding anything to the contrary in this Article 221, no such consent shall be necessary, and to the extent it is necessary, such consent shall be deemed to have been given, if electronic communications are permitted to be used under any applicable rule of law or of any Exchange on which the shares in the capital of the Company or other securities of the Company are listed or under the rules of the SEC.</w:t>
      </w:r>
    </w:p>
    <w:p>
      <w:pPr>
        <w:spacing w:after="0" w:line="182"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at any time by reason of the suspension or curtailment of postal services in any territory, the Company is unable effectively to convene a general meeting by notices sent through the post (if required), a general meeting may be convened by a public announcement (as defined below) and such notice shall be deemed to have been duly served on all members entitled thereto at noon (Ireland time) on the day on which the said public announcement is made. In any such case the Company shall put a full copy of the notice of the general meeting on its website.</w:t>
      </w:r>
    </w:p>
    <w:p>
      <w:pPr>
        <w:spacing w:after="0" w:line="171"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Notice may be given by the Company to the joint holders of a share in the capital of the Company by giving the notice to the joint holder whose name stands first in the Register in respect of the share and notice so given shall be sufficient notice to all the joint holders.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jc w:val="center"/>
        <w:ind w:right="340"/>
        <w:spacing w:after="0"/>
        <w:rPr>
          <w:sz w:val="20"/>
          <w:szCs w:val="20"/>
          <w:color w:val="auto"/>
        </w:rPr>
      </w:pPr>
      <w:r>
        <w:rPr>
          <w:rFonts w:ascii="Arial" w:cs="Arial" w:eastAsia="Arial" w:hAnsi="Arial"/>
          <w:sz w:val="18"/>
          <w:szCs w:val="18"/>
          <w:color w:val="auto"/>
        </w:rPr>
        <w:t>224.</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224.1</w:t>
        <w:tab/>
        <w:t>Every person who becomes entitled to a share in the capital of the Company shall, before his or her name is entered in the Register in respect of the share, be bound by any notice in respect of that share which has been duly given to a person from whom he or she derives his or her title.</w:t>
      </w:r>
    </w:p>
    <w:p>
      <w:pPr>
        <w:spacing w:after="0" w:line="18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224.2</w:t>
        <w:tab/>
        <w:t>A notice may be given by the Company to the persons entitled to a share in the capital of the Company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87" w:lineRule="exact"/>
        <w:rPr>
          <w:sz w:val="20"/>
          <w:szCs w:val="20"/>
          <w:color w:val="auto"/>
        </w:rPr>
      </w:pPr>
    </w:p>
    <w:p>
      <w:pPr>
        <w:ind w:left="660" w:right="20" w:hanging="652"/>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signature (whether electronic signature, an advanced electronic signature or otherwise) to any notice to be given by the Company may be written (in electronic form or otherwise) or printed.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of notices on the Company</w:t>
      </w:r>
    </w:p>
    <w:p>
      <w:pPr>
        <w:spacing w:after="0" w:line="229" w:lineRule="exact"/>
        <w:rPr>
          <w:sz w:val="20"/>
          <w:szCs w:val="20"/>
          <w:color w:val="auto"/>
        </w:rPr>
      </w:pPr>
    </w:p>
    <w:p>
      <w:pPr>
        <w:jc w:val="both"/>
        <w:ind w:left="660" w:hanging="652"/>
        <w:spacing w:after="0" w:line="286"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addition to the means of service of documents set out in section 51 of the Act, a notice or other document may be served on the Company by an officer of the Company by email or other electronic communication, provided, however, that the Directors have designated an email address for that purpose and notified that email address to its officers for the express purpose of serving notices on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Sending statutory financial statements or other information to members</w:t>
      </w:r>
    </w:p>
    <w:p>
      <w:pPr>
        <w:spacing w:after="0" w:line="229" w:lineRule="exact"/>
        <w:rPr>
          <w:sz w:val="20"/>
          <w:szCs w:val="20"/>
          <w:color w:val="auto"/>
        </w:rPr>
      </w:pPr>
    </w:p>
    <w:p>
      <w:pPr>
        <w:ind w:left="660" w:hanging="652"/>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Article 221, each of the members hereby agree and consent that copies of the documents referred to in section 338(2) of the Act, are to be treated, for the purposes of section 338 of the Act, as sent to a person where:</w:t>
      </w:r>
    </w:p>
    <w:p>
      <w:pPr>
        <w:spacing w:after="0" w:line="170"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227.1 the Company and that person have agreed to his or her having access to the documents on a website (instead of their being sent to him or her), provided such agreement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227.2   the documents are documents to which that agreement applies; and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227.3   that person is notified, in a manner for the time being agreed for the purpose between him or her and the Company,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publication of the documents on a website;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address of that website; and</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place on that website where the documents may be accessed, and how they may be accessed. Documents treated in accordance with Article 227 as sent to any person are to be treated as sent to him or her not less than 21 Clear Days before the date of a meeting if, and only if:</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227.4</w:t>
      </w:r>
      <w:r>
        <w:rPr>
          <w:sz w:val="20"/>
          <w:szCs w:val="20"/>
          <w:color w:val="auto"/>
        </w:rPr>
        <w:tab/>
      </w:r>
      <w:r>
        <w:rPr>
          <w:rFonts w:ascii="Arial" w:cs="Arial" w:eastAsia="Arial" w:hAnsi="Arial"/>
          <w:sz w:val="16"/>
          <w:szCs w:val="16"/>
          <w:color w:val="auto"/>
        </w:rPr>
        <w:t>the notification given for the purposes of Article 227.3 is given not less than 21 Clear Days before the date of the meeting;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227.5</w:t>
        <w:tab/>
        <w:t>the documents are published on the website throughout a period beginning at least 21 Clear Days before the date of the meeting and ending with the conclusion of the meeting.</w:t>
      </w:r>
    </w:p>
    <w:p>
      <w:pPr>
        <w:spacing w:after="0" w:line="170" w:lineRule="exact"/>
        <w:rPr>
          <w:sz w:val="20"/>
          <w:szCs w:val="20"/>
          <w:color w:val="auto"/>
        </w:rPr>
      </w:pPr>
    </w:p>
    <w:p>
      <w:pPr>
        <w:jc w:val="both"/>
        <w:ind w:left="660" w:hanging="652"/>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obligation by virtue of section 339(1) or (2) of the Act to furnish a person with a document may, unless these Articles provide otherwise, be complied with by using electronic communications for sending that document to such address as may for the time being be notified to the Company by that person for that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Records</w:t>
      </w:r>
    </w:p>
    <w:p>
      <w:pPr>
        <w:spacing w:after="0" w:line="229" w:lineRule="exact"/>
        <w:rPr>
          <w:sz w:val="20"/>
          <w:szCs w:val="20"/>
          <w:color w:val="auto"/>
        </w:rPr>
      </w:pPr>
    </w:p>
    <w:p>
      <w:pPr>
        <w:ind w:left="660" w:hanging="652"/>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Directors shall, in accordance with Chapter 2 of Part 6 of the Act, cause to be kept adequate accounting records, whether in the form of documents, electronic form or otherwise, that: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229.1   correctly record and explain the transactions of the Company;</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229.2 will at any time enable the assets, liabilities, financial position and profit or loss of the Company to be determined with reasonable accuracy;</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229.3 will enable the Directors to ensure that any financial statements of the Company, required to be prepared under sections 290 or 293 of the Act, comply with the requirements of the Act; and</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229.4   will enable those financial statements of the Company to be readily and properly audited.</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accounting records shall be kept on a continuous and consistent basis and entries therein shall be made in a timely manner and be consistent from year to year. Adequate accounting records shall be deemed to have been maintained if they comply with the provisions of Chapter 2 of Part 6 of the Act and explain the Company's transactions and facilitate the preparation of financial statements that give a true and fair view of the assets, liabilities, financial position and profit or loss of the Company and, if relevant, the Group and include any information and returns referred to in section 283(2) of the Act.</w:t>
      </w:r>
    </w:p>
    <w:p>
      <w:pPr>
        <w:spacing w:after="0" w:line="18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accounting records shall be kept at the Office or, subject to the provisions of the Act, at such other place as the Directors think fit and shall be open at all reasonable times to the inspection of the Directors.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Directors shall determine from time to time whether and to what extent and at what times and places and under what conditions or regulations the accounting records of the Company shall be open to the inspection of members, not being Directors. No member (not being a Director) shall have any right of inspecting any financial statement or accounting record of the Company except as conferred by the Act or authorised by the Directors or by the Company in a general meeting.</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accordance with the provisions of the Act, the Directors shall cause to be prepared and to be laid before the annual general meeting of the Company from time to time such statutory financial statements of the Company and reports as are required by the Act to be prepared and laid before such meeting.</w:t>
      </w:r>
    </w:p>
    <w:p>
      <w:pPr>
        <w:spacing w:after="0" w:line="181"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copy of every statutory financial statement of the Company (including every document required by law to be annexed thereto) which is to be laid before the annual general meeting of the Company together with a copy of the Directors’ report and Auditors’ report, or summary financial statements prepared in accordance with section 1119 of the Act, shall be sent, by post, electronic mail or any other means of electronic communications, not less than 21 Clear Days before the date of the annual general meeting, to every person entitled under the provisions of the Act to receive them; provided that where the Directors elect to send summary financial statements to the members, any member may request that he be sent a copy of the statutory financial statements of the Company. The Company may, in addition to sending one or more copies of its statutory financial statements, summary financial statements or other communications to its members, send one or more copies to any Approved Nominee. For the purposes of this Article, sending by electronic communications includes the making available or displaying on the Company’s website (or a website designated by the Board) or the website of the SEC, and each member is deemed to have irrevocably consented to receipt of every statutory financial statement of the Company (including every document required by law to be annexed thereto) and every copy of the Directors’ report and the Auditors’ report and every copy of any summary financial statements prepared in accordance with section 1119 of the Act, by any such document being made so available or displayed.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Auditors shall be appointed and their duties regulated in accordance with the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ind w:left="66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the provisions of the Act as to preferential payments, the property of the Company on its winding up shall be distributed among the members according to their rights and interests in the Company.</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Unless the conditions of issue of the shares in question provide otherwise, dividends declared by the Company more than six years preceding the commencement date of a winding up of the Company, being dividends which have not been claimed within that period of six years, shall not be a claim admissible to proof against the Company for the purposes of the winding up.</w:t>
      </w:r>
    </w:p>
    <w:p>
      <w:pPr>
        <w:spacing w:after="0" w:line="181"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in the capital of the Company held by them respectively.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be subject to any specific rights attaching to any class of share capital.</w:t>
      </w:r>
    </w:p>
    <w:p>
      <w:pPr>
        <w:spacing w:after="0" w:line="177" w:lineRule="exact"/>
        <w:rPr>
          <w:rFonts w:ascii="Arial" w:cs="Arial" w:eastAsia="Arial" w:hAnsi="Arial"/>
          <w:sz w:val="17"/>
          <w:szCs w:val="17"/>
          <w:color w:val="auto"/>
        </w:rPr>
      </w:pPr>
    </w:p>
    <w:p>
      <w:pPr>
        <w:ind w:left="1300" w:hanging="648"/>
        <w:spacing w:after="0" w:line="276" w:lineRule="auto"/>
        <w:rPr>
          <w:rFonts w:ascii="Arial" w:cs="Arial" w:eastAsia="Arial" w:hAnsi="Arial"/>
          <w:sz w:val="17"/>
          <w:szCs w:val="17"/>
          <w:color w:val="auto"/>
        </w:rPr>
      </w:pPr>
      <w:r>
        <w:rPr>
          <w:rFonts w:ascii="Arial" w:cs="Arial" w:eastAsia="Arial" w:hAnsi="Arial"/>
          <w:sz w:val="17"/>
          <w:szCs w:val="17"/>
          <w:color w:val="auto"/>
        </w:rPr>
        <w:t>238.1 In case of a sale by the liquidator under section 601 of the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in the capital of the Company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72" w:lineRule="exact"/>
        <w:rPr>
          <w:rFonts w:ascii="Arial" w:cs="Arial" w:eastAsia="Arial" w:hAnsi="Arial"/>
          <w:sz w:val="17"/>
          <w:szCs w:val="17"/>
          <w:color w:val="auto"/>
        </w:rPr>
      </w:pPr>
    </w:p>
    <w:p>
      <w:pPr>
        <w:ind w:left="1300" w:right="20" w:hanging="648"/>
        <w:spacing w:after="0" w:line="308" w:lineRule="auto"/>
        <w:rPr>
          <w:rFonts w:ascii="Arial" w:cs="Arial" w:eastAsia="Arial" w:hAnsi="Arial"/>
          <w:sz w:val="17"/>
          <w:szCs w:val="17"/>
          <w:color w:val="auto"/>
        </w:rPr>
      </w:pPr>
      <w:r>
        <w:rPr>
          <w:rFonts w:ascii="Arial" w:cs="Arial" w:eastAsia="Arial" w:hAnsi="Arial"/>
          <w:sz w:val="17"/>
          <w:szCs w:val="17"/>
          <w:color w:val="auto"/>
        </w:rPr>
        <w:t>238.2 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146"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Company is wound up, the liquidator, with the sanction of a special resolution and any other sanction required by the Act, may divide amongst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or she determines, but so that no member shall be compelled to accept any assets upon which there is a liability.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Untraced members</w:t>
      </w:r>
    </w:p>
    <w:p>
      <w:pPr>
        <w:spacing w:after="0" w:line="229" w:lineRule="exact"/>
        <w:rPr>
          <w:sz w:val="20"/>
          <w:szCs w:val="20"/>
          <w:color w:val="auto"/>
        </w:rPr>
      </w:pPr>
    </w:p>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be entitled to sell at the best price reasonably obtainable any share of a member or any share to which a person is entitled by transmission if and provided that:</w:t>
      </w:r>
    </w:p>
    <w:p>
      <w:pPr>
        <w:spacing w:after="0" w:line="170" w:lineRule="exact"/>
        <w:rPr>
          <w:rFonts w:ascii="Arial" w:cs="Arial" w:eastAsia="Arial" w:hAnsi="Arial"/>
          <w:sz w:val="18"/>
          <w:szCs w:val="18"/>
          <w:color w:val="auto"/>
        </w:rPr>
      </w:pPr>
    </w:p>
    <w:p>
      <w:pPr>
        <w:ind w:left="1300" w:hanging="648"/>
        <w:spacing w:after="0" w:line="257" w:lineRule="auto"/>
        <w:rPr>
          <w:rFonts w:ascii="Arial" w:cs="Arial" w:eastAsia="Arial" w:hAnsi="Arial"/>
          <w:sz w:val="18"/>
          <w:szCs w:val="18"/>
          <w:color w:val="auto"/>
        </w:rPr>
      </w:pPr>
      <w:r>
        <w:rPr>
          <w:rFonts w:ascii="Arial" w:cs="Arial" w:eastAsia="Arial" w:hAnsi="Arial"/>
          <w:sz w:val="18"/>
          <w:szCs w:val="18"/>
          <w:color w:val="auto"/>
        </w:rPr>
        <w:t>240.1 for a period of twelve years no cheque or warrant sent by the Company through the post in a pre-paid letter addressed to the member or to the person entitled by transmission to the share at his address on the Register or at the last known address given by the member or the person entitled by transmission to which cheques and warrants are to be sent has been cashed and no communication has been received by the Company from the member or the person entitled by transmission (provided that during such twelve year period at least three dividends shall have become payable in respect of such share);</w:t>
      </w:r>
    </w:p>
    <w:p>
      <w:pPr>
        <w:spacing w:after="0" w:line="188"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color w:val="auto"/>
        </w:rPr>
        <w:t>240.2 at the expiration of the said period of twelve years by advertisement in a national daily newspaper published in Ireland and the United States of America and in a newspaper circulating in the area in which the address referred to in Article 240.1 is located the Company has given notice of its intention to sell such share; and</w:t>
      </w:r>
    </w:p>
    <w:p>
      <w:pPr>
        <w:spacing w:after="0" w:line="18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240.3 during the further period of three months after the date of the advertisement and prior to the exercise of the power of sale the Company has not received any communication from the member or person entitled by transmission.</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a share, which is to be sold as provided in Article 240, is held in uncertificated form, the Directors may authorise any person to do all that is necessary to change such share into certificated form prior to its sale.</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give effect to any such sale the Company may appoint any person to execute as transferor an instrument of transfer of such share and such instrument of transfer shall be as effective as if it had been executed by the member or the person entitled by the transmission to such share. The transferee shall be entered in the Register as the member of the shares comprised in any such transfer and he shall not be bound to see to the application of the purchase moneys nor shall his title to the shares be affected by any irregularity in or invalidity of the proceedings in reference to the sale.</w:t>
      </w:r>
    </w:p>
    <w:p>
      <w:pPr>
        <w:spacing w:after="0" w:line="188"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shall account to the member or other person entitled to such share for the net proceeds of such sale by carrying all moneys in respect thereof to a separate account which shall be a permanent debt of the Company and the Company shall be deemed to be a debtor and not a trustee in respect thereof for such member or other person. Moneys carried to such separate account may be either employed in the business of the Company or held as cash or cash equivalents, or invested in such investments as the Directors may think fit,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Destruction of records</w:t>
      </w:r>
    </w:p>
    <w:p>
      <w:pPr>
        <w:spacing w:after="0" w:line="229" w:lineRule="exact"/>
        <w:rPr>
          <w:sz w:val="20"/>
          <w:szCs w:val="20"/>
          <w:color w:val="auto"/>
        </w:rPr>
      </w:pPr>
    </w:p>
    <w:p>
      <w:pPr>
        <w:jc w:val="both"/>
        <w:ind w:left="660" w:hanging="652"/>
        <w:spacing w:after="0" w:line="271"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shall be entitled to destroy all instruments of transfer which have been registered at any time after the expiration of six years from the date of registration thereof, all notifications of change of name or change of address however received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244.1</w:t>
        <w:tab/>
        <w:t>the provision aforesaid shall apply only to the destruction of a document in good faith and without notice of any claim (regardless of the parties thereto) to which the document might be relevant;</w:t>
      </w:r>
    </w:p>
    <w:p>
      <w:pPr>
        <w:spacing w:after="0" w:line="170"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244.2</w:t>
      </w:r>
      <w:r>
        <w:rPr>
          <w:sz w:val="20"/>
          <w:szCs w:val="20"/>
          <w:color w:val="auto"/>
        </w:rPr>
        <w:tab/>
      </w:r>
      <w:r>
        <w:rPr>
          <w:rFonts w:ascii="Arial" w:cs="Arial" w:eastAsia="Arial" w:hAnsi="Arial"/>
          <w:sz w:val="17"/>
          <w:szCs w:val="17"/>
          <w:color w:val="auto"/>
        </w:rPr>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244.3</w:t>
      </w:r>
      <w:r>
        <w:rPr>
          <w:sz w:val="20"/>
          <w:szCs w:val="20"/>
          <w:color w:val="auto"/>
        </w:rPr>
        <w:tab/>
      </w:r>
      <w:r>
        <w:rPr>
          <w:rFonts w:ascii="Arial" w:cs="Arial" w:eastAsia="Arial" w:hAnsi="Arial"/>
          <w:sz w:val="16"/>
          <w:szCs w:val="16"/>
          <w:color w:val="auto"/>
        </w:rPr>
        <w:t>references herein to the destruction of any document include references to the disposal thereof in any manner.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245.</w:t>
      </w:r>
    </w:p>
    <w:p>
      <w:pPr>
        <w:spacing w:after="0" w:line="225"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245.1</w:t>
      </w:r>
      <w:r>
        <w:rPr>
          <w:sz w:val="20"/>
          <w:szCs w:val="20"/>
          <w:color w:val="auto"/>
        </w:rPr>
        <w:tab/>
      </w:r>
      <w:r>
        <w:rPr>
          <w:rFonts w:ascii="Arial" w:cs="Arial" w:eastAsia="Arial" w:hAnsi="Arial"/>
          <w:sz w:val="16"/>
          <w:szCs w:val="16"/>
          <w:color w:val="auto"/>
        </w:rPr>
        <w:t>To the fullest extent permitted by the Act, each person who is or was a Director or officer of the Company, and each person who is or was serving at the request of the Company as a director, officer, employee or agent of another company, or of a partnership, joint venture, trust or other enterprise or non-profit entity, including service with respect to employee benefit plans maintained or sponsored by the Company (including the heirs, executors, administrators and estate of such person) (each individually, a “</w:t>
      </w:r>
      <w:r>
        <w:rPr>
          <w:rFonts w:ascii="Arial" w:cs="Arial" w:eastAsia="Arial" w:hAnsi="Arial"/>
          <w:sz w:val="16"/>
          <w:szCs w:val="16"/>
          <w:b w:val="1"/>
          <w:bCs w:val="1"/>
          <w:color w:val="auto"/>
        </w:rPr>
        <w:t>Covered Person</w:t>
      </w:r>
      <w:r>
        <w:rPr>
          <w:rFonts w:ascii="Arial" w:cs="Arial" w:eastAsia="Arial" w:hAnsi="Arial"/>
          <w:sz w:val="16"/>
          <w:szCs w:val="16"/>
          <w:color w:val="auto"/>
        </w:rPr>
        <w:t>”) shall be indemnified and held harmless by the Company to the fullest extent permitted by law against all costs, charges, losses, expenses and liabilities incurred by him or her in the execution and discharge of his or her duties or in relation thereto, including any liability incurred by him or her being made a party or being threatened to be made a party to or being otherwise involved in any threatened, pending or completed action, suit or proceeding, whether civil, criminal, administrative or investigative (hereinafter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Covered Person, whether the basis of such proceeding is an alleged action in an official capacity as a director, officer, employee or agent, or in any other capacity while serving as a director, officer, employee or agent.</w:t>
      </w:r>
    </w:p>
    <w:p>
      <w:pPr>
        <w:spacing w:after="0" w:line="169"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245.2</w:t>
      </w:r>
      <w:r>
        <w:rPr>
          <w:sz w:val="20"/>
          <w:szCs w:val="20"/>
          <w:color w:val="auto"/>
        </w:rPr>
        <w:tab/>
      </w:r>
      <w:r>
        <w:rPr>
          <w:rFonts w:ascii="Arial" w:cs="Arial" w:eastAsia="Arial" w:hAnsi="Arial"/>
          <w:sz w:val="17"/>
          <w:szCs w:val="17"/>
          <w:color w:val="auto"/>
        </w:rPr>
        <w:t>In the case of any threatened, pending or completed action, suit or proceeding by or in the right of the Company, the Company shall indemnify, to the fullest extent permitted by the Act,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unless and only to the extent that the courts of Ireland or the court in which such proceedings were brought shall determine upon application that despite the adjudication of liability, but in view of all the circumstances of the case, such person is fairly and reasonably entitled to indemnity for such expenses as the Court shall deem proper.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245.3</w:t>
      </w:r>
      <w:r>
        <w:rPr>
          <w:sz w:val="20"/>
          <w:szCs w:val="20"/>
          <w:color w:val="auto"/>
        </w:rPr>
        <w:tab/>
      </w:r>
      <w:r>
        <w:rPr>
          <w:rFonts w:ascii="Arial" w:cs="Arial" w:eastAsia="Arial" w:hAnsi="Arial"/>
          <w:sz w:val="17"/>
          <w:szCs w:val="17"/>
          <w:color w:val="auto"/>
        </w:rPr>
        <w:t>To the fullest extent permitted under the Act, expenses, including attorneys' fees, incurred in defending any proceeding for which indemnification is permitted pursuant to this Article shall be paid by the Company in advance of the final disposition of such proceeding upon receipt by the Company of a written undertaking by the Covered Person to repay such amount if it shall ultimately be determined that such Covered Person is not entitled to be indemnified by the Company as authorised by these Articles.</w:t>
      </w:r>
    </w:p>
    <w:p>
      <w:pPr>
        <w:spacing w:after="0" w:line="17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Arial" w:cs="Arial" w:eastAsia="Arial" w:hAnsi="Arial"/>
          <w:sz w:val="18"/>
          <w:szCs w:val="18"/>
          <w:color w:val="auto"/>
        </w:rPr>
        <w:t>245.4</w:t>
      </w:r>
      <w:r>
        <w:rPr>
          <w:sz w:val="20"/>
          <w:szCs w:val="20"/>
          <w:color w:val="auto"/>
        </w:rPr>
        <w:tab/>
      </w:r>
      <w:r>
        <w:rPr>
          <w:rFonts w:ascii="Arial" w:cs="Arial" w:eastAsia="Arial" w:hAnsi="Arial"/>
          <w:sz w:val="17"/>
          <w:szCs w:val="17"/>
          <w:color w:val="auto"/>
        </w:rPr>
        <w:t>It being the policy of the Company that indemnification of the persons specified in this Article shall be made to the fullest extent permitted by law, the indemnification provided by this Article shall not be deemed exclusive of: (a) any other rights to which those seeking indemnification or advancement of expenses may be entitled under the Memorandum, these Articles, any agreement, any insurance purchased by the Company, any vote of members or disinterested Directors, or pursuant to the direction (however embodied) of any court of competent jurisdiction, or otherwise, both as to action in his or her official capacity and as to action in another capacity while holding such office, (b)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or (c) any amendments or replacements of the Act which permit for greater indemnification of the persons specified in this Article and any such amendment or replacement of the Act shall hereby be incorporated into these Articles. As used in this Article 245.4, references to the “Company” include all constituent companies in a consolidation or merger in which the Company or any predecessor to the Company by consolidation or merger was involved. The indemnification provided by this Article shall continue as to a person who has ceased to be a Covered Person and shall inure to the benefit of the heirs, executors, and administrators of such Covered Persons.</w:t>
      </w:r>
    </w:p>
    <w:p>
      <w:pPr>
        <w:spacing w:after="0" w:line="18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245.5</w:t>
        <w:tab/>
        <w:t>The Directors shall have power to purchase and maintain for any Director, the Company Secretary or other officers, agents or employees of the Company insurance against any such liability as referred to in section 235 of the Act.</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245.6</w:t>
        <w:tab/>
        <w:t>The Company may additionally indemnify any agent of the Company or any director, officer, employee or agent of any of its subsidiaries to the fullest extent provided by law, and purchase and maintain insurance for any such person as appropriate.</w:t>
      </w:r>
    </w:p>
    <w:p>
      <w:pPr>
        <w:spacing w:after="0" w:line="170" w:lineRule="exact"/>
        <w:rPr>
          <w:sz w:val="20"/>
          <w:szCs w:val="20"/>
          <w:color w:val="auto"/>
        </w:rPr>
      </w:pPr>
    </w:p>
    <w:p>
      <w:pPr>
        <w:ind w:left="660" w:right="22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the fullest extent permitted under applicable law, no person shall be personally liable to the Company or its members for monetary damages for breach of fiduciary duty as a Director, provided, however, that the foregoing shall not eliminate or limit the liability of a Director:</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246.1   for any breach of the Director’s duty of loyalty to the Company or its members;</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246.2   for acts or omissions not in good faith or which involve intentional misconduct or a knowing violation of law; or</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246.3   for any transaction from which the Director derived an improper personal benefit.</w:t>
      </w:r>
    </w:p>
    <w:p>
      <w:pPr>
        <w:spacing w:after="0" w:line="225" w:lineRule="exact"/>
        <w:rPr>
          <w:rFonts w:ascii="Arial" w:cs="Arial" w:eastAsia="Arial" w:hAnsi="Arial"/>
          <w:sz w:val="17"/>
          <w:szCs w:val="17"/>
          <w:color w:val="auto"/>
        </w:rPr>
      </w:pPr>
    </w:p>
    <w:p>
      <w:pPr>
        <w:jc w:val="both"/>
        <w:ind w:left="640"/>
        <w:spacing w:after="0" w:line="257" w:lineRule="auto"/>
        <w:rPr>
          <w:rFonts w:ascii="Arial" w:cs="Arial" w:eastAsia="Arial" w:hAnsi="Arial"/>
          <w:sz w:val="17"/>
          <w:szCs w:val="17"/>
          <w:color w:val="auto"/>
        </w:rPr>
      </w:pPr>
      <w:r>
        <w:rPr>
          <w:rFonts w:ascii="Arial" w:cs="Arial" w:eastAsia="Arial" w:hAnsi="Arial"/>
          <w:sz w:val="18"/>
          <w:szCs w:val="18"/>
          <w:color w:val="auto"/>
        </w:rPr>
        <w:t>If any applicable law or the relevant code, rules and regulations applicable to the listing of the Company's shares on any Exchange is amended hereafter to authorise corporate action further eliminating or limiting the personal liability of Directors, then the liability of a Director shall be eliminated or limited to the fullest extent permitted by the relevant law, as so amended. Any amendment, repeal or modification of this Article 246 shall not adversely affect any right or protection of a Director existing hereunder with respect to any act or omission occurring prior to such amendment, repeal or modification.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Rights Plan</w:t>
      </w:r>
    </w:p>
    <w:p>
      <w:pPr>
        <w:spacing w:after="0" w:line="229" w:lineRule="exact"/>
        <w:rPr>
          <w:sz w:val="20"/>
          <w:szCs w:val="20"/>
          <w:color w:val="auto"/>
        </w:rPr>
      </w:pPr>
    </w:p>
    <w:p>
      <w:pPr>
        <w:ind w:left="660" w:right="100" w:hanging="652"/>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in the capital of the Company at a discounted price, upon such terms and conditions as the Board deems expedient and in the best interests of the Company.</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the person whose name, address and description are subscribed, wish to be formed into a Company in pursuance of this constitution, and I agree to take the number of shares in the capital of the Company set opposite my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371590" cy="4699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371590" cy="46996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120" w:type="dxa"/>
            <w:vAlign w:val="bottom"/>
          </w:tcPr>
          <w:p>
            <w:pPr>
              <w:spacing w:after="0"/>
              <w:rPr>
                <w:sz w:val="24"/>
                <w:szCs w:val="24"/>
                <w:color w:val="auto"/>
              </w:rPr>
            </w:pPr>
          </w:p>
        </w:tc>
        <w:tc>
          <w:tcPr>
            <w:tcW w:w="1620" w:type="dxa"/>
            <w:vAlign w:val="bottom"/>
            <w:tcBorders>
              <w:bottom w:val="single" w:sz="8" w:color="1A1D1C"/>
            </w:tcBorders>
          </w:tcPr>
          <w:p>
            <w:pPr>
              <w:spacing w:after="0"/>
              <w:rPr>
                <w:sz w:val="20"/>
                <w:szCs w:val="20"/>
                <w:color w:val="auto"/>
              </w:rPr>
            </w:pPr>
            <w:r>
              <w:rPr>
                <w:rFonts w:ascii="Arial" w:cs="Arial" w:eastAsia="Arial" w:hAnsi="Arial"/>
                <w:sz w:val="18"/>
                <w:szCs w:val="18"/>
                <w:color w:val="1A1D1C"/>
                <w:w w:val="90"/>
              </w:rPr>
              <w:t>/s/ Alexjandro Cestero</w:t>
            </w:r>
          </w:p>
        </w:tc>
        <w:tc>
          <w:tcPr>
            <w:tcW w:w="4820" w:type="dxa"/>
            <w:vAlign w:val="bottom"/>
            <w:tcBorders>
              <w:right w:val="single" w:sz="8" w:color="auto"/>
            </w:tcBorders>
          </w:tcPr>
          <w:p>
            <w:pPr>
              <w:spacing w:after="0"/>
              <w:rPr>
                <w:sz w:val="24"/>
                <w:szCs w:val="24"/>
                <w:color w:val="auto"/>
              </w:rPr>
            </w:pPr>
          </w:p>
        </w:tc>
        <w:tc>
          <w:tcPr>
            <w:tcW w:w="3480" w:type="dxa"/>
            <w:vAlign w:val="bottom"/>
          </w:tcPr>
          <w:p>
            <w:pPr>
              <w:ind w:left="60"/>
              <w:spacing w:after="0"/>
              <w:rPr>
                <w:sz w:val="20"/>
                <w:szCs w:val="20"/>
                <w:color w:val="auto"/>
              </w:rPr>
            </w:pPr>
            <w:r>
              <w:rPr>
                <w:rFonts w:ascii="Arial" w:cs="Arial" w:eastAsia="Arial" w:hAnsi="Arial"/>
                <w:sz w:val="18"/>
                <w:szCs w:val="18"/>
                <w:color w:val="1A1D1C"/>
              </w:rPr>
              <w:t>1 (One)</w:t>
            </w:r>
          </w:p>
        </w:tc>
      </w:tr>
      <w:tr>
        <w:trPr>
          <w:trHeight w:val="222"/>
        </w:trPr>
        <w:tc>
          <w:tcPr>
            <w:tcW w:w="120" w:type="dxa"/>
            <w:vAlign w:val="bottom"/>
          </w:tcPr>
          <w:p>
            <w:pPr>
              <w:spacing w:after="0"/>
              <w:rPr>
                <w:sz w:val="19"/>
                <w:szCs w:val="19"/>
                <w:color w:val="auto"/>
              </w:rPr>
            </w:pPr>
          </w:p>
        </w:tc>
        <w:tc>
          <w:tcPr>
            <w:tcW w:w="6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1A1D1C"/>
              </w:rPr>
              <w:t>Alejandro Cestero</w:t>
            </w:r>
          </w:p>
        </w:tc>
        <w:tc>
          <w:tcPr>
            <w:tcW w:w="348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6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1A1D1C"/>
              </w:rPr>
              <w:t>For and on behalf of</w:t>
            </w:r>
          </w:p>
        </w:tc>
        <w:tc>
          <w:tcPr>
            <w:tcW w:w="3480" w:type="dxa"/>
            <w:vAlign w:val="bottom"/>
          </w:tcPr>
          <w:p>
            <w:pPr>
              <w:spacing w:after="0"/>
              <w:rPr>
                <w:sz w:val="18"/>
                <w:szCs w:val="18"/>
                <w:color w:val="auto"/>
              </w:rPr>
            </w:pPr>
          </w:p>
        </w:tc>
      </w:tr>
      <w:tr>
        <w:trPr>
          <w:trHeight w:val="220"/>
        </w:trPr>
        <w:tc>
          <w:tcPr>
            <w:tcW w:w="120" w:type="dxa"/>
            <w:vAlign w:val="bottom"/>
          </w:tcPr>
          <w:p>
            <w:pPr>
              <w:spacing w:after="0"/>
              <w:rPr>
                <w:sz w:val="19"/>
                <w:szCs w:val="19"/>
                <w:color w:val="auto"/>
              </w:rPr>
            </w:pPr>
          </w:p>
        </w:tc>
        <w:tc>
          <w:tcPr>
            <w:tcW w:w="644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1A1D1C"/>
              </w:rPr>
              <w:t xml:space="preserve">WEATHERFORD </w:t>
            </w:r>
            <w:r>
              <w:rPr>
                <w:rFonts w:ascii="Arial" w:cs="Arial" w:eastAsia="Arial" w:hAnsi="Arial"/>
                <w:sz w:val="18"/>
                <w:szCs w:val="18"/>
                <w:b w:val="1"/>
                <w:bCs w:val="1"/>
                <w:color w:val="2F2D2D"/>
              </w:rPr>
              <w:t>INTERNATIONAL</w:t>
            </w:r>
            <w:r>
              <w:rPr>
                <w:rFonts w:ascii="Arial" w:cs="Arial" w:eastAsia="Arial" w:hAnsi="Arial"/>
                <w:sz w:val="18"/>
                <w:szCs w:val="18"/>
                <w:b w:val="1"/>
                <w:bCs w:val="1"/>
                <w:color w:val="1A1D1C"/>
              </w:rPr>
              <w:t xml:space="preserve"> LTD.</w:t>
            </w:r>
          </w:p>
        </w:tc>
        <w:tc>
          <w:tcPr>
            <w:tcW w:w="348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6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1A1D1C"/>
              </w:rPr>
              <w:t>Alpenstrasse 15, Zug 6300</w:t>
            </w:r>
          </w:p>
        </w:tc>
        <w:tc>
          <w:tcPr>
            <w:tcW w:w="348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6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1A1D1C"/>
              </w:rPr>
              <w:t>Switzerland</w:t>
            </w:r>
          </w:p>
        </w:tc>
        <w:tc>
          <w:tcPr>
            <w:tcW w:w="3480" w:type="dxa"/>
            <w:vAlign w:val="bottom"/>
          </w:tcPr>
          <w:p>
            <w:pPr>
              <w:spacing w:after="0"/>
              <w:rPr>
                <w:sz w:val="20"/>
                <w:szCs w:val="20"/>
                <w:color w:val="auto"/>
              </w:rPr>
            </w:pPr>
          </w:p>
        </w:tc>
      </w:tr>
      <w:tr>
        <w:trPr>
          <w:trHeight w:val="432"/>
        </w:trPr>
        <w:tc>
          <w:tcPr>
            <w:tcW w:w="120" w:type="dxa"/>
            <w:vAlign w:val="bottom"/>
            <w:tcBorders>
              <w:bottom w:val="single" w:sz="8" w:color="auto"/>
            </w:tcBorders>
          </w:tcPr>
          <w:p>
            <w:pPr>
              <w:spacing w:after="0"/>
              <w:rPr>
                <w:sz w:val="24"/>
                <w:szCs w:val="24"/>
                <w:color w:val="auto"/>
              </w:rPr>
            </w:pPr>
          </w:p>
        </w:tc>
        <w:tc>
          <w:tcPr>
            <w:tcW w:w="6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1A1D1C"/>
              </w:rPr>
              <w:t>Body Corporate</w:t>
            </w:r>
          </w:p>
        </w:tc>
        <w:tc>
          <w:tcPr>
            <w:tcW w:w="3480" w:type="dxa"/>
            <w:vAlign w:val="bottom"/>
            <w:tcBorders>
              <w:bottom w:val="single" w:sz="8" w:color="343434"/>
            </w:tcBorders>
          </w:tcPr>
          <w:p>
            <w:pPr>
              <w:spacing w:after="0"/>
              <w:rPr>
                <w:sz w:val="24"/>
                <w:szCs w:val="24"/>
                <w:color w:val="auto"/>
              </w:rPr>
            </w:pPr>
          </w:p>
        </w:tc>
      </w:tr>
      <w:tr>
        <w:trPr>
          <w:trHeight w:val="426"/>
        </w:trPr>
        <w:tc>
          <w:tcPr>
            <w:tcW w:w="65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Total shares taken</w:t>
            </w:r>
          </w:p>
        </w:tc>
        <w:tc>
          <w:tcPr>
            <w:tcW w:w="3480" w:type="dxa"/>
            <w:vAlign w:val="bottom"/>
          </w:tcPr>
          <w:p>
            <w:pPr>
              <w:ind w:left="60"/>
              <w:spacing w:after="0"/>
              <w:rPr>
                <w:sz w:val="20"/>
                <w:szCs w:val="20"/>
                <w:color w:val="auto"/>
              </w:rPr>
            </w:pPr>
            <w:r>
              <w:rPr>
                <w:rFonts w:ascii="Arial" w:cs="Arial" w:eastAsia="Arial" w:hAnsi="Arial"/>
                <w:sz w:val="18"/>
                <w:szCs w:val="18"/>
                <w:color w:val="auto"/>
              </w:rPr>
              <w:t>l (One)</w:t>
            </w:r>
          </w:p>
        </w:tc>
      </w:tr>
      <w:tr>
        <w:trPr>
          <w:trHeight w:val="216"/>
        </w:trPr>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8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2F2D2D"/>
        </w:rPr>
        <w:t xml:space="preserve">Dated </w:t>
      </w:r>
      <w:r>
        <w:rPr>
          <w:rFonts w:ascii="Arial" w:cs="Arial" w:eastAsia="Arial" w:hAnsi="Arial"/>
          <w:sz w:val="18"/>
          <w:szCs w:val="18"/>
          <w:b w:val="1"/>
          <w:bCs w:val="1"/>
          <w:color w:val="1A1D1C"/>
        </w:rPr>
        <w:t>21st day of</w:t>
      </w:r>
      <w:r>
        <w:rPr>
          <w:rFonts w:ascii="Arial" w:cs="Arial" w:eastAsia="Arial" w:hAnsi="Arial"/>
          <w:sz w:val="18"/>
          <w:szCs w:val="18"/>
          <w:b w:val="1"/>
          <w:bCs w:val="1"/>
          <w:color w:val="2F2D2D"/>
        </w:rPr>
        <w:t xml:space="preserve"> February </w:t>
      </w:r>
      <w:r>
        <w:rPr>
          <w:rFonts w:ascii="Arial" w:cs="Arial" w:eastAsia="Arial" w:hAnsi="Arial"/>
          <w:sz w:val="18"/>
          <w:szCs w:val="18"/>
          <w:b w:val="1"/>
          <w:bCs w:val="1"/>
          <w:color w:val="1A1D1C"/>
        </w:rPr>
        <w:t>2014</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2F2D2D"/>
        </w:rPr>
        <w:t xml:space="preserve">Witness to the </w:t>
      </w:r>
      <w:r>
        <w:rPr>
          <w:rFonts w:ascii="Arial" w:cs="Arial" w:eastAsia="Arial" w:hAnsi="Arial"/>
          <w:sz w:val="18"/>
          <w:szCs w:val="18"/>
          <w:b w:val="1"/>
          <w:bCs w:val="1"/>
          <w:color w:val="1A1D1C"/>
        </w:rPr>
        <w:t>above signatures: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1A1D1C"/>
        </w:rPr>
        <w:t>Name: Coralie Brunet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2F2D2D"/>
        </w:rPr>
        <w:t>Address: 4-6 Rue Jean Francois Bartholoni 1204 Geneva, Switzerland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1A1D1C"/>
        </w:rPr>
        <w:t>Occupation: Office Manager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1A1D1C"/>
        </w:rPr>
        <w:t xml:space="preserve">Signature: </w:t>
      </w:r>
      <w:r>
        <w:rPr>
          <w:rFonts w:ascii="Arial" w:cs="Arial" w:eastAsia="Arial" w:hAnsi="Arial"/>
          <w:sz w:val="18"/>
          <w:szCs w:val="18"/>
          <w:u w:val="single" w:color="auto"/>
          <w:color w:val="1A1D1C"/>
        </w:rPr>
        <w:t>/s/ Coralie Brunet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4.1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196215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Bermuda exempted company,</w:t>
      </w:r>
    </w:p>
    <w:p>
      <w:pPr>
        <w:spacing w:after="0" w:line="200" w:lineRule="exact"/>
        <w:rPr>
          <w:sz w:val="20"/>
          <w:szCs w:val="20"/>
          <w:color w:val="auto"/>
        </w:rPr>
      </w:pP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 Irish public limited company,</w:t>
      </w: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as Parent Guarantor,</w:t>
      </w:r>
    </w:p>
    <w:p>
      <w:pPr>
        <w:spacing w:after="0" w:line="200" w:lineRule="exact"/>
        <w:rPr>
          <w:sz w:val="20"/>
          <w:szCs w:val="20"/>
          <w:color w:val="auto"/>
        </w:rPr>
      </w:pPr>
    </w:p>
    <w:p>
      <w:pPr>
        <w:spacing w:after="0" w:line="24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as Subsidiary Guarantor, and</w:t>
      </w:r>
    </w:p>
    <w:p>
      <w:pPr>
        <w:spacing w:after="0" w:line="200" w:lineRule="exact"/>
        <w:rPr>
          <w:sz w:val="20"/>
          <w:szCs w:val="20"/>
          <w:color w:val="auto"/>
        </w:rPr>
      </w:pPr>
    </w:p>
    <w:p>
      <w:pPr>
        <w:spacing w:after="0" w:line="24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200" w:lineRule="exact"/>
        <w:rPr>
          <w:sz w:val="20"/>
          <w:szCs w:val="20"/>
          <w:color w:val="auto"/>
        </w:rPr>
      </w:pPr>
    </w:p>
    <w:p>
      <w:pPr>
        <w:spacing w:after="0" w:line="24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December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292100</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11.00%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635000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80" w:type="dxa"/>
            <w:vAlign w:val="bottom"/>
          </w:tcPr>
          <w:p>
            <w:pPr>
              <w:ind w:left="3580"/>
              <w:spacing w:after="0"/>
              <w:rPr>
                <w:sz w:val="20"/>
                <w:szCs w:val="20"/>
                <w:color w:val="auto"/>
              </w:rPr>
            </w:pPr>
            <w:r>
              <w:rPr>
                <w:rFonts w:ascii="Arial" w:cs="Arial" w:eastAsia="Arial" w:hAnsi="Arial"/>
                <w:sz w:val="18"/>
                <w:szCs w:val="18"/>
                <w:b w:val="1"/>
                <w:bCs w:val="1"/>
                <w:color w:val="auto"/>
              </w:rPr>
              <w:t>CROSS-REFERENCE TABLE</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TIA</w:t>
            </w:r>
          </w:p>
        </w:tc>
        <w:tc>
          <w:tcPr>
            <w:tcW w:w="18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c>
          <w:tcPr>
            <w:tcW w:w="180" w:type="dxa"/>
            <w:vAlign w:val="bottom"/>
          </w:tcPr>
          <w:p>
            <w:pPr>
              <w:spacing w:after="0"/>
              <w:rPr>
                <w:sz w:val="20"/>
                <w:szCs w:val="20"/>
                <w:color w:val="auto"/>
              </w:rPr>
            </w:pPr>
          </w:p>
        </w:tc>
        <w:tc>
          <w:tcPr>
            <w:tcW w:w="9480" w:type="dxa"/>
            <w:vAlign w:val="bottom"/>
            <w:vMerge w:val="restart"/>
          </w:tcPr>
          <w:p>
            <w:pPr>
              <w:ind w:left="240"/>
              <w:spacing w:after="0"/>
              <w:rPr>
                <w:sz w:val="20"/>
                <w:szCs w:val="20"/>
                <w:color w:val="auto"/>
              </w:rPr>
            </w:pPr>
            <w:r>
              <w:rPr>
                <w:rFonts w:ascii="Arial" w:cs="Arial" w:eastAsia="Arial" w:hAnsi="Arial"/>
                <w:sz w:val="18"/>
                <w:szCs w:val="18"/>
                <w:color w:val="auto"/>
              </w:rPr>
              <w:t>(a)(1)</w:t>
            </w:r>
          </w:p>
        </w:tc>
        <w:tc>
          <w:tcPr>
            <w:tcW w:w="92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310</w:t>
            </w:r>
          </w:p>
        </w:tc>
        <w:tc>
          <w:tcPr>
            <w:tcW w:w="180" w:type="dxa"/>
            <w:vAlign w:val="bottom"/>
            <w:tcBorders>
              <w:top w:val="single" w:sz="8" w:color="auto"/>
            </w:tcBorders>
          </w:tcPr>
          <w:p>
            <w:pPr>
              <w:spacing w:after="0"/>
              <w:rPr>
                <w:sz w:val="16"/>
                <w:szCs w:val="16"/>
                <w:color w:val="auto"/>
              </w:rPr>
            </w:pPr>
          </w:p>
        </w:tc>
        <w:tc>
          <w:tcPr>
            <w:tcW w:w="9480" w:type="dxa"/>
            <w:vAlign w:val="bottom"/>
            <w:vMerge w:val="continue"/>
          </w:tcPr>
          <w:p>
            <w:pPr>
              <w:spacing w:after="0"/>
              <w:rPr>
                <w:sz w:val="16"/>
                <w:szCs w:val="16"/>
                <w:color w:val="auto"/>
              </w:rPr>
            </w:pPr>
          </w:p>
        </w:tc>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(a)(2)</w:t>
            </w:r>
          </w:p>
        </w:tc>
        <w:tc>
          <w:tcPr>
            <w:tcW w:w="920" w:type="dxa"/>
            <w:vAlign w:val="bottom"/>
          </w:tcPr>
          <w:p>
            <w:pPr>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(a)(3)</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(a)(4)</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w:t>
            </w:r>
          </w:p>
        </w:tc>
        <w:tc>
          <w:tcPr>
            <w:tcW w:w="920" w:type="dxa"/>
            <w:vAlign w:val="bottom"/>
          </w:tcPr>
          <w:p>
            <w:pPr>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w:t>
            </w:r>
          </w:p>
        </w:tc>
        <w:tc>
          <w:tcPr>
            <w:tcW w:w="920" w:type="dxa"/>
            <w:vAlign w:val="bottom"/>
          </w:tcPr>
          <w:p>
            <w:pPr>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(d)</w:t>
            </w:r>
          </w:p>
        </w:tc>
        <w:tc>
          <w:tcPr>
            <w:tcW w:w="920" w:type="dxa"/>
            <w:vAlign w:val="bottom"/>
          </w:tcPr>
          <w:p>
            <w:pPr>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(a)(4)</w:t>
            </w:r>
          </w:p>
        </w:tc>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(a)(4)</w:t>
            </w:r>
          </w:p>
        </w:tc>
        <w:tc>
          <w:tcPr>
            <w:tcW w:w="920" w:type="dxa"/>
            <w:vAlign w:val="bottom"/>
          </w:tcPr>
          <w:p>
            <w:pPr>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(c)(1)</w:t>
            </w:r>
          </w:p>
        </w:tc>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(c)(2)</w:t>
            </w:r>
          </w:p>
        </w:tc>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(c)(3)</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(d)</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(e)</w:t>
            </w:r>
          </w:p>
        </w:tc>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601;603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w:t>
            </w:r>
          </w:p>
        </w:tc>
        <w:tc>
          <w:tcPr>
            <w:tcW w:w="920" w:type="dxa"/>
            <w:vAlign w:val="bottom"/>
          </w:tcPr>
          <w:p>
            <w:pPr>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(d)(1)</w:t>
            </w:r>
          </w:p>
        </w:tc>
        <w:tc>
          <w:tcPr>
            <w:tcW w:w="920" w:type="dxa"/>
            <w:vAlign w:val="bottom"/>
          </w:tcPr>
          <w:p>
            <w:pPr>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(d)(2)</w:t>
            </w:r>
          </w:p>
        </w:tc>
        <w:tc>
          <w:tcPr>
            <w:tcW w:w="920" w:type="dxa"/>
            <w:vAlign w:val="bottom"/>
          </w:tcPr>
          <w:p>
            <w:pPr>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(d)(3)</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(e)</w:t>
            </w:r>
          </w:p>
        </w:tc>
        <w:tc>
          <w:tcPr>
            <w:tcW w:w="920" w:type="dxa"/>
            <w:vAlign w:val="bottom"/>
          </w:tcPr>
          <w:p>
            <w:pPr>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(a)(1)(A)</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(a)(1)(A)</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(a)(1)(B)</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(a)(2)</w:t>
            </w:r>
          </w:p>
        </w:tc>
        <w:tc>
          <w:tcPr>
            <w:tcW w:w="92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(c)</w:t>
            </w:r>
          </w:p>
        </w:tc>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(a)(1)</w:t>
            </w:r>
          </w:p>
        </w:tc>
        <w:tc>
          <w:tcPr>
            <w:tcW w:w="920" w:type="dxa"/>
            <w:vAlign w:val="bottom"/>
          </w:tcPr>
          <w:p>
            <w:pPr>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(a)(2)</w:t>
            </w:r>
          </w:p>
        </w:tc>
        <w:tc>
          <w:tcPr>
            <w:tcW w:w="920" w:type="dxa"/>
            <w:vAlign w:val="bottom"/>
          </w:tcPr>
          <w:p>
            <w:pPr>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(b)</w:t>
            </w:r>
          </w:p>
        </w:tc>
        <w:tc>
          <w:tcPr>
            <w:tcW w:w="920" w:type="dxa"/>
            <w:vAlign w:val="bottom"/>
          </w:tcPr>
          <w:p>
            <w:pPr>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0"/>
                <w:szCs w:val="20"/>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N.A.</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means Not Applicable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NOTE:</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This Cross Reference Table shall not, for any purpose, be deemed to be a part of the Indenture.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28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212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8280" w:type="dxa"/>
            <w:vAlign w:val="bottom"/>
          </w:tcPr>
          <w:p>
            <w:pPr>
              <w:jc w:val="center"/>
              <w:ind w:left="1010"/>
              <w:spacing w:after="0"/>
              <w:rPr>
                <w:sz w:val="20"/>
                <w:szCs w:val="20"/>
                <w:color w:val="auto"/>
              </w:rPr>
            </w:pPr>
            <w:r>
              <w:rPr>
                <w:rFonts w:ascii="Arial" w:cs="Arial" w:eastAsia="Arial" w:hAnsi="Arial"/>
                <w:sz w:val="18"/>
                <w:szCs w:val="18"/>
                <w:b w:val="1"/>
                <w:bCs w:val="1"/>
                <w:color w:val="auto"/>
              </w:rPr>
              <w:t>ARTICLE ONE</w:t>
            </w:r>
          </w:p>
        </w:tc>
        <w:tc>
          <w:tcPr>
            <w:tcW w:w="21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8280" w:type="dxa"/>
            <w:vAlign w:val="bottom"/>
          </w:tcPr>
          <w:p>
            <w:pPr>
              <w:jc w:val="center"/>
              <w:ind w:left="1010"/>
              <w:spacing w:after="0"/>
              <w:rPr>
                <w:sz w:val="20"/>
                <w:szCs w:val="20"/>
                <w:color w:val="auto"/>
              </w:rPr>
            </w:pPr>
            <w:r>
              <w:rPr>
                <w:rFonts w:ascii="Arial" w:cs="Arial" w:eastAsia="Arial" w:hAnsi="Arial"/>
                <w:sz w:val="18"/>
                <w:szCs w:val="18"/>
                <w:color w:val="auto"/>
                <w:w w:val="96"/>
              </w:rPr>
              <w:t>DEFINITIONS AND OTHER PROVISIONS</w:t>
            </w:r>
          </w:p>
        </w:tc>
        <w:tc>
          <w:tcPr>
            <w:tcW w:w="212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8280" w:type="dxa"/>
            <w:vAlign w:val="bottom"/>
          </w:tcPr>
          <w:p>
            <w:pPr>
              <w:jc w:val="center"/>
              <w:ind w:left="1030"/>
              <w:spacing w:after="0"/>
              <w:rPr>
                <w:sz w:val="20"/>
                <w:szCs w:val="20"/>
                <w:color w:val="auto"/>
              </w:rPr>
            </w:pPr>
            <w:r>
              <w:rPr>
                <w:rFonts w:ascii="Arial" w:cs="Arial" w:eastAsia="Arial" w:hAnsi="Arial"/>
                <w:sz w:val="18"/>
                <w:szCs w:val="18"/>
                <w:color w:val="auto"/>
                <w:w w:val="96"/>
              </w:rPr>
              <w:t>OF GENERAL APPLICATION</w:t>
            </w:r>
          </w:p>
        </w:tc>
        <w:tc>
          <w:tcPr>
            <w:tcW w:w="2120" w:type="dxa"/>
            <w:vAlign w:val="bottom"/>
          </w:tcPr>
          <w:p>
            <w:pPr>
              <w:spacing w:after="0"/>
              <w:rPr>
                <w:sz w:val="20"/>
                <w:szCs w:val="20"/>
                <w:color w:val="auto"/>
              </w:rPr>
            </w:pPr>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w w:val="99"/>
              </w:rPr>
              <w:t>Section 101.</w:t>
            </w:r>
          </w:p>
        </w:tc>
        <w:tc>
          <w:tcPr>
            <w:tcW w:w="82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102.</w:t>
            </w:r>
          </w:p>
        </w:tc>
        <w:tc>
          <w:tcPr>
            <w:tcW w:w="8280" w:type="dxa"/>
            <w:vAlign w:val="bottom"/>
          </w:tcPr>
          <w:p>
            <w:pPr>
              <w:ind w:left="100"/>
              <w:spacing w:after="0"/>
              <w:rPr>
                <w:sz w:val="20"/>
                <w:szCs w:val="20"/>
                <w:color w:val="auto"/>
              </w:rPr>
            </w:pPr>
            <w:r>
              <w:rPr>
                <w:rFonts w:ascii="Arial" w:cs="Arial" w:eastAsia="Arial" w:hAnsi="Arial"/>
                <w:sz w:val="18"/>
                <w:szCs w:val="18"/>
                <w:color w:val="auto"/>
              </w:rPr>
              <w:t>Compliance Certificates and Opinions</w:t>
            </w:r>
          </w:p>
        </w:tc>
        <w:tc>
          <w:tcPr>
            <w:tcW w:w="2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103.</w:t>
            </w:r>
          </w:p>
        </w:tc>
        <w:tc>
          <w:tcPr>
            <w:tcW w:w="8280" w:type="dxa"/>
            <w:vAlign w:val="bottom"/>
          </w:tcPr>
          <w:p>
            <w:pPr>
              <w:ind w:left="100"/>
              <w:spacing w:after="0"/>
              <w:rPr>
                <w:sz w:val="20"/>
                <w:szCs w:val="20"/>
                <w:color w:val="auto"/>
              </w:rPr>
            </w:pPr>
            <w:r>
              <w:rPr>
                <w:rFonts w:ascii="Arial" w:cs="Arial" w:eastAsia="Arial" w:hAnsi="Arial"/>
                <w:sz w:val="18"/>
                <w:szCs w:val="18"/>
                <w:color w:val="auto"/>
              </w:rPr>
              <w:t>Form of Documents Delivered to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104.</w:t>
            </w:r>
          </w:p>
        </w:tc>
        <w:tc>
          <w:tcPr>
            <w:tcW w:w="8280" w:type="dxa"/>
            <w:vAlign w:val="bottom"/>
          </w:tcPr>
          <w:p>
            <w:pPr>
              <w:ind w:left="100"/>
              <w:spacing w:after="0"/>
              <w:rPr>
                <w:sz w:val="20"/>
                <w:szCs w:val="20"/>
                <w:color w:val="auto"/>
              </w:rPr>
            </w:pPr>
            <w:r>
              <w:rPr>
                <w:rFonts w:ascii="Arial" w:cs="Arial" w:eastAsia="Arial" w:hAnsi="Arial"/>
                <w:sz w:val="18"/>
                <w:szCs w:val="18"/>
                <w:color w:val="auto"/>
              </w:rPr>
              <w:t>Acts of Holders; Record Dates</w:t>
            </w:r>
          </w:p>
        </w:tc>
        <w:tc>
          <w:tcPr>
            <w:tcW w:w="2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105.</w:t>
            </w:r>
          </w:p>
        </w:tc>
        <w:tc>
          <w:tcPr>
            <w:tcW w:w="8280" w:type="dxa"/>
            <w:vAlign w:val="bottom"/>
          </w:tcPr>
          <w:p>
            <w:pPr>
              <w:ind w:left="100"/>
              <w:spacing w:after="0"/>
              <w:rPr>
                <w:sz w:val="20"/>
                <w:szCs w:val="20"/>
                <w:color w:val="auto"/>
              </w:rPr>
            </w:pPr>
            <w:r>
              <w:rPr>
                <w:rFonts w:ascii="Arial" w:cs="Arial" w:eastAsia="Arial" w:hAnsi="Arial"/>
                <w:sz w:val="18"/>
                <w:szCs w:val="18"/>
                <w:color w:val="auto"/>
              </w:rPr>
              <w:t>Notices, Etc., to Trustee, Issuer and Guarantors</w:t>
            </w:r>
          </w:p>
        </w:tc>
        <w:tc>
          <w:tcPr>
            <w:tcW w:w="2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106.</w:t>
            </w:r>
          </w:p>
        </w:tc>
        <w:tc>
          <w:tcPr>
            <w:tcW w:w="8280" w:type="dxa"/>
            <w:vAlign w:val="bottom"/>
          </w:tcPr>
          <w:p>
            <w:pPr>
              <w:ind w:left="100"/>
              <w:spacing w:after="0"/>
              <w:rPr>
                <w:sz w:val="20"/>
                <w:szCs w:val="20"/>
                <w:color w:val="auto"/>
              </w:rPr>
            </w:pPr>
            <w:r>
              <w:rPr>
                <w:rFonts w:ascii="Arial" w:cs="Arial" w:eastAsia="Arial" w:hAnsi="Arial"/>
                <w:sz w:val="18"/>
                <w:szCs w:val="18"/>
                <w:color w:val="auto"/>
              </w:rPr>
              <w:t>Notice to Holders; Waiver</w:t>
            </w: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107.</w:t>
            </w:r>
          </w:p>
        </w:tc>
        <w:tc>
          <w:tcPr>
            <w:tcW w:w="8280" w:type="dxa"/>
            <w:vAlign w:val="bottom"/>
          </w:tcPr>
          <w:p>
            <w:pPr>
              <w:ind w:left="100"/>
              <w:spacing w:after="0"/>
              <w:rPr>
                <w:sz w:val="20"/>
                <w:szCs w:val="20"/>
                <w:color w:val="auto"/>
              </w:rPr>
            </w:pPr>
            <w:r>
              <w:rPr>
                <w:rFonts w:ascii="Arial" w:cs="Arial" w:eastAsia="Arial" w:hAnsi="Arial"/>
                <w:sz w:val="18"/>
                <w:szCs w:val="18"/>
                <w:color w:val="auto"/>
              </w:rPr>
              <w:t>Conflict with Trust Indenture Act</w:t>
            </w: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108.</w:t>
            </w:r>
          </w:p>
        </w:tc>
        <w:tc>
          <w:tcPr>
            <w:tcW w:w="8280" w:type="dxa"/>
            <w:vAlign w:val="bottom"/>
          </w:tcPr>
          <w:p>
            <w:pPr>
              <w:ind w:left="100"/>
              <w:spacing w:after="0"/>
              <w:rPr>
                <w:sz w:val="20"/>
                <w:szCs w:val="20"/>
                <w:color w:val="auto"/>
              </w:rPr>
            </w:pPr>
            <w:r>
              <w:rPr>
                <w:rFonts w:ascii="Arial" w:cs="Arial" w:eastAsia="Arial" w:hAnsi="Arial"/>
                <w:sz w:val="18"/>
                <w:szCs w:val="18"/>
                <w:color w:val="auto"/>
              </w:rPr>
              <w:t>Effect of Headings and Table of Contents</w:t>
            </w: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109.</w:t>
            </w:r>
          </w:p>
        </w:tc>
        <w:tc>
          <w:tcPr>
            <w:tcW w:w="828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110.</w:t>
            </w:r>
          </w:p>
        </w:tc>
        <w:tc>
          <w:tcPr>
            <w:tcW w:w="8280" w:type="dxa"/>
            <w:vAlign w:val="bottom"/>
          </w:tcPr>
          <w:p>
            <w:pPr>
              <w:ind w:left="100"/>
              <w:spacing w:after="0"/>
              <w:rPr>
                <w:sz w:val="20"/>
                <w:szCs w:val="20"/>
                <w:color w:val="auto"/>
              </w:rPr>
            </w:pPr>
            <w:r>
              <w:rPr>
                <w:rFonts w:ascii="Arial" w:cs="Arial" w:eastAsia="Arial" w:hAnsi="Arial"/>
                <w:sz w:val="18"/>
                <w:szCs w:val="18"/>
                <w:color w:val="auto"/>
              </w:rPr>
              <w:t>Separability Clause</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111.</w:t>
            </w:r>
          </w:p>
        </w:tc>
        <w:tc>
          <w:tcPr>
            <w:tcW w:w="8280" w:type="dxa"/>
            <w:vAlign w:val="bottom"/>
          </w:tcPr>
          <w:p>
            <w:pPr>
              <w:ind w:left="100"/>
              <w:spacing w:after="0"/>
              <w:rPr>
                <w:sz w:val="20"/>
                <w:szCs w:val="20"/>
                <w:color w:val="auto"/>
              </w:rPr>
            </w:pPr>
            <w:r>
              <w:rPr>
                <w:rFonts w:ascii="Arial" w:cs="Arial" w:eastAsia="Arial" w:hAnsi="Arial"/>
                <w:sz w:val="18"/>
                <w:szCs w:val="18"/>
                <w:color w:val="auto"/>
              </w:rPr>
              <w:t>Benefits of Indenture</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112.   Governing Law; Submission to Jurisdiction</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113.</w:t>
            </w:r>
          </w:p>
        </w:tc>
        <w:tc>
          <w:tcPr>
            <w:tcW w:w="828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114.   No Personal Liability of Directors, Officers, Employees and Shareholders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115.   No Adverse Interpretation of Other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116.   U.S.A. PATRIOT Act</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117.   Payment in Required Currency; Judgment Currency</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Section 118.   Language of Notices, Etc</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119.</w:t>
            </w:r>
          </w:p>
        </w:tc>
        <w:tc>
          <w:tcPr>
            <w:tcW w:w="828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660" w:type="dxa"/>
            <w:vAlign w:val="bottom"/>
          </w:tcPr>
          <w:p>
            <w:pPr>
              <w:jc w:val="center"/>
              <w:ind w:right="4670"/>
              <w:spacing w:after="0"/>
              <w:rPr>
                <w:sz w:val="20"/>
                <w:szCs w:val="20"/>
                <w:color w:val="auto"/>
              </w:rPr>
            </w:pPr>
            <w:r>
              <w:rPr>
                <w:rFonts w:ascii="Arial" w:cs="Arial" w:eastAsia="Arial" w:hAnsi="Arial"/>
                <w:sz w:val="18"/>
                <w:szCs w:val="18"/>
                <w:b w:val="1"/>
                <w:bCs w:val="1"/>
                <w:color w:val="auto"/>
              </w:rPr>
              <w:t>ARTICLE TWO</w:t>
            </w:r>
          </w:p>
        </w:tc>
      </w:tr>
      <w:tr>
        <w:trPr>
          <w:trHeight w:val="230"/>
        </w:trPr>
        <w:tc>
          <w:tcPr>
            <w:tcW w:w="10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60" w:type="dxa"/>
            <w:vAlign w:val="bottom"/>
          </w:tcPr>
          <w:p>
            <w:pPr>
              <w:jc w:val="center"/>
              <w:ind w:right="4670"/>
              <w:spacing w:after="0"/>
              <w:rPr>
                <w:sz w:val="20"/>
                <w:szCs w:val="20"/>
                <w:color w:val="auto"/>
              </w:rPr>
            </w:pPr>
            <w:r>
              <w:rPr>
                <w:rFonts w:ascii="Arial" w:cs="Arial" w:eastAsia="Arial" w:hAnsi="Arial"/>
                <w:sz w:val="18"/>
                <w:szCs w:val="18"/>
                <w:color w:val="auto"/>
                <w:w w:val="94"/>
              </w:rPr>
              <w:t>NOTE FORMS</w:t>
            </w:r>
          </w:p>
        </w:tc>
      </w:tr>
      <w:tr>
        <w:trPr>
          <w:trHeight w:val="458"/>
        </w:trPr>
        <w:tc>
          <w:tcPr>
            <w:tcW w:w="1020" w:type="dxa"/>
            <w:vAlign w:val="bottom"/>
          </w:tcPr>
          <w:p>
            <w:pPr>
              <w:spacing w:after="0"/>
              <w:rPr>
                <w:sz w:val="20"/>
                <w:szCs w:val="20"/>
                <w:color w:val="auto"/>
              </w:rPr>
            </w:pPr>
            <w:r>
              <w:rPr>
                <w:rFonts w:ascii="Arial" w:cs="Arial" w:eastAsia="Arial" w:hAnsi="Arial"/>
                <w:sz w:val="18"/>
                <w:szCs w:val="18"/>
                <w:color w:val="auto"/>
                <w:w w:val="99"/>
              </w:rPr>
              <w:t>Section 201.</w:t>
            </w:r>
          </w:p>
        </w:tc>
        <w:tc>
          <w:tcPr>
            <w:tcW w:w="374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6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202.  Legends for Notes</w:t>
            </w:r>
          </w:p>
        </w:tc>
        <w:tc>
          <w:tcPr>
            <w:tcW w:w="6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203.</w:t>
            </w:r>
          </w:p>
        </w:tc>
        <w:tc>
          <w:tcPr>
            <w:tcW w:w="3740" w:type="dxa"/>
            <w:vAlign w:val="bottom"/>
          </w:tcPr>
          <w:p>
            <w:pPr>
              <w:ind w:left="100"/>
              <w:spacing w:after="0"/>
              <w:rPr>
                <w:sz w:val="20"/>
                <w:szCs w:val="20"/>
                <w:color w:val="auto"/>
              </w:rPr>
            </w:pPr>
            <w:r>
              <w:rPr>
                <w:rFonts w:ascii="Arial" w:cs="Arial" w:eastAsia="Arial" w:hAnsi="Arial"/>
                <w:sz w:val="18"/>
                <w:szCs w:val="18"/>
                <w:color w:val="auto"/>
              </w:rPr>
              <w:t>Global Notes</w:t>
            </w:r>
          </w:p>
        </w:tc>
        <w:tc>
          <w:tcPr>
            <w:tcW w:w="6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45"/>
        </w:trPr>
        <w:tc>
          <w:tcPr>
            <w:tcW w:w="10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660" w:type="dxa"/>
            <w:vAlign w:val="bottom"/>
          </w:tcPr>
          <w:p>
            <w:pPr>
              <w:jc w:val="center"/>
              <w:ind w:right="4650"/>
              <w:spacing w:after="0"/>
              <w:rPr>
                <w:sz w:val="20"/>
                <w:szCs w:val="20"/>
                <w:color w:val="auto"/>
              </w:rPr>
            </w:pPr>
            <w:r>
              <w:rPr>
                <w:rFonts w:ascii="Arial" w:cs="Arial" w:eastAsia="Arial" w:hAnsi="Arial"/>
                <w:sz w:val="18"/>
                <w:szCs w:val="18"/>
                <w:b w:val="1"/>
                <w:bCs w:val="1"/>
                <w:color w:val="auto"/>
              </w:rPr>
              <w:t>ARTICLE THREE</w:t>
            </w:r>
          </w:p>
        </w:tc>
      </w:tr>
      <w:tr>
        <w:trPr>
          <w:trHeight w:val="230"/>
        </w:trPr>
        <w:tc>
          <w:tcPr>
            <w:tcW w:w="10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60" w:type="dxa"/>
            <w:vAlign w:val="bottom"/>
          </w:tcPr>
          <w:p>
            <w:pPr>
              <w:jc w:val="center"/>
              <w:ind w:right="4670"/>
              <w:spacing w:after="0"/>
              <w:rPr>
                <w:sz w:val="20"/>
                <w:szCs w:val="20"/>
                <w:color w:val="auto"/>
              </w:rPr>
            </w:pPr>
            <w:r>
              <w:rPr>
                <w:rFonts w:ascii="Arial" w:cs="Arial" w:eastAsia="Arial" w:hAnsi="Arial"/>
                <w:sz w:val="18"/>
                <w:szCs w:val="18"/>
                <w:color w:val="auto"/>
                <w:w w:val="95"/>
              </w:rPr>
              <w:t>THE NOTES</w:t>
            </w:r>
          </w:p>
        </w:tc>
      </w:tr>
      <w:tr>
        <w:trPr>
          <w:trHeight w:val="458"/>
        </w:trPr>
        <w:tc>
          <w:tcPr>
            <w:tcW w:w="4760" w:type="dxa"/>
            <w:vAlign w:val="bottom"/>
            <w:gridSpan w:val="2"/>
          </w:tcPr>
          <w:p>
            <w:pPr>
              <w:spacing w:after="0"/>
              <w:rPr>
                <w:sz w:val="20"/>
                <w:szCs w:val="20"/>
                <w:color w:val="auto"/>
              </w:rPr>
            </w:pPr>
            <w:r>
              <w:rPr>
                <w:rFonts w:ascii="Arial" w:cs="Arial" w:eastAsia="Arial" w:hAnsi="Arial"/>
                <w:sz w:val="18"/>
                <w:szCs w:val="18"/>
                <w:color w:val="auto"/>
              </w:rPr>
              <w:t>Section 301.  Title and Terms</w:t>
            </w:r>
          </w:p>
        </w:tc>
        <w:tc>
          <w:tcPr>
            <w:tcW w:w="6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302.</w:t>
            </w:r>
          </w:p>
        </w:tc>
        <w:tc>
          <w:tcPr>
            <w:tcW w:w="3740" w:type="dxa"/>
            <w:vAlign w:val="bottom"/>
          </w:tcPr>
          <w:p>
            <w:pPr>
              <w:ind w:left="100"/>
              <w:spacing w:after="0"/>
              <w:rPr>
                <w:sz w:val="20"/>
                <w:szCs w:val="20"/>
                <w:color w:val="auto"/>
              </w:rPr>
            </w:pPr>
            <w:r>
              <w:rPr>
                <w:rFonts w:ascii="Arial" w:cs="Arial" w:eastAsia="Arial" w:hAnsi="Arial"/>
                <w:sz w:val="18"/>
                <w:szCs w:val="18"/>
                <w:color w:val="auto"/>
              </w:rPr>
              <w:t>Denominations</w:t>
            </w:r>
          </w:p>
        </w:tc>
        <w:tc>
          <w:tcPr>
            <w:tcW w:w="6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w w:val="98"/>
              </w:rPr>
              <w:t>Section 303.  Execution, Authentication, Delivery and Dating</w:t>
            </w:r>
          </w:p>
        </w:tc>
        <w:tc>
          <w:tcPr>
            <w:tcW w:w="6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304.</w:t>
            </w:r>
          </w:p>
        </w:tc>
        <w:tc>
          <w:tcPr>
            <w:tcW w:w="374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6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305.  Registrar, Global Notes and Definitive Notes</w:t>
            </w:r>
          </w:p>
        </w:tc>
        <w:tc>
          <w:tcPr>
            <w:tcW w:w="6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306.  Mutilated, Destroyed, Lost and Stolen Notes</w:t>
            </w:r>
          </w:p>
        </w:tc>
        <w:tc>
          <w:tcPr>
            <w:tcW w:w="6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w w:val="98"/>
              </w:rPr>
              <w:t>Section 307.  Payment of Interest; Interest Rights Preserved</w:t>
            </w:r>
          </w:p>
        </w:tc>
        <w:tc>
          <w:tcPr>
            <w:tcW w:w="6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308.  Persons Deemed Owners</w:t>
            </w:r>
          </w:p>
        </w:tc>
        <w:tc>
          <w:tcPr>
            <w:tcW w:w="6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309.</w:t>
            </w:r>
          </w:p>
        </w:tc>
        <w:tc>
          <w:tcPr>
            <w:tcW w:w="374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6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310.  Computation of Interest</w:t>
            </w:r>
          </w:p>
        </w:tc>
        <w:tc>
          <w:tcPr>
            <w:tcW w:w="6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311.   Transfer and Exchange</w:t>
            </w:r>
          </w:p>
        </w:tc>
        <w:tc>
          <w:tcPr>
            <w:tcW w:w="6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Section 312.  When Securities Disregarded</w:t>
            </w:r>
          </w:p>
        </w:tc>
        <w:tc>
          <w:tcPr>
            <w:tcW w:w="6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313.</w:t>
            </w:r>
          </w:p>
        </w:tc>
        <w:tc>
          <w:tcPr>
            <w:tcW w:w="3740" w:type="dxa"/>
            <w:vAlign w:val="bottom"/>
          </w:tcPr>
          <w:p>
            <w:pPr>
              <w:ind w:left="100"/>
              <w:spacing w:after="0"/>
              <w:rPr>
                <w:sz w:val="20"/>
                <w:szCs w:val="20"/>
                <w:color w:val="auto"/>
              </w:rPr>
            </w:pPr>
            <w:r>
              <w:rPr>
                <w:rFonts w:ascii="Arial" w:cs="Arial" w:eastAsia="Arial" w:hAnsi="Arial"/>
                <w:sz w:val="18"/>
                <w:szCs w:val="18"/>
                <w:color w:val="auto"/>
              </w:rPr>
              <w:t>Calculation of Specified Percentage of Notes</w:t>
            </w:r>
          </w:p>
        </w:tc>
        <w:tc>
          <w:tcPr>
            <w:tcW w:w="6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716"/>
        </w:trPr>
        <w:tc>
          <w:tcPr>
            <w:tcW w:w="10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868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FOUR</w:t>
            </w:r>
          </w:p>
        </w:tc>
        <w:tc>
          <w:tcPr>
            <w:tcW w:w="172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8680" w:type="dxa"/>
            <w:vAlign w:val="bottom"/>
          </w:tcPr>
          <w:p>
            <w:pPr>
              <w:jc w:val="center"/>
              <w:ind w:left="630"/>
              <w:spacing w:after="0"/>
              <w:rPr>
                <w:sz w:val="20"/>
                <w:szCs w:val="20"/>
                <w:color w:val="auto"/>
              </w:rPr>
            </w:pPr>
            <w:r>
              <w:rPr>
                <w:rFonts w:ascii="Arial" w:cs="Arial" w:eastAsia="Arial" w:hAnsi="Arial"/>
                <w:sz w:val="18"/>
                <w:szCs w:val="18"/>
                <w:color w:val="auto"/>
                <w:w w:val="96"/>
              </w:rPr>
              <w:t>SATISFACTION AND DISCHARGE</w:t>
            </w:r>
          </w:p>
        </w:tc>
        <w:tc>
          <w:tcPr>
            <w:tcW w:w="1720" w:type="dxa"/>
            <w:vAlign w:val="bottom"/>
          </w:tcPr>
          <w:p>
            <w:pPr>
              <w:spacing w:after="0"/>
              <w:rPr>
                <w:sz w:val="20"/>
                <w:szCs w:val="20"/>
                <w:color w:val="auto"/>
              </w:rPr>
            </w:pPr>
          </w:p>
        </w:tc>
      </w:tr>
      <w:tr>
        <w:trPr>
          <w:trHeight w:val="458"/>
        </w:trPr>
        <w:tc>
          <w:tcPr>
            <w:tcW w:w="9700" w:type="dxa"/>
            <w:vAlign w:val="bottom"/>
            <w:gridSpan w:val="2"/>
          </w:tcPr>
          <w:p>
            <w:pPr>
              <w:spacing w:after="0"/>
              <w:rPr>
                <w:sz w:val="20"/>
                <w:szCs w:val="20"/>
                <w:color w:val="auto"/>
              </w:rPr>
            </w:pPr>
            <w:r>
              <w:rPr>
                <w:rFonts w:ascii="Arial" w:cs="Arial" w:eastAsia="Arial" w:hAnsi="Arial"/>
                <w:sz w:val="18"/>
                <w:szCs w:val="18"/>
                <w:color w:val="auto"/>
              </w:rPr>
              <w:t>Section 401.  Satisfaction and Discharge of Indenture</w:t>
            </w: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402.  Application of Trust Money</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45"/>
        </w:trPr>
        <w:tc>
          <w:tcPr>
            <w:tcW w:w="1020" w:type="dxa"/>
            <w:vAlign w:val="bottom"/>
          </w:tcPr>
          <w:p>
            <w:pPr>
              <w:spacing w:after="0"/>
              <w:rPr>
                <w:sz w:val="24"/>
                <w:szCs w:val="24"/>
                <w:color w:val="auto"/>
              </w:rPr>
            </w:pPr>
          </w:p>
        </w:tc>
        <w:tc>
          <w:tcPr>
            <w:tcW w:w="868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FIVE</w:t>
            </w:r>
          </w:p>
        </w:tc>
        <w:tc>
          <w:tcPr>
            <w:tcW w:w="172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8680" w:type="dxa"/>
            <w:vAlign w:val="bottom"/>
          </w:tcPr>
          <w:p>
            <w:pPr>
              <w:jc w:val="center"/>
              <w:ind w:left="610"/>
              <w:spacing w:after="0"/>
              <w:rPr>
                <w:sz w:val="20"/>
                <w:szCs w:val="20"/>
                <w:color w:val="auto"/>
              </w:rPr>
            </w:pPr>
            <w:r>
              <w:rPr>
                <w:rFonts w:ascii="Arial" w:cs="Arial" w:eastAsia="Arial" w:hAnsi="Arial"/>
                <w:sz w:val="18"/>
                <w:szCs w:val="18"/>
                <w:color w:val="auto"/>
                <w:w w:val="95"/>
              </w:rPr>
              <w:t>REMEDIES</w:t>
            </w:r>
          </w:p>
        </w:tc>
        <w:tc>
          <w:tcPr>
            <w:tcW w:w="1720" w:type="dxa"/>
            <w:vAlign w:val="bottom"/>
          </w:tcPr>
          <w:p>
            <w:pPr>
              <w:spacing w:after="0"/>
              <w:rPr>
                <w:sz w:val="20"/>
                <w:szCs w:val="20"/>
                <w:color w:val="auto"/>
              </w:rPr>
            </w:pPr>
          </w:p>
        </w:tc>
      </w:tr>
      <w:tr>
        <w:trPr>
          <w:trHeight w:val="458"/>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501.  Events of Default</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502.  Acceleration of Maturity; Rescission and Annulment</w:t>
            </w: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504.  Trustee May File Proofs of Claim</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505.  Trustee May Enforce Claims Without Possession of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506.  Application of Money Collected</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507.  Limitation on Suits</w:t>
            </w: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509.  Restoration of Rights and Remedies</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510.  Rights and Remedies Cumulative</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511.   Delay or Omission Not Waiver</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512.  Control by 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513.  Waiver of Existing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514.  Undertaking for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515.  Waiver of Usury, Stay or Extension Laws</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45"/>
        </w:trPr>
        <w:tc>
          <w:tcPr>
            <w:tcW w:w="1020" w:type="dxa"/>
            <w:vAlign w:val="bottom"/>
          </w:tcPr>
          <w:p>
            <w:pPr>
              <w:spacing w:after="0"/>
              <w:rPr>
                <w:sz w:val="24"/>
                <w:szCs w:val="24"/>
                <w:color w:val="auto"/>
              </w:rPr>
            </w:pPr>
          </w:p>
        </w:tc>
        <w:tc>
          <w:tcPr>
            <w:tcW w:w="8680" w:type="dxa"/>
            <w:vAlign w:val="bottom"/>
          </w:tcPr>
          <w:p>
            <w:pPr>
              <w:jc w:val="center"/>
              <w:ind w:left="630"/>
              <w:spacing w:after="0"/>
              <w:rPr>
                <w:sz w:val="20"/>
                <w:szCs w:val="20"/>
                <w:color w:val="auto"/>
              </w:rPr>
            </w:pPr>
            <w:r>
              <w:rPr>
                <w:rFonts w:ascii="Arial" w:cs="Arial" w:eastAsia="Arial" w:hAnsi="Arial"/>
                <w:sz w:val="18"/>
                <w:szCs w:val="18"/>
                <w:b w:val="1"/>
                <w:bCs w:val="1"/>
                <w:color w:val="auto"/>
              </w:rPr>
              <w:t>ARTICLE SIX</w:t>
            </w:r>
          </w:p>
        </w:tc>
        <w:tc>
          <w:tcPr>
            <w:tcW w:w="172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8680" w:type="dxa"/>
            <w:vAlign w:val="bottom"/>
          </w:tcPr>
          <w:p>
            <w:pPr>
              <w:jc w:val="center"/>
              <w:ind w:left="610"/>
              <w:spacing w:after="0"/>
              <w:rPr>
                <w:sz w:val="20"/>
                <w:szCs w:val="20"/>
                <w:color w:val="auto"/>
              </w:rPr>
            </w:pPr>
            <w:r>
              <w:rPr>
                <w:rFonts w:ascii="Arial" w:cs="Arial" w:eastAsia="Arial" w:hAnsi="Arial"/>
                <w:sz w:val="18"/>
                <w:szCs w:val="18"/>
                <w:color w:val="auto"/>
                <w:w w:val="94"/>
              </w:rPr>
              <w:t>THE TRUSTEE</w:t>
            </w:r>
          </w:p>
        </w:tc>
        <w:tc>
          <w:tcPr>
            <w:tcW w:w="1720" w:type="dxa"/>
            <w:vAlign w:val="bottom"/>
          </w:tcPr>
          <w:p>
            <w:pPr>
              <w:spacing w:after="0"/>
              <w:rPr>
                <w:sz w:val="20"/>
                <w:szCs w:val="20"/>
                <w:color w:val="auto"/>
              </w:rPr>
            </w:pPr>
          </w:p>
        </w:tc>
      </w:tr>
      <w:tr>
        <w:trPr>
          <w:trHeight w:val="458"/>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601.  Certain Duties and Responsibilities</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602.  Notice of Defaults</w:t>
            </w:r>
          </w:p>
        </w:tc>
        <w:tc>
          <w:tcPr>
            <w:tcW w:w="1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603.  Certain Rights of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604.  Not Responsible for Recitals or Issuance of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605.  May Hold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606.  Money Held in Trust</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607.  Compensation and Reimbursement</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608.</w:t>
            </w:r>
          </w:p>
        </w:tc>
        <w:tc>
          <w:tcPr>
            <w:tcW w:w="8680" w:type="dxa"/>
            <w:vAlign w:val="bottom"/>
          </w:tcPr>
          <w:p>
            <w:pPr>
              <w:ind w:left="100"/>
              <w:spacing w:after="0"/>
              <w:rPr>
                <w:sz w:val="20"/>
                <w:szCs w:val="20"/>
                <w:color w:val="auto"/>
              </w:rPr>
            </w:pPr>
            <w:r>
              <w:rPr>
                <w:rFonts w:ascii="Arial" w:cs="Arial" w:eastAsia="Arial" w:hAnsi="Arial"/>
                <w:sz w:val="18"/>
                <w:szCs w:val="18"/>
                <w:color w:val="auto"/>
              </w:rPr>
              <w:t>Conflicting Interests</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609.  Corporate Trustee Required; Eligibility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610.  Resignation and Removal; Appointment of Successor</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611.   Acceptance of Appointment by Successor</w:t>
            </w:r>
          </w:p>
        </w:tc>
        <w:tc>
          <w:tcPr>
            <w:tcW w:w="1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613.  Preferential Collection of Claims Against Issuer</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614.  Appointment of Authenticating Agent</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45"/>
        </w:trPr>
        <w:tc>
          <w:tcPr>
            <w:tcW w:w="1020" w:type="dxa"/>
            <w:vAlign w:val="bottom"/>
          </w:tcPr>
          <w:p>
            <w:pPr>
              <w:spacing w:after="0"/>
              <w:rPr>
                <w:sz w:val="24"/>
                <w:szCs w:val="24"/>
                <w:color w:val="auto"/>
              </w:rPr>
            </w:pPr>
          </w:p>
        </w:tc>
        <w:tc>
          <w:tcPr>
            <w:tcW w:w="868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SEVEN</w:t>
            </w:r>
          </w:p>
        </w:tc>
        <w:tc>
          <w:tcPr>
            <w:tcW w:w="172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8680" w:type="dxa"/>
            <w:vAlign w:val="bottom"/>
          </w:tcPr>
          <w:p>
            <w:pPr>
              <w:jc w:val="center"/>
              <w:ind w:left="610"/>
              <w:spacing w:after="0"/>
              <w:rPr>
                <w:sz w:val="20"/>
                <w:szCs w:val="20"/>
                <w:color w:val="auto"/>
              </w:rPr>
            </w:pPr>
            <w:r>
              <w:rPr>
                <w:rFonts w:ascii="Arial" w:cs="Arial" w:eastAsia="Arial" w:hAnsi="Arial"/>
                <w:sz w:val="18"/>
                <w:szCs w:val="18"/>
                <w:color w:val="auto"/>
                <w:w w:val="95"/>
              </w:rPr>
              <w:t>HOLDERS’ LISTS AND REPORTS BY TRUSTEE AND ISSUER</w:t>
            </w:r>
          </w:p>
        </w:tc>
        <w:tc>
          <w:tcPr>
            <w:tcW w:w="1720" w:type="dxa"/>
            <w:vAlign w:val="bottom"/>
          </w:tcPr>
          <w:p>
            <w:pPr>
              <w:spacing w:after="0"/>
              <w:rPr>
                <w:sz w:val="20"/>
                <w:szCs w:val="20"/>
                <w:color w:val="auto"/>
              </w:rPr>
            </w:pPr>
          </w:p>
        </w:tc>
      </w:tr>
      <w:tr>
        <w:trPr>
          <w:trHeight w:val="458"/>
        </w:trPr>
        <w:tc>
          <w:tcPr>
            <w:tcW w:w="9700" w:type="dxa"/>
            <w:vAlign w:val="bottom"/>
            <w:gridSpan w:val="2"/>
          </w:tcPr>
          <w:p>
            <w:pPr>
              <w:spacing w:after="0"/>
              <w:rPr>
                <w:sz w:val="20"/>
                <w:szCs w:val="20"/>
                <w:color w:val="auto"/>
              </w:rPr>
            </w:pPr>
            <w:r>
              <w:rPr>
                <w:rFonts w:ascii="Arial" w:cs="Arial" w:eastAsia="Arial" w:hAnsi="Arial"/>
                <w:sz w:val="18"/>
                <w:szCs w:val="18"/>
                <w:color w:val="auto"/>
              </w:rPr>
              <w:t>Section 701.  Issuer to Furnish Trustee Names and Addresses of 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702.  Preservation of Information; Communications to 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703.  Reports by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704.</w:t>
            </w:r>
          </w:p>
        </w:tc>
        <w:tc>
          <w:tcPr>
            <w:tcW w:w="8680" w:type="dxa"/>
            <w:vAlign w:val="bottom"/>
          </w:tcPr>
          <w:p>
            <w:pPr>
              <w:ind w:left="100"/>
              <w:spacing w:after="0"/>
              <w:rPr>
                <w:sz w:val="20"/>
                <w:szCs w:val="20"/>
                <w:color w:val="auto"/>
              </w:rPr>
            </w:pPr>
            <w:r>
              <w:rPr>
                <w:rFonts w:ascii="Arial" w:cs="Arial" w:eastAsia="Arial" w:hAnsi="Arial"/>
                <w:sz w:val="18"/>
                <w:szCs w:val="18"/>
                <w:color w:val="auto"/>
              </w:rPr>
              <w:t>Reports by Issuer</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CONSOLIDATION, MERGER, CONVEYANCE, TRANSFER OR LEASE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801.</w:t>
            </w:r>
          </w:p>
        </w:tc>
        <w:tc>
          <w:tcPr>
            <w:tcW w:w="8060" w:type="dxa"/>
            <w:vAlign w:val="bottom"/>
          </w:tcPr>
          <w:p>
            <w:pPr>
              <w:ind w:left="120"/>
              <w:spacing w:after="0"/>
              <w:rPr>
                <w:sz w:val="20"/>
                <w:szCs w:val="20"/>
                <w:color w:val="auto"/>
              </w:rPr>
            </w:pPr>
            <w:r>
              <w:rPr>
                <w:rFonts w:ascii="Arial" w:cs="Arial" w:eastAsia="Arial" w:hAnsi="Arial"/>
                <w:sz w:val="18"/>
                <w:szCs w:val="18"/>
                <w:color w:val="auto"/>
              </w:rPr>
              <w:t>Issuer and Guarantors May Consolidate, Etc., Only on Certain Terms</w:t>
            </w:r>
          </w:p>
        </w:tc>
        <w:tc>
          <w:tcPr>
            <w:tcW w:w="2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802.</w:t>
            </w:r>
          </w:p>
        </w:tc>
        <w:tc>
          <w:tcPr>
            <w:tcW w:w="8060" w:type="dxa"/>
            <w:vAlign w:val="bottom"/>
          </w:tcPr>
          <w:p>
            <w:pPr>
              <w:ind w:left="120"/>
              <w:spacing w:after="0"/>
              <w:rPr>
                <w:sz w:val="20"/>
                <w:szCs w:val="20"/>
                <w:color w:val="auto"/>
              </w:rPr>
            </w:pPr>
            <w:r>
              <w:rPr>
                <w:rFonts w:ascii="Arial" w:cs="Arial" w:eastAsia="Arial" w:hAnsi="Arial"/>
                <w:sz w:val="18"/>
                <w:szCs w:val="18"/>
                <w:color w:val="auto"/>
              </w:rPr>
              <w:t>Successor Substituted</w:t>
            </w:r>
          </w:p>
        </w:tc>
        <w:tc>
          <w:tcPr>
            <w:tcW w:w="2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45"/>
        </w:trPr>
        <w:tc>
          <w:tcPr>
            <w:tcW w:w="1100" w:type="dxa"/>
            <w:vAlign w:val="bottom"/>
          </w:tcPr>
          <w:p>
            <w:pPr>
              <w:spacing w:after="0"/>
              <w:rPr>
                <w:sz w:val="24"/>
                <w:szCs w:val="24"/>
                <w:color w:val="auto"/>
              </w:rPr>
            </w:pPr>
          </w:p>
        </w:tc>
        <w:tc>
          <w:tcPr>
            <w:tcW w:w="806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NINE</w:t>
            </w:r>
          </w:p>
        </w:tc>
        <w:tc>
          <w:tcPr>
            <w:tcW w:w="22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060" w:type="dxa"/>
            <w:vAlign w:val="bottom"/>
          </w:tcPr>
          <w:p>
            <w:pPr>
              <w:jc w:val="center"/>
              <w:ind w:left="1090"/>
              <w:spacing w:after="0"/>
              <w:rPr>
                <w:sz w:val="20"/>
                <w:szCs w:val="20"/>
                <w:color w:val="auto"/>
              </w:rPr>
            </w:pPr>
            <w:r>
              <w:rPr>
                <w:rFonts w:ascii="Arial" w:cs="Arial" w:eastAsia="Arial" w:hAnsi="Arial"/>
                <w:sz w:val="18"/>
                <w:szCs w:val="18"/>
                <w:color w:val="auto"/>
                <w:w w:val="96"/>
              </w:rPr>
              <w:t>SUPPLEMENTAL INDENTURES</w:t>
            </w:r>
          </w:p>
        </w:tc>
        <w:tc>
          <w:tcPr>
            <w:tcW w:w="2260" w:type="dxa"/>
            <w:vAlign w:val="bottom"/>
          </w:tcPr>
          <w:p>
            <w:pPr>
              <w:spacing w:after="0"/>
              <w:rPr>
                <w:sz w:val="20"/>
                <w:szCs w:val="20"/>
                <w:color w:val="auto"/>
              </w:rPr>
            </w:pPr>
          </w:p>
        </w:tc>
      </w:tr>
      <w:tr>
        <w:trPr>
          <w:trHeight w:val="458"/>
        </w:trPr>
        <w:tc>
          <w:tcPr>
            <w:tcW w:w="1100" w:type="dxa"/>
            <w:vAlign w:val="bottom"/>
          </w:tcPr>
          <w:p>
            <w:pPr>
              <w:spacing w:after="0"/>
              <w:rPr>
                <w:sz w:val="20"/>
                <w:szCs w:val="20"/>
                <w:color w:val="auto"/>
              </w:rPr>
            </w:pPr>
            <w:r>
              <w:rPr>
                <w:rFonts w:ascii="Arial" w:cs="Arial" w:eastAsia="Arial" w:hAnsi="Arial"/>
                <w:sz w:val="18"/>
                <w:szCs w:val="18"/>
                <w:color w:val="auto"/>
              </w:rPr>
              <w:t>Section 901.</w:t>
            </w:r>
          </w:p>
        </w:tc>
        <w:tc>
          <w:tcPr>
            <w:tcW w:w="8060" w:type="dxa"/>
            <w:vAlign w:val="bottom"/>
          </w:tcPr>
          <w:p>
            <w:pPr>
              <w:ind w:left="120"/>
              <w:spacing w:after="0"/>
              <w:rPr>
                <w:sz w:val="20"/>
                <w:szCs w:val="20"/>
                <w:color w:val="auto"/>
              </w:rPr>
            </w:pPr>
            <w:r>
              <w:rPr>
                <w:rFonts w:ascii="Arial" w:cs="Arial" w:eastAsia="Arial" w:hAnsi="Arial"/>
                <w:sz w:val="18"/>
                <w:szCs w:val="18"/>
                <w:color w:val="auto"/>
              </w:rPr>
              <w:t>Supplemental Indentures Without Consent of 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902.</w:t>
            </w:r>
          </w:p>
        </w:tc>
        <w:tc>
          <w:tcPr>
            <w:tcW w:w="806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903.</w:t>
            </w:r>
          </w:p>
        </w:tc>
        <w:tc>
          <w:tcPr>
            <w:tcW w:w="806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2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904.</w:t>
            </w:r>
          </w:p>
        </w:tc>
        <w:tc>
          <w:tcPr>
            <w:tcW w:w="806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905.</w:t>
            </w:r>
          </w:p>
        </w:tc>
        <w:tc>
          <w:tcPr>
            <w:tcW w:w="8060" w:type="dxa"/>
            <w:vAlign w:val="bottom"/>
          </w:tcPr>
          <w:p>
            <w:pPr>
              <w:ind w:left="120"/>
              <w:spacing w:after="0"/>
              <w:rPr>
                <w:sz w:val="20"/>
                <w:szCs w:val="20"/>
                <w:color w:val="auto"/>
              </w:rPr>
            </w:pPr>
            <w:r>
              <w:rPr>
                <w:rFonts w:ascii="Arial" w:cs="Arial" w:eastAsia="Arial" w:hAnsi="Arial"/>
                <w:sz w:val="18"/>
                <w:szCs w:val="18"/>
                <w:color w:val="auto"/>
              </w:rPr>
              <w:t>Conformity with Trust Indenture Act</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906.</w:t>
            </w:r>
          </w:p>
        </w:tc>
        <w:tc>
          <w:tcPr>
            <w:tcW w:w="8060" w:type="dxa"/>
            <w:vAlign w:val="bottom"/>
          </w:tcPr>
          <w:p>
            <w:pPr>
              <w:ind w:left="120"/>
              <w:spacing w:after="0"/>
              <w:rPr>
                <w:sz w:val="20"/>
                <w:szCs w:val="20"/>
                <w:color w:val="auto"/>
              </w:rPr>
            </w:pPr>
            <w:r>
              <w:rPr>
                <w:rFonts w:ascii="Arial" w:cs="Arial" w:eastAsia="Arial" w:hAnsi="Arial"/>
                <w:sz w:val="18"/>
                <w:szCs w:val="18"/>
                <w:color w:val="auto"/>
              </w:rPr>
              <w:t>Reference in Notes to Supplemental Indentures</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45"/>
        </w:trPr>
        <w:tc>
          <w:tcPr>
            <w:tcW w:w="1100" w:type="dxa"/>
            <w:vAlign w:val="bottom"/>
          </w:tcPr>
          <w:p>
            <w:pPr>
              <w:spacing w:after="0"/>
              <w:rPr>
                <w:sz w:val="24"/>
                <w:szCs w:val="24"/>
                <w:color w:val="auto"/>
              </w:rPr>
            </w:pPr>
          </w:p>
        </w:tc>
        <w:tc>
          <w:tcPr>
            <w:tcW w:w="806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TEN</w:t>
            </w:r>
          </w:p>
        </w:tc>
        <w:tc>
          <w:tcPr>
            <w:tcW w:w="22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060" w:type="dxa"/>
            <w:vAlign w:val="bottom"/>
          </w:tcPr>
          <w:p>
            <w:pPr>
              <w:jc w:val="center"/>
              <w:ind w:left="1070"/>
              <w:spacing w:after="0"/>
              <w:rPr>
                <w:sz w:val="20"/>
                <w:szCs w:val="20"/>
                <w:color w:val="auto"/>
              </w:rPr>
            </w:pPr>
            <w:r>
              <w:rPr>
                <w:rFonts w:ascii="Arial" w:cs="Arial" w:eastAsia="Arial" w:hAnsi="Arial"/>
                <w:sz w:val="18"/>
                <w:szCs w:val="18"/>
                <w:color w:val="auto"/>
                <w:w w:val="98"/>
              </w:rPr>
              <w:t>COVENANTS</w:t>
            </w:r>
          </w:p>
        </w:tc>
        <w:tc>
          <w:tcPr>
            <w:tcW w:w="2260" w:type="dxa"/>
            <w:vAlign w:val="bottom"/>
          </w:tcPr>
          <w:p>
            <w:pPr>
              <w:spacing w:after="0"/>
              <w:rPr>
                <w:sz w:val="20"/>
                <w:szCs w:val="20"/>
                <w:color w:val="auto"/>
              </w:rPr>
            </w:pPr>
          </w:p>
        </w:tc>
      </w:tr>
      <w:tr>
        <w:trPr>
          <w:trHeight w:val="458"/>
        </w:trPr>
        <w:tc>
          <w:tcPr>
            <w:tcW w:w="1100" w:type="dxa"/>
            <w:vAlign w:val="bottom"/>
          </w:tcPr>
          <w:p>
            <w:pPr>
              <w:spacing w:after="0"/>
              <w:rPr>
                <w:sz w:val="20"/>
                <w:szCs w:val="20"/>
                <w:color w:val="auto"/>
              </w:rPr>
            </w:pPr>
            <w:r>
              <w:rPr>
                <w:rFonts w:ascii="Arial" w:cs="Arial" w:eastAsia="Arial" w:hAnsi="Arial"/>
                <w:sz w:val="18"/>
                <w:szCs w:val="18"/>
                <w:color w:val="auto"/>
                <w:w w:val="98"/>
              </w:rPr>
              <w:t>Section 1001.</w:t>
            </w:r>
          </w:p>
        </w:tc>
        <w:tc>
          <w:tcPr>
            <w:tcW w:w="8060" w:type="dxa"/>
            <w:vAlign w:val="bottom"/>
          </w:tcPr>
          <w:p>
            <w:pPr>
              <w:ind w:left="120"/>
              <w:spacing w:after="0"/>
              <w:rPr>
                <w:sz w:val="20"/>
                <w:szCs w:val="20"/>
                <w:color w:val="auto"/>
              </w:rPr>
            </w:pPr>
            <w:r>
              <w:rPr>
                <w:rFonts w:ascii="Arial" w:cs="Arial" w:eastAsia="Arial" w:hAnsi="Arial"/>
                <w:sz w:val="18"/>
                <w:szCs w:val="18"/>
                <w:color w:val="auto"/>
              </w:rPr>
              <w:t>Payment of Principal, Premium and 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1002.</w:t>
            </w:r>
          </w:p>
        </w:tc>
        <w:tc>
          <w:tcPr>
            <w:tcW w:w="8060" w:type="dxa"/>
            <w:vAlign w:val="bottom"/>
          </w:tcPr>
          <w:p>
            <w:pPr>
              <w:ind w:left="120"/>
              <w:spacing w:after="0"/>
              <w:rPr>
                <w:sz w:val="20"/>
                <w:szCs w:val="20"/>
                <w:color w:val="auto"/>
              </w:rPr>
            </w:pPr>
            <w:r>
              <w:rPr>
                <w:rFonts w:ascii="Arial" w:cs="Arial" w:eastAsia="Arial" w:hAnsi="Arial"/>
                <w:sz w:val="18"/>
                <w:szCs w:val="18"/>
                <w:color w:val="auto"/>
              </w:rPr>
              <w:t>Maintenance of Office or Agency</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1003.</w:t>
            </w:r>
          </w:p>
        </w:tc>
        <w:tc>
          <w:tcPr>
            <w:tcW w:w="8060" w:type="dxa"/>
            <w:vAlign w:val="bottom"/>
          </w:tcPr>
          <w:p>
            <w:pPr>
              <w:ind w:left="120"/>
              <w:spacing w:after="0"/>
              <w:rPr>
                <w:sz w:val="20"/>
                <w:szCs w:val="20"/>
                <w:color w:val="auto"/>
              </w:rPr>
            </w:pPr>
            <w:r>
              <w:rPr>
                <w:rFonts w:ascii="Arial" w:cs="Arial" w:eastAsia="Arial" w:hAnsi="Arial"/>
                <w:sz w:val="18"/>
                <w:szCs w:val="18"/>
                <w:color w:val="auto"/>
              </w:rPr>
              <w:t>Money for Notes Payments to Be Held in Trust</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1004.</w:t>
            </w:r>
          </w:p>
        </w:tc>
        <w:tc>
          <w:tcPr>
            <w:tcW w:w="8060" w:type="dxa"/>
            <w:vAlign w:val="bottom"/>
          </w:tcPr>
          <w:p>
            <w:pPr>
              <w:ind w:left="120"/>
              <w:spacing w:after="0"/>
              <w:rPr>
                <w:sz w:val="20"/>
                <w:szCs w:val="20"/>
                <w:color w:val="auto"/>
              </w:rPr>
            </w:pPr>
            <w:r>
              <w:rPr>
                <w:rFonts w:ascii="Arial" w:cs="Arial" w:eastAsia="Arial" w:hAnsi="Arial"/>
                <w:sz w:val="18"/>
                <w:szCs w:val="18"/>
                <w:color w:val="auto"/>
              </w:rPr>
              <w:t>Annual Compliance Certificate; Statement by Officers as to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1005.</w:t>
            </w:r>
          </w:p>
        </w:tc>
        <w:tc>
          <w:tcPr>
            <w:tcW w:w="806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1006.</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Designation of Unrestricted Subsidiaries</w:t>
            </w:r>
          </w:p>
        </w:tc>
        <w:tc>
          <w:tcPr>
            <w:tcW w:w="2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1007.</w:t>
            </w:r>
          </w:p>
        </w:tc>
        <w:tc>
          <w:tcPr>
            <w:tcW w:w="8060" w:type="dxa"/>
            <w:vAlign w:val="bottom"/>
          </w:tcPr>
          <w:p>
            <w:pPr>
              <w:ind w:left="120"/>
              <w:spacing w:after="0"/>
              <w:rPr>
                <w:sz w:val="20"/>
                <w:szCs w:val="20"/>
                <w:color w:val="auto"/>
              </w:rPr>
            </w:pPr>
            <w:r>
              <w:rPr>
                <w:rFonts w:ascii="Arial" w:cs="Arial" w:eastAsia="Arial" w:hAnsi="Arial"/>
                <w:sz w:val="18"/>
                <w:szCs w:val="18"/>
                <w:color w:val="auto"/>
              </w:rPr>
              <w:t>Purchase of Notes Upon a Change of Control</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1008.</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Additional Indebtedness</w:t>
            </w:r>
          </w:p>
        </w:tc>
        <w:tc>
          <w:tcPr>
            <w:tcW w:w="2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1009.</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Restricted Payments</w:t>
            </w:r>
          </w:p>
        </w:tc>
        <w:tc>
          <w:tcPr>
            <w:tcW w:w="2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1010.</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Liens</w:t>
            </w:r>
          </w:p>
        </w:tc>
        <w:tc>
          <w:tcPr>
            <w:tcW w:w="2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1011.</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Dividends and Other Restrictions Affecting Restricted Subsidiaries</w:t>
            </w:r>
          </w:p>
        </w:tc>
        <w:tc>
          <w:tcPr>
            <w:tcW w:w="2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1012.</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Asset Sales</w:t>
            </w:r>
          </w:p>
        </w:tc>
        <w:tc>
          <w:tcPr>
            <w:tcW w:w="22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1013.</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Affiliate Transactions</w:t>
            </w:r>
          </w:p>
        </w:tc>
        <w:tc>
          <w:tcPr>
            <w:tcW w:w="2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1014.</w:t>
            </w:r>
          </w:p>
        </w:tc>
        <w:tc>
          <w:tcPr>
            <w:tcW w:w="8060" w:type="dxa"/>
            <w:vAlign w:val="bottom"/>
          </w:tcPr>
          <w:p>
            <w:pPr>
              <w:ind w:left="120"/>
              <w:spacing w:after="0"/>
              <w:rPr>
                <w:sz w:val="20"/>
                <w:szCs w:val="20"/>
                <w:color w:val="auto"/>
              </w:rPr>
            </w:pPr>
            <w:r>
              <w:rPr>
                <w:rFonts w:ascii="Arial" w:cs="Arial" w:eastAsia="Arial" w:hAnsi="Arial"/>
                <w:sz w:val="18"/>
                <w:szCs w:val="18"/>
                <w:color w:val="auto"/>
              </w:rPr>
              <w:t>Additional Guarantees</w:t>
            </w:r>
          </w:p>
        </w:tc>
        <w:tc>
          <w:tcPr>
            <w:tcW w:w="2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1015.</w:t>
            </w:r>
          </w:p>
        </w:tc>
        <w:tc>
          <w:tcPr>
            <w:tcW w:w="8060" w:type="dxa"/>
            <w:vAlign w:val="bottom"/>
          </w:tcPr>
          <w:p>
            <w:pPr>
              <w:ind w:left="120"/>
              <w:spacing w:after="0"/>
              <w:rPr>
                <w:sz w:val="20"/>
                <w:szCs w:val="20"/>
                <w:color w:val="auto"/>
              </w:rPr>
            </w:pPr>
            <w:r>
              <w:rPr>
                <w:rFonts w:ascii="Arial" w:cs="Arial" w:eastAsia="Arial" w:hAnsi="Arial"/>
                <w:sz w:val="18"/>
                <w:szCs w:val="18"/>
                <w:color w:val="auto"/>
              </w:rPr>
              <w:t>Covenant Suspension</w:t>
            </w:r>
          </w:p>
        </w:tc>
        <w:tc>
          <w:tcPr>
            <w:tcW w:w="2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1016.</w:t>
            </w:r>
          </w:p>
        </w:tc>
        <w:tc>
          <w:tcPr>
            <w:tcW w:w="8060" w:type="dxa"/>
            <w:vAlign w:val="bottom"/>
          </w:tcPr>
          <w:p>
            <w:pPr>
              <w:ind w:left="120"/>
              <w:spacing w:after="0"/>
              <w:rPr>
                <w:sz w:val="20"/>
                <w:szCs w:val="20"/>
                <w:color w:val="auto"/>
              </w:rPr>
            </w:pPr>
            <w:r>
              <w:rPr>
                <w:rFonts w:ascii="Arial" w:cs="Arial" w:eastAsia="Arial" w:hAnsi="Arial"/>
                <w:sz w:val="18"/>
                <w:szCs w:val="18"/>
                <w:color w:val="auto"/>
              </w:rPr>
              <w:t>Maintenance of Ratings</w:t>
            </w:r>
          </w:p>
        </w:tc>
        <w:tc>
          <w:tcPr>
            <w:tcW w:w="2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45"/>
        </w:trPr>
        <w:tc>
          <w:tcPr>
            <w:tcW w:w="1100" w:type="dxa"/>
            <w:vAlign w:val="bottom"/>
          </w:tcPr>
          <w:p>
            <w:pPr>
              <w:spacing w:after="0"/>
              <w:rPr>
                <w:sz w:val="24"/>
                <w:szCs w:val="24"/>
                <w:color w:val="auto"/>
              </w:rPr>
            </w:pPr>
          </w:p>
        </w:tc>
        <w:tc>
          <w:tcPr>
            <w:tcW w:w="8060" w:type="dxa"/>
            <w:vAlign w:val="bottom"/>
          </w:tcPr>
          <w:p>
            <w:pPr>
              <w:jc w:val="center"/>
              <w:ind w:left="1090"/>
              <w:spacing w:after="0"/>
              <w:rPr>
                <w:sz w:val="20"/>
                <w:szCs w:val="20"/>
                <w:color w:val="auto"/>
              </w:rPr>
            </w:pPr>
            <w:r>
              <w:rPr>
                <w:rFonts w:ascii="Arial" w:cs="Arial" w:eastAsia="Arial" w:hAnsi="Arial"/>
                <w:sz w:val="18"/>
                <w:szCs w:val="18"/>
                <w:b w:val="1"/>
                <w:bCs w:val="1"/>
                <w:color w:val="auto"/>
              </w:rPr>
              <w:t>ARTICLE ELEVEN</w:t>
            </w:r>
          </w:p>
        </w:tc>
        <w:tc>
          <w:tcPr>
            <w:tcW w:w="226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060" w:type="dxa"/>
            <w:vAlign w:val="bottom"/>
          </w:tcPr>
          <w:p>
            <w:pPr>
              <w:jc w:val="center"/>
              <w:ind w:left="1070"/>
              <w:spacing w:after="0"/>
              <w:rPr>
                <w:sz w:val="20"/>
                <w:szCs w:val="20"/>
                <w:color w:val="auto"/>
              </w:rPr>
            </w:pPr>
            <w:r>
              <w:rPr>
                <w:rFonts w:ascii="Arial" w:cs="Arial" w:eastAsia="Arial" w:hAnsi="Arial"/>
                <w:sz w:val="18"/>
                <w:szCs w:val="18"/>
                <w:color w:val="auto"/>
                <w:w w:val="94"/>
              </w:rPr>
              <w:t>REDEMPTION OF NOTES</w:t>
            </w:r>
          </w:p>
        </w:tc>
        <w:tc>
          <w:tcPr>
            <w:tcW w:w="2260" w:type="dxa"/>
            <w:vAlign w:val="bottom"/>
          </w:tcPr>
          <w:p>
            <w:pPr>
              <w:spacing w:after="0"/>
              <w:rPr>
                <w:sz w:val="20"/>
                <w:szCs w:val="20"/>
                <w:color w:val="auto"/>
              </w:rPr>
            </w:pPr>
          </w:p>
        </w:tc>
      </w:tr>
      <w:tr>
        <w:trPr>
          <w:trHeight w:val="458"/>
        </w:trPr>
        <w:tc>
          <w:tcPr>
            <w:tcW w:w="11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8060" w:type="dxa"/>
            <w:vAlign w:val="bottom"/>
          </w:tcPr>
          <w:p>
            <w:pPr>
              <w:ind w:left="120"/>
              <w:spacing w:after="0"/>
              <w:rPr>
                <w:sz w:val="20"/>
                <w:szCs w:val="20"/>
                <w:color w:val="auto"/>
              </w:rPr>
            </w:pPr>
            <w:r>
              <w:rPr>
                <w:rFonts w:ascii="Arial" w:cs="Arial" w:eastAsia="Arial" w:hAnsi="Arial"/>
                <w:sz w:val="18"/>
                <w:szCs w:val="18"/>
                <w:color w:val="auto"/>
              </w:rPr>
              <w:t>Applicability of Article</w:t>
            </w:r>
          </w:p>
        </w:tc>
        <w:tc>
          <w:tcPr>
            <w:tcW w:w="2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8060" w:type="dxa"/>
            <w:vAlign w:val="bottom"/>
          </w:tcPr>
          <w:p>
            <w:pPr>
              <w:ind w:left="120"/>
              <w:spacing w:after="0"/>
              <w:rPr>
                <w:sz w:val="20"/>
                <w:szCs w:val="20"/>
                <w:color w:val="auto"/>
              </w:rPr>
            </w:pPr>
            <w:r>
              <w:rPr>
                <w:rFonts w:ascii="Arial" w:cs="Arial" w:eastAsia="Arial" w:hAnsi="Arial"/>
                <w:sz w:val="18"/>
                <w:szCs w:val="18"/>
                <w:color w:val="auto"/>
              </w:rPr>
              <w:t>Election to Redeem; Notice to Trustee</w:t>
            </w:r>
          </w:p>
        </w:tc>
        <w:tc>
          <w:tcPr>
            <w:tcW w:w="22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1103.</w:t>
            </w:r>
          </w:p>
        </w:tc>
        <w:tc>
          <w:tcPr>
            <w:tcW w:w="8060" w:type="dxa"/>
            <w:vAlign w:val="bottom"/>
          </w:tcPr>
          <w:p>
            <w:pPr>
              <w:ind w:left="120"/>
              <w:spacing w:after="0"/>
              <w:rPr>
                <w:sz w:val="20"/>
                <w:szCs w:val="20"/>
                <w:color w:val="auto"/>
              </w:rPr>
            </w:pPr>
            <w:r>
              <w:rPr>
                <w:rFonts w:ascii="Arial" w:cs="Arial" w:eastAsia="Arial" w:hAnsi="Arial"/>
                <w:sz w:val="18"/>
                <w:szCs w:val="18"/>
                <w:color w:val="auto"/>
              </w:rPr>
              <w:t>Optional Redemption</w:t>
            </w:r>
          </w:p>
        </w:tc>
        <w:tc>
          <w:tcPr>
            <w:tcW w:w="22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1104.</w:t>
            </w:r>
          </w:p>
        </w:tc>
        <w:tc>
          <w:tcPr>
            <w:tcW w:w="8060" w:type="dxa"/>
            <w:vAlign w:val="bottom"/>
          </w:tcPr>
          <w:p>
            <w:pPr>
              <w:ind w:left="120"/>
              <w:spacing w:after="0"/>
              <w:rPr>
                <w:sz w:val="20"/>
                <w:szCs w:val="20"/>
                <w:color w:val="auto"/>
              </w:rPr>
            </w:pPr>
            <w:r>
              <w:rPr>
                <w:rFonts w:ascii="Arial" w:cs="Arial" w:eastAsia="Arial" w:hAnsi="Arial"/>
                <w:sz w:val="18"/>
                <w:szCs w:val="18"/>
                <w:color w:val="auto"/>
              </w:rPr>
              <w:t>Selection by Trustee of Notes to Be Redeemed</w:t>
            </w:r>
          </w:p>
        </w:tc>
        <w:tc>
          <w:tcPr>
            <w:tcW w:w="2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1105.</w:t>
            </w:r>
          </w:p>
        </w:tc>
        <w:tc>
          <w:tcPr>
            <w:tcW w:w="8060" w:type="dxa"/>
            <w:vAlign w:val="bottom"/>
          </w:tcPr>
          <w:p>
            <w:pPr>
              <w:ind w:left="120"/>
              <w:spacing w:after="0"/>
              <w:rPr>
                <w:sz w:val="20"/>
                <w:szCs w:val="20"/>
                <w:color w:val="auto"/>
              </w:rPr>
            </w:pPr>
            <w:r>
              <w:rPr>
                <w:rFonts w:ascii="Arial" w:cs="Arial" w:eastAsia="Arial" w:hAnsi="Arial"/>
                <w:sz w:val="18"/>
                <w:szCs w:val="18"/>
                <w:color w:val="auto"/>
              </w:rPr>
              <w:t>Notice of Redemption</w:t>
            </w:r>
          </w:p>
        </w:tc>
        <w:tc>
          <w:tcPr>
            <w:tcW w:w="2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1106.</w:t>
            </w:r>
          </w:p>
        </w:tc>
        <w:tc>
          <w:tcPr>
            <w:tcW w:w="8060" w:type="dxa"/>
            <w:vAlign w:val="bottom"/>
          </w:tcPr>
          <w:p>
            <w:pPr>
              <w:ind w:left="120"/>
              <w:spacing w:after="0"/>
              <w:rPr>
                <w:sz w:val="20"/>
                <w:szCs w:val="20"/>
                <w:color w:val="auto"/>
              </w:rPr>
            </w:pPr>
            <w:r>
              <w:rPr>
                <w:rFonts w:ascii="Arial" w:cs="Arial" w:eastAsia="Arial" w:hAnsi="Arial"/>
                <w:sz w:val="18"/>
                <w:szCs w:val="18"/>
                <w:color w:val="auto"/>
              </w:rPr>
              <w:t>Deposit of Redemption Price</w:t>
            </w:r>
          </w:p>
        </w:tc>
        <w:tc>
          <w:tcPr>
            <w:tcW w:w="2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1107.</w:t>
            </w:r>
          </w:p>
        </w:tc>
        <w:tc>
          <w:tcPr>
            <w:tcW w:w="8060" w:type="dxa"/>
            <w:vAlign w:val="bottom"/>
          </w:tcPr>
          <w:p>
            <w:pPr>
              <w:ind w:left="120"/>
              <w:spacing w:after="0"/>
              <w:rPr>
                <w:sz w:val="20"/>
                <w:szCs w:val="20"/>
                <w:color w:val="auto"/>
              </w:rPr>
            </w:pPr>
            <w:r>
              <w:rPr>
                <w:rFonts w:ascii="Arial" w:cs="Arial" w:eastAsia="Arial" w:hAnsi="Arial"/>
                <w:sz w:val="18"/>
                <w:szCs w:val="18"/>
                <w:color w:val="auto"/>
              </w:rPr>
              <w:t>Notes Payable on Redemption Date</w:t>
            </w:r>
          </w:p>
        </w:tc>
        <w:tc>
          <w:tcPr>
            <w:tcW w:w="2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1108.</w:t>
            </w:r>
          </w:p>
        </w:tc>
        <w:tc>
          <w:tcPr>
            <w:tcW w:w="8060" w:type="dxa"/>
            <w:vAlign w:val="bottom"/>
          </w:tcPr>
          <w:p>
            <w:pPr>
              <w:ind w:left="120"/>
              <w:spacing w:after="0"/>
              <w:rPr>
                <w:sz w:val="20"/>
                <w:szCs w:val="20"/>
                <w:color w:val="auto"/>
              </w:rPr>
            </w:pPr>
            <w:r>
              <w:rPr>
                <w:rFonts w:ascii="Arial" w:cs="Arial" w:eastAsia="Arial" w:hAnsi="Arial"/>
                <w:sz w:val="18"/>
                <w:szCs w:val="18"/>
                <w:color w:val="auto"/>
              </w:rPr>
              <w:t>Notes Redeemed in Part</w:t>
            </w:r>
          </w:p>
        </w:tc>
        <w:tc>
          <w:tcPr>
            <w:tcW w:w="226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SINKING FUND; OTHER ACQUISITIONS OF NOTES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1201.   Mandatory Redemption, Etc.</w:t>
            </w: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5"/>
        </w:trPr>
        <w:tc>
          <w:tcPr>
            <w:tcW w:w="1100" w:type="dxa"/>
            <w:vAlign w:val="bottom"/>
          </w:tcPr>
          <w:p>
            <w:pPr>
              <w:spacing w:after="0"/>
              <w:rPr>
                <w:sz w:val="24"/>
                <w:szCs w:val="24"/>
                <w:color w:val="auto"/>
              </w:rPr>
            </w:pPr>
          </w:p>
        </w:tc>
        <w:tc>
          <w:tcPr>
            <w:tcW w:w="9720" w:type="dxa"/>
            <w:vAlign w:val="bottom"/>
          </w:tcPr>
          <w:p>
            <w:pPr>
              <w:jc w:val="center"/>
              <w:ind w:right="390"/>
              <w:spacing w:after="0"/>
              <w:rPr>
                <w:sz w:val="20"/>
                <w:szCs w:val="20"/>
                <w:color w:val="auto"/>
              </w:rPr>
            </w:pPr>
            <w:r>
              <w:rPr>
                <w:rFonts w:ascii="Arial" w:cs="Arial" w:eastAsia="Arial" w:hAnsi="Arial"/>
                <w:sz w:val="18"/>
                <w:szCs w:val="18"/>
                <w:b w:val="1"/>
                <w:bCs w:val="1"/>
                <w:color w:val="auto"/>
              </w:rPr>
              <w:t>ARTICLE THIRTEEN</w:t>
            </w:r>
          </w:p>
        </w:tc>
        <w:tc>
          <w:tcPr>
            <w:tcW w:w="6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9720" w:type="dxa"/>
            <w:vAlign w:val="bottom"/>
          </w:tcPr>
          <w:p>
            <w:pPr>
              <w:jc w:val="center"/>
              <w:ind w:right="410"/>
              <w:spacing w:after="0"/>
              <w:rPr>
                <w:sz w:val="20"/>
                <w:szCs w:val="20"/>
                <w:color w:val="auto"/>
              </w:rPr>
            </w:pPr>
            <w:r>
              <w:rPr>
                <w:rFonts w:ascii="Arial" w:cs="Arial" w:eastAsia="Arial" w:hAnsi="Arial"/>
                <w:sz w:val="18"/>
                <w:szCs w:val="18"/>
                <w:color w:val="auto"/>
                <w:w w:val="97"/>
              </w:rPr>
              <w:t>LEGAL DEFEASANCE AND COVENANT DEFEASANCE</w:t>
            </w:r>
          </w:p>
        </w:tc>
        <w:tc>
          <w:tcPr>
            <w:tcW w:w="600" w:type="dxa"/>
            <w:vAlign w:val="bottom"/>
          </w:tcPr>
          <w:p>
            <w:pPr>
              <w:spacing w:after="0"/>
              <w:rPr>
                <w:sz w:val="20"/>
                <w:szCs w:val="20"/>
                <w:color w:val="auto"/>
              </w:rPr>
            </w:pPr>
          </w:p>
        </w:tc>
      </w:tr>
      <w:tr>
        <w:trPr>
          <w:trHeight w:val="458"/>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1301.   Issuer’s Option to Effect Legal Defeasance or Covenant Defeasance</w:t>
            </w: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1302.   Defeasance and Discharge</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1303.</w:t>
            </w:r>
          </w:p>
        </w:tc>
        <w:tc>
          <w:tcPr>
            <w:tcW w:w="972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1304.   Conditions to Legal Defeasance or Covenant Defeasance</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1305.   Deposited Money and U.S. Government Obligations to Be Held in Trust; Miscellaneous Provisions</w:t>
            </w: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1306.</w:t>
            </w:r>
          </w:p>
        </w:tc>
        <w:tc>
          <w:tcPr>
            <w:tcW w:w="972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45"/>
        </w:trPr>
        <w:tc>
          <w:tcPr>
            <w:tcW w:w="1100" w:type="dxa"/>
            <w:vAlign w:val="bottom"/>
          </w:tcPr>
          <w:p>
            <w:pPr>
              <w:spacing w:after="0"/>
              <w:rPr>
                <w:sz w:val="24"/>
                <w:szCs w:val="24"/>
                <w:color w:val="auto"/>
              </w:rPr>
            </w:pPr>
          </w:p>
        </w:tc>
        <w:tc>
          <w:tcPr>
            <w:tcW w:w="9720" w:type="dxa"/>
            <w:vAlign w:val="bottom"/>
          </w:tcPr>
          <w:p>
            <w:pPr>
              <w:jc w:val="center"/>
              <w:ind w:right="410"/>
              <w:spacing w:after="0"/>
              <w:rPr>
                <w:sz w:val="20"/>
                <w:szCs w:val="20"/>
                <w:color w:val="auto"/>
              </w:rPr>
            </w:pPr>
            <w:r>
              <w:rPr>
                <w:rFonts w:ascii="Arial" w:cs="Arial" w:eastAsia="Arial" w:hAnsi="Arial"/>
                <w:sz w:val="18"/>
                <w:szCs w:val="18"/>
                <w:b w:val="1"/>
                <w:bCs w:val="1"/>
                <w:color w:val="auto"/>
              </w:rPr>
              <w:t>ARTICLE FOURTEEN</w:t>
            </w:r>
          </w:p>
        </w:tc>
        <w:tc>
          <w:tcPr>
            <w:tcW w:w="6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9720" w:type="dxa"/>
            <w:vAlign w:val="bottom"/>
          </w:tcPr>
          <w:p>
            <w:pPr>
              <w:jc w:val="center"/>
              <w:ind w:right="390"/>
              <w:spacing w:after="0"/>
              <w:rPr>
                <w:sz w:val="20"/>
                <w:szCs w:val="20"/>
                <w:color w:val="auto"/>
              </w:rPr>
            </w:pPr>
            <w:r>
              <w:rPr>
                <w:rFonts w:ascii="Arial" w:cs="Arial" w:eastAsia="Arial" w:hAnsi="Arial"/>
                <w:sz w:val="18"/>
                <w:szCs w:val="18"/>
                <w:color w:val="auto"/>
                <w:w w:val="96"/>
              </w:rPr>
              <w:t>GUARANTEES</w:t>
            </w:r>
          </w:p>
        </w:tc>
        <w:tc>
          <w:tcPr>
            <w:tcW w:w="600" w:type="dxa"/>
            <w:vAlign w:val="bottom"/>
          </w:tcPr>
          <w:p>
            <w:pPr>
              <w:spacing w:after="0"/>
              <w:rPr>
                <w:sz w:val="20"/>
                <w:szCs w:val="20"/>
                <w:color w:val="auto"/>
              </w:rPr>
            </w:pPr>
          </w:p>
        </w:tc>
      </w:tr>
      <w:tr>
        <w:trPr>
          <w:trHeight w:val="458"/>
        </w:trPr>
        <w:tc>
          <w:tcPr>
            <w:tcW w:w="1100" w:type="dxa"/>
            <w:vAlign w:val="bottom"/>
          </w:tcPr>
          <w:p>
            <w:pPr>
              <w:spacing w:after="0"/>
              <w:rPr>
                <w:sz w:val="20"/>
                <w:szCs w:val="20"/>
                <w:color w:val="auto"/>
              </w:rPr>
            </w:pPr>
            <w:r>
              <w:rPr>
                <w:rFonts w:ascii="Arial" w:cs="Arial" w:eastAsia="Arial" w:hAnsi="Arial"/>
                <w:sz w:val="18"/>
                <w:szCs w:val="18"/>
                <w:color w:val="auto"/>
                <w:w w:val="98"/>
              </w:rPr>
              <w:t>Section 1401.</w:t>
            </w:r>
          </w:p>
        </w:tc>
        <w:tc>
          <w:tcPr>
            <w:tcW w:w="9720" w:type="dxa"/>
            <w:vAlign w:val="bottom"/>
          </w:tcPr>
          <w:p>
            <w:pPr>
              <w:ind w:left="120"/>
              <w:spacing w:after="0"/>
              <w:rPr>
                <w:sz w:val="20"/>
                <w:szCs w:val="20"/>
                <w:color w:val="auto"/>
              </w:rPr>
            </w:pPr>
            <w:r>
              <w:rPr>
                <w:rFonts w:ascii="Arial" w:cs="Arial" w:eastAsia="Arial" w:hAnsi="Arial"/>
                <w:sz w:val="18"/>
                <w:szCs w:val="18"/>
                <w:color w:val="auto"/>
              </w:rPr>
              <w:t>Unconditional Guarantee</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1402.   Subsidiary Guarantee Evidenced by Indenture</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1403.   Limitation on Guarantors’ Liability</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0820" w:type="dxa"/>
            <w:vAlign w:val="bottom"/>
            <w:gridSpan w:val="2"/>
          </w:tcPr>
          <w:p>
            <w:pPr>
              <w:spacing w:after="0"/>
              <w:rPr>
                <w:sz w:val="20"/>
                <w:szCs w:val="20"/>
                <w:color w:val="auto"/>
              </w:rPr>
            </w:pPr>
            <w:r>
              <w:rPr>
                <w:rFonts w:ascii="Arial" w:cs="Arial" w:eastAsia="Arial" w:hAnsi="Arial"/>
                <w:sz w:val="18"/>
                <w:szCs w:val="18"/>
                <w:color w:val="auto"/>
              </w:rPr>
              <w:t>Section 1404.   Release of Guarantors from Guarantees</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1405.</w:t>
            </w:r>
          </w:p>
        </w:tc>
        <w:tc>
          <w:tcPr>
            <w:tcW w:w="9720" w:type="dxa"/>
            <w:vAlign w:val="bottom"/>
          </w:tcPr>
          <w:p>
            <w:pPr>
              <w:ind w:left="120"/>
              <w:spacing w:after="0"/>
              <w:rPr>
                <w:sz w:val="20"/>
                <w:szCs w:val="20"/>
                <w:color w:val="auto"/>
              </w:rPr>
            </w:pPr>
            <w:r>
              <w:rPr>
                <w:rFonts w:ascii="Arial" w:cs="Arial" w:eastAsia="Arial" w:hAnsi="Arial"/>
                <w:sz w:val="18"/>
                <w:szCs w:val="18"/>
                <w:color w:val="auto"/>
              </w:rPr>
              <w:t>Guarantor Contribution</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59"/>
        </w:trPr>
        <w:tc>
          <w:tcPr>
            <w:tcW w:w="1100" w:type="dxa"/>
            <w:vAlign w:val="bottom"/>
          </w:tcPr>
          <w:p>
            <w:pPr>
              <w:spacing w:after="0"/>
              <w:rPr>
                <w:sz w:val="24"/>
                <w:szCs w:val="24"/>
                <w:color w:val="auto"/>
              </w:rPr>
            </w:pPr>
          </w:p>
        </w:tc>
        <w:tc>
          <w:tcPr>
            <w:tcW w:w="9720" w:type="dxa"/>
            <w:vAlign w:val="bottom"/>
          </w:tcPr>
          <w:p>
            <w:pPr>
              <w:jc w:val="center"/>
              <w:ind w:right="410"/>
              <w:spacing w:after="0"/>
              <w:rPr>
                <w:sz w:val="20"/>
                <w:szCs w:val="20"/>
                <w:color w:val="auto"/>
              </w:rPr>
            </w:pPr>
            <w:r>
              <w:rPr>
                <w:rFonts w:ascii="Arial" w:cs="Arial" w:eastAsia="Arial" w:hAnsi="Arial"/>
                <w:sz w:val="18"/>
                <w:szCs w:val="18"/>
                <w:b w:val="1"/>
                <w:bCs w:val="1"/>
                <w:color w:val="auto"/>
              </w:rPr>
              <w:t>ANNEX A</w:t>
            </w:r>
          </w:p>
        </w:tc>
        <w:tc>
          <w:tcPr>
            <w:tcW w:w="600" w:type="dxa"/>
            <w:vAlign w:val="bottom"/>
          </w:tcPr>
          <w:p>
            <w:pPr>
              <w:spacing w:after="0"/>
              <w:rPr>
                <w:sz w:val="24"/>
                <w:szCs w:val="24"/>
                <w:color w:val="auto"/>
              </w:rPr>
            </w:pPr>
          </w:p>
        </w:tc>
      </w:tr>
      <w:tr>
        <w:trPr>
          <w:trHeight w:val="459"/>
        </w:trPr>
        <w:tc>
          <w:tcPr>
            <w:tcW w:w="10820" w:type="dxa"/>
            <w:vAlign w:val="bottom"/>
            <w:gridSpan w:val="2"/>
          </w:tcPr>
          <w:p>
            <w:pPr>
              <w:spacing w:after="0"/>
              <w:rPr>
                <w:sz w:val="20"/>
                <w:szCs w:val="20"/>
                <w:color w:val="auto"/>
              </w:rPr>
            </w:pPr>
            <w:r>
              <w:rPr>
                <w:rFonts w:ascii="Arial" w:cs="Arial" w:eastAsia="Arial" w:hAnsi="Arial"/>
                <w:sz w:val="18"/>
                <w:szCs w:val="18"/>
                <w:color w:val="auto"/>
              </w:rPr>
              <w:t>FORM OF NOTE</w:t>
            </w:r>
          </w:p>
        </w:tc>
        <w:tc>
          <w:tcPr>
            <w:tcW w:w="6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59"/>
        </w:trPr>
        <w:tc>
          <w:tcPr>
            <w:tcW w:w="1100" w:type="dxa"/>
            <w:vAlign w:val="bottom"/>
          </w:tcPr>
          <w:p>
            <w:pPr>
              <w:spacing w:after="0"/>
              <w:rPr>
                <w:sz w:val="24"/>
                <w:szCs w:val="24"/>
                <w:color w:val="auto"/>
              </w:rPr>
            </w:pPr>
          </w:p>
        </w:tc>
        <w:tc>
          <w:tcPr>
            <w:tcW w:w="9720" w:type="dxa"/>
            <w:vAlign w:val="bottom"/>
          </w:tcPr>
          <w:p>
            <w:pPr>
              <w:jc w:val="center"/>
              <w:ind w:right="390"/>
              <w:spacing w:after="0"/>
              <w:rPr>
                <w:sz w:val="20"/>
                <w:szCs w:val="20"/>
                <w:color w:val="auto"/>
              </w:rPr>
            </w:pPr>
            <w:r>
              <w:rPr>
                <w:rFonts w:ascii="Arial" w:cs="Arial" w:eastAsia="Arial" w:hAnsi="Arial"/>
                <w:sz w:val="18"/>
                <w:szCs w:val="18"/>
                <w:b w:val="1"/>
                <w:bCs w:val="1"/>
                <w:color w:val="auto"/>
                <w:w w:val="98"/>
              </w:rPr>
              <w:t>ANNEX B</w:t>
            </w:r>
          </w:p>
        </w:tc>
        <w:tc>
          <w:tcPr>
            <w:tcW w:w="600" w:type="dxa"/>
            <w:vAlign w:val="bottom"/>
          </w:tcPr>
          <w:p>
            <w:pPr>
              <w:spacing w:after="0"/>
              <w:rPr>
                <w:sz w:val="24"/>
                <w:szCs w:val="24"/>
                <w:color w:val="auto"/>
              </w:rPr>
            </w:pPr>
          </w:p>
        </w:tc>
      </w:tr>
      <w:tr>
        <w:trPr>
          <w:trHeight w:val="459"/>
        </w:trPr>
        <w:tc>
          <w:tcPr>
            <w:tcW w:w="10820" w:type="dxa"/>
            <w:vAlign w:val="bottom"/>
            <w:gridSpan w:val="2"/>
          </w:tcPr>
          <w:p>
            <w:pPr>
              <w:spacing w:after="0"/>
              <w:rPr>
                <w:sz w:val="20"/>
                <w:szCs w:val="20"/>
                <w:color w:val="auto"/>
              </w:rPr>
            </w:pPr>
            <w:r>
              <w:rPr>
                <w:rFonts w:ascii="Arial" w:cs="Arial" w:eastAsia="Arial" w:hAnsi="Arial"/>
                <w:sz w:val="18"/>
                <w:szCs w:val="18"/>
                <w:color w:val="auto"/>
              </w:rPr>
              <w:t>FORM OF SUPPLEMENTAL INDENTURE</w:t>
            </w:r>
          </w:p>
        </w:tc>
        <w:tc>
          <w:tcPr>
            <w:tcW w:w="6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59"/>
        </w:trPr>
        <w:tc>
          <w:tcPr>
            <w:tcW w:w="1100" w:type="dxa"/>
            <w:vAlign w:val="bottom"/>
          </w:tcPr>
          <w:p>
            <w:pPr>
              <w:spacing w:after="0"/>
              <w:rPr>
                <w:sz w:val="24"/>
                <w:szCs w:val="24"/>
                <w:color w:val="auto"/>
              </w:rPr>
            </w:pPr>
          </w:p>
        </w:tc>
        <w:tc>
          <w:tcPr>
            <w:tcW w:w="9720" w:type="dxa"/>
            <w:vAlign w:val="bottom"/>
          </w:tcPr>
          <w:p>
            <w:pPr>
              <w:jc w:val="center"/>
              <w:ind w:right="410"/>
              <w:spacing w:after="0"/>
              <w:rPr>
                <w:sz w:val="20"/>
                <w:szCs w:val="20"/>
                <w:color w:val="auto"/>
              </w:rPr>
            </w:pPr>
            <w:r>
              <w:rPr>
                <w:rFonts w:ascii="Arial" w:cs="Arial" w:eastAsia="Arial" w:hAnsi="Arial"/>
                <w:sz w:val="18"/>
                <w:szCs w:val="18"/>
                <w:b w:val="1"/>
                <w:bCs w:val="1"/>
                <w:color w:val="auto"/>
              </w:rPr>
              <w:t>ANNEX C</w:t>
            </w:r>
          </w:p>
        </w:tc>
        <w:tc>
          <w:tcPr>
            <w:tcW w:w="600" w:type="dxa"/>
            <w:vAlign w:val="bottom"/>
          </w:tcPr>
          <w:p>
            <w:pPr>
              <w:spacing w:after="0"/>
              <w:rPr>
                <w:sz w:val="24"/>
                <w:szCs w:val="24"/>
                <w:color w:val="auto"/>
              </w:rPr>
            </w:pPr>
          </w:p>
        </w:tc>
      </w:tr>
      <w:tr>
        <w:trPr>
          <w:trHeight w:val="459"/>
        </w:trPr>
        <w:tc>
          <w:tcPr>
            <w:tcW w:w="10820" w:type="dxa"/>
            <w:vAlign w:val="bottom"/>
            <w:gridSpan w:val="2"/>
          </w:tcPr>
          <w:p>
            <w:pPr>
              <w:spacing w:after="0"/>
              <w:rPr>
                <w:sz w:val="20"/>
                <w:szCs w:val="20"/>
                <w:color w:val="auto"/>
              </w:rPr>
            </w:pPr>
            <w:r>
              <w:rPr>
                <w:rFonts w:ascii="Arial" w:cs="Arial" w:eastAsia="Arial" w:hAnsi="Arial"/>
                <w:sz w:val="18"/>
                <w:szCs w:val="18"/>
                <w:color w:val="auto"/>
                <w:w w:val="99"/>
              </w:rPr>
              <w:t>FORM OF CERTIFICATE TO BE DELIVERED IN CONNECTION WITH TRANSFERS TO INSTITUTIONAL ACCREDITED INVESTORS</w:t>
            </w:r>
          </w:p>
        </w:tc>
        <w:tc>
          <w:tcPr>
            <w:tcW w:w="6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459"/>
        </w:trPr>
        <w:tc>
          <w:tcPr>
            <w:tcW w:w="1100" w:type="dxa"/>
            <w:vAlign w:val="bottom"/>
          </w:tcPr>
          <w:p>
            <w:pPr>
              <w:spacing w:after="0"/>
              <w:rPr>
                <w:sz w:val="24"/>
                <w:szCs w:val="24"/>
                <w:color w:val="auto"/>
              </w:rPr>
            </w:pPr>
          </w:p>
        </w:tc>
        <w:tc>
          <w:tcPr>
            <w:tcW w:w="9720" w:type="dxa"/>
            <w:vAlign w:val="bottom"/>
          </w:tcPr>
          <w:p>
            <w:pPr>
              <w:jc w:val="center"/>
              <w:ind w:right="410"/>
              <w:spacing w:after="0"/>
              <w:rPr>
                <w:sz w:val="20"/>
                <w:szCs w:val="20"/>
                <w:color w:val="auto"/>
              </w:rPr>
            </w:pPr>
            <w:r>
              <w:rPr>
                <w:rFonts w:ascii="Arial" w:cs="Arial" w:eastAsia="Arial" w:hAnsi="Arial"/>
                <w:sz w:val="18"/>
                <w:szCs w:val="18"/>
                <w:b w:val="1"/>
                <w:bCs w:val="1"/>
                <w:color w:val="auto"/>
              </w:rPr>
              <w:t>ANNEX D</w:t>
            </w:r>
          </w:p>
        </w:tc>
        <w:tc>
          <w:tcPr>
            <w:tcW w:w="600" w:type="dxa"/>
            <w:vAlign w:val="bottom"/>
          </w:tcPr>
          <w:p>
            <w:pPr>
              <w:spacing w:after="0"/>
              <w:rPr>
                <w:sz w:val="24"/>
                <w:szCs w:val="24"/>
                <w:color w:val="auto"/>
              </w:rPr>
            </w:pPr>
          </w:p>
        </w:tc>
      </w:tr>
      <w:tr>
        <w:trPr>
          <w:trHeight w:val="459"/>
        </w:trPr>
        <w:tc>
          <w:tcPr>
            <w:tcW w:w="10820" w:type="dxa"/>
            <w:vAlign w:val="bottom"/>
            <w:gridSpan w:val="2"/>
          </w:tcPr>
          <w:p>
            <w:pPr>
              <w:spacing w:after="0"/>
              <w:rPr>
                <w:sz w:val="20"/>
                <w:szCs w:val="20"/>
                <w:color w:val="auto"/>
              </w:rPr>
            </w:pPr>
            <w:r>
              <w:rPr>
                <w:rFonts w:ascii="Arial" w:cs="Arial" w:eastAsia="Arial" w:hAnsi="Arial"/>
                <w:sz w:val="18"/>
                <w:szCs w:val="18"/>
                <w:color w:val="auto"/>
              </w:rPr>
              <w:t>FORM OF CERTIFICATE TO BE DELIVERED IN CONNECTION WITH TRANSFERS PURSUANT TO REGULATION S</w:t>
            </w:r>
          </w:p>
        </w:tc>
        <w:tc>
          <w:tcPr>
            <w:tcW w:w="600" w:type="dxa"/>
            <w:vAlign w:val="bottom"/>
          </w:tcPr>
          <w:p>
            <w:pPr>
              <w:jc w:val="right"/>
              <w:spacing w:after="0"/>
              <w:rPr>
                <w:sz w:val="20"/>
                <w:szCs w:val="20"/>
                <w:color w:val="auto"/>
              </w:rPr>
            </w:pPr>
            <w:r>
              <w:rPr>
                <w:rFonts w:ascii="Arial" w:cs="Arial" w:eastAsia="Arial" w:hAnsi="Arial"/>
                <w:sz w:val="18"/>
                <w:szCs w:val="18"/>
                <w:color w:val="auto"/>
              </w:rPr>
              <w:t>D-1</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4" w:name="page75"/>
    <w:bookmarkEnd w:id="74"/>
    <w:p>
      <w:pPr>
        <w:ind w:firstLine="648"/>
        <w:spacing w:after="0" w:line="261" w:lineRule="auto"/>
        <w:rPr>
          <w:sz w:val="20"/>
          <w:szCs w:val="20"/>
          <w:color w:val="auto"/>
        </w:rPr>
      </w:pPr>
      <w:r>
        <w:rPr>
          <w:rFonts w:ascii="Arial" w:cs="Arial" w:eastAsia="Arial" w:hAnsi="Arial"/>
          <w:sz w:val="18"/>
          <w:szCs w:val="18"/>
          <w:b w:val="1"/>
          <w:bCs w:val="1"/>
          <w:color w:val="auto"/>
        </w:rPr>
        <w:t xml:space="preserve">THIS INDENTURE </w:t>
      </w:r>
      <w:r>
        <w:rPr>
          <w:rFonts w:ascii="Arial" w:cs="Arial" w:eastAsia="Arial" w:hAnsi="Arial"/>
          <w:sz w:val="18"/>
          <w:szCs w:val="18"/>
          <w:color w:val="auto"/>
        </w:rPr>
        <w:t>(herein called the “Indenture”), dated as of December 13, 2019, is among Weatherford International Ltd., a Bermuda exempted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(herein called the “Issuer”), Weatherford International plc, an Irish public limited company (herein called the “Parent Guarantor”), Weatherford International, LLC, a Delaware limited liability company (herein called a “Subsidiary Guarantor”), the other Subsidiary Guarantors party hereto from time to time and Deutsche Bank Trust Company Americas, as Trustee (herein called the “Trustee”).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THE INDENTURE WITNESSETH:</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of each series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the Indenture, except as otherwise expressly provided or unless the context otherwise requires:</w:t>
      </w:r>
    </w:p>
    <w:p>
      <w:pPr>
        <w:spacing w:after="0" w:line="225" w:lineRule="exact"/>
        <w:rPr>
          <w:sz w:val="20"/>
          <w:szCs w:val="20"/>
          <w:color w:val="auto"/>
        </w:rPr>
      </w:pPr>
    </w:p>
    <w:p>
      <w:pPr>
        <w:ind w:left="2000" w:hanging="695"/>
        <w:spacing w:after="0"/>
        <w:tabs>
          <w:tab w:leader="none" w:pos="2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660" w:right="480" w:firstLine="645"/>
        <w:spacing w:after="0" w:line="277" w:lineRule="auto"/>
        <w:tabs>
          <w:tab w:leader="none" w:pos="20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in the Exchange Act or in the Securities Act, either directly or by reference therein, have the meanings assigned to them therein;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left="660" w:right="340" w:firstLine="645"/>
        <w:spacing w:after="0" w:line="277" w:lineRule="auto"/>
        <w:tabs>
          <w:tab w:leader="none" w:pos="20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the Indenture;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unless the context otherwise requires, the word “will” shall be interpreted to express a command;</w:t>
      </w:r>
    </w:p>
    <w:p>
      <w:pPr>
        <w:spacing w:after="0" w:line="225" w:lineRule="exact"/>
        <w:rPr>
          <w:rFonts w:ascii="Arial" w:cs="Arial" w:eastAsia="Arial" w:hAnsi="Arial"/>
          <w:sz w:val="18"/>
          <w:szCs w:val="18"/>
          <w:color w:val="auto"/>
        </w:rPr>
      </w:pPr>
    </w:p>
    <w:p>
      <w:pPr>
        <w:ind w:left="660" w:right="620" w:firstLine="645"/>
        <w:spacing w:after="0" w:line="277" w:lineRule="auto"/>
        <w:tabs>
          <w:tab w:leader="none" w:pos="20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Trust Indenture Act or Exchange Act will be deemed to include substitute, replacement of successor sections or rules that come into force from time to time; and</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20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the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5" w:name="page76"/>
    <w:bookmarkEnd w:id="75"/>
    <w:p>
      <w:pPr>
        <w:ind w:right="8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ABL Credit Agreement</w:t>
      </w:r>
      <w:r>
        <w:rPr>
          <w:rFonts w:ascii="Arial" w:cs="Arial" w:eastAsia="Arial" w:hAnsi="Arial"/>
          <w:sz w:val="17"/>
          <w:szCs w:val="17"/>
          <w:color w:val="auto"/>
        </w:rPr>
        <w:t>” means the Credit Agreement, dated as of December 13, 2019 among the Issuer, Weatherford International, LLC, a Delaware limited liability company, as borrowers, the other borrowers from time to time party thereto, the Parent Guarantor, the lenders from time to time party thereto, and Wells Fargo Bank, National Association, as administrative agent, collateral agent and an issuing bank,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acceleration declaration</w:t>
      </w:r>
      <w:r>
        <w:rPr>
          <w:rFonts w:ascii="Arial" w:cs="Arial" w:eastAsia="Arial" w:hAnsi="Arial"/>
          <w:sz w:val="18"/>
          <w:szCs w:val="18"/>
          <w:color w:val="auto"/>
        </w:rPr>
        <w:t>” has the meaning specified in Section 502.</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Assets</w:t>
      </w:r>
      <w:r>
        <w:rPr>
          <w:rFonts w:ascii="Arial" w:cs="Arial" w:eastAsia="Arial" w:hAnsi="Arial"/>
          <w:sz w:val="18"/>
          <w:szCs w:val="18"/>
          <w:color w:val="auto"/>
        </w:rPr>
        <w:t>” means:</w:t>
      </w:r>
    </w:p>
    <w:p>
      <w:pPr>
        <w:spacing w:after="0" w:line="225"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assets used or useful in a Permitted Business, other than cash, Cash Equivalents, Indebtedness or Capital Stock;</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Equity Interests of a Person that becomes a Restricted Subsidiary as a result of the acquisition of such Equity Interests by the Parent Guarantor or any of its Restricted Subsidiaries;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Equity Interests in any Person that at such time is a 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Restricted Subsidiary described in clause (2) or (3) is primarily engaged in a Permitted Business.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Members</w:t>
      </w:r>
      <w:r>
        <w:rPr>
          <w:rFonts w:ascii="Arial" w:cs="Arial" w:eastAsia="Arial" w:hAnsi="Arial"/>
          <w:sz w:val="18"/>
          <w:szCs w:val="18"/>
          <w:color w:val="auto"/>
        </w:rPr>
        <w:t>” has the meaning specified in Section 305.</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Banking Laws</w:t>
      </w:r>
      <w:r>
        <w:rPr>
          <w:rFonts w:ascii="Arial" w:cs="Arial" w:eastAsia="Arial" w:hAnsi="Arial"/>
          <w:sz w:val="18"/>
          <w:szCs w:val="18"/>
          <w:color w:val="auto"/>
        </w:rPr>
        <w:t>” has the meaning specified in Section 116.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225" w:lineRule="exact"/>
        <w:rPr>
          <w:sz w:val="20"/>
          <w:szCs w:val="20"/>
          <w:color w:val="auto"/>
        </w:rPr>
      </w:pPr>
    </w:p>
    <w:p>
      <w:pPr>
        <w:jc w:val="both"/>
        <w:ind w:left="660" w:right="280" w:firstLine="645"/>
        <w:spacing w:after="0" w:line="264" w:lineRule="auto"/>
        <w:tabs>
          <w:tab w:leader="none" w:pos="201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81" w:lineRule="exact"/>
        <w:rPr>
          <w:rFonts w:ascii="Arial" w:cs="Arial" w:eastAsia="Arial" w:hAnsi="Arial"/>
          <w:sz w:val="18"/>
          <w:szCs w:val="18"/>
          <w:color w:val="auto"/>
        </w:rPr>
      </w:pPr>
    </w:p>
    <w:p>
      <w:pPr>
        <w:jc w:val="both"/>
        <w:ind w:left="660" w:right="160" w:firstLine="645"/>
        <w:spacing w:after="0" w:line="264" w:lineRule="auto"/>
        <w:tabs>
          <w:tab w:leader="none" w:pos="201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1300" w:hanging="644"/>
        <w:spacing w:after="0" w:line="308" w:lineRule="auto"/>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sale, lease (other than operating leases entered into in the ordinary course of business), conveyance or other disposition of any properties or assets (including by way of a Sale-Leaseback Transaction or mergers, amalgamations, consolidations or otherwise); and</w:t>
      </w:r>
    </w:p>
    <w:p>
      <w:pPr>
        <w:spacing w:after="0" w:line="146" w:lineRule="exact"/>
        <w:rPr>
          <w:rFonts w:ascii="Arial" w:cs="Arial" w:eastAsia="Arial" w:hAnsi="Arial"/>
          <w:sz w:val="17"/>
          <w:szCs w:val="17"/>
          <w:color w:val="auto"/>
        </w:rPr>
      </w:pPr>
    </w:p>
    <w:p>
      <w:pPr>
        <w:ind w:left="1300" w:right="120" w:hanging="644"/>
        <w:spacing w:after="0" w:line="259"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issuance of Equity Interests in any of the Parent Guarantor’s Restricted Subsidiaries or the sale by the Parent Guarantor or any Restricted Subsidiary of Equity Interests in any of the Parent Guarantor’s Restricted Subsidiaries (in either case other than Preferred Stock of any Restricted Subsidiary issued in compliance with the Indenture and directors’ qualifying shares or shares required by applicable law to be held by a Person other than the Parent Guarantor or a Restricted Subsidiary);</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(1) or (2), the sale, assignment, transfer, lease, conveyance or other disposition of all or substantially all of the properties or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Parent Guarantor and its Restricted Subsidiaries (including by way of a merger, amalgamation or consolidation) will be governed by Section 801 and not by the provisions of Section 1012.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the following items will not be deemed to be Asset Sales:</w:t>
      </w:r>
    </w:p>
    <w:p>
      <w:pPr>
        <w:spacing w:after="0" w:line="225" w:lineRule="exact"/>
        <w:rPr>
          <w:sz w:val="20"/>
          <w:szCs w:val="20"/>
          <w:color w:val="auto"/>
        </w:rPr>
      </w:pPr>
    </w:p>
    <w:p>
      <w:pPr>
        <w:ind w:left="1300" w:right="10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properties, assets or Equity Interests having a Fair Market Value of less than $10.0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transfer or other disposition of assets between or among any of the Parent Guarantor and its Restricted Subsidiaries;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issuance or sale or other disposition of Equity Interests by a Restricted Subsidiary to the Parent Guarantor or to another Restricted Subsidiary;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sale or other disposition of Receivables in connection with any Permitted Factoring Transaction;</w:t>
      </w:r>
    </w:p>
    <w:p>
      <w:pPr>
        <w:spacing w:after="0" w:line="225" w:lineRule="exact"/>
        <w:rPr>
          <w:rFonts w:ascii="Arial" w:cs="Arial" w:eastAsia="Arial" w:hAnsi="Arial"/>
          <w:sz w:val="18"/>
          <w:szCs w:val="18"/>
          <w:color w:val="auto"/>
        </w:rPr>
      </w:pPr>
    </w:p>
    <w:p>
      <w:pPr>
        <w:ind w:left="1300" w:right="460" w:hanging="644"/>
        <w:spacing w:after="0" w:line="308" w:lineRule="auto"/>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sale, lease or other disposition of equipment, inventory, products, services, accounts receivable or other properties or assets in the ordinary course of business and any sale or other disposition of surplus, damaged, worn-out or obsolete assets;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sale or other disposition of (a) financial instruments in the ordinary course of business or (b) cash or Cash Equivalents;</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disposition of properties or assets that constitutes (or results in by virtue of the consideration received for such disposition) either a Restricted Payment that does not violate Section 1009 or a Permitted Investment;</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creation or perfection of a Permitted Lien and dispositions in connection with Permitted Liens and the exercise by any Person in whose favor a Permitted Lien is granted of any of its rights in respect of that Permitted Lien;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surrender or waiver of contract rights or the settlement, release or surrender of contract, tort or other claims of any kind;</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grant in the ordinary course of business of any non-exclusive license or sublicense of patents, trademarks, registrations therefor and other similar intellectual property;</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disposition of assets or Equity Interests received in settlement of debts owing to a Person as a result of foreclosure, perfection or enforcement of any Lien or debt, which debts were owing to such Person;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sale or other disposition of Equity Interests in, or Indebtedness or other securities of, an Unrestricted Subsidiary; and</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expropriation, taking, sale or other disposition of assets (including any receipt of proceeds related thereto) by any foreign government or any of its political subdivisions, agencies or controlled entities.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set forth in Section 1012.</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Authenticating Agent</w:t>
      </w:r>
      <w:r>
        <w:rPr>
          <w:rFonts w:ascii="Arial" w:cs="Arial" w:eastAsia="Arial" w:hAnsi="Arial"/>
          <w:sz w:val="16"/>
          <w:szCs w:val="16"/>
          <w:color w:val="auto"/>
        </w:rPr>
        <w:t>” means any Person authorized by the Trustee pursuant to Section 614 to act on behalf of the Trustee to authenticate Notes.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of non-U.S. law for relief of creditors.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 Assistant Secretary of the Parent Guarantor, the Issuer or a Guarantor, the principal financial officer of the Parent Guarantor,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Parent Guarantor, the Issuer or the Guarantor, as applicable, authorized to take such action by its Board of Directors as evidenced by a Board Resolution.</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December 31, 2018 shall be deemed not to be a Capitalized Lease.</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left="660" w:right="20" w:firstLine="645"/>
        <w:spacing w:after="0" w:line="264" w:lineRule="auto"/>
        <w:tabs>
          <w:tab w:leader="none" w:pos="20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81" w:lineRule="exact"/>
        <w:rPr>
          <w:rFonts w:ascii="Arial" w:cs="Arial" w:eastAsia="Arial" w:hAnsi="Arial"/>
          <w:sz w:val="18"/>
          <w:szCs w:val="18"/>
          <w:color w:val="auto"/>
        </w:rPr>
      </w:pPr>
    </w:p>
    <w:p>
      <w:pPr>
        <w:ind w:left="660" w:right="520" w:firstLine="645"/>
        <w:spacing w:after="0" w:line="277" w:lineRule="auto"/>
        <w:tabs>
          <w:tab w:leader="none" w:pos="20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170" w:lineRule="exact"/>
        <w:rPr>
          <w:rFonts w:ascii="Arial" w:cs="Arial" w:eastAsia="Arial" w:hAnsi="Arial"/>
          <w:sz w:val="18"/>
          <w:szCs w:val="18"/>
          <w:color w:val="auto"/>
        </w:rPr>
      </w:pPr>
    </w:p>
    <w:p>
      <w:pPr>
        <w:ind w:left="660" w:right="60" w:firstLine="645"/>
        <w:spacing w:after="0" w:line="259" w:lineRule="auto"/>
        <w:tabs>
          <w:tab w:leader="none" w:pos="20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186" w:lineRule="exact"/>
        <w:rPr>
          <w:rFonts w:ascii="Arial" w:cs="Arial" w:eastAsia="Arial" w:hAnsi="Arial"/>
          <w:sz w:val="18"/>
          <w:szCs w:val="18"/>
          <w:color w:val="auto"/>
        </w:rPr>
      </w:pPr>
    </w:p>
    <w:p>
      <w:pPr>
        <w:ind w:left="660" w:right="180" w:firstLine="645"/>
        <w:spacing w:after="0" w:line="277" w:lineRule="auto"/>
        <w:tabs>
          <w:tab w:leader="none" w:pos="20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201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(ii) are rated AAA by S&amp;P and Aaa by Moody’s and (iii) have portfolio assets of at least $5.0 billion;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in the case of any Foreign Restricted Subsidiary, other investments that are analogous to the items specified in clauses (1) through</w:t>
      </w:r>
    </w:p>
    <w:p>
      <w:pPr>
        <w:spacing w:after="0" w:line="46" w:lineRule="exact"/>
        <w:rPr>
          <w:rFonts w:ascii="Arial" w:cs="Arial" w:eastAsia="Arial" w:hAnsi="Arial"/>
          <w:sz w:val="16"/>
          <w:szCs w:val="16"/>
          <w:color w:val="auto"/>
        </w:rPr>
      </w:pPr>
    </w:p>
    <w:p>
      <w:pPr>
        <w:ind w:left="660" w:right="60"/>
        <w:spacing w:after="0" w:line="261" w:lineRule="auto"/>
        <w:rPr>
          <w:rFonts w:ascii="Arial" w:cs="Arial" w:eastAsia="Arial" w:hAnsi="Arial"/>
          <w:sz w:val="16"/>
          <w:szCs w:val="16"/>
          <w:color w:val="auto"/>
        </w:rPr>
      </w:pPr>
      <w:r>
        <w:rPr>
          <w:rFonts w:ascii="Arial" w:cs="Arial" w:eastAsia="Arial" w:hAnsi="Arial"/>
          <w:sz w:val="18"/>
          <w:szCs w:val="18"/>
          <w:color w:val="auto"/>
        </w:rPr>
        <w:t>(5) above, are of comparable credit quality and are customarily used by companies in the jurisdiction of such Foreign Restricted Subsidiary for cash management purposes.</w:t>
      </w:r>
    </w:p>
    <w:p>
      <w:pPr>
        <w:spacing w:after="0" w:line="184" w:lineRule="exact"/>
        <w:rPr>
          <w:sz w:val="20"/>
          <w:szCs w:val="20"/>
          <w:color w:val="auto"/>
        </w:rPr>
      </w:pPr>
    </w:p>
    <w:p>
      <w:pPr>
        <w:ind w:right="2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w:t>
      </w:r>
    </w:p>
    <w:p>
      <w:pPr>
        <w:spacing w:after="0" w:line="2" w:lineRule="exact"/>
        <w:rPr>
          <w:sz w:val="20"/>
          <w:szCs w:val="20"/>
          <w:color w:val="auto"/>
        </w:rPr>
      </w:pPr>
    </w:p>
    <w:p>
      <w:pPr>
        <w:ind w:right="120" w:firstLine="8"/>
        <w:spacing w:after="0" w:line="253"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other than the Permitted Holders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 Board of Directors are not Continuing Directors.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has the meaning specified in Section 1001.</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170" w:lineRule="exact"/>
        <w:rPr>
          <w:sz w:val="20"/>
          <w:szCs w:val="20"/>
          <w:color w:val="auto"/>
        </w:rPr>
      </w:pPr>
    </w:p>
    <w:p>
      <w:pPr>
        <w:ind w:left="2000" w:hanging="695"/>
        <w:spacing w:after="0"/>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225" w:lineRule="exact"/>
        <w:rPr>
          <w:rFonts w:ascii="Arial" w:cs="Arial" w:eastAsia="Arial" w:hAnsi="Arial"/>
          <w:sz w:val="18"/>
          <w:szCs w:val="18"/>
          <w:color w:val="auto"/>
        </w:rPr>
      </w:pPr>
    </w:p>
    <w:p>
      <w:pPr>
        <w:ind w:left="1300" w:right="80" w:firstLine="653"/>
        <w:spacing w:after="0" w:line="277" w:lineRule="auto"/>
        <w:tabs>
          <w:tab w:leader="none" w:pos="264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170" w:lineRule="exact"/>
        <w:rPr>
          <w:rFonts w:ascii="Arial" w:cs="Arial" w:eastAsia="Arial" w:hAnsi="Arial"/>
          <w:sz w:val="18"/>
          <w:szCs w:val="18"/>
          <w:color w:val="auto"/>
        </w:rPr>
      </w:pPr>
    </w:p>
    <w:p>
      <w:pPr>
        <w:ind w:left="660" w:firstLine="645"/>
        <w:spacing w:after="0" w:line="264" w:lineRule="auto"/>
        <w:tabs>
          <w:tab w:leader="none" w:pos="20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81" w:lineRule="exact"/>
        <w:rPr>
          <w:rFonts w:ascii="Arial" w:cs="Arial" w:eastAsia="Arial" w:hAnsi="Arial"/>
          <w:sz w:val="18"/>
          <w:szCs w:val="18"/>
          <w:color w:val="auto"/>
        </w:rPr>
      </w:pPr>
    </w:p>
    <w:p>
      <w:pPr>
        <w:ind w:left="660" w:right="160" w:firstLine="645"/>
        <w:spacing w:after="0" w:line="312" w:lineRule="auto"/>
        <w:tabs>
          <w:tab w:leader="none" w:pos="201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1" w:name="page82"/>
    <w:bookmarkEnd w:id="81"/>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58" w:lineRule="exact"/>
        <w:rPr>
          <w:sz w:val="20"/>
          <w:szCs w:val="20"/>
          <w:color w:val="auto"/>
        </w:rPr>
      </w:pPr>
    </w:p>
    <w:p>
      <w:pPr>
        <w:ind w:left="660" w:firstLine="645"/>
        <w:spacing w:after="0" w:line="255" w:lineRule="auto"/>
        <w:tabs>
          <w:tab w:leader="none" w:pos="20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89" w:lineRule="exact"/>
        <w:rPr>
          <w:rFonts w:ascii="Arial" w:cs="Arial" w:eastAsia="Arial" w:hAnsi="Arial"/>
          <w:sz w:val="18"/>
          <w:szCs w:val="18"/>
          <w:color w:val="auto"/>
        </w:rPr>
      </w:pPr>
    </w:p>
    <w:p>
      <w:pPr>
        <w:ind w:left="660" w:right="60" w:firstLine="645"/>
        <w:spacing w:after="0" w:line="253" w:lineRule="auto"/>
        <w:tabs>
          <w:tab w:leader="none" w:pos="20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9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ind w:left="660" w:firstLine="645"/>
        <w:spacing w:after="0" w:line="264" w:lineRule="auto"/>
        <w:tabs>
          <w:tab w:leader="none" w:pos="20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81" w:lineRule="exact"/>
        <w:rPr>
          <w:rFonts w:ascii="Arial" w:cs="Arial" w:eastAsia="Arial" w:hAnsi="Arial"/>
          <w:sz w:val="18"/>
          <w:szCs w:val="18"/>
          <w:color w:val="auto"/>
        </w:rPr>
      </w:pPr>
    </w:p>
    <w:p>
      <w:pPr>
        <w:jc w:val="both"/>
        <w:ind w:left="660" w:right="180" w:firstLine="645"/>
        <w:spacing w:after="0" w:line="264" w:lineRule="auto"/>
        <w:tabs>
          <w:tab w:leader="none" w:pos="20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 Quarter Period; and</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20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for any period means the sum, without duplication, of the total interest expense of the relevant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211" w:lineRule="exact"/>
        <w:rPr>
          <w:sz w:val="20"/>
          <w:szCs w:val="20"/>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20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3" w:name="page84"/>
    <w:bookmarkEnd w:id="83"/>
    <w:p>
      <w:pPr>
        <w:ind w:left="660" w:right="540" w:firstLine="645"/>
        <w:spacing w:after="0" w:line="264" w:lineRule="auto"/>
        <w:tabs>
          <w:tab w:leader="none" w:pos="2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81" w:lineRule="exact"/>
        <w:rPr>
          <w:rFonts w:ascii="Arial" w:cs="Arial" w:eastAsia="Arial" w:hAnsi="Arial"/>
          <w:sz w:val="18"/>
          <w:szCs w:val="18"/>
          <w:color w:val="auto"/>
        </w:rPr>
      </w:pPr>
    </w:p>
    <w:p>
      <w:pPr>
        <w:ind w:left="660" w:right="40" w:firstLine="645"/>
        <w:spacing w:after="0" w:line="259" w:lineRule="auto"/>
        <w:tabs>
          <w:tab w:leader="none" w:pos="2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86" w:lineRule="exact"/>
        <w:rPr>
          <w:rFonts w:ascii="Arial" w:cs="Arial" w:eastAsia="Arial" w:hAnsi="Arial"/>
          <w:sz w:val="18"/>
          <w:szCs w:val="18"/>
          <w:color w:val="auto"/>
        </w:rPr>
      </w:pPr>
    </w:p>
    <w:p>
      <w:pPr>
        <w:ind w:left="660" w:firstLine="645"/>
        <w:spacing w:after="0" w:line="302" w:lineRule="auto"/>
        <w:tabs>
          <w:tab w:leader="none" w:pos="201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54" w:lineRule="exact"/>
        <w:rPr>
          <w:rFonts w:ascii="Arial" w:cs="Arial" w:eastAsia="Arial" w:hAnsi="Arial"/>
          <w:sz w:val="16"/>
          <w:szCs w:val="16"/>
          <w:color w:val="auto"/>
        </w:rPr>
      </w:pPr>
    </w:p>
    <w:p>
      <w:pPr>
        <w:ind w:left="2000" w:hanging="695"/>
        <w:spacing w:after="0"/>
        <w:tabs>
          <w:tab w:leader="none" w:pos="2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225" w:lineRule="exact"/>
        <w:rPr>
          <w:rFonts w:ascii="Arial" w:cs="Arial" w:eastAsia="Arial" w:hAnsi="Arial"/>
          <w:sz w:val="18"/>
          <w:szCs w:val="18"/>
          <w:color w:val="auto"/>
        </w:rPr>
      </w:pPr>
    </w:p>
    <w:p>
      <w:pPr>
        <w:ind w:left="660" w:right="380" w:firstLine="645"/>
        <w:spacing w:after="0" w:line="264" w:lineRule="auto"/>
        <w:tabs>
          <w:tab w:leader="none" w:pos="2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non-cash charges or expenses with respect to the grant of stock options, restricted stock or other equity compensation awards; and</w:t>
      </w:r>
    </w:p>
    <w:p>
      <w:pPr>
        <w:spacing w:after="0" w:line="248" w:lineRule="exact"/>
        <w:rPr>
          <w:rFonts w:ascii="Arial" w:cs="Arial" w:eastAsia="Arial" w:hAnsi="Arial"/>
          <w:sz w:val="16"/>
          <w:szCs w:val="16"/>
          <w:color w:val="auto"/>
        </w:rPr>
      </w:pPr>
    </w:p>
    <w:p>
      <w:pPr>
        <w:ind w:left="2000" w:hanging="695"/>
        <w:spacing w:after="0"/>
        <w:tabs>
          <w:tab w:leader="none" w:pos="2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Tangible Assets</w:t>
      </w:r>
      <w:r>
        <w:rPr>
          <w:rFonts w:ascii="Arial" w:cs="Arial" w:eastAsia="Arial" w:hAnsi="Arial"/>
          <w:sz w:val="16"/>
          <w:szCs w:val="16"/>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4" w:name="page85"/>
    <w:bookmarkEnd w:id="8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Directors</w:t>
      </w:r>
      <w:r>
        <w:rPr>
          <w:rFonts w:ascii="Arial" w:cs="Arial" w:eastAsia="Arial" w:hAnsi="Arial"/>
          <w:sz w:val="17"/>
          <w:szCs w:val="17"/>
          <w:color w:val="auto"/>
        </w:rPr>
        <w:t>” means, as of any date of determination, any member of the Board of Directors of the Weatherford Parent Company who</w:t>
      </w:r>
    </w:p>
    <w:p>
      <w:pPr>
        <w:spacing w:after="0" w:line="35" w:lineRule="exact"/>
        <w:rPr>
          <w:sz w:val="20"/>
          <w:szCs w:val="20"/>
          <w:color w:val="auto"/>
        </w:rPr>
      </w:pPr>
    </w:p>
    <w:p>
      <w:pPr>
        <w:ind w:right="60" w:firstLine="8"/>
        <w:spacing w:after="0" w:line="254"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in relation to the Notes shall be</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administered, which office on the date hereof is located at, Deutsche Bank Trust Company Americas, Trust &amp; Agency Services 60 Wall Street 24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9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 has the meaning specified in Section 1303.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Section 1008.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Agreements</w:t>
      </w:r>
      <w:r>
        <w:rPr>
          <w:rFonts w:ascii="Arial" w:cs="Arial" w:eastAsia="Arial" w:hAnsi="Arial"/>
          <w:sz w:val="18"/>
          <w:szCs w:val="18"/>
          <w:color w:val="auto"/>
        </w:rPr>
        <w:t>” means, collectively, (i) the ABL Credit Agreement and (ii) the LC Credit Agreement.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indentures (which may be outstanding at the same time and including, without limitation, the Credit Agreements)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5" w:name="page86"/>
    <w:bookmarkEnd w:id="85"/>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Notes</w:t>
      </w:r>
      <w:r>
        <w:rPr>
          <w:rFonts w:ascii="Arial" w:cs="Arial" w:eastAsia="Arial" w:hAnsi="Arial"/>
          <w:sz w:val="18"/>
          <w:szCs w:val="18"/>
          <w:color w:val="auto"/>
        </w:rPr>
        <w:t>” means certificated Notes that are not required to bear the legend set forth in the first paragraph of Section 202.</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Depositary</w:t>
      </w:r>
      <w:r>
        <w:rPr>
          <w:rFonts w:ascii="Arial" w:cs="Arial" w:eastAsia="Arial" w:hAnsi="Arial"/>
          <w:sz w:val="16"/>
          <w:szCs w:val="16"/>
          <w:color w:val="auto"/>
        </w:rPr>
        <w:t>” means, with respect to Notes issued in whole or in part in the form of one or more Global Notes, The Depository Trust Company (“</w:t>
      </w:r>
      <w:r>
        <w:rPr>
          <w:rFonts w:ascii="Arial" w:cs="Arial" w:eastAsia="Arial" w:hAnsi="Arial"/>
          <w:sz w:val="16"/>
          <w:szCs w:val="16"/>
          <w:i w:val="1"/>
          <w:iCs w:val="1"/>
          <w:color w:val="auto"/>
        </w:rPr>
        <w:t>DTC</w:t>
      </w:r>
      <w:r>
        <w:rPr>
          <w:rFonts w:ascii="Arial" w:cs="Arial" w:eastAsia="Arial" w:hAnsi="Arial"/>
          <w:sz w:val="16"/>
          <w:szCs w:val="16"/>
          <w:color w:val="auto"/>
        </w:rPr>
        <w:t>”) or any other clearing agency registered under the Exchange Act that is designated to act as successor Depositary for such Notes.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Section 1006.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Section 1006.</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Equity Interests</w:t>
      </w:r>
      <w:r>
        <w:rPr>
          <w:rFonts w:ascii="Arial" w:cs="Arial" w:eastAsia="Arial" w:hAnsi="Arial"/>
          <w:sz w:val="17"/>
          <w:szCs w:val="17"/>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1007, and such Equity Interests specifically provide that the Issuer will not repurchase or redeem any such Equity Interests pursuant to such provisions prior to the Issuer’s purchase of the Notes as required pursuant to the provisions of Section 1007.</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6" w:name="page87"/>
    <w:bookmarkEnd w:id="8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has the meaning specified in the definition of Depositary.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 has the meaning specified in Section 1012.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has the meaning specified in Section 104.</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1405.</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a permanent global Note bearing the legend set forth in Section 201.</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87" w:name="page88"/>
    <w:bookmarkEnd w:id="8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w:t>
      </w:r>
      <w:r>
        <w:rPr>
          <w:rFonts w:ascii="Arial" w:cs="Arial" w:eastAsia="Arial" w:hAnsi="Arial"/>
          <w:sz w:val="18"/>
          <w:szCs w:val="18"/>
          <w:color w:val="auto"/>
        </w:rPr>
        <w:t>” means an institutional “accredited investor” as described in Rule 501(a)(1), (2), (3) or (7) under the Securities Act.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225" w:lineRule="exact"/>
        <w:rPr>
          <w:sz w:val="20"/>
          <w:szCs w:val="20"/>
          <w:color w:val="auto"/>
        </w:rPr>
      </w:pPr>
    </w:p>
    <w:p>
      <w:pPr>
        <w:ind w:left="660" w:right="400" w:firstLine="645"/>
        <w:spacing w:after="0" w:line="277" w:lineRule="auto"/>
        <w:tabs>
          <w:tab w:leader="none" w:pos="201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bankers’ acceptances, notes or other similar instruments;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non-contingent reimbursement obligations of such Person in respect of letters of credit, letters of guaranty and similar credit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auto"/>
        </w:rPr>
      </w:pPr>
    </w:p>
    <w:p>
      <w:pPr>
        <w:ind w:left="660" w:right="200" w:firstLine="645"/>
        <w:spacing w:after="0" w:line="286" w:lineRule="auto"/>
        <w:tabs>
          <w:tab w:leader="none" w:pos="20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660" w:right="420" w:firstLine="645"/>
        <w:spacing w:after="0" w:line="277" w:lineRule="auto"/>
        <w:tabs>
          <w:tab w:leader="none" w:pos="20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170" w:lineRule="exact"/>
        <w:rPr>
          <w:rFonts w:ascii="Arial" w:cs="Arial" w:eastAsia="Arial" w:hAnsi="Arial"/>
          <w:sz w:val="18"/>
          <w:szCs w:val="18"/>
          <w:color w:val="auto"/>
        </w:rPr>
      </w:pPr>
    </w:p>
    <w:p>
      <w:pPr>
        <w:ind w:left="660" w:right="440" w:firstLine="645"/>
        <w:spacing w:after="0" w:line="277" w:lineRule="auto"/>
        <w:tabs>
          <w:tab w:leader="none" w:pos="20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left="660" w:firstLine="645"/>
        <w:spacing w:after="0" w:line="264" w:lineRule="auto"/>
        <w:tabs>
          <w:tab w:leader="none" w:pos="201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181" w:lineRule="exact"/>
        <w:rPr>
          <w:rFonts w:ascii="Arial" w:cs="Arial" w:eastAsia="Arial" w:hAnsi="Arial"/>
          <w:sz w:val="18"/>
          <w:szCs w:val="18"/>
          <w:color w:val="auto"/>
        </w:rPr>
      </w:pPr>
    </w:p>
    <w:p>
      <w:pPr>
        <w:ind w:left="660" w:right="460" w:firstLine="645"/>
        <w:spacing w:after="0" w:line="342" w:lineRule="auto"/>
        <w:tabs>
          <w:tab w:leader="none" w:pos="201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w:t>
      </w:r>
    </w:p>
    <w:p>
      <w:pPr>
        <w:spacing w:after="0" w:line="2" w:lineRule="exact"/>
        <w:rPr>
          <w:sz w:val="20"/>
          <w:szCs w:val="20"/>
          <w:color w:val="auto"/>
        </w:rPr>
      </w:pPr>
    </w:p>
    <w:p>
      <w:pPr>
        <w:jc w:val="both"/>
        <w:ind w:right="280" w:firstLine="8"/>
        <w:spacing w:after="0" w:line="273" w:lineRule="auto"/>
        <w:tabs>
          <w:tab w:leader="none" w:pos="25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7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has the meaning stated in the first paragraph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Obligations</w:t>
      </w:r>
      <w:r>
        <w:rPr>
          <w:rFonts w:ascii="Arial" w:cs="Arial" w:eastAsia="Arial" w:hAnsi="Arial"/>
          <w:sz w:val="18"/>
          <w:szCs w:val="18"/>
          <w:color w:val="auto"/>
        </w:rPr>
        <w:t>” has the meaning specified in Section 1401.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or Liquidation Proceeding</w:t>
      </w:r>
      <w:r>
        <w:rPr>
          <w:rFonts w:ascii="Arial" w:cs="Arial" w:eastAsia="Arial" w:hAnsi="Arial"/>
          <w:sz w:val="18"/>
          <w:szCs w:val="18"/>
          <w:color w:val="auto"/>
        </w:rPr>
        <w:t>” has the meaning specified in Section 607.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when used with respect to any Note, means the Stated Maturity of an installment of interest on such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225" w:lineRule="exact"/>
        <w:rPr>
          <w:sz w:val="20"/>
          <w:szCs w:val="20"/>
          <w:color w:val="auto"/>
        </w:rPr>
      </w:pPr>
    </w:p>
    <w:p>
      <w:pPr>
        <w:ind w:left="660" w:firstLine="645"/>
        <w:spacing w:after="0" w:line="342" w:lineRule="auto"/>
        <w:tabs>
          <w:tab w:leader="none" w:pos="201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23" w:lineRule="exact"/>
        <w:rPr>
          <w:rFonts w:ascii="Arial" w:cs="Arial" w:eastAsia="Arial" w:hAnsi="Arial"/>
          <w:sz w:val="16"/>
          <w:szCs w:val="16"/>
          <w:color w:val="auto"/>
        </w:rPr>
      </w:pPr>
    </w:p>
    <w:p>
      <w:pPr>
        <w:ind w:left="660" w:right="200" w:firstLine="645"/>
        <w:spacing w:after="0" w:line="342" w:lineRule="auto"/>
        <w:tabs>
          <w:tab w:leader="none" w:pos="201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other items that would be classified as investments in another Person on a balance sheet of such Person prepared in accordance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with GAAP; and</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1006.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first date on which the Notes are issued under the Indenture.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the Person named as the “Issuer” in the first paragraph of the Indenture until a successor Person shall have become such pursuant to the applicable provisions of the Indenture, and thereafter “Issuer” shall mean such successor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Issuer Request</w:t>
      </w:r>
      <w:r>
        <w:rPr>
          <w:rFonts w:ascii="Arial" w:cs="Arial" w:eastAsia="Arial" w:hAnsi="Arial"/>
          <w:sz w:val="16"/>
          <w:szCs w:val="16"/>
          <w:color w:val="auto"/>
        </w:rPr>
        <w:t>” or “</w:t>
      </w:r>
      <w:r>
        <w:rPr>
          <w:rFonts w:ascii="Arial" w:cs="Arial" w:eastAsia="Arial" w:hAnsi="Arial"/>
          <w:sz w:val="16"/>
          <w:szCs w:val="16"/>
          <w:i w:val="1"/>
          <w:iCs w:val="1"/>
          <w:color w:val="auto"/>
        </w:rPr>
        <w:t>Issuer Order</w:t>
      </w:r>
      <w:r>
        <w:rPr>
          <w:rFonts w:ascii="Arial" w:cs="Arial" w:eastAsia="Arial" w:hAnsi="Arial"/>
          <w:sz w:val="16"/>
          <w:szCs w:val="16"/>
          <w:color w:val="auto"/>
        </w:rPr>
        <w:t>” means a written request or order signed in the name of the Issuer by an Officer and delivered to the Trustee.</w:t>
      </w:r>
    </w:p>
    <w:p>
      <w:pPr>
        <w:spacing w:after="0" w:line="24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Credit Agreement</w:t>
      </w:r>
      <w:r>
        <w:rPr>
          <w:rFonts w:ascii="Arial" w:cs="Arial" w:eastAsia="Arial" w:hAnsi="Arial"/>
          <w:sz w:val="18"/>
          <w:szCs w:val="18"/>
          <w:color w:val="auto"/>
        </w:rPr>
        <w:t>” means the LC Credit Agreement, dated as of December 13, 2019, among the Issuer and Weatherford International, LLC, a Delaware limited liability company, as the borrowers, the Parent Guarantor, the lenders from time to time party thereto, the issuing banks from time to time party thereto and Deutsche Bank Trust Company Americas, as administrative agent and collateral agent,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has the meaning specified in Section 117.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 has the meaning specified in Section 1302.</w:t>
      </w:r>
    </w:p>
    <w:p>
      <w:pPr>
        <w:spacing w:after="0" w:line="225"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xml:space="preserve">” means any mortgage, pledge, security interest, charge, lien or other encumbrance of any kind, whether or not filed, recorded or perfected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 Whole Premium</w:t>
      </w:r>
      <w:r>
        <w:rPr>
          <w:rFonts w:ascii="Arial" w:cs="Arial" w:eastAsia="Arial" w:hAnsi="Arial"/>
          <w:sz w:val="18"/>
          <w:szCs w:val="18"/>
          <w:color w:val="auto"/>
        </w:rPr>
        <w:t>” means, with respect to a Note at any time as calculated by the Issuer, the excess, if any, of (a) the present value at such time of (i) the redemption price of such Note at December 1, 2021 pursuant to Section 1103(a) plus (ii) any required interest payments due on such Note through December 1, 2021 (except for currently accrued and unpaid interest), computed using a discount rate equal to the Treasury Rate at such time plus 50 basis points, discounted to the redemption date on a semi-annual basis (assuming a 360-day year consisting of twelve 30-day months), over (b) the principal amount of such Note.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means the aggregate cash proceeds and Cash Equivalents received by the Parent Guarantor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pursuant to Section 1012), net of:</w:t>
      </w:r>
    </w:p>
    <w:p>
      <w:pPr>
        <w:spacing w:after="0" w:line="147" w:lineRule="exact"/>
        <w:rPr>
          <w:sz w:val="20"/>
          <w:szCs w:val="20"/>
          <w:color w:val="auto"/>
        </w:rPr>
      </w:pPr>
    </w:p>
    <w:p>
      <w:pPr>
        <w:ind w:left="660" w:right="80" w:firstLine="645"/>
        <w:spacing w:after="0" w:line="264" w:lineRule="auto"/>
        <w:tabs>
          <w:tab w:leader="none" w:pos="20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direct costs relating to such Asset Sale, including, without limitation, legal, accounting and investment banking fees, title and recording tax expenses and sales commissions, severance and associated costs, expenses and charges of personnel and any relocation expenses relating to the properties or assets subject to or incurred as a result of the Asset Sale;</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20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taxes paid or payable or required to be accrued as a liability under GAAP as a result of the Asset Sale, in each case, after taking into account any available tax credits or deductions and any tax sharing arrangements;</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20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amounts required to be applied to the repayment of Indebtedness secured by a Lien on the properties or assets that were the subject of such Asset Sale;</w:t>
      </w:r>
    </w:p>
    <w:p>
      <w:pPr>
        <w:spacing w:after="0" w:line="170" w:lineRule="exact"/>
        <w:rPr>
          <w:rFonts w:ascii="Arial" w:cs="Arial" w:eastAsia="Arial" w:hAnsi="Arial"/>
          <w:sz w:val="18"/>
          <w:szCs w:val="18"/>
          <w:color w:val="auto"/>
        </w:rPr>
      </w:pPr>
    </w:p>
    <w:p>
      <w:pPr>
        <w:ind w:left="660" w:firstLine="645"/>
        <w:spacing w:after="0" w:line="277" w:lineRule="auto"/>
        <w:tabs>
          <w:tab w:leader="none" w:pos="20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distributions and other payments required to be made to minority interest holders in Restricted Subsidiaries or joint ventures as a result of such Asset Sale; and</w:t>
      </w:r>
    </w:p>
    <w:p>
      <w:pPr>
        <w:spacing w:after="0" w:line="170" w:lineRule="exact"/>
        <w:rPr>
          <w:rFonts w:ascii="Arial" w:cs="Arial" w:eastAsia="Arial" w:hAnsi="Arial"/>
          <w:sz w:val="18"/>
          <w:szCs w:val="18"/>
          <w:color w:val="auto"/>
        </w:rPr>
      </w:pPr>
    </w:p>
    <w:p>
      <w:pPr>
        <w:ind w:left="660" w:right="200" w:firstLine="645"/>
        <w:spacing w:after="0" w:line="293" w:lineRule="auto"/>
        <w:tabs>
          <w:tab w:leader="none" w:pos="201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Guarantor or any of its Restricted Subsidiaries (including, without limitation, pension and other post-employment benefit liabilities and liabilities related to environmental matters or against any indemnification obligations associated with such transaction) until such time as such reserve is reversed or such escrow arrangement is terminated, in which case Net Proceeds shall include only the amount of the reserve so reversed or the amount returned to the Parent Guarantor or its Restricted Subsidiaries from such escrow arrangement, as the case may be.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225" w:lineRule="exact"/>
        <w:rPr>
          <w:sz w:val="20"/>
          <w:szCs w:val="20"/>
          <w:color w:val="auto"/>
        </w:rPr>
      </w:pPr>
    </w:p>
    <w:p>
      <w:pPr>
        <w:ind w:left="660" w:right="220" w:firstLine="645"/>
        <w:spacing w:after="0" w:line="264" w:lineRule="auto"/>
        <w:tabs>
          <w:tab w:leader="none" w:pos="20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81" w:lineRule="exact"/>
        <w:rPr>
          <w:rFonts w:ascii="Arial" w:cs="Arial" w:eastAsia="Arial" w:hAnsi="Arial"/>
          <w:sz w:val="18"/>
          <w:szCs w:val="18"/>
          <w:color w:val="auto"/>
        </w:rPr>
      </w:pPr>
    </w:p>
    <w:p>
      <w:pPr>
        <w:ind w:left="660" w:right="340" w:firstLine="645"/>
        <w:spacing w:after="0" w:line="259" w:lineRule="auto"/>
        <w:tabs>
          <w:tab w:leader="none" w:pos="20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the 11.00% Senior Notes due 2024 issued by the Issuer under the Indenture.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Issuer or a Guarantor, as appropriate, by two of its Officers, one of whom, in the case of any Officers’ Certificate delivered pursuant to Section 1004, must be the principal/chief executive officer, the principal/chief financial officer or the principal/chief accounting officer of the Issuer, that meets the requirements of Section 102 hereof.</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when used with respect to the Notes, means, as of the date of determination, all Notes theretofore authenticated and delivered under the Indenture, except:</w:t>
      </w:r>
    </w:p>
    <w:p>
      <w:pPr>
        <w:spacing w:after="0" w:line="170" w:lineRule="exact"/>
        <w:rPr>
          <w:sz w:val="20"/>
          <w:szCs w:val="20"/>
          <w:color w:val="auto"/>
        </w:rPr>
      </w:pPr>
    </w:p>
    <w:p>
      <w:pPr>
        <w:ind w:left="2000" w:hanging="695"/>
        <w:spacing w:after="0"/>
        <w:tabs>
          <w:tab w:leader="none" w:pos="2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225" w:lineRule="exact"/>
        <w:rPr>
          <w:rFonts w:ascii="Arial" w:cs="Arial" w:eastAsia="Arial" w:hAnsi="Arial"/>
          <w:sz w:val="18"/>
          <w:szCs w:val="18"/>
          <w:color w:val="auto"/>
        </w:rPr>
      </w:pPr>
    </w:p>
    <w:p>
      <w:pPr>
        <w:ind w:left="660" w:right="60" w:firstLine="645"/>
        <w:spacing w:after="0" w:line="279" w:lineRule="auto"/>
        <w:tabs>
          <w:tab w:leader="none" w:pos="201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Notes are to be redeemed, notice of such redemption has been duly given pursuant to the Indenture or provision therefor satisfactory to the Trustee has been made;</w:t>
      </w:r>
    </w:p>
    <w:p>
      <w:pPr>
        <w:spacing w:after="0" w:line="171" w:lineRule="exact"/>
        <w:rPr>
          <w:rFonts w:ascii="Arial" w:cs="Arial" w:eastAsia="Arial" w:hAnsi="Arial"/>
          <w:sz w:val="17"/>
          <w:szCs w:val="17"/>
          <w:color w:val="auto"/>
        </w:rPr>
      </w:pPr>
    </w:p>
    <w:p>
      <w:pPr>
        <w:ind w:left="2000" w:hanging="695"/>
        <w:spacing w:after="0"/>
        <w:tabs>
          <w:tab w:leader="none" w:pos="20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Notes as to which Legal Defeasance has been effected pursuant to Section 1302; and</w:t>
      </w:r>
    </w:p>
    <w:p>
      <w:pPr>
        <w:spacing w:after="0" w:line="225" w:lineRule="exact"/>
        <w:rPr>
          <w:rFonts w:ascii="Arial" w:cs="Arial" w:eastAsia="Arial" w:hAnsi="Arial"/>
          <w:sz w:val="18"/>
          <w:szCs w:val="18"/>
          <w:color w:val="auto"/>
        </w:rPr>
      </w:pPr>
    </w:p>
    <w:p>
      <w:pPr>
        <w:ind w:right="140" w:firstLine="656"/>
        <w:spacing w:after="0" w:line="276" w:lineRule="auto"/>
        <w:tabs>
          <w:tab w:leader="none" w:pos="135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Notes which have been paid pursuant to Section 306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 “</w:t>
      </w:r>
      <w:r>
        <w:rPr>
          <w:rFonts w:ascii="Arial" w:cs="Arial" w:eastAsia="Arial" w:hAnsi="Arial"/>
          <w:sz w:val="17"/>
          <w:szCs w:val="17"/>
          <w:i w:val="1"/>
          <w:iCs w:val="1"/>
          <w:color w:val="auto"/>
        </w:rPr>
        <w:t>Parent Guarantor</w:t>
      </w:r>
      <w:r>
        <w:rPr>
          <w:rFonts w:ascii="Arial" w:cs="Arial" w:eastAsia="Arial" w:hAnsi="Arial"/>
          <w:sz w:val="17"/>
          <w:szCs w:val="17"/>
          <w:color w:val="auto"/>
        </w:rPr>
        <w:t>” means the Person named as the “Parent Guarantor” in the first paragraph of the Indenture until a successor Person shall have become such pursuant to the applicable provisions of the Indenture, and thereafter “Parent Guarantor” shall mean such successor Person.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Paying Agent</w:t>
      </w:r>
      <w:r>
        <w:rPr>
          <w:rFonts w:ascii="Arial" w:cs="Arial" w:eastAsia="Arial" w:hAnsi="Arial"/>
          <w:sz w:val="16"/>
          <w:szCs w:val="16"/>
          <w:color w:val="auto"/>
        </w:rPr>
        <w:t>” means any Person authorized by the Issuer to pay the principal of or any premium or interest on any Notes on behalf of the Issuer.</w:t>
      </w:r>
    </w:p>
    <w:p>
      <w:pPr>
        <w:spacing w:after="0" w:line="248"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in any Person (other than an Unrestricted Subsidiary)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Capital Research and Management Company and its affiliates, on behalf of certain managed funds and accounts and Franklin Advisers, Inc., as investment manager on behalf of certain funds and accounts.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Section 1008.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225" w:lineRule="exact"/>
        <w:rPr>
          <w:sz w:val="20"/>
          <w:szCs w:val="20"/>
          <w:color w:val="auto"/>
        </w:rPr>
      </w:pPr>
    </w:p>
    <w:p>
      <w:pPr>
        <w:jc w:val="both"/>
        <w:ind w:left="660" w:right="400" w:firstLine="645"/>
        <w:spacing w:after="0" w:line="259" w:lineRule="auto"/>
        <w:tabs>
          <w:tab w:leader="none" w:pos="20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20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Parent Guarantor and its Restricted Subsidiaries in the ordinary course of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4" w:name="page95"/>
    <w:bookmarkEnd w:id="94"/>
    <w:p>
      <w:pPr>
        <w:ind w:right="280" w:firstLine="645"/>
        <w:spacing w:after="0" w:line="277" w:lineRule="auto"/>
        <w:tabs>
          <w:tab w:leader="none" w:pos="13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170" w:lineRule="exact"/>
        <w:rPr>
          <w:rFonts w:ascii="Arial" w:cs="Arial" w:eastAsia="Arial" w:hAnsi="Arial"/>
          <w:sz w:val="18"/>
          <w:szCs w:val="18"/>
          <w:color w:val="auto"/>
        </w:rPr>
      </w:pPr>
    </w:p>
    <w:p>
      <w:pPr>
        <w:ind w:left="1400" w:hanging="755"/>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right="140" w:firstLine="645"/>
        <w:spacing w:after="0" w:line="264" w:lineRule="auto"/>
        <w:tabs>
          <w:tab w:leader="none" w:pos="13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trade terms may include such concessionary trade terms as the Parent Guarantor or any such Restricted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deems reasonable under the circumstances;</w:t>
      </w:r>
    </w:p>
    <w:p>
      <w:pPr>
        <w:spacing w:after="0" w:line="181" w:lineRule="exact"/>
        <w:rPr>
          <w:rFonts w:ascii="Arial" w:cs="Arial" w:eastAsia="Arial" w:hAnsi="Arial"/>
          <w:sz w:val="18"/>
          <w:szCs w:val="18"/>
          <w:color w:val="auto"/>
        </w:rPr>
      </w:pPr>
    </w:p>
    <w:p>
      <w:pPr>
        <w:ind w:right="220" w:firstLine="645"/>
        <w:spacing w:after="0" w:line="264" w:lineRule="auto"/>
        <w:tabs>
          <w:tab w:leader="none" w:pos="13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81" w:lineRule="exact"/>
        <w:rPr>
          <w:rFonts w:ascii="Arial" w:cs="Arial" w:eastAsia="Arial" w:hAnsi="Arial"/>
          <w:sz w:val="18"/>
          <w:szCs w:val="18"/>
          <w:color w:val="auto"/>
        </w:rPr>
      </w:pPr>
    </w:p>
    <w:p>
      <w:pPr>
        <w:ind w:firstLine="645"/>
        <w:spacing w:after="0" w:line="277" w:lineRule="auto"/>
        <w:tabs>
          <w:tab w:leader="none" w:pos="13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70" w:lineRule="exact"/>
        <w:rPr>
          <w:rFonts w:ascii="Arial" w:cs="Arial" w:eastAsia="Arial" w:hAnsi="Arial"/>
          <w:sz w:val="18"/>
          <w:szCs w:val="18"/>
          <w:color w:val="auto"/>
        </w:rPr>
      </w:pPr>
    </w:p>
    <w:p>
      <w:pPr>
        <w:ind w:left="1400" w:hanging="755"/>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225" w:lineRule="exact"/>
        <w:rPr>
          <w:rFonts w:ascii="Arial" w:cs="Arial" w:eastAsia="Arial" w:hAnsi="Arial"/>
          <w:sz w:val="18"/>
          <w:szCs w:val="18"/>
          <w:color w:val="auto"/>
        </w:rPr>
      </w:pPr>
    </w:p>
    <w:p>
      <w:pPr>
        <w:ind w:left="1400" w:hanging="755"/>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right="140" w:firstLine="645"/>
        <w:spacing w:after="0" w:line="277" w:lineRule="auto"/>
        <w:tabs>
          <w:tab w:leader="none" w:pos="13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170" w:lineRule="exact"/>
        <w:rPr>
          <w:rFonts w:ascii="Arial" w:cs="Arial" w:eastAsia="Arial" w:hAnsi="Arial"/>
          <w:sz w:val="18"/>
          <w:szCs w:val="18"/>
          <w:color w:val="auto"/>
        </w:rPr>
      </w:pPr>
    </w:p>
    <w:p>
      <w:pPr>
        <w:ind w:left="1400" w:hanging="755"/>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225" w:lineRule="exact"/>
        <w:rPr>
          <w:rFonts w:ascii="Arial" w:cs="Arial" w:eastAsia="Arial" w:hAnsi="Arial"/>
          <w:sz w:val="18"/>
          <w:szCs w:val="18"/>
          <w:color w:val="auto"/>
        </w:rPr>
      </w:pPr>
    </w:p>
    <w:p>
      <w:pPr>
        <w:ind w:left="1400" w:hanging="755"/>
        <w:spacing w:after="0"/>
        <w:tabs>
          <w:tab w:leader="none" w:pos="14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guarantees of Indebtedness of the Parent Guarantor or any of its Restricted Subsidiaries permitted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1008;</w:t>
      </w:r>
    </w:p>
    <w:p>
      <w:pPr>
        <w:spacing w:after="0" w:line="211" w:lineRule="exact"/>
        <w:rPr>
          <w:sz w:val="20"/>
          <w:szCs w:val="20"/>
          <w:color w:val="auto"/>
        </w:rPr>
      </w:pPr>
    </w:p>
    <w:p>
      <w:pPr>
        <w:ind w:left="1400" w:hanging="755"/>
        <w:spacing w:after="0"/>
        <w:tabs>
          <w:tab w:leader="none" w:pos="14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repurchases of, or other Investments in, the Notes, Secured Indebtedness, and Pari Passu Indebtedness;</w:t>
      </w:r>
    </w:p>
    <w:p>
      <w:pPr>
        <w:spacing w:after="0" w:line="225" w:lineRule="exact"/>
        <w:rPr>
          <w:rFonts w:ascii="Arial" w:cs="Arial" w:eastAsia="Arial" w:hAnsi="Arial"/>
          <w:sz w:val="18"/>
          <w:szCs w:val="18"/>
          <w:color w:val="auto"/>
        </w:rPr>
      </w:pPr>
    </w:p>
    <w:p>
      <w:pPr>
        <w:ind w:right="40" w:firstLine="645"/>
        <w:spacing w:after="0" w:line="259" w:lineRule="auto"/>
        <w:tabs>
          <w:tab w:leader="none" w:pos="139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186" w:lineRule="exact"/>
        <w:rPr>
          <w:rFonts w:ascii="Arial" w:cs="Arial" w:eastAsia="Arial" w:hAnsi="Arial"/>
          <w:sz w:val="18"/>
          <w:szCs w:val="18"/>
          <w:color w:val="auto"/>
        </w:rPr>
      </w:pPr>
    </w:p>
    <w:p>
      <w:pPr>
        <w:ind w:left="1400" w:hanging="755"/>
        <w:spacing w:after="0"/>
        <w:tabs>
          <w:tab w:leader="none" w:pos="14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95" w:name="page96"/>
    <w:bookmarkEnd w:id="95"/>
    <w:p>
      <w:pPr>
        <w:ind w:left="660" w:right="620" w:firstLine="645"/>
        <w:spacing w:after="0" w:line="264" w:lineRule="auto"/>
        <w:tabs>
          <w:tab w:leader="none" w:pos="205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Equity Interests)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Equity Interests will not increase the amount available for Restricted Payments under the Restricted Payments Basket;</w:t>
      </w:r>
    </w:p>
    <w:p>
      <w:pPr>
        <w:spacing w:after="0" w:line="181" w:lineRule="exact"/>
        <w:rPr>
          <w:rFonts w:ascii="Arial" w:cs="Arial" w:eastAsia="Arial" w:hAnsi="Arial"/>
          <w:sz w:val="18"/>
          <w:szCs w:val="18"/>
          <w:color w:val="auto"/>
        </w:rPr>
      </w:pPr>
    </w:p>
    <w:p>
      <w:pPr>
        <w:ind w:left="2060" w:hanging="755"/>
        <w:spacing w:after="0"/>
        <w:tabs>
          <w:tab w:leader="none" w:pos="20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other Persons;</w:t>
      </w:r>
    </w:p>
    <w:p>
      <w:pPr>
        <w:spacing w:after="0" w:line="210" w:lineRule="exact"/>
        <w:rPr>
          <w:rFonts w:ascii="Arial" w:cs="Arial" w:eastAsia="Arial" w:hAnsi="Arial"/>
          <w:sz w:val="17"/>
          <w:szCs w:val="17"/>
          <w:color w:val="auto"/>
        </w:rPr>
      </w:pPr>
    </w:p>
    <w:p>
      <w:pPr>
        <w:ind w:left="660" w:right="200" w:firstLine="645"/>
        <w:spacing w:after="0" w:line="259" w:lineRule="auto"/>
        <w:tabs>
          <w:tab w:leader="none" w:pos="205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$100 million and (ii) 1.0% of the Parent Guarantor’s Consolidated Tangible Assets; and</w:t>
      </w:r>
    </w:p>
    <w:p>
      <w:pPr>
        <w:spacing w:after="0" w:line="186" w:lineRule="exact"/>
        <w:rPr>
          <w:rFonts w:ascii="Arial" w:cs="Arial" w:eastAsia="Arial" w:hAnsi="Arial"/>
          <w:sz w:val="18"/>
          <w:szCs w:val="18"/>
          <w:color w:val="auto"/>
        </w:rPr>
      </w:pPr>
    </w:p>
    <w:p>
      <w:pPr>
        <w:ind w:left="660" w:right="800" w:firstLine="645"/>
        <w:spacing w:after="0" w:line="277" w:lineRule="auto"/>
        <w:tabs>
          <w:tab w:leader="none" w:pos="205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Section 1009.</w:t>
      </w:r>
    </w:p>
    <w:p>
      <w:pPr>
        <w:spacing w:after="0" w:line="170" w:lineRule="exact"/>
        <w:rPr>
          <w:sz w:val="20"/>
          <w:szCs w:val="20"/>
          <w:color w:val="auto"/>
        </w:rPr>
      </w:pPr>
    </w:p>
    <w:p>
      <w:pPr>
        <w:ind w:right="40"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(ix) any Lien upon any property or assets in accordance with customary banking practice to secure any Indebtedness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 or</w:t>
      </w:r>
    </w:p>
    <w:p>
      <w:pPr>
        <w:spacing w:after="0" w:line="13" w:lineRule="exact"/>
        <w:rPr>
          <w:sz w:val="20"/>
          <w:szCs w:val="20"/>
          <w:color w:val="auto"/>
        </w:rPr>
      </w:pPr>
    </w:p>
    <w:p>
      <w:pPr>
        <w:ind w:right="20" w:firstLine="8"/>
        <w:spacing w:after="0" w:line="252" w:lineRule="auto"/>
        <w:tabs>
          <w:tab w:leader="none" w:pos="3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additional Liens securing obligations not to exceed the greater of (a) $125 million and (b) 1.0% of the Parent Guarantor’s Consolidated Tangible Assets at any one time; (xiii)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Issuer, the Parent Guarantor or any other Guarantor hereto; and (xiv)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6" w:name="page97"/>
    <w:bookmarkEnd w:id="96"/>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means the place or places where the principal of and any premium and interest on the Notes are payable as specified in Section 1002.</w:t>
      </w:r>
    </w:p>
    <w:p>
      <w:pPr>
        <w:spacing w:after="0" w:line="17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306 in exchange for or in lieu of a mutilated, destroyed, lost or stolen Note shall be deemed to evidence the same debt as the mutilated, destroyed, lost or stolen Note.</w:t>
      </w:r>
    </w:p>
    <w:p>
      <w:pPr>
        <w:spacing w:after="0" w:line="166"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shares or other Equity Interests (however designated) of such Person whether now outstanding or issued after the Issue Date that is preferred as to the payment of dividends upon liquidation, dissolution or winding 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 has the meaning specified in Section 112.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7" w:name="page98"/>
    <w:bookmarkEnd w:id="97"/>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Date,</w:t>
      </w:r>
      <w:r>
        <w:rPr>
          <w:rFonts w:ascii="Arial" w:cs="Arial" w:eastAsia="Arial" w:hAnsi="Arial"/>
          <w:sz w:val="16"/>
          <w:szCs w:val="16"/>
          <w:color w:val="auto"/>
        </w:rPr>
        <w:t>” when used with respect to any Note to be redeemed, means the date fixed for such redemption by or pursuant to the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the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Section 1006.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ind w:left="660" w:right="840" w:firstLine="645"/>
        <w:spacing w:after="0" w:line="291" w:lineRule="auto"/>
        <w:tabs>
          <w:tab w:leader="none" w:pos="20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amalgamation, merger, plan or scheme of arrangement, exchange offer, business combination, reincorporation, reorganization, consolidation or similar action of the Weatherford Parent Company with or into any other person (as such term is used in</w:t>
      </w:r>
    </w:p>
    <w:p>
      <w:pPr>
        <w:ind w:left="66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98" w:name="page99"/>
    <w:bookmarkEnd w:id="98"/>
    <w:p>
      <w:pPr>
        <w:ind w:left="660" w:right="160" w:firstLine="645"/>
        <w:spacing w:after="0" w:line="264" w:lineRule="auto"/>
        <w:tabs>
          <w:tab w:leader="none" w:pos="20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20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ind w:left="660" w:right="360" w:firstLine="645"/>
        <w:spacing w:after="0" w:line="264" w:lineRule="auto"/>
        <w:tabs>
          <w:tab w:leader="none" w:pos="20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20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any such case, the “</w:t>
      </w:r>
      <w:r>
        <w:rPr>
          <w:rFonts w:ascii="Arial" w:cs="Arial" w:eastAsia="Arial" w:hAnsi="Arial"/>
          <w:sz w:val="18"/>
          <w:szCs w:val="18"/>
          <w:i w:val="1"/>
          <w:iCs w:val="1"/>
          <w:color w:val="auto"/>
        </w:rPr>
        <w:t>Surviving Person</w:t>
      </w:r>
      <w:r>
        <w:rPr>
          <w:rFonts w:ascii="Arial" w:cs="Arial" w:eastAsia="Arial" w:hAnsi="Arial"/>
          <w:sz w:val="18"/>
          <w:szCs w:val="18"/>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Refinancing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1" w:lineRule="exact"/>
        <w:rPr>
          <w:sz w:val="20"/>
          <w:szCs w:val="20"/>
          <w:color w:val="auto"/>
        </w:rPr>
      </w:pPr>
    </w:p>
    <w:p>
      <w:pPr>
        <w:ind w:left="660" w:right="120" w:firstLine="645"/>
        <w:spacing w:after="0" w:line="302" w:lineRule="auto"/>
        <w:tabs>
          <w:tab w:leader="none" w:pos="205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99" w:name="page100"/>
    <w:bookmarkEnd w:id="99"/>
    <w:p>
      <w:pPr>
        <w:jc w:val="both"/>
        <w:ind w:left="660" w:right="180" w:firstLine="645"/>
        <w:spacing w:after="0" w:line="264" w:lineRule="auto"/>
        <w:tabs>
          <w:tab w:leader="none" w:pos="20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1014;</w:t>
      </w:r>
    </w:p>
    <w:p>
      <w:pPr>
        <w:spacing w:after="0" w:line="181" w:lineRule="exact"/>
        <w:rPr>
          <w:rFonts w:ascii="Arial" w:cs="Arial" w:eastAsia="Arial" w:hAnsi="Arial"/>
          <w:sz w:val="18"/>
          <w:szCs w:val="18"/>
          <w:color w:val="auto"/>
        </w:rPr>
      </w:pPr>
    </w:p>
    <w:p>
      <w:pPr>
        <w:jc w:val="both"/>
        <w:ind w:left="660" w:right="320" w:firstLine="645"/>
        <w:spacing w:after="0" w:line="264" w:lineRule="auto"/>
        <w:tabs>
          <w:tab w:leader="none" w:pos="20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1" w:lineRule="exact"/>
        <w:rPr>
          <w:rFonts w:ascii="Arial" w:cs="Arial" w:eastAsia="Arial" w:hAnsi="Arial"/>
          <w:sz w:val="18"/>
          <w:szCs w:val="18"/>
          <w:color w:val="auto"/>
        </w:rPr>
      </w:pPr>
    </w:p>
    <w:p>
      <w:pPr>
        <w:ind w:left="660" w:right="580" w:firstLine="645"/>
        <w:spacing w:after="0" w:line="277" w:lineRule="auto"/>
        <w:tabs>
          <w:tab w:leader="none" w:pos="20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170" w:lineRule="exact"/>
        <w:rPr>
          <w:rFonts w:ascii="Arial" w:cs="Arial" w:eastAsia="Arial" w:hAnsi="Arial"/>
          <w:sz w:val="18"/>
          <w:szCs w:val="18"/>
          <w:color w:val="auto"/>
        </w:rPr>
      </w:pPr>
    </w:p>
    <w:p>
      <w:pPr>
        <w:jc w:val="both"/>
        <w:ind w:left="660" w:right="60" w:firstLine="645"/>
        <w:spacing w:after="0" w:line="312" w:lineRule="auto"/>
        <w:tabs>
          <w:tab w:leader="none" w:pos="205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for the interest payable on any Interest Payment Date on the Notes means the date specified for that purpose as contemplated by Section 301.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225" w:lineRule="exact"/>
        <w:rPr>
          <w:sz w:val="20"/>
          <w:szCs w:val="20"/>
          <w:color w:val="auto"/>
        </w:rPr>
      </w:pPr>
    </w:p>
    <w:p>
      <w:pPr>
        <w:ind w:left="660" w:firstLine="645"/>
        <w:spacing w:after="0" w:line="259" w:lineRule="auto"/>
        <w:tabs>
          <w:tab w:leader="none" w:pos="20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taxes are in fact paid) by any Successor Parent by virtue of its:</w:t>
      </w:r>
    </w:p>
    <w:p>
      <w:pPr>
        <w:spacing w:after="0" w:line="186" w:lineRule="exact"/>
        <w:rPr>
          <w:rFonts w:ascii="Arial" w:cs="Arial" w:eastAsia="Arial" w:hAnsi="Arial"/>
          <w:sz w:val="18"/>
          <w:szCs w:val="18"/>
          <w:color w:val="auto"/>
        </w:rPr>
      </w:pPr>
    </w:p>
    <w:p>
      <w:pPr>
        <w:ind w:left="1300" w:right="160" w:firstLine="743"/>
        <w:spacing w:after="0" w:line="342" w:lineRule="auto"/>
        <w:tabs>
          <w:tab w:leader="none" w:pos="277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23" w:lineRule="exact"/>
        <w:rPr>
          <w:rFonts w:ascii="Arial" w:cs="Arial" w:eastAsia="Arial" w:hAnsi="Arial"/>
          <w:sz w:val="16"/>
          <w:szCs w:val="16"/>
          <w:color w:val="auto"/>
        </w:rPr>
      </w:pPr>
    </w:p>
    <w:p>
      <w:pPr>
        <w:ind w:left="2800" w:hanging="757"/>
        <w:spacing w:after="0"/>
        <w:tabs>
          <w:tab w:leader="none" w:pos="28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being a holding company parent, directly or indirectly, of the Parent Guarantor or any of the Parent Guarantor’s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0" w:name="page101"/>
    <w:bookmarkEnd w:id="100"/>
    <w:p>
      <w:pPr>
        <w:ind w:left="1300" w:right="280" w:firstLine="743"/>
        <w:spacing w:after="0" w:line="277" w:lineRule="auto"/>
        <w:tabs>
          <w:tab w:leader="none" w:pos="277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170" w:lineRule="exact"/>
        <w:rPr>
          <w:rFonts w:ascii="Arial" w:cs="Arial" w:eastAsia="Arial" w:hAnsi="Arial"/>
          <w:sz w:val="18"/>
          <w:szCs w:val="18"/>
          <w:color w:val="auto"/>
        </w:rPr>
      </w:pPr>
    </w:p>
    <w:p>
      <w:pPr>
        <w:ind w:left="1300" w:right="820" w:firstLine="743"/>
        <w:spacing w:after="0" w:line="308" w:lineRule="auto"/>
        <w:tabs>
          <w:tab w:leader="none" w:pos="278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having made any payment in respect to any of the items for which the Parent Guarantor or any of the Parent Guarantor’s Subsidiaries is permitted to make payments to any Successor Parent pursuant to Section 1009; and</w:t>
      </w:r>
    </w:p>
    <w:p>
      <w:pPr>
        <w:spacing w:after="0" w:line="146" w:lineRule="exact"/>
        <w:rPr>
          <w:rFonts w:ascii="Arial" w:cs="Arial" w:eastAsia="Arial" w:hAnsi="Arial"/>
          <w:sz w:val="17"/>
          <w:szCs w:val="17"/>
          <w:color w:val="auto"/>
        </w:rPr>
      </w:pPr>
    </w:p>
    <w:p>
      <w:pPr>
        <w:ind w:left="660" w:right="60" w:firstLine="645"/>
        <w:spacing w:after="0" w:line="297" w:lineRule="auto"/>
        <w:tabs>
          <w:tab w:leader="none" w:pos="205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 has the meaning specified in Section 117.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Resale Restriction Termination Date</w:t>
      </w:r>
      <w:r>
        <w:rPr>
          <w:rFonts w:ascii="Arial" w:cs="Arial" w:eastAsia="Arial" w:hAnsi="Arial"/>
          <w:sz w:val="18"/>
          <w:szCs w:val="18"/>
          <w:color w:val="auto"/>
        </w:rPr>
        <w:t>” has the meaning specified in Section 311.</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the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w:t>
      </w:r>
      <w:r>
        <w:rPr>
          <w:rFonts w:ascii="Arial" w:cs="Arial" w:eastAsia="Arial" w:hAnsi="Arial"/>
          <w:sz w:val="18"/>
          <w:szCs w:val="18"/>
          <w:color w:val="auto"/>
        </w:rPr>
        <w:t>” means any Notes required to bear the Restricted Notes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has the meaning specified in Section 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225" w:lineRule="exact"/>
        <w:rPr>
          <w:sz w:val="20"/>
          <w:szCs w:val="20"/>
          <w:color w:val="auto"/>
        </w:rPr>
      </w:pPr>
    </w:p>
    <w:p>
      <w:pPr>
        <w:ind w:left="660" w:firstLine="645"/>
        <w:spacing w:after="0" w:line="272" w:lineRule="auto"/>
        <w:tabs>
          <w:tab w:leader="none" w:pos="20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1" w:name="page102"/>
    <w:bookmarkEnd w:id="101"/>
    <w:p>
      <w:pPr>
        <w:ind w:left="660" w:right="140" w:firstLine="645"/>
        <w:spacing w:after="0" w:line="286" w:lineRule="auto"/>
        <w:tabs>
          <w:tab w:leader="none" w:pos="205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65" w:lineRule="exact"/>
        <w:rPr>
          <w:rFonts w:ascii="Arial" w:cs="Arial" w:eastAsia="Arial" w:hAnsi="Arial"/>
          <w:sz w:val="17"/>
          <w:szCs w:val="17"/>
          <w:color w:val="auto"/>
        </w:rPr>
      </w:pPr>
    </w:p>
    <w:p>
      <w:pPr>
        <w:ind w:left="2060" w:hanging="755"/>
        <w:spacing w:after="0"/>
        <w:tabs>
          <w:tab w:leader="none" w:pos="2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225" w:lineRule="exact"/>
        <w:rPr>
          <w:rFonts w:ascii="Arial" w:cs="Arial" w:eastAsia="Arial" w:hAnsi="Arial"/>
          <w:sz w:val="18"/>
          <w:szCs w:val="18"/>
          <w:color w:val="auto"/>
        </w:rPr>
      </w:pPr>
    </w:p>
    <w:p>
      <w:pPr>
        <w:ind w:left="660" w:right="80" w:firstLine="645"/>
        <w:spacing w:after="0" w:line="257" w:lineRule="auto"/>
        <w:tabs>
          <w:tab w:leader="none" w:pos="20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Section 1009.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 has the meaning specified in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Secured Indebtedness</w:t>
      </w:r>
      <w:r>
        <w:rPr>
          <w:rFonts w:ascii="Arial" w:cs="Arial" w:eastAsia="Arial" w:hAnsi="Arial"/>
          <w:sz w:val="17"/>
          <w:szCs w:val="17"/>
          <w:color w:val="auto"/>
        </w:rPr>
        <w:t>” means all Indebtedness of the Parent Guarantor or any of its Restricted Subsidiaries outstanding under the Credit Agreements or otherwise secured by a Lien permitted hereunder, in each case, together with all obligations with respect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Custodian</w:t>
      </w:r>
      <w:r>
        <w:rPr>
          <w:rFonts w:ascii="Arial" w:cs="Arial" w:eastAsia="Arial" w:hAnsi="Arial"/>
          <w:sz w:val="18"/>
          <w:szCs w:val="18"/>
          <w:color w:val="auto"/>
        </w:rPr>
        <w:t>” means the custodian with respect to a Global Note (as appointed by the Depositary), or any successor Person thereto and shall initially be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Register</w:t>
      </w:r>
      <w:r>
        <w:rPr>
          <w:rFonts w:ascii="Arial" w:cs="Arial" w:eastAsia="Arial" w:hAnsi="Arial"/>
          <w:sz w:val="18"/>
          <w:szCs w:val="18"/>
          <w:color w:val="auto"/>
        </w:rPr>
        <w:t>” and “</w:t>
      </w:r>
      <w:r>
        <w:rPr>
          <w:rFonts w:ascii="Arial" w:cs="Arial" w:eastAsia="Arial" w:hAnsi="Arial"/>
          <w:sz w:val="18"/>
          <w:szCs w:val="18"/>
          <w:i w:val="1"/>
          <w:iCs w:val="1"/>
          <w:color w:val="auto"/>
        </w:rPr>
        <w:t>Registrar</w:t>
      </w:r>
      <w:r>
        <w:rPr>
          <w:rFonts w:ascii="Arial" w:cs="Arial" w:eastAsia="Arial" w:hAnsi="Arial"/>
          <w:sz w:val="18"/>
          <w:szCs w:val="18"/>
          <w:color w:val="auto"/>
        </w:rPr>
        <w:t>” have the respective meanings specified in Section 305.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Specified Holders</w:t>
      </w:r>
      <w:r>
        <w:rPr>
          <w:rFonts w:ascii="Arial" w:cs="Arial" w:eastAsia="Arial" w:hAnsi="Arial"/>
          <w:sz w:val="17"/>
          <w:szCs w:val="17"/>
          <w:color w:val="auto"/>
        </w:rPr>
        <w:t>” means any Person that is both (a) not the Issuer or any Guarantor or any Person directly or indirectly controlled by the Issuer or any Guarantor and (b) (1) a Permitted Holder, (2) any controlling stockholder, controlling member, general partner, majority owned Subsidiary, or spouse or immediate family member (in the case of an individual) of any Specified Holder, (3) any estate, trust, corporation, partnership or other entity, the beneficiaries, stockholders, partners, owners or Persons holding a controlling interest of which consist solely of one or more Persons referred to in the immediately preceding clauses (1) and (2), (4) any executor, administrator, trustee, manager, director or other similar fiduciary of any Person referred to in the immediately preceding clause (3) acting solely in such capacity, (5) any investment fund or other entity controlled by, or under common control with, a Specified Holder or the principals that control a Specified Holder, or (6) upon the liquidation of any entity of the type described in the immediately preceding clause (5), the former partners or beneficial owners thereof.</w:t>
      </w:r>
    </w:p>
    <w:p>
      <w:pPr>
        <w:spacing w:after="0" w:line="17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660" w:right="100" w:firstLine="645"/>
        <w:spacing w:after="0" w:line="277" w:lineRule="auto"/>
        <w:tabs>
          <w:tab w:leader="none" w:pos="20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3" w:name="page104"/>
    <w:bookmarkEnd w:id="103"/>
    <w:p>
      <w:pPr>
        <w:ind w:left="660" w:right="340" w:firstLine="645"/>
        <w:spacing w:after="0" w:line="277" w:lineRule="auto"/>
        <w:tabs>
          <w:tab w:leader="none" w:pos="20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Person named as a “Subsidiary Guarantor” in the first paragraph of the Indenture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 has the meaning set forth in Section 801.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 has the meaning set forth in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 has the meaning set forth in Section 1015.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Financial Institution</w:t>
      </w:r>
      <w:r>
        <w:rPr>
          <w:rFonts w:ascii="Arial" w:cs="Arial" w:eastAsia="Arial" w:hAnsi="Arial"/>
          <w:sz w:val="18"/>
          <w:szCs w:val="18"/>
          <w:color w:val="auto"/>
        </w:rPr>
        <w:t>” has the meaning specified in Section 1001.</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of similar market data)) most nearly equal to the period from the redemption date to December 1, 2021;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period is not equal to the constant maturity of a United States Treasury security for which a weekly average yield is given, the Issuer shall obtain the Treasury Rate by linear interpolation (calculated to the nearest one-twelfth of a year) from the weekly average yields of United States Treasury securities for which such yields are given, except that if the period from the redemption date to December 1, 2021 is less than one year, the weekly average yield on actually traded United States Treasury securities adjusted to a constant maturity of one year shall be used. The Issuer will (a) calculate the Treasury Rate on the second Business Day preceding the applicable redemption date and (b) prior to such redemption date file with the Trustee an Officers’ Certificate setting forth the Make Whole Premium and the Treasury Rate and showing the calculation of each in reasonable detail.</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means the Trust Indenture Act of 1939 as in force at the date as of which the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4" w:name="page105"/>
    <w:bookmarkEnd w:id="104"/>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w:t>
      </w:r>
      <w:r>
        <w:rPr>
          <w:rFonts w:ascii="Arial" w:cs="Arial" w:eastAsia="Arial" w:hAnsi="Arial"/>
          <w:sz w:val="17"/>
          <w:szCs w:val="17"/>
          <w:color w:val="auto"/>
        </w:rPr>
        <w:t>” means the Person named as the “Trustee” in the first paragraph of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Section 1006 and (2) any Subsidiary of an Unrestricted Subsidiary. Notwithstanding the preceding, if at any time, any Unrestricted Subsidiary would fail to meet the requirements as an Unrestricted Subsidiary in Section 1006, it shall thereafter cease to be an Unrestricted Subsidiary for purposes of the Indenture.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7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Upon any application or request by the Issuer or any Guarantor to the Trustee to take or refrain from taking any action under any provision of the Indenture, the Issuer or such Guarantor, as the case may be, shall furnish to the Trustee such certificates and opinions as may be required under the Trust Indenture Act. Each such certificate or opinion shall be given in the form of an Officers’ Certificate, if to be given by the Issuer or a Guarantor, or an Opinion of Counsel, if to be given by counsel, and shall comply with the requirements of the Trust Indenture Act and any other requirements set forth in the Indenture.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the Indenture shall include,</w:t>
      </w:r>
    </w:p>
    <w:p>
      <w:pPr>
        <w:spacing w:after="0" w:line="225" w:lineRule="exact"/>
        <w:rPr>
          <w:sz w:val="20"/>
          <w:szCs w:val="20"/>
          <w:color w:val="auto"/>
        </w:rPr>
      </w:pPr>
    </w:p>
    <w:p>
      <w:pPr>
        <w:ind w:left="2060" w:hanging="755"/>
        <w:spacing w:after="0"/>
        <w:tabs>
          <w:tab w:leader="none" w:pos="2060"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relating thereto;</w:t>
      </w:r>
    </w:p>
    <w:p>
      <w:pPr>
        <w:spacing w:after="0" w:line="210" w:lineRule="exact"/>
        <w:rPr>
          <w:rFonts w:ascii="Arial" w:cs="Arial" w:eastAsia="Arial" w:hAnsi="Arial"/>
          <w:sz w:val="16"/>
          <w:szCs w:val="16"/>
          <w:color w:val="010000"/>
        </w:rPr>
      </w:pPr>
    </w:p>
    <w:p>
      <w:pPr>
        <w:ind w:left="660" w:right="60" w:firstLine="645"/>
        <w:spacing w:after="0" w:line="277" w:lineRule="auto"/>
        <w:tabs>
          <w:tab w:leader="none" w:pos="2058"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010000"/>
        </w:rPr>
      </w:pPr>
    </w:p>
    <w:p>
      <w:pPr>
        <w:ind w:left="660" w:right="80" w:firstLine="645"/>
        <w:spacing w:after="0" w:line="308" w:lineRule="auto"/>
        <w:tabs>
          <w:tab w:leader="none" w:pos="2058" w:val="left"/>
        </w:tabs>
        <w:numPr>
          <w:ilvl w:val="0"/>
          <w:numId w:val="140"/>
        </w:numPr>
        <w:rPr>
          <w:rFonts w:ascii="Arial" w:cs="Arial" w:eastAsia="Arial" w:hAnsi="Arial"/>
          <w:sz w:val="17"/>
          <w:szCs w:val="17"/>
          <w:color w:val="010000"/>
        </w:rPr>
      </w:pPr>
      <w:r>
        <w:rPr>
          <w:rFonts w:ascii="Arial" w:cs="Arial" w:eastAsia="Arial" w:hAnsi="Arial"/>
          <w:sz w:val="17"/>
          <w:szCs w:val="17"/>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6" w:lineRule="exact"/>
        <w:rPr>
          <w:rFonts w:ascii="Arial" w:cs="Arial" w:eastAsia="Arial" w:hAnsi="Arial"/>
          <w:sz w:val="17"/>
          <w:szCs w:val="17"/>
          <w:color w:val="010000"/>
        </w:rPr>
      </w:pPr>
    </w:p>
    <w:p>
      <w:pPr>
        <w:ind w:left="2060" w:hanging="755"/>
        <w:spacing w:after="0"/>
        <w:tabs>
          <w:tab w:leader="none" w:pos="2060"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a statement as to whether or not, in the opinion of each such individual, such condition or covenant has been complied with.</w:t>
      </w:r>
    </w:p>
    <w:p>
      <w:pPr>
        <w:spacing w:after="0" w:line="248"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Section 103.</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06" w:name="page107"/>
    <w:bookmarkEnd w:id="106"/>
    <w:p>
      <w:pPr>
        <w:spacing w:after="0"/>
        <w:tabs>
          <w:tab w:leader="none" w:pos="13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Acts of Holders; Record Dates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ownership, principal amount and serial numbers of Notes held by any Person, and the date of commencement of such Person’s holding of same, shall be proved by the Security Register.</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106.</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07" w:name="page108"/>
    <w:bookmarkEnd w:id="107"/>
    <w:p>
      <w:pPr>
        <w:ind w:right="200" w:firstLine="648"/>
        <w:spacing w:after="0" w:line="291" w:lineRule="auto"/>
        <w:rPr>
          <w:sz w:val="20"/>
          <w:szCs w:val="20"/>
          <w:color w:val="auto"/>
        </w:rPr>
      </w:pPr>
      <w:r>
        <w:rPr>
          <w:rFonts w:ascii="Arial" w:cs="Arial" w:eastAsia="Arial" w:hAnsi="Arial"/>
          <w:sz w:val="16"/>
          <w:szCs w:val="16"/>
          <w:color w:val="auto"/>
        </w:rPr>
        <w:t>The Trustee may set any day as a record date for the purpose of determining the Holders of Notes entitled to join in the giving or making of (i) any notice of Default, (ii) any declaration of acceleration referred to in Section 502, (iii) any request to institute proceedings referred to in Section 507(2) or</w:t>
      </w:r>
    </w:p>
    <w:p>
      <w:pPr>
        <w:ind w:right="60" w:firstLine="8"/>
        <w:spacing w:after="0" w:line="268" w:lineRule="auto"/>
        <w:tabs>
          <w:tab w:leader="none" w:pos="30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any direction referred to in Section 512.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action shall be effective hereunder unless taken on or prior to the applicable Expiration Date by Holders of the requisite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106.</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change shall be effective unless notice of the proposed new Expiration Date is given to each other party hereto in writing, and to each Holder of Notes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Notices, Etc., to Trustee, Issuer and Guarantors</w:t>
      </w:r>
      <w:r>
        <w:rPr>
          <w:rFonts w:ascii="Arial" w:cs="Arial" w:eastAsia="Arial" w:hAnsi="Arial"/>
          <w:sz w:val="16"/>
          <w:szCs w:val="16"/>
          <w:color w:val="auto"/>
        </w:rPr>
        <w: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other Act of Holders or other document provided or permitted by the Indenture to be made upon, given or furnished to, or filed with,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660" w:right="280" w:firstLine="645"/>
        <w:spacing w:after="0" w:line="277" w:lineRule="auto"/>
        <w:tabs>
          <w:tab w:leader="none" w:pos="2058"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the Trustee by any Holder or by the Issuer or by any Guarantor shall be sufficient for every purpose hereunder if made, given, furnished or filed in writing to or with the Trustee at its Corporate Trust Office, or</w:t>
      </w:r>
    </w:p>
    <w:p>
      <w:pPr>
        <w:spacing w:after="0" w:line="170" w:lineRule="exact"/>
        <w:rPr>
          <w:rFonts w:ascii="Arial" w:cs="Arial" w:eastAsia="Arial" w:hAnsi="Arial"/>
          <w:sz w:val="18"/>
          <w:szCs w:val="18"/>
          <w:color w:val="010000"/>
        </w:rPr>
      </w:pPr>
    </w:p>
    <w:p>
      <w:pPr>
        <w:ind w:left="660" w:firstLine="645"/>
        <w:spacing w:after="0" w:line="259" w:lineRule="auto"/>
        <w:tabs>
          <w:tab w:leader="none" w:pos="2058"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106,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u w:val="single" w:color="auto"/>
          <w:color w:val="auto"/>
        </w:rPr>
        <w:t>Conflict with Trust Indenture Act</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provision of the Indenture limits, qualifies or conflicts, with the duties imposed by Section 318(c) of the Trust Indenture Act, the imposed duties will control. If any provision hereof limits, qualifies or conflicts with a provision of the Trust Indenture Act which is required under the Trust Indenture Act to be a part of and govern the Indenture, such required provision of the Trust Indenture Act shall control. If any provision of the Indenture modifies or excludes any provision of the Trust Indenture Act which may be so modified or excluded, the Trust Indenture Act provision shall be deemed to apply to the Indenture as so modified or shall be excluded, as the case may be.</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Effect of Headings and Table of Contents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9" w:name="page110"/>
    <w:bookmarkEnd w:id="109"/>
    <w:p>
      <w:pPr>
        <w:spacing w:after="0"/>
        <w:tabs>
          <w:tab w:leader="none" w:pos="13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covenants and agreements in the Indenture by the Issuer, the Guarantors or the Trustee shall bind their respective successors and assigns, whether so expressed or not.</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Separability Clause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case any provision in the Indenture or the Notes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Benefits of Indenture</w:t>
      </w:r>
      <w:r>
        <w:rPr>
          <w:rFonts w:ascii="Arial" w:cs="Arial" w:eastAsia="Arial" w:hAnsi="Arial"/>
          <w:sz w:val="16"/>
          <w:szCs w:val="16"/>
          <w:color w:val="auto"/>
        </w:rPr>
        <w:t>.</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shall have all the rights, benefits, protections and immunities afforded by the Indenture to the Trustee in its capacity as such.</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INDENTURE, THE NOTES AND THE GUARANTEES SHALL BE GOVERNED BY AND CONSTRUED IN ACCORDANCE WITH THE LAWS OF THE STATE OF NEW YORK.</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service of process is effected upon the Issuer. Each of the Issuer and the Guarantors hereby irrevocably designates and appoints CT Corporation Systems, New York, New York (the “Process Agent”) as its authorized agent for purposes of this Section 112, it being understood that the designation and appointment of the Process Agent as such authorized agent shall become effective immediately without any further action on the part of the Issuer or such Guarantor, as the case may be. Each of the Issuer and the Guarantors further agrees that, unless otherwise required by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of the Issuer and the Guarantors further agrees to take any and all action, including the execution and filing of any and all such documents and instruments as may be necessary, to continue such designation and appointment of the Process Agent in full force and effect so long as the Issuer or such Guarantor, as the case may be, has any outstanding obligations under the Indenture.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0" w:name="page111"/>
    <w:bookmarkEnd w:id="110"/>
    <w:p>
      <w:pPr>
        <w:spacing w:after="0"/>
        <w:tabs>
          <w:tab w:leader="none" w:pos="134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7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No Personal Liability of Directors, Officers, Employees and Shareholders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spacing w:after="0"/>
        <w:tabs>
          <w:tab w:leader="none" w:pos="134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Payment in Required Currency; Judgment Currency</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u w:val="single" w:color="auto"/>
          <w:color w:val="auto"/>
        </w:rPr>
        <w:t>Language of Notices, Etc</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parties may sign any number of copies of the Indenture, and each party hereto may sign any number of separate copies of the Indenture. Each signed copy shall be an original, but all of them together represent the same agreement. The exchange of copies of the Indenture and of signature pages by facsimile or PDF transmission shall constitute effective execution and delivery of the Indenture as to the parties hereto and may be used in lieu of the original Indenture for all purposes. Signatures of the parties hereto transmitted by facsimile or PDF shall be deemed to be their original signatures for all purposes.</w:t>
      </w:r>
    </w:p>
    <w:p>
      <w:pPr>
        <w:spacing w:after="0" w:line="15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NOTE FORMS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Forms Generally</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Notes and the Trustee’s certificate of authentication shall be in substantially the respective forms set forth in Annex A hereto, and the notations of Guarantee shall be in substantially the form set forth in Annex B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right="300" w:firstLine="648"/>
        <w:spacing w:after="0" w:line="277" w:lineRule="auto"/>
        <w:rPr>
          <w:sz w:val="20"/>
          <w:szCs w:val="20"/>
          <w:color w:val="auto"/>
        </w:rPr>
      </w:pPr>
      <w:r>
        <w:rPr>
          <w:rFonts w:ascii="Arial" w:cs="Arial" w:eastAsia="Arial" w:hAnsi="Arial"/>
          <w:sz w:val="18"/>
          <w:szCs w:val="18"/>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provided in Section 203, the Notes shall be issued initially in the form of one or more Global Notes, which shall be deposited with the Trustee, as Securities Custodian for the Depositary.</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Legends for Notes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Global Note authenticated and delivered under the Indenture shall bear a legend in substantially the following form:</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Unless and until (i) a Note is sold under an effective registration statement, or (ii) as otherwise provided in Section 311, such Note shall bear the following legend (the “Restricted Notes Legend”) on the face thereof</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spacing w:after="0" w:line="254" w:lineRule="auto"/>
        <w:rPr>
          <w:sz w:val="20"/>
          <w:szCs w:val="20"/>
          <w:color w:val="auto"/>
        </w:rPr>
      </w:pPr>
      <w:r>
        <w:rPr>
          <w:rFonts w:ascii="Arial" w:cs="Arial" w:eastAsia="Arial" w:hAnsi="Arial"/>
          <w:sz w:val="18"/>
          <w:szCs w:val="18"/>
          <w:b w:val="1"/>
          <w:bCs w:val="1"/>
          <w:color w:val="auto"/>
        </w:rPr>
        <w:t>THE HOLDER OF THIS NOTE, BY ITS ACCEPTANCE HEREOF, AGREES ON ITS OWN BEHALF AND ON BEHALF OF ANY INVESTOR ACCOUNT FOR WHICH IT HAS PURCHASED NOTES, TO OFFER, SELL, OR OTHERWISE TRANSFER SUCH NOTE, PRIOR TO THE DATE (THE “RESALE RESTRICTION TERMINATION DATE”) THAT IS ONE YEAR AFTER THE LATER OF THE ORIGINAL ISSUE DATE HEREOF AND THE LAST DATE ON WHICH THE ISSUER OR ANY AFFILIATE OF THE ISSUER WAS THE OWNER OF THIS NOTE (OR ANY PREDECESSOR OF SUCH NOTE), ONLY (A) TO THE PARENT GUARANTOR OR ANY SUBSIDIARY THEREOF,</w:t>
      </w:r>
    </w:p>
    <w:p>
      <w:pPr>
        <w:spacing w:after="0" w:line="3" w:lineRule="exact"/>
        <w:rPr>
          <w:sz w:val="20"/>
          <w:szCs w:val="20"/>
          <w:color w:val="auto"/>
        </w:rPr>
      </w:pPr>
    </w:p>
    <w:p>
      <w:pPr>
        <w:jc w:val="both"/>
        <w:ind w:firstLine="8"/>
        <w:spacing w:after="0" w:line="251" w:lineRule="auto"/>
        <w:tabs>
          <w:tab w:leader="none" w:pos="288"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A REGISTRATION STATEMENT THAT HAS BEEN DECLARED EFFECTIVE UNDER THE SECURITIES ACT, (C) FOR SO LONG AS THE NOTES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(E) OR (F) TO REQUIRE THE DELIVERY OF AN OPINION OF COUNSEL, CERTIFICATION, AND/OR OTHER INFORMATION SATISFACTORY TO EACH OF THEM. THIS LEGEND WILL BE REMOVED UPON THE REQUEST OF THE HOLDER AFTER THE RESALE RESTRICTION TERMINATION DATE.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ANY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spacing w:after="0"/>
        <w:tabs>
          <w:tab w:leader="none" w:pos="13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Global Notes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Notes are being issued pursuant to an exercise of rights to acquire the Notes obtained in an offering exempt from registration under the Securities Act in reliance on Section 1145 of the Bankruptcy Law, Section 4(a)(2) of the Securities Act or other applicable exemptions, in the form of one or more permanent Global Notes substantially in the form of Annex A, including appropriate legends as set forth in Section 202, duly executed by the Issuer and authenticated by the Trustee as herein provided and deposited upon issuance with the Trustee, as Securities Custodian. The Global Note may be represented by more than one certificate, if so required by DTC’s rules regarding the maximum principal amount to be represented by a single certificate. The aggregate principal amount of the Global Note may from time to time be increased or decreased by adjustments made on the records of the Trustee, as Securities Custodian, as hereinafter provided.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Title and Terms</w:t>
      </w:r>
      <w:r>
        <w:rPr>
          <w:rFonts w:ascii="Arial" w:cs="Arial" w:eastAsia="Arial" w:hAnsi="Arial"/>
          <w:sz w:val="16"/>
          <w:szCs w:val="16"/>
          <w:color w:val="auto"/>
        </w:rPr>
        <w: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Notes shall be entitled the “11.00% Senior Notes due 2024.” The Trustee shall authenticate and deliver on the Issue Date $2,100,000,000 in aggregate principal amount of the Notes, upon delivery of an Issuer Order.</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Notes will mature on December 1, 2024. Interest on the Notes will accrue at the rate of 11% per annum, and will be payable semiannually in cash on each June 1 and December 1, commencing on June 1, 2020 in the case of the Notes, to the Persons who are registered Holders of Notes at the close of business on November 15 and May 15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54"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Notes shall be redeemable as provided in Article Eleven and subject to Legal Defeasance and Covenant Defeasance as provided in Article Thirteen. The Notes shall have such other terms as are indicated in Annex A.</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Denominations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Notes shall be issuable only in fully registered form without coupons and only in denominations of $2,000 and any integral multiple of $1,000 in excess thereof.</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4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If the Issuer elects to reproduce its corporate seal on the Notes, then such seal may be in the form of a facsimile thereof and may be impressed, affixed, imprinted or otherwise reproduced on the Notes.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right="260" w:firstLine="648"/>
        <w:spacing w:after="0" w:line="264" w:lineRule="auto"/>
        <w:rPr>
          <w:sz w:val="20"/>
          <w:szCs w:val="20"/>
          <w:color w:val="auto"/>
        </w:rPr>
      </w:pPr>
      <w:r>
        <w:rPr>
          <w:rFonts w:ascii="Arial" w:cs="Arial" w:eastAsia="Arial" w:hAnsi="Arial"/>
          <w:sz w:val="18"/>
          <w:szCs w:val="18"/>
          <w:color w:val="auto"/>
        </w:rPr>
        <w:t>At any time and from time to time after the execution and delivery of the Indenture and as provided in Section 301, the Issuer may deliver Notes executed by the Issuer to the Trustee for authentication, together with an Issuer Order for the authentication and delivery of such Notes, and the Trustee in accordance with the Issuer Order shall authenticate and deliver such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309, for all purposes of the Indenture such Note shall be deemed never to have been authenticated and delivered hereunder and shall never be entitled to the benefits of the Indenture.</w:t>
      </w:r>
    </w:p>
    <w:p>
      <w:pPr>
        <w:spacing w:after="0" w:line="17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If temporary Notes are issued, the Issuer will cause definitive Notes in either global or certificated form, as appropriate, in each case, in registered form,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 temporary Notes shall in all respects be entitled to the same benefits under the Indenture as definitive Notes.</w:t>
      </w:r>
    </w:p>
    <w:p>
      <w:pPr>
        <w:spacing w:after="0" w:line="17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Registrar, Global Notes and Definitive Notes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The provisions of clauses (1) through (6) below shall apply only to Global Notes:</w:t>
      </w:r>
    </w:p>
    <w:p>
      <w:pPr>
        <w:spacing w:after="0" w:line="225" w:lineRule="exact"/>
        <w:rPr>
          <w:sz w:val="20"/>
          <w:szCs w:val="20"/>
          <w:color w:val="auto"/>
        </w:rPr>
      </w:pPr>
    </w:p>
    <w:p>
      <w:pPr>
        <w:ind w:right="60" w:firstLine="645"/>
        <w:spacing w:after="0" w:line="270" w:lineRule="auto"/>
        <w:tabs>
          <w:tab w:leader="none" w:pos="135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202. Transfers of a Global Note (but not a beneficial interest therein).will be limited to transfers thereof in whole, but not in part, to the Depositary, its successors or their respective nominees, except as set forth in this Section 305.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77" w:lineRule="exact"/>
        <w:rPr>
          <w:rFonts w:ascii="Arial" w:cs="Arial" w:eastAsia="Arial" w:hAnsi="Arial"/>
          <w:sz w:val="17"/>
          <w:szCs w:val="17"/>
          <w:color w:val="auto"/>
        </w:rPr>
      </w:pPr>
    </w:p>
    <w:p>
      <w:pPr>
        <w:ind w:firstLine="645"/>
        <w:spacing w:after="0" w:line="293" w:lineRule="auto"/>
        <w:tabs>
          <w:tab w:leader="none" w:pos="135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and any agent of the Issuer, the Guarantors or the Trustee as the absolute owner of such Global Note for all purposes whatsoever. Notwithstanding the foregoing, nothing herein shall prevent the Issuer, the Guarantors, the Trustee or any agent of the Issuer, the Guarantors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64" w:lineRule="exact"/>
        <w:rPr>
          <w:rFonts w:ascii="Arial" w:cs="Arial" w:eastAsia="Arial" w:hAnsi="Arial"/>
          <w:sz w:val="16"/>
          <w:szCs w:val="16"/>
          <w:color w:val="auto"/>
        </w:rPr>
      </w:pPr>
    </w:p>
    <w:p>
      <w:pPr>
        <w:ind w:right="140" w:firstLine="645"/>
        <w:spacing w:after="0" w:line="302" w:lineRule="auto"/>
        <w:tabs>
          <w:tab w:leader="none" w:pos="135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connection with any transfer of a portion of the beneficial interest in a Global Note pursuant to this Article Three to beneficial owners who are required to hold Definitive Notes, the Securities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54" w:lineRule="exact"/>
        <w:rPr>
          <w:rFonts w:ascii="Arial" w:cs="Arial" w:eastAsia="Arial" w:hAnsi="Arial"/>
          <w:sz w:val="16"/>
          <w:szCs w:val="16"/>
          <w:color w:val="auto"/>
        </w:rPr>
      </w:pPr>
    </w:p>
    <w:p>
      <w:pPr>
        <w:jc w:val="both"/>
        <w:ind w:right="80" w:firstLine="645"/>
        <w:spacing w:after="0" w:line="259" w:lineRule="auto"/>
        <w:tabs>
          <w:tab w:leader="none" w:pos="135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connection with the transfer of an entire Global Note to beneficial owners pursuant to this this Article Three,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17" w:name="page118"/>
    <w:bookmarkEnd w:id="117"/>
    <w:p>
      <w:pPr>
        <w:ind w:left="4" w:right="320" w:firstLine="645"/>
        <w:spacing w:after="0" w:line="342" w:lineRule="auto"/>
        <w:tabs>
          <w:tab w:leader="none" w:pos="135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23" w:lineRule="exact"/>
        <w:rPr>
          <w:rFonts w:ascii="Arial" w:cs="Arial" w:eastAsia="Arial" w:hAnsi="Arial"/>
          <w:sz w:val="16"/>
          <w:szCs w:val="16"/>
          <w:color w:val="auto"/>
        </w:rPr>
      </w:pPr>
    </w:p>
    <w:p>
      <w:pPr>
        <w:ind w:left="4" w:right="100" w:firstLine="645"/>
        <w:spacing w:after="0" w:line="259" w:lineRule="auto"/>
        <w:tabs>
          <w:tab w:leader="none" w:pos="140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The provision of clauses (i) – (iv) below shall apply only to Definitive Notes.</w:t>
      </w:r>
    </w:p>
    <w:p>
      <w:pPr>
        <w:spacing w:after="0" w:line="225" w:lineRule="exact"/>
        <w:rPr>
          <w:sz w:val="20"/>
          <w:szCs w:val="20"/>
          <w:color w:val="auto"/>
        </w:rPr>
      </w:pPr>
    </w:p>
    <w:p>
      <w:pPr>
        <w:ind w:left="4" w:right="160" w:firstLine="645"/>
        <w:spacing w:after="0" w:line="269" w:lineRule="auto"/>
        <w:tabs>
          <w:tab w:leader="none" w:pos="136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79" w:lineRule="exact"/>
        <w:rPr>
          <w:rFonts w:ascii="Arial" w:cs="Arial" w:eastAsia="Arial" w:hAnsi="Arial"/>
          <w:sz w:val="17"/>
          <w:szCs w:val="17"/>
          <w:color w:val="auto"/>
        </w:rPr>
      </w:pPr>
    </w:p>
    <w:p>
      <w:pPr>
        <w:ind w:left="4" w:right="200" w:firstLine="645"/>
        <w:spacing w:after="0" w:line="291" w:lineRule="auto"/>
        <w:tabs>
          <w:tab w:leader="none" w:pos="136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w:t>
      </w:r>
    </w:p>
    <w:p>
      <w:pPr>
        <w:jc w:val="both"/>
        <w:ind w:left="4" w:hanging="4"/>
        <w:spacing w:after="0" w:line="255" w:lineRule="auto"/>
        <w:tabs>
          <w:tab w:leader="none" w:pos="2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200" w:lineRule="exact"/>
        <w:rPr>
          <w:sz w:val="20"/>
          <w:szCs w:val="20"/>
          <w:color w:val="auto"/>
        </w:rPr>
      </w:pPr>
    </w:p>
    <w:p>
      <w:pPr>
        <w:spacing w:after="0" w:line="20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118" w:name="page119"/>
    <w:bookmarkEnd w:id="118"/>
    <w:p>
      <w:pPr>
        <w:ind w:left="660" w:right="40" w:firstLine="645"/>
        <w:spacing w:after="0" w:line="271" w:lineRule="auto"/>
        <w:tabs>
          <w:tab w:leader="none" w:pos="20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7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Mutilated, Destroyed, Lost and Stolen Notes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tabs>
          <w:tab w:leader="none" w:pos="13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 Issuer defaults in a payment of principal, interest or premium, if any, on the Notes, the Issuer shall pay defaulted interest (plus interest on such defaulted interest to the extent lawful) in any lawful manner at the rate provided in the Notes (“Defaulted Interest”). The Issuer may pay the Defaulted Interest to the Persons who are Holders on a subsequent special record date. The Issuer shall fix or cause to be fixed any such special record date and payment date to the reasonable satisfaction of the Trustee and shall promptly mail to each Holder a notice that states the special record date, the payment date and the amount of Defaulted Interest to be paid.</w:t>
      </w:r>
    </w:p>
    <w:p>
      <w:pPr>
        <w:spacing w:after="0" w:line="18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307)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provisions or as directed by an Issuer Order.</w:t>
      </w:r>
    </w:p>
    <w:p>
      <w:pPr>
        <w:spacing w:after="0" w:line="17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Notes shall be computed on the basis of a 360-day year of twelve 30-day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spacing w:after="0"/>
        <w:tabs>
          <w:tab w:leader="none" w:pos="13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311. The Trustee shall promptly register any transfer or exchange that meets the requirements of this Section 311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311 and Section 203, as applicable, and, in the case of a Global Note (or a beneficial interest therein), the applicable rules and procedures of the Depository. The Trustee shall refuse to register any requested transfer or exchange that does not comply with this paragraph.</w:t>
      </w:r>
    </w:p>
    <w:p>
      <w:pPr>
        <w:spacing w:after="0" w:line="1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u w:val="single" w:color="auto"/>
          <w:color w:val="auto"/>
        </w:rPr>
        <w:t>Transfers of Restricted Notes</w:t>
      </w:r>
      <w:r>
        <w:rPr>
          <w:rFonts w:ascii="Arial" w:cs="Arial" w:eastAsia="Arial" w:hAnsi="Arial"/>
          <w:sz w:val="18"/>
          <w:szCs w:val="18"/>
          <w:color w:val="auto"/>
        </w:rPr>
        <w:t>. The following provisions shall apply with respect to any proposed registration of transfer of a Restricted Note prior to the date which is one year after the later of the date of its original issue and the last date on which the Issuer or any Affiliate of the Issuer was the owner of such Notes (or any predecessor thereto) (the “Resale Restriction Termination Date”):</w:t>
      </w:r>
    </w:p>
    <w:p>
      <w:pPr>
        <w:spacing w:after="0" w:line="181" w:lineRule="exact"/>
        <w:rPr>
          <w:sz w:val="20"/>
          <w:szCs w:val="20"/>
          <w:color w:val="auto"/>
        </w:rPr>
      </w:pPr>
    </w:p>
    <w:p>
      <w:pPr>
        <w:ind w:left="660" w:firstLine="645"/>
        <w:spacing w:after="0" w:line="290" w:lineRule="auto"/>
        <w:tabs>
          <w:tab w:leader="none" w:pos="201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registration of transfer of a Restricted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in.order to claim the exemption from registration provided by Rule 144A; provided that no such written representation or other written certification shall be required in connection with the transfer of a beneficial interest in the Rule 144A Global Note to a transferee in the form of a beneficial interest in that Rule 144A Global Note in accordance with the Indenture and the applicable procedures of DTC;</w:t>
      </w:r>
    </w:p>
    <w:p>
      <w:pPr>
        <w:spacing w:after="0" w:line="166" w:lineRule="exact"/>
        <w:rPr>
          <w:rFonts w:ascii="Arial" w:cs="Arial" w:eastAsia="Arial" w:hAnsi="Arial"/>
          <w:sz w:val="16"/>
          <w:szCs w:val="16"/>
          <w:color w:val="auto"/>
        </w:rPr>
      </w:pPr>
    </w:p>
    <w:p>
      <w:pPr>
        <w:jc w:val="both"/>
        <w:ind w:left="660" w:firstLine="645"/>
        <w:spacing w:after="0" w:line="264" w:lineRule="auto"/>
        <w:tabs>
          <w:tab w:leader="none" w:pos="20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registration of transfer of a Restricted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20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registration of transfer of Restricted Note or a beneficial interest therein to a Non-U.S. Person shall be made upon receipt by the Trustee or its agent of a certificate substantially in the form set forth in Annex D hereto from the proposed transferee and, if requested by the Issuer, certification and/or other information satisfactory to 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ind w:firstLine="648"/>
        <w:spacing w:after="0" w:line="276" w:lineRule="auto"/>
        <w:rPr>
          <w:sz w:val="20"/>
          <w:szCs w:val="20"/>
          <w:color w:val="auto"/>
        </w:rPr>
      </w:pPr>
      <w:r>
        <w:rPr>
          <w:rFonts w:ascii="Arial" w:cs="Arial" w:eastAsia="Arial" w:hAnsi="Arial"/>
          <w:sz w:val="17"/>
          <w:szCs w:val="17"/>
          <w:u w:val="single" w:color="auto"/>
          <w:color w:val="auto"/>
        </w:rPr>
        <w:t>Restricted Notes Legend</w:t>
      </w:r>
      <w:r>
        <w:rPr>
          <w:rFonts w:ascii="Arial" w:cs="Arial" w:eastAsia="Arial" w:hAnsi="Arial"/>
          <w:sz w:val="17"/>
          <w:szCs w:val="17"/>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such Note is being transferred pursuant to an effective registration statement or (ii)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u w:val="single" w:color="auto"/>
          <w:color w:val="auto"/>
        </w:rPr>
        <w:t>Retention of Written Communications</w:t>
      </w:r>
      <w:r>
        <w:rPr>
          <w:rFonts w:ascii="Arial" w:cs="Arial" w:eastAsia="Arial" w:hAnsi="Arial"/>
          <w:sz w:val="18"/>
          <w:szCs w:val="18"/>
          <w:color w:val="auto"/>
        </w:rPr>
        <w:t>. The Registrar shall retain copies of all letters, notices and other written communications received pursuant to this Section 311. The Issuer shall have the right to inspect and make copies of all such letters, notices or other written communications at any reasonable time upon the giving of reasonable prior written notice to the Registrar.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sz w:val="20"/>
          <w:szCs w:val="20"/>
          <w:color w:val="auto"/>
        </w:rPr>
      </w:pPr>
    </w:p>
    <w:p>
      <w:pPr>
        <w:ind w:left="660" w:right="140" w:firstLine="645"/>
        <w:spacing w:after="0" w:line="277" w:lineRule="auto"/>
        <w:tabs>
          <w:tab w:leader="none" w:pos="20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subject to the other terms and conditions of this Article Two, execute and the Trustee shall authenticate Definitive Notes and Global Notes at the Registrar’s request.</w:t>
      </w:r>
    </w:p>
    <w:p>
      <w:pPr>
        <w:spacing w:after="0" w:line="170" w:lineRule="exact"/>
        <w:rPr>
          <w:rFonts w:ascii="Arial" w:cs="Arial" w:eastAsia="Arial" w:hAnsi="Arial"/>
          <w:sz w:val="18"/>
          <w:szCs w:val="18"/>
          <w:color w:val="auto"/>
        </w:rPr>
      </w:pPr>
    </w:p>
    <w:p>
      <w:pPr>
        <w:ind w:left="660" w:right="40" w:firstLine="645"/>
        <w:spacing w:after="0" w:line="312" w:lineRule="auto"/>
        <w:tabs>
          <w:tab w:leader="none" w:pos="206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304, 906, 1007, 1012 or 1108 not involving any transfer).</w:t>
      </w:r>
    </w:p>
    <w:p>
      <w:pPr>
        <w:spacing w:after="0" w:line="146" w:lineRule="exact"/>
        <w:rPr>
          <w:rFonts w:ascii="Arial" w:cs="Arial" w:eastAsia="Arial" w:hAnsi="Arial"/>
          <w:sz w:val="16"/>
          <w:szCs w:val="16"/>
          <w:color w:val="auto"/>
        </w:rPr>
      </w:pPr>
    </w:p>
    <w:p>
      <w:pPr>
        <w:ind w:left="2020" w:hanging="715"/>
        <w:spacing w:after="0"/>
        <w:tabs>
          <w:tab w:leader="none" w:pos="20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Issuer (and the Registrar) shall not be required to register the transfer of or exchange of any Note</w:t>
      </w:r>
    </w:p>
    <w:p>
      <w:pPr>
        <w:spacing w:after="0" w:line="225" w:lineRule="exact"/>
        <w:rPr>
          <w:rFonts w:ascii="Arial" w:cs="Arial" w:eastAsia="Arial" w:hAnsi="Arial"/>
          <w:sz w:val="18"/>
          <w:szCs w:val="18"/>
          <w:color w:val="auto"/>
        </w:rPr>
      </w:pPr>
    </w:p>
    <w:p>
      <w:pPr>
        <w:ind w:left="1300" w:right="100" w:firstLine="653"/>
        <w:spacing w:after="0" w:line="264" w:lineRule="auto"/>
        <w:tabs>
          <w:tab w:leader="none" w:pos="264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181" w:lineRule="exact"/>
        <w:rPr>
          <w:rFonts w:ascii="Arial" w:cs="Arial" w:eastAsia="Arial" w:hAnsi="Arial"/>
          <w:sz w:val="18"/>
          <w:szCs w:val="18"/>
          <w:color w:val="auto"/>
        </w:rPr>
      </w:pPr>
    </w:p>
    <w:p>
      <w:pPr>
        <w:ind w:left="660" w:right="40" w:firstLine="645"/>
        <w:spacing w:after="0" w:line="302" w:lineRule="auto"/>
        <w:tabs>
          <w:tab w:leader="none" w:pos="201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of any Note, the Issuer, any Guarantor, the Trustee,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Paying Agent or the Registrar shall be affected by notice to the contrary.</w:t>
      </w:r>
    </w:p>
    <w:p>
      <w:pPr>
        <w:spacing w:after="0" w:line="154" w:lineRule="exact"/>
        <w:rPr>
          <w:rFonts w:ascii="Arial" w:cs="Arial" w:eastAsia="Arial" w:hAnsi="Arial"/>
          <w:sz w:val="16"/>
          <w:szCs w:val="16"/>
          <w:color w:val="auto"/>
        </w:rPr>
      </w:pPr>
    </w:p>
    <w:p>
      <w:pPr>
        <w:ind w:left="660" w:right="200" w:firstLine="645"/>
        <w:spacing w:after="0" w:line="277" w:lineRule="auto"/>
        <w:tabs>
          <w:tab w:leader="none" w:pos="201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22" w:name="page123"/>
    <w:bookmarkEnd w:id="122"/>
    <w:p>
      <w:pPr>
        <w:ind w:firstLine="648"/>
        <w:spacing w:after="0" w:line="287" w:lineRule="auto"/>
        <w:rPr>
          <w:sz w:val="20"/>
          <w:szCs w:val="20"/>
          <w:color w:val="auto"/>
        </w:rPr>
      </w:pPr>
      <w:r>
        <w:rPr>
          <w:rFonts w:ascii="Arial" w:cs="Arial" w:eastAsia="Arial" w:hAnsi="Arial"/>
          <w:sz w:val="16"/>
          <w:szCs w:val="16"/>
          <w:u w:val="single" w:color="auto"/>
          <w:color w:val="auto"/>
        </w:rPr>
        <w:t>No Obligation of the Trustee</w:t>
      </w:r>
      <w:r>
        <w:rPr>
          <w:rFonts w:ascii="Arial" w:cs="Arial" w:eastAsia="Arial" w:hAnsi="Arial"/>
          <w:sz w:val="16"/>
          <w:szCs w:val="16"/>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6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u w:val="single" w:color="auto"/>
          <w:color w:val="auto"/>
        </w:rPr>
        <w:t>Affiliate Holders</w:t>
      </w:r>
      <w:r>
        <w:rPr>
          <w:rFonts w:ascii="Arial" w:cs="Arial" w:eastAsia="Arial" w:hAnsi="Arial"/>
          <w:sz w:val="18"/>
          <w:szCs w:val="18"/>
          <w:color w:val="auto"/>
        </w:rPr>
        <w:t>. After the Issue Date, by accepting a beneficial interest in a Global Note, any Person that is an Affiliate of the Issuer agrees to give notice to the Issuer, the Trustee and the Registrar of the acquisition and its Affiliate status.</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When Securities Disregarded</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Notwithstanding anything to the contrary in the Indenture, each of Section 315(d)(3) and Section 316(a)(1) of the Trust Indenture Act is hereby expressly excluded from the Indenture for all purposes. 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(a) Notes owned by Specified Holders shall not be so disregarded and (b) for the purpose of determining whether the Trustee shall be protected in relying on any such direction, waiver, consent, approval or other action of Holders, only Notes that the Trustee knows are so owned shall be so disregarded. Notes so owned that have been pledged in good faith shall not be so disregarded if the pledgee establishes to the satisfaction of the Trustee the pledgee’s right to deliver any such direction, waiver, consent, approval or other action of Holders with respect to the Notes and that the pledgee is either (i) not the Issuer, any Guarantor or any Person directly or indirectly controlled by the Issuer or any Guarantor or (ii) a Specified Holder. Also, subject to the foregoing, only Notes Outstanding at the time shall be considered in any such determination.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spacing w:after="0"/>
        <w:tabs>
          <w:tab w:leader="none" w:pos="134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Calculation of Specified Percentage of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With respect to any matter requiring consent, waiver, approval or other action of the Holders of a specified percentage of the principal amount of all the Notes then Outstanding, such percentage shall be calculated, on the relevant date of determination, by dividing (a) the principal amount, as of such date of determination, of the Notes then Outstanding, the Holders of which have so consented by (b) the aggregate principal amount, as of such date of determination, of the Notes then Outstanding, in each case, as determined in accordance with Section 312 of the Indenture. Any such calculation made pursuant to this Section 313 shall be made by the Issuer and delivered to the Trustee pursuant to an Officers’ Certificate.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Indenture shall be discharged and shall cease to be of further effect, and the Trustee, upon Issuer Request and at the expense of the Issuer, shall execute proper instruments acknowledging satisfaction and discharge of the Indenture, when</w:t>
      </w:r>
    </w:p>
    <w:p>
      <w:pPr>
        <w:spacing w:after="0" w:line="170" w:lineRule="exact"/>
        <w:rPr>
          <w:sz w:val="20"/>
          <w:szCs w:val="20"/>
          <w:color w:val="auto"/>
        </w:rPr>
      </w:pPr>
    </w:p>
    <w:p>
      <w:pPr>
        <w:ind w:left="2000" w:hanging="695"/>
        <w:spacing w:after="0"/>
        <w:tabs>
          <w:tab w:leader="none" w:pos="2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20" w:firstLine="653"/>
        <w:spacing w:after="0" w:line="259" w:lineRule="auto"/>
        <w:tabs>
          <w:tab w:leader="none" w:pos="264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(other than Notes which have been destroyed, lost or stolen and which have been replaced or paid as provided in Section 306 and Notes for whose payment money has theretofore been deposited in trust or segregated and held in trust by the Issuer and thereafter repaid to the Issuer or discharged from such trust, as provided in Section 1003) have been delivered to the Trustee for cancellation; or</w:t>
      </w:r>
    </w:p>
    <w:p>
      <w:pPr>
        <w:spacing w:after="0" w:line="186" w:lineRule="exact"/>
        <w:rPr>
          <w:rFonts w:ascii="Arial" w:cs="Arial" w:eastAsia="Arial" w:hAnsi="Arial"/>
          <w:sz w:val="18"/>
          <w:szCs w:val="18"/>
          <w:color w:val="auto"/>
        </w:rPr>
      </w:pPr>
    </w:p>
    <w:p>
      <w:pPr>
        <w:ind w:left="2660" w:hanging="707"/>
        <w:spacing w:after="0"/>
        <w:tabs>
          <w:tab w:leader="none" w:pos="26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960" w:right="120" w:firstLine="641"/>
        <w:spacing w:after="0" w:line="264" w:lineRule="auto"/>
        <w:tabs>
          <w:tab w:leader="none" w:pos="332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81" w:lineRule="exact"/>
        <w:rPr>
          <w:rFonts w:ascii="Arial" w:cs="Arial" w:eastAsia="Arial" w:hAnsi="Arial"/>
          <w:sz w:val="18"/>
          <w:szCs w:val="18"/>
          <w:color w:val="auto"/>
        </w:rPr>
      </w:pPr>
    </w:p>
    <w:p>
      <w:pPr>
        <w:ind w:left="3320" w:hanging="719"/>
        <w:spacing w:after="0"/>
        <w:tabs>
          <w:tab w:leader="none" w:pos="33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have been called for redemption pursuant to the provisions of Article Eleven,</w:t>
      </w:r>
    </w:p>
    <w:p>
      <w:pPr>
        <w:spacing w:after="0" w:line="225"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and the Issuer or any Guarantor in the case of (i), (ii) or (iii) of subclause (b), has irrevocably deposited or caused to be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ind w:left="2000" w:hanging="695"/>
        <w:spacing w:after="0"/>
        <w:tabs>
          <w:tab w:leader="none" w:pos="2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under the Indenture by the Issuer;</w:t>
      </w:r>
    </w:p>
    <w:p>
      <w:pPr>
        <w:spacing w:after="0" w:line="225" w:lineRule="exact"/>
        <w:rPr>
          <w:rFonts w:ascii="Arial" w:cs="Arial" w:eastAsia="Arial" w:hAnsi="Arial"/>
          <w:sz w:val="18"/>
          <w:szCs w:val="18"/>
          <w:color w:val="auto"/>
        </w:rPr>
      </w:pPr>
    </w:p>
    <w:p>
      <w:pPr>
        <w:ind w:left="660" w:right="220" w:firstLine="645"/>
        <w:spacing w:after="0" w:line="277" w:lineRule="auto"/>
        <w:tabs>
          <w:tab w:leader="none" w:pos="201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the Notes at Stated Maturity or on the Redemption Date, as the case may be; and</w:t>
      </w:r>
    </w:p>
    <w:p>
      <w:pPr>
        <w:spacing w:after="0" w:line="170" w:lineRule="exact"/>
        <w:rPr>
          <w:rFonts w:ascii="Arial" w:cs="Arial" w:eastAsia="Arial" w:hAnsi="Arial"/>
          <w:sz w:val="18"/>
          <w:szCs w:val="18"/>
          <w:color w:val="auto"/>
        </w:rPr>
      </w:pPr>
    </w:p>
    <w:p>
      <w:pPr>
        <w:ind w:left="660" w:right="720" w:firstLine="645"/>
        <w:spacing w:after="0" w:line="277" w:lineRule="auto"/>
        <w:tabs>
          <w:tab w:leader="none" w:pos="201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Notwithstanding the satisfaction and discharge of the Indenture, the obligations of the Issuer to the Holders under Sections 305 and 306, the obligations of the Issuer to the Trustee under Section 607, the obligations of the Trustee to any Authenticating Agent under Section 614 and, if cash or U.S. Government Obligations shall have been deposited with the Trustee pursuant to subclause (b) of clause (1) of this Section, the obligations of the Trustee under Section 402 and the last paragraph of Section 1003 shall survive so long as any Notes are Outstanding.</w:t>
      </w:r>
    </w:p>
    <w:p>
      <w:pPr>
        <w:spacing w:after="0" w:line="17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Subject to the provisions of the last paragraph of Section 1003, all cash and U.S. Government Obligations.(including the proceeds thereof) deposited with the Trustee pursuant to Section 401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1" w:lineRule="exact"/>
        <w:rPr>
          <w:sz w:val="20"/>
          <w:szCs w:val="20"/>
          <w:color w:val="auto"/>
        </w:rPr>
      </w:pPr>
    </w:p>
    <w:p>
      <w:pPr>
        <w:ind w:left="2000" w:hanging="695"/>
        <w:spacing w:after="0"/>
        <w:tabs>
          <w:tab w:leader="none" w:pos="2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failure to pay interest on any of the Notes when the same becomes due and payable and the continuance of any such failure for 30</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w:t>
      </w:r>
    </w:p>
    <w:p>
      <w:pPr>
        <w:spacing w:after="0" w:line="211" w:lineRule="exact"/>
        <w:rPr>
          <w:sz w:val="20"/>
          <w:szCs w:val="20"/>
          <w:color w:val="auto"/>
        </w:rPr>
      </w:pPr>
    </w:p>
    <w:p>
      <w:pPr>
        <w:ind w:left="660" w:right="180" w:firstLine="645"/>
        <w:spacing w:after="0" w:line="277" w:lineRule="auto"/>
        <w:tabs>
          <w:tab w:leader="none" w:pos="201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ind w:left="-540" w:right="400" w:firstLine="645"/>
        <w:spacing w:after="0" w:line="277" w:lineRule="auto"/>
        <w:tabs>
          <w:tab w:leader="none" w:pos="81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under Article Eight or failure by the Issuer to comply in respect of its obligations to make a Change of Control Offer under Section 1007;</w:t>
      </w:r>
    </w:p>
    <w:p>
      <w:pPr>
        <w:spacing w:after="0" w:line="170" w:lineRule="exact"/>
        <w:rPr>
          <w:rFonts w:ascii="Arial" w:cs="Arial" w:eastAsia="Arial" w:hAnsi="Arial"/>
          <w:sz w:val="18"/>
          <w:szCs w:val="18"/>
          <w:color w:val="auto"/>
        </w:rPr>
      </w:pPr>
    </w:p>
    <w:p>
      <w:pPr>
        <w:ind w:left="-540" w:firstLine="645"/>
        <w:spacing w:after="0" w:line="255" w:lineRule="auto"/>
        <w:tabs>
          <w:tab w:leader="none" w:pos="81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except with respect to the covenant contained in Section 704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704;</w:t>
      </w:r>
    </w:p>
    <w:p>
      <w:pPr>
        <w:spacing w:after="0" w:line="193" w:lineRule="exact"/>
        <w:rPr>
          <w:rFonts w:ascii="Arial" w:cs="Arial" w:eastAsia="Arial" w:hAnsi="Arial"/>
          <w:sz w:val="18"/>
          <w:szCs w:val="18"/>
          <w:color w:val="auto"/>
        </w:rPr>
      </w:pPr>
    </w:p>
    <w:p>
      <w:pPr>
        <w:ind w:left="-540" w:right="220" w:firstLine="645"/>
        <w:spacing w:after="0" w:line="264" w:lineRule="auto"/>
        <w:tabs>
          <w:tab w:leader="none" w:pos="81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181" w:lineRule="exact"/>
        <w:rPr>
          <w:rFonts w:ascii="Arial" w:cs="Arial" w:eastAsia="Arial" w:hAnsi="Arial"/>
          <w:sz w:val="18"/>
          <w:szCs w:val="18"/>
          <w:color w:val="auto"/>
        </w:rPr>
      </w:pPr>
    </w:p>
    <w:p>
      <w:pPr>
        <w:ind w:left="100" w:right="360" w:firstLine="653"/>
        <w:spacing w:after="0" w:line="277" w:lineRule="auto"/>
        <w:tabs>
          <w:tab w:leader="none" w:pos="144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170" w:lineRule="exact"/>
        <w:rPr>
          <w:rFonts w:ascii="Arial" w:cs="Arial" w:eastAsia="Arial" w:hAnsi="Arial"/>
          <w:sz w:val="18"/>
          <w:szCs w:val="18"/>
          <w:color w:val="auto"/>
        </w:rPr>
      </w:pPr>
    </w:p>
    <w:p>
      <w:pPr>
        <w:ind w:left="100" w:right="60" w:firstLine="653"/>
        <w:spacing w:after="0" w:line="342" w:lineRule="auto"/>
        <w:tabs>
          <w:tab w:leader="none" w:pos="145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24" w:lineRule="exact"/>
        <w:rPr>
          <w:sz w:val="20"/>
          <w:szCs w:val="20"/>
          <w:color w:val="auto"/>
        </w:rPr>
      </w:pPr>
    </w:p>
    <w:p>
      <w:pPr>
        <w:ind w:left="100" w:right="180"/>
        <w:spacing w:after="0" w:line="308" w:lineRule="auto"/>
        <w:rPr>
          <w:sz w:val="20"/>
          <w:szCs w:val="20"/>
          <w:color w:val="auto"/>
        </w:rPr>
      </w:pPr>
      <w:r>
        <w:rPr>
          <w:rFonts w:ascii="Arial" w:cs="Arial" w:eastAsia="Arial" w:hAnsi="Arial"/>
          <w:sz w:val="17"/>
          <w:szCs w:val="17"/>
          <w:color w:val="auto"/>
        </w:rPr>
        <w:t>and, in each case, the principal amount of such Indebtedness, together with the principal amount of any other Indebtedness with respect to which an event described in clause (a) or (b) has occurred and is continuing aggregates $75.0 million or more;</w:t>
      </w:r>
    </w:p>
    <w:p>
      <w:pPr>
        <w:spacing w:after="0" w:line="147" w:lineRule="exact"/>
        <w:rPr>
          <w:sz w:val="20"/>
          <w:szCs w:val="20"/>
          <w:color w:val="auto"/>
        </w:rPr>
      </w:pPr>
    </w:p>
    <w:p>
      <w:pPr>
        <w:ind w:left="-540" w:right="300" w:firstLine="645"/>
        <w:spacing w:after="0" w:line="286" w:lineRule="auto"/>
        <w:tabs>
          <w:tab w:leader="none" w:pos="81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165" w:lineRule="exact"/>
        <w:rPr>
          <w:rFonts w:ascii="Arial" w:cs="Arial" w:eastAsia="Arial" w:hAnsi="Arial"/>
          <w:sz w:val="17"/>
          <w:szCs w:val="17"/>
          <w:color w:val="auto"/>
        </w:rPr>
      </w:pPr>
    </w:p>
    <w:p>
      <w:pPr>
        <w:ind w:left="-540" w:firstLine="645"/>
        <w:spacing w:after="0" w:line="287" w:lineRule="auto"/>
        <w:tabs>
          <w:tab w:leader="none" w:pos="81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6" w:name="page127"/>
    <w:bookmarkEnd w:id="126"/>
    <w:p>
      <w:pPr>
        <w:ind w:left="660" w:firstLine="645"/>
        <w:spacing w:after="0" w:line="283" w:lineRule="auto"/>
        <w:tabs>
          <w:tab w:leader="none" w:pos="201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w:t>
      </w:r>
    </w:p>
    <w:p>
      <w:pPr>
        <w:spacing w:after="0" w:line="4" w:lineRule="exact"/>
        <w:rPr>
          <w:rFonts w:ascii="Arial" w:cs="Arial" w:eastAsia="Arial" w:hAnsi="Arial"/>
          <w:sz w:val="16"/>
          <w:szCs w:val="16"/>
          <w:color w:val="auto"/>
        </w:rPr>
      </w:pPr>
    </w:p>
    <w:p>
      <w:pPr>
        <w:ind w:left="660" w:hanging="4"/>
        <w:spacing w:after="0" w:line="261" w:lineRule="auto"/>
        <w:tabs>
          <w:tab w:leader="none" w:pos="9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making by it or them of an assignment for the benefit of creditors, or the admission by it or them in writing of its or their inability to pay its or their debts generally as they become due; or</w:t>
      </w:r>
    </w:p>
    <w:p>
      <w:pPr>
        <w:spacing w:after="0" w:line="183" w:lineRule="exact"/>
        <w:rPr>
          <w:rFonts w:ascii="Arial" w:cs="Arial" w:eastAsia="Arial" w:hAnsi="Arial"/>
          <w:sz w:val="18"/>
          <w:szCs w:val="18"/>
          <w:color w:val="auto"/>
        </w:rPr>
      </w:pPr>
    </w:p>
    <w:p>
      <w:pPr>
        <w:ind w:left="660" w:firstLine="645"/>
        <w:spacing w:after="0" w:line="312" w:lineRule="auto"/>
        <w:tabs>
          <w:tab w:leader="none" w:pos="201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an Event of Default (other than an Event of Default specified in Section 501(7) or 501(8)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all amounts owing under the Notes to be due and payable, and upon any such declaration the aggregate principal of and accrued and unpaid interest on all of the Outstanding Notes shall become due and payable immediately. If an Event of Default specified in Section 501(7) or 501(8) occurs with respect to the Parent Guarantor, the principal of, premium, if any, and accrued and unpaid interest, if any, on all of the Outstanding Notes shall become immediately due and payable, without any further action or notice to the extent permitted by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27" w:name="page128"/>
    <w:bookmarkEnd w:id="127"/>
    <w:p>
      <w:pPr>
        <w:ind w:right="600" w:firstLine="648"/>
        <w:spacing w:after="0" w:line="264" w:lineRule="auto"/>
        <w:rPr>
          <w:sz w:val="20"/>
          <w:szCs w:val="20"/>
          <w:color w:val="auto"/>
        </w:rPr>
      </w:pPr>
      <w:r>
        <w:rPr>
          <w:rFonts w:ascii="Arial" w:cs="Arial" w:eastAsia="Arial" w:hAnsi="Arial"/>
          <w:sz w:val="18"/>
          <w:szCs w:val="18"/>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81" w:lineRule="exact"/>
        <w:rPr>
          <w:sz w:val="20"/>
          <w:szCs w:val="20"/>
          <w:color w:val="auto"/>
        </w:rPr>
      </w:pPr>
    </w:p>
    <w:p>
      <w:pPr>
        <w:ind w:left="2640" w:hanging="687"/>
        <w:spacing w:after="0"/>
        <w:tabs>
          <w:tab w:leader="none" w:pos="2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rescission would not conflict with any judgment or decree of a court of competent jurisdiction;</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Issuer has paid or deposited with the Trustee a sum sufficient to pay</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overdue interest on all the Notes,</w:t>
      </w:r>
    </w:p>
    <w:p>
      <w:pPr>
        <w:spacing w:after="0" w:line="225" w:lineRule="exact"/>
        <w:rPr>
          <w:rFonts w:ascii="Arial" w:cs="Arial" w:eastAsia="Arial" w:hAnsi="Arial"/>
          <w:sz w:val="18"/>
          <w:szCs w:val="18"/>
          <w:color w:val="auto"/>
        </w:rPr>
      </w:pPr>
    </w:p>
    <w:p>
      <w:pPr>
        <w:ind w:left="1960" w:right="460" w:firstLine="641"/>
        <w:spacing w:after="0" w:line="308" w:lineRule="auto"/>
        <w:tabs>
          <w:tab w:leader="none" w:pos="329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principal of (and premium, if any, on) any such Notes which have become due otherwise than by such acceleration declaration and any interest thereon at the rate or rates prescribed therefor in the Notes,</w:t>
      </w:r>
    </w:p>
    <w:p>
      <w:pPr>
        <w:spacing w:after="0" w:line="146" w:lineRule="exact"/>
        <w:rPr>
          <w:rFonts w:ascii="Arial" w:cs="Arial" w:eastAsia="Arial" w:hAnsi="Arial"/>
          <w:sz w:val="17"/>
          <w:szCs w:val="17"/>
          <w:color w:val="auto"/>
        </w:rPr>
      </w:pPr>
    </w:p>
    <w:p>
      <w:pPr>
        <w:ind w:left="3300" w:hanging="699"/>
        <w:spacing w:after="0"/>
        <w:tabs>
          <w:tab w:leader="none" w:pos="33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prescribed therefor</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in the Notes, and</w:t>
      </w:r>
    </w:p>
    <w:p>
      <w:pPr>
        <w:spacing w:after="0" w:line="210" w:lineRule="exact"/>
        <w:rPr>
          <w:rFonts w:ascii="Arial" w:cs="Arial" w:eastAsia="Arial" w:hAnsi="Arial"/>
          <w:sz w:val="16"/>
          <w:szCs w:val="16"/>
          <w:color w:val="auto"/>
        </w:rPr>
      </w:pPr>
    </w:p>
    <w:p>
      <w:pPr>
        <w:ind w:left="1960" w:right="60" w:firstLine="641"/>
        <w:spacing w:after="0" w:line="277" w:lineRule="auto"/>
        <w:tabs>
          <w:tab w:leader="none" w:pos="330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1300" w:right="280" w:firstLine="653"/>
        <w:spacing w:after="0" w:line="277" w:lineRule="auto"/>
        <w:tabs>
          <w:tab w:leader="none" w:pos="264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the principal of, and interest on, the Notes that have become due solely by such acceleration declaration,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28" w:name="page129"/>
    <w:bookmarkEnd w:id="128"/>
    <w:p>
      <w:pPr>
        <w:spacing w:after="0"/>
        <w:tabs>
          <w:tab w:leader="none" w:pos="134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Trustee May File Proofs of Claim.</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607.</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Trustee May Enforce Claims Without Possession of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Notes and the notation thereon of the payment if only partially paid and upon surrender thereof if fully paid: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jc w:val="both"/>
        <w:ind w:left="660" w:right="40"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9" w:name="page130"/>
    <w:bookmarkEnd w:id="129"/>
    <w:p>
      <w:pPr>
        <w:ind w:left="660" w:right="180" w:firstLine="648"/>
        <w:spacing w:after="0" w:line="277" w:lineRule="auto"/>
        <w:rPr>
          <w:sz w:val="20"/>
          <w:szCs w:val="20"/>
          <w:color w:val="auto"/>
        </w:rPr>
      </w:pPr>
      <w:r>
        <w:rPr>
          <w:rFonts w:ascii="Arial" w:cs="Arial" w:eastAsia="Arial" w:hAnsi="Arial"/>
          <w:sz w:val="18"/>
          <w:szCs w:val="18"/>
          <w:color w:val="auto"/>
        </w:rPr>
        <w:t>THIRD: The remainder, if any, shall be paid to the Guarantors or the Issuer, as applicable, or to whomsoever may be lawfully entitled to receive the same, or as a court of competent jurisdiction may direct.</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Holder of Notes may not institute any proceeding, judicial or otherwise, with respect to the Indenture or the Notes, or for the appointment of a receiver or trustee, or for any other remedy hereunder, unless:</w:t>
      </w:r>
    </w:p>
    <w:p>
      <w:pPr>
        <w:spacing w:after="0" w:line="170" w:lineRule="exact"/>
        <w:rPr>
          <w:sz w:val="20"/>
          <w:szCs w:val="20"/>
          <w:color w:val="auto"/>
        </w:rPr>
      </w:pPr>
    </w:p>
    <w:p>
      <w:pPr>
        <w:ind w:left="2000" w:hanging="695"/>
        <w:spacing w:after="0"/>
        <w:tabs>
          <w:tab w:leader="none" w:pos="2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20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the Outstanding Notes make a written request to the Trustee to pursue the remedy;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236" w:lineRule="exact"/>
        <w:rPr>
          <w:rFonts w:ascii="Arial" w:cs="Arial" w:eastAsia="Arial" w:hAnsi="Arial"/>
          <w:sz w:val="17"/>
          <w:szCs w:val="17"/>
          <w:color w:val="auto"/>
        </w:rPr>
      </w:pPr>
    </w:p>
    <w:p>
      <w:pPr>
        <w:ind w:left="660" w:right="300" w:firstLine="645"/>
        <w:spacing w:after="0" w:line="277" w:lineRule="auto"/>
        <w:tabs>
          <w:tab w:leader="none" w:pos="20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Notwithstanding any other provision in the Indenture, the Holder of any Notes shall have the right, which is absolute and unconditional, to receive payment of the principal of and any premium and (subject to Section 307)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9" w:right="379" w:bottom="1440" w:gutter="0" w:footer="0" w:header="0"/>
        </w:sectPr>
      </w:pPr>
    </w:p>
    <w:bookmarkStart w:id="130" w:name="page131"/>
    <w:bookmarkEnd w:id="130"/>
    <w:p>
      <w:pPr>
        <w:spacing w:after="0"/>
        <w:tabs>
          <w:tab w:leader="none" w:pos="134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Subject to Section 603(5), the Holders of a majority in aggregate principal amount of the then Outstanding Notes shall have the right to direct the time, method and place of conducting any proceeding for exercising any remedy available to the Trustee, or exercising any trust or power conferred on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660" w:firstLine="645"/>
        <w:spacing w:after="0" w:line="264" w:lineRule="auto"/>
        <w:tabs>
          <w:tab w:leader="none" w:pos="201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and</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201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that is not inconsistent with any such direction received from such Holders of Notes.</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Existing Defaults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1" w:name="page132"/>
    <w:bookmarkEnd w:id="131"/>
    <w:p>
      <w:pPr>
        <w:ind w:left="660" w:right="300" w:firstLine="645"/>
        <w:spacing w:after="0" w:line="277" w:lineRule="auto"/>
        <w:tabs>
          <w:tab w:leader="none" w:pos="201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201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Note affected.</w:t>
      </w:r>
    </w:p>
    <w:p>
      <w:pPr>
        <w:spacing w:after="0" w:line="170"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this Section nor the Trust Indenture Act shall be deemed to authorize any court to require such an undertaking or to make such an assessment in any suit instituted by the Issuer.</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SIX</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duties and responsibilities of the Trustee shall be as provided by the Trust Indenture Act. 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the Indenture relating to the conduct or affecting the liability of or affording protection to the Trustee shall be subject to the provisions of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32" w:name="page133"/>
    <w:bookmarkEnd w:id="132"/>
    <w:p>
      <w:pPr>
        <w:spacing w:after="0"/>
        <w:tabs>
          <w:tab w:leader="none" w:pos="13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If a default occurs hereunder which is actually known to a Responsible Officer of the Trustee, the Trustee shall give the Holders of the Notes notice of such default as and to the extent provided by the Trust Indenture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default of the character specified in Section 501(4) or 501(5), no such notice to Holders shall be given until at least 30 days after the occurrence thereof. For the purpose of this Section, the term “default” means any Event of Default and any event which is, or after notice or lapse of time or both would become, an Event of Default.</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601:</w:t>
      </w:r>
    </w:p>
    <w:p>
      <w:pPr>
        <w:spacing w:after="0" w:line="225" w:lineRule="exact"/>
        <w:rPr>
          <w:sz w:val="20"/>
          <w:szCs w:val="20"/>
          <w:color w:val="auto"/>
        </w:rPr>
      </w:pPr>
    </w:p>
    <w:p>
      <w:pPr>
        <w:ind w:left="660" w:right="540" w:firstLine="645"/>
        <w:spacing w:after="0" w:line="312" w:lineRule="auto"/>
        <w:tabs>
          <w:tab w:leader="none" w:pos="201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120" w:firstLine="645"/>
        <w:spacing w:after="0" w:line="277" w:lineRule="auto"/>
        <w:tabs>
          <w:tab w:leader="none" w:pos="20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right="20" w:firstLine="645"/>
        <w:spacing w:after="0" w:line="264" w:lineRule="auto"/>
        <w:tabs>
          <w:tab w:leader="none" w:pos="20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rely upon an Officers’ Certificate;</w:t>
      </w:r>
    </w:p>
    <w:p>
      <w:pPr>
        <w:spacing w:after="0" w:line="181" w:lineRule="exact"/>
        <w:rPr>
          <w:rFonts w:ascii="Arial" w:cs="Arial" w:eastAsia="Arial" w:hAnsi="Arial"/>
          <w:sz w:val="18"/>
          <w:szCs w:val="18"/>
          <w:color w:val="auto"/>
        </w:rPr>
      </w:pPr>
    </w:p>
    <w:p>
      <w:pPr>
        <w:ind w:left="660" w:right="520" w:firstLine="645"/>
        <w:spacing w:after="0" w:line="342" w:lineRule="auto"/>
        <w:tabs>
          <w:tab w:leader="none" w:pos="201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left="660" w:right="60" w:firstLine="645"/>
        <w:spacing w:after="0" w:line="312" w:lineRule="auto"/>
        <w:tabs>
          <w:tab w:leader="none" w:pos="201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133" w:name="page134"/>
    <w:bookmarkEnd w:id="133"/>
    <w:p>
      <w:pPr>
        <w:ind w:left="660" w:right="240" w:firstLine="645"/>
        <w:spacing w:after="0" w:line="257" w:lineRule="auto"/>
        <w:tabs>
          <w:tab w:leader="none" w:pos="201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88" w:lineRule="exact"/>
        <w:rPr>
          <w:rFonts w:ascii="Arial" w:cs="Arial" w:eastAsia="Arial" w:hAnsi="Arial"/>
          <w:sz w:val="18"/>
          <w:szCs w:val="18"/>
          <w:color w:val="auto"/>
        </w:rPr>
      </w:pPr>
    </w:p>
    <w:p>
      <w:pPr>
        <w:ind w:left="660" w:right="60" w:firstLine="645"/>
        <w:spacing w:after="0" w:line="264" w:lineRule="auto"/>
        <w:tabs>
          <w:tab w:leader="none" w:pos="201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Trustee shall not be liable for any action it takes or omits to take in good faith which it believes authorized or within its rights;</w:t>
      </w:r>
    </w:p>
    <w:p>
      <w:pPr>
        <w:spacing w:after="0" w:line="248" w:lineRule="exact"/>
        <w:rPr>
          <w:rFonts w:ascii="Arial" w:cs="Arial" w:eastAsia="Arial" w:hAnsi="Arial"/>
          <w:sz w:val="16"/>
          <w:szCs w:val="16"/>
          <w:color w:val="auto"/>
        </w:rPr>
      </w:pPr>
    </w:p>
    <w:p>
      <w:pPr>
        <w:ind w:left="660" w:right="60" w:firstLine="645"/>
        <w:spacing w:after="0" w:line="279" w:lineRule="auto"/>
        <w:tabs>
          <w:tab w:leader="none" w:pos="201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71" w:lineRule="exact"/>
        <w:rPr>
          <w:rFonts w:ascii="Arial" w:cs="Arial" w:eastAsia="Arial" w:hAnsi="Arial"/>
          <w:sz w:val="17"/>
          <w:szCs w:val="17"/>
          <w:color w:val="auto"/>
        </w:rPr>
      </w:pPr>
    </w:p>
    <w:p>
      <w:pPr>
        <w:ind w:left="660" w:right="40" w:firstLine="645"/>
        <w:spacing w:after="0" w:line="257" w:lineRule="auto"/>
        <w:tabs>
          <w:tab w:leader="none" w:pos="201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 and</w:t>
      </w:r>
    </w:p>
    <w:p>
      <w:pPr>
        <w:spacing w:after="0" w:line="188" w:lineRule="exact"/>
        <w:rPr>
          <w:rFonts w:ascii="Arial" w:cs="Arial" w:eastAsia="Arial" w:hAnsi="Arial"/>
          <w:sz w:val="18"/>
          <w:szCs w:val="18"/>
          <w:color w:val="auto"/>
        </w:rPr>
      </w:pPr>
    </w:p>
    <w:p>
      <w:pPr>
        <w:ind w:left="660" w:right="320" w:firstLine="645"/>
        <w:spacing w:after="0" w:line="264" w:lineRule="auto"/>
        <w:tabs>
          <w:tab w:leader="none" w:pos="200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such Trustee has been advised of the likelihood of such loss or damage and regardless of the form of action.</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Not Responsible for Recitals or Issuance of Notes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or of the Notes. Neither the Trustee nor any Authenticating Agent shall be accountable for the use or application by the Issuer of Notes or the proceeds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spacing w:after="0"/>
        <w:tabs>
          <w:tab w:leader="none" w:pos="134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May Hold Notes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any Authenticating Agent, any Paying Agent, any Registrar or any other agent of the Issuer, in its individual or any other capacity, may become the owner or pledgee of Notes and, subject to Sections 608 and 613, may otherwise deal with the Issuer with the same rights it would have if it were not Trustee, Authenticating Agent, Paying Agent, Registrar or such other agent.</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Money Held in Trust</w:t>
      </w:r>
      <w:r>
        <w:rPr>
          <w:rFonts w:ascii="Arial" w:cs="Arial" w:eastAsia="Arial" w:hAnsi="Arial"/>
          <w:sz w:val="16"/>
          <w:szCs w:val="16"/>
          <w:color w:val="auto"/>
        </w:rPr>
        <w:t>.</w:t>
      </w:r>
    </w:p>
    <w:p>
      <w:pPr>
        <w:spacing w:after="0" w:line="225" w:lineRule="exact"/>
        <w:rPr>
          <w:sz w:val="20"/>
          <w:szCs w:val="20"/>
          <w:color w:val="auto"/>
        </w:rPr>
      </w:pPr>
    </w:p>
    <w:p>
      <w:pPr>
        <w:jc w:val="both"/>
        <w:ind w:right="540" w:firstLine="648"/>
        <w:spacing w:after="0" w:line="342" w:lineRule="auto"/>
        <w:rPr>
          <w:sz w:val="20"/>
          <w:szCs w:val="20"/>
          <w:color w:val="auto"/>
        </w:rPr>
      </w:pPr>
      <w:r>
        <w:rPr>
          <w:rFonts w:ascii="Arial" w:cs="Arial" w:eastAsia="Arial" w:hAnsi="Arial"/>
          <w:sz w:val="16"/>
          <w:szCs w:val="16"/>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2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Compensation and Reimbursement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agrees:</w:t>
      </w:r>
    </w:p>
    <w:p>
      <w:pPr>
        <w:spacing w:after="0" w:line="225" w:lineRule="exact"/>
        <w:rPr>
          <w:sz w:val="20"/>
          <w:szCs w:val="20"/>
          <w:color w:val="auto"/>
        </w:rPr>
      </w:pPr>
    </w:p>
    <w:p>
      <w:pPr>
        <w:ind w:left="660" w:right="80" w:firstLine="645"/>
        <w:spacing w:after="0" w:line="277" w:lineRule="auto"/>
        <w:tabs>
          <w:tab w:leader="none" w:pos="2058"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010000"/>
        </w:rPr>
      </w:pPr>
    </w:p>
    <w:p>
      <w:pPr>
        <w:jc w:val="both"/>
        <w:ind w:left="660" w:right="40" w:firstLine="645"/>
        <w:spacing w:after="0" w:line="259" w:lineRule="auto"/>
        <w:tabs>
          <w:tab w:leader="none" w:pos="2058"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except any such expense, disbursement or advance as may be attributable to its gross negligence or willful misconduct; and</w:t>
      </w:r>
    </w:p>
    <w:p>
      <w:pPr>
        <w:spacing w:after="0" w:line="186" w:lineRule="exact"/>
        <w:rPr>
          <w:rFonts w:ascii="Arial" w:cs="Arial" w:eastAsia="Arial" w:hAnsi="Arial"/>
          <w:sz w:val="18"/>
          <w:szCs w:val="18"/>
          <w:color w:val="010000"/>
        </w:rPr>
      </w:pPr>
    </w:p>
    <w:p>
      <w:pPr>
        <w:ind w:left="660" w:right="160" w:firstLine="645"/>
        <w:spacing w:after="0" w:line="302" w:lineRule="auto"/>
        <w:tabs>
          <w:tab w:leader="none" w:pos="2058" w:val="left"/>
        </w:tabs>
        <w:numPr>
          <w:ilvl w:val="0"/>
          <w:numId w:val="165"/>
        </w:numPr>
        <w:rPr>
          <w:rFonts w:ascii="Arial" w:cs="Arial" w:eastAsia="Arial" w:hAnsi="Arial"/>
          <w:sz w:val="16"/>
          <w:szCs w:val="16"/>
          <w:color w:val="010000"/>
        </w:rPr>
      </w:pPr>
      <w:r>
        <w:rPr>
          <w:rFonts w:ascii="Arial" w:cs="Arial" w:eastAsia="Arial" w:hAnsi="Arial"/>
          <w:sz w:val="16"/>
          <w:szCs w:val="16"/>
          <w:color w:val="auto"/>
        </w:rPr>
        <w:t>to indemnify the Trustee for, and to hold it harmless against, any loss, liability or expense incurred without gross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When the Trustee incurs expenses or renders services after the occurrence of an Event of Default specified in paragraph</w:t>
      </w:r>
    </w:p>
    <w:p>
      <w:pPr>
        <w:spacing w:after="0" w:line="154" w:lineRule="exact"/>
        <w:rPr>
          <w:rFonts w:ascii="Arial" w:cs="Arial" w:eastAsia="Arial" w:hAnsi="Arial"/>
          <w:sz w:val="16"/>
          <w:szCs w:val="16"/>
          <w:color w:val="010000"/>
        </w:rPr>
      </w:pPr>
    </w:p>
    <w:p>
      <w:pPr>
        <w:ind w:left="660" w:right="60" w:firstLine="645"/>
        <w:spacing w:after="0" w:line="273" w:lineRule="auto"/>
        <w:tabs>
          <w:tab w:leader="none" w:pos="2058" w:val="left"/>
        </w:tabs>
        <w:numPr>
          <w:ilvl w:val="0"/>
          <w:numId w:val="165"/>
        </w:numPr>
        <w:rPr>
          <w:rFonts w:ascii="Arial" w:cs="Arial" w:eastAsia="Arial" w:hAnsi="Arial"/>
          <w:sz w:val="17"/>
          <w:szCs w:val="17"/>
          <w:color w:val="010000"/>
        </w:rPr>
      </w:pPr>
      <w:r>
        <w:rPr>
          <w:rFonts w:ascii="Arial" w:cs="Arial" w:eastAsia="Arial" w:hAnsi="Arial"/>
          <w:sz w:val="17"/>
          <w:szCs w:val="17"/>
          <w:color w:val="auto"/>
        </w:rPr>
        <w:t>or (8) of Section 501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The obligations of the Issuer under this Section 607 shall survive the satisfaction and discharge of the Indenture.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secure the Issuer’s payment obligations in this Section 607, the Trustee shall have a Lien prior to the Notes on all money or property held or collected by the Trustee, except that held in trust to pay principal and interest on particular Notes. Such Lien shall survive the satisfaction and discharge of the Indenture.</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Conflicting Interests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except as otherwise provided in Section 310(b) of the Trust Indenture Act, resign, to the extent and in the manner provided by, and subject to the provisions of, the Trust Indenture Act and the Indenture.</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There shall at all times be one (and only one) Trustee hereunder. Each Trustee shall be a Person that is eligible pursuant to the Trust Indenture Act to act as such, and has a combined capital and surplus of at least $50.0 million.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7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Trustee may resign at any time by giving written notice thereof to the Issuer.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Trustee may be removed at any time by Act of the Holders of a majority in aggregate principal amount of the Outstanding Notes (voting as a single class), delivered to the Trustee and to the Issuer.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right="380" w:firstLine="645"/>
        <w:spacing w:after="0" w:line="277" w:lineRule="auto"/>
        <w:tabs>
          <w:tab w:leader="none" w:pos="2058"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the Trustee shall fail to comply with Section 608 after written request therefor by the Issuer or by any Holder who has been a bona fide Holder of a Note for at least six months;</w:t>
      </w:r>
    </w:p>
    <w:p>
      <w:pPr>
        <w:spacing w:after="0" w:line="170" w:lineRule="exact"/>
        <w:rPr>
          <w:rFonts w:ascii="Arial" w:cs="Arial" w:eastAsia="Arial" w:hAnsi="Arial"/>
          <w:sz w:val="18"/>
          <w:szCs w:val="18"/>
          <w:color w:val="010000"/>
        </w:rPr>
      </w:pPr>
    </w:p>
    <w:p>
      <w:pPr>
        <w:ind w:left="660" w:right="280" w:firstLine="645"/>
        <w:spacing w:after="0" w:line="277" w:lineRule="auto"/>
        <w:tabs>
          <w:tab w:leader="none" w:pos="2058"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the Trustee shall cease to be eligible under Section 609 and shall fail to resign after written request therefor by the Issuer or by any such Holder; or</w:t>
      </w:r>
    </w:p>
    <w:p>
      <w:pPr>
        <w:spacing w:after="0" w:line="170" w:lineRule="exact"/>
        <w:rPr>
          <w:rFonts w:ascii="Arial" w:cs="Arial" w:eastAsia="Arial" w:hAnsi="Arial"/>
          <w:sz w:val="18"/>
          <w:szCs w:val="18"/>
          <w:color w:val="010000"/>
        </w:rPr>
      </w:pPr>
    </w:p>
    <w:p>
      <w:pPr>
        <w:ind w:left="660" w:right="360" w:firstLine="645"/>
        <w:spacing w:after="0" w:line="264" w:lineRule="auto"/>
        <w:tabs>
          <w:tab w:leader="none" w:pos="2058"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then, in any such case, (A) the Issuer by a resolution duly passed by its Board of Directors may remove the Trustee, or (B) subject to Section 514,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611.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611, become the successor Trustee and to that extent supersede the successor Trustee appointed by the Issuer. If no successor Trustee shall have been so appointed by the Issuer or the Holders and accepted appointment in the manner required by Section 611, any Holder who has been a bona fide Holder of a Note for at least six months may, on behalf of himself and all others similarly situated, petition any court of competent jurisdiction for the appointment of a successor Trustee.</w:t>
      </w:r>
    </w:p>
    <w:p>
      <w:pPr>
        <w:spacing w:after="0" w:line="18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Issuer shall give notice of each resignation and each removal of the Trustee and each appointment of a successor Trustee to all Holders of Notes in the manner provided in Section 106. Each notice shall include the name of the successor Trustee and the address of its Corporate Trust Office.</w:t>
      </w:r>
    </w:p>
    <w:p>
      <w:pPr>
        <w:spacing w:after="0" w:line="12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ind w:firstLine="648"/>
        <w:spacing w:after="0" w:line="308" w:lineRule="auto"/>
        <w:rPr>
          <w:sz w:val="20"/>
          <w:szCs w:val="20"/>
          <w:color w:val="auto"/>
        </w:rPr>
      </w:pPr>
      <w:r>
        <w:rPr>
          <w:rFonts w:ascii="Arial" w:cs="Arial" w:eastAsia="Arial" w:hAnsi="Arial"/>
          <w:sz w:val="17"/>
          <w:szCs w:val="17"/>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Preferential Collection of Claims Against Issuer</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Issuer or any other obligor upon the Notes, the Trustee shall be subject to the provisions of the Trust Indenture Act regarding the collection of claims against the Issuer or any such other obligor.</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306, and Notes so authenticated shall be entitled to the benefits of the Indenture and shall be valid and obligatory for all purposes as if authenticated by the Trustee hereunder. Wherever reference is made in the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ind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106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6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an appointment is made pursuant to this Section,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Notes designated therein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EUTSCHE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Issuer to Furnish Trustee Names and Addresses of Holders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will furnish or cause to be furnished to the Trustee</w:t>
      </w:r>
    </w:p>
    <w:p>
      <w:pPr>
        <w:spacing w:after="0" w:line="225" w:lineRule="exact"/>
        <w:rPr>
          <w:sz w:val="20"/>
          <w:szCs w:val="20"/>
          <w:color w:val="auto"/>
        </w:rPr>
      </w:pPr>
    </w:p>
    <w:p>
      <w:pPr>
        <w:ind w:left="660" w:right="140" w:firstLine="645"/>
        <w:spacing w:after="0" w:line="277" w:lineRule="auto"/>
        <w:tabs>
          <w:tab w:leader="none" w:pos="2058"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70" w:lineRule="exact"/>
        <w:rPr>
          <w:rFonts w:ascii="Arial" w:cs="Arial" w:eastAsia="Arial" w:hAnsi="Arial"/>
          <w:sz w:val="18"/>
          <w:szCs w:val="18"/>
          <w:color w:val="010000"/>
        </w:rPr>
      </w:pPr>
    </w:p>
    <w:p>
      <w:pPr>
        <w:ind w:left="660" w:right="140" w:firstLine="645"/>
        <w:spacing w:after="0" w:line="277" w:lineRule="auto"/>
        <w:tabs>
          <w:tab w:leader="none" w:pos="2058"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from any such list names and addresses received by the Trustee in its capacity as Registrar.</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Preservation of Information; Communications to Holders</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Registrar. The Trustee may destroy any list furnished to it as provided in Section 701 upon receipt of a new list so furnished.</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the Indenture or under the Notes, and the corresponding rights and privileges of the Trustee, shall be as provided by the Trust Indenture Act.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Every Holder of Notes, by receiving and holding the same, agrees with the Issuer and the Trustee that neither the Issuer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Reports by Trustee</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the Indenture as may be required pursuant to the Trust Indenture Act at the times and in the manner provided pursuant thereto.</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 copy of each such report shall, at the time of such transmission to Holders, be filed by the Trustee with each stock exchange upon which the Notes are listed, with the SEC and with the Issuer. The Issuer will notify the Trustee when any Notes are listed on any stock exchange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0" w:name="page141"/>
    <w:bookmarkEnd w:id="140"/>
    <w:p>
      <w:pPr>
        <w:spacing w:after="0"/>
        <w:tabs>
          <w:tab w:leader="none" w:pos="13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Reports by Issuer</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64" w:lineRule="auto"/>
        <w:tabs>
          <w:tab w:leader="none" w:pos="20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81" w:lineRule="exact"/>
        <w:rPr>
          <w:sz w:val="20"/>
          <w:szCs w:val="20"/>
          <w:color w:val="auto"/>
        </w:rPr>
      </w:pPr>
    </w:p>
    <w:p>
      <w:pPr>
        <w:ind w:left="660" w:right="80" w:firstLine="645"/>
        <w:spacing w:after="0" w:line="277" w:lineRule="auto"/>
        <w:tabs>
          <w:tab w:leader="none" w:pos="2058"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169"/>
        </w:numPr>
        <w:rPr>
          <w:rFonts w:ascii="Arial" w:cs="Arial" w:eastAsia="Arial" w:hAnsi="Arial"/>
          <w:sz w:val="16"/>
          <w:szCs w:val="16"/>
          <w:color w:val="010000"/>
        </w:rPr>
      </w:pPr>
      <w:r>
        <w:rPr>
          <w:rFonts w:ascii="Arial" w:cs="Arial" w:eastAsia="Arial" w:hAnsi="Arial"/>
          <w:sz w:val="16"/>
          <w:szCs w:val="16"/>
          <w:color w:val="auto"/>
        </w:rPr>
        <w:t>all current reports that would be required to be filed with the SEC on Form 8-K if the Parent Guarantor were required to file such</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reports.</w:t>
      </w:r>
    </w:p>
    <w:p>
      <w:pPr>
        <w:spacing w:after="0" w:line="211" w:lineRule="exact"/>
        <w:rPr>
          <w:sz w:val="20"/>
          <w:szCs w:val="20"/>
          <w:color w:val="auto"/>
        </w:rPr>
      </w:pPr>
    </w:p>
    <w:p>
      <w:pPr>
        <w:ind w:right="60" w:firstLine="1305"/>
        <w:spacing w:after="0" w:line="257" w:lineRule="auto"/>
        <w:tabs>
          <w:tab w:leader="none" w:pos="20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88" w:lineRule="exact"/>
        <w:rPr>
          <w:rFonts w:ascii="Arial" w:cs="Arial" w:eastAsia="Arial" w:hAnsi="Arial"/>
          <w:sz w:val="18"/>
          <w:szCs w:val="18"/>
          <w:color w:val="auto"/>
        </w:rPr>
      </w:pPr>
    </w:p>
    <w:p>
      <w:pPr>
        <w:ind w:right="160" w:firstLine="1305"/>
        <w:spacing w:after="0" w:line="264" w:lineRule="auto"/>
        <w:tabs>
          <w:tab w:leader="none" w:pos="20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81" w:lineRule="exact"/>
        <w:rPr>
          <w:rFonts w:ascii="Arial" w:cs="Arial" w:eastAsia="Arial" w:hAnsi="Arial"/>
          <w:sz w:val="18"/>
          <w:szCs w:val="18"/>
          <w:color w:val="auto"/>
        </w:rPr>
      </w:pPr>
    </w:p>
    <w:p>
      <w:pPr>
        <w:ind w:right="160" w:firstLine="1305"/>
        <w:spacing w:after="0" w:line="264" w:lineRule="auto"/>
        <w:tabs>
          <w:tab w:leader="none" w:pos="20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this Section 704 is for informational purposes only and the Trustee’s receipt of the foregoing shall not constitute constructive notice of any information contained therein or determinable from information contained therein.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Issuer and Guarantors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170" w:lineRule="exact"/>
        <w:rPr>
          <w:sz w:val="20"/>
          <w:szCs w:val="20"/>
          <w:color w:val="auto"/>
        </w:rPr>
      </w:pPr>
    </w:p>
    <w:p>
      <w:pPr>
        <w:ind w:left="660" w:firstLine="645"/>
        <w:spacing w:after="0" w:line="271" w:lineRule="auto"/>
        <w:tabs>
          <w:tab w:leader="none" w:pos="2058" w:val="left"/>
        </w:tabs>
        <w:numPr>
          <w:ilvl w:val="0"/>
          <w:numId w:val="171"/>
        </w:numPr>
        <w:rPr>
          <w:rFonts w:ascii="Arial" w:cs="Arial" w:eastAsia="Arial" w:hAnsi="Arial"/>
          <w:sz w:val="17"/>
          <w:szCs w:val="17"/>
          <w:color w:val="010000"/>
        </w:rPr>
      </w:pPr>
      <w:r>
        <w:rPr>
          <w:rFonts w:ascii="Arial" w:cs="Arial" w:eastAsia="Arial" w:hAnsi="Arial"/>
          <w:sz w:val="17"/>
          <w:szCs w:val="17"/>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then in effect on the part of the Issuer to be performed or observed or (b) in the case of a Successor Person to such Guarantor, all of the obligations of such Guarantor under the Guarantee of such Guarantor and the performance or observance of every covenant of the Indenture then in effect on the part of such Guarantor to be performed or observed;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1" w:name="page142"/>
    <w:bookmarkEnd w:id="141"/>
    <w:p>
      <w:pPr>
        <w:ind w:left="2060" w:hanging="755"/>
        <w:spacing w:after="0"/>
        <w:tabs>
          <w:tab w:leader="none" w:pos="2060" w:val="left"/>
        </w:tabs>
        <w:numPr>
          <w:ilvl w:val="0"/>
          <w:numId w:val="172"/>
        </w:numPr>
        <w:rPr>
          <w:rFonts w:ascii="Arial" w:cs="Arial" w:eastAsia="Arial" w:hAnsi="Arial"/>
          <w:sz w:val="16"/>
          <w:szCs w:val="16"/>
          <w:color w:val="010000"/>
        </w:rPr>
      </w:pPr>
      <w:r>
        <w:rPr>
          <w:rFonts w:ascii="Arial" w:cs="Arial" w:eastAsia="Arial" w:hAnsi="Arial"/>
          <w:sz w:val="16"/>
          <w:szCs w:val="16"/>
          <w:color w:val="auto"/>
        </w:rPr>
        <w:t>immediately after giving effect to such transaction, no Event of Default and no Default shall have occurred and be continuing;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right="200" w:firstLine="645"/>
        <w:spacing w:after="0" w:line="312" w:lineRule="auto"/>
        <w:tabs>
          <w:tab w:leader="none" w:pos="2058" w:val="left"/>
        </w:tabs>
        <w:numPr>
          <w:ilvl w:val="0"/>
          <w:numId w:val="173"/>
        </w:numPr>
        <w:rPr>
          <w:rFonts w:ascii="Arial" w:cs="Arial" w:eastAsia="Arial" w:hAnsi="Arial"/>
          <w:sz w:val="16"/>
          <w:szCs w:val="16"/>
          <w:color w:val="010000"/>
        </w:rPr>
      </w:pPr>
      <w:r>
        <w:rPr>
          <w:rFonts w:ascii="Arial" w:cs="Arial" w:eastAsia="Arial" w:hAnsi="Arial"/>
          <w:sz w:val="16"/>
          <w:szCs w:val="16"/>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clause (1) of this Section 801 shall not apply in circumstances under which Section 1404 provides for the release of the Guarantee of such Guarantor.</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Successor Substituted</w:t>
      </w:r>
      <w:r>
        <w:rPr>
          <w:rFonts w:ascii="Arial" w:cs="Arial" w:eastAsia="Arial" w:hAnsi="Arial"/>
          <w:sz w:val="15"/>
          <w:szCs w:val="15"/>
          <w:color w:val="auto"/>
        </w:rPr>
        <w: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801,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NINE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Without the consent of any Holders, the Issuer, the Guarantors and the Trustee, at any time and from time to time, may enter into one or more indentures supplemental hereto in order to amend or supplement the Indenture, the Guarantees or the Notes for any of the following purposes:</w:t>
      </w:r>
    </w:p>
    <w:p>
      <w:pPr>
        <w:spacing w:after="0" w:line="124" w:lineRule="exact"/>
        <w:rPr>
          <w:sz w:val="20"/>
          <w:szCs w:val="20"/>
          <w:color w:val="auto"/>
        </w:rPr>
      </w:pPr>
    </w:p>
    <w:p>
      <w:pPr>
        <w:ind w:left="2060" w:hanging="755"/>
        <w:spacing w:after="0"/>
        <w:tabs>
          <w:tab w:leader="none" w:pos="2060"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010000"/>
        </w:rPr>
      </w:pPr>
    </w:p>
    <w:p>
      <w:pPr>
        <w:ind w:left="660" w:right="520" w:firstLine="645"/>
        <w:spacing w:after="0" w:line="277" w:lineRule="auto"/>
        <w:tabs>
          <w:tab w:leader="none" w:pos="2058"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to provide for uncertificated Notes in addition to or in place of certificated Notes (provided, that, any such Note will be in registered form for U.S. federal income tax purposes);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142" w:name="page143"/>
    <w:bookmarkEnd w:id="142"/>
    <w:p>
      <w:pPr>
        <w:ind w:left="660" w:right="860" w:firstLine="645"/>
        <w:spacing w:after="0" w:line="277" w:lineRule="auto"/>
        <w:tabs>
          <w:tab w:leader="none" w:pos="2058"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Article Eight;</w:t>
      </w:r>
    </w:p>
    <w:p>
      <w:pPr>
        <w:spacing w:after="0" w:line="170" w:lineRule="exact"/>
        <w:rPr>
          <w:rFonts w:ascii="Arial" w:cs="Arial" w:eastAsia="Arial" w:hAnsi="Arial"/>
          <w:sz w:val="18"/>
          <w:szCs w:val="18"/>
          <w:color w:val="010000"/>
        </w:rPr>
      </w:pPr>
    </w:p>
    <w:p>
      <w:pPr>
        <w:ind w:left="660" w:right="400" w:firstLine="645"/>
        <w:spacing w:after="0" w:line="277" w:lineRule="auto"/>
        <w:tabs>
          <w:tab w:leader="none" w:pos="2058"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to add any Guarantor or to acknowledge the release of any Guarantor from any of its obligations under its Guarantee and the other provisions of the Indenture (to the extent in accordance with the Indenture);</w:t>
      </w:r>
    </w:p>
    <w:p>
      <w:pPr>
        <w:spacing w:after="0" w:line="170" w:lineRule="exact"/>
        <w:rPr>
          <w:rFonts w:ascii="Arial" w:cs="Arial" w:eastAsia="Arial" w:hAnsi="Arial"/>
          <w:sz w:val="18"/>
          <w:szCs w:val="18"/>
          <w:color w:val="010000"/>
        </w:rPr>
      </w:pPr>
    </w:p>
    <w:p>
      <w:pPr>
        <w:ind w:left="660" w:firstLine="645"/>
        <w:spacing w:after="0" w:line="277" w:lineRule="auto"/>
        <w:tabs>
          <w:tab w:leader="none" w:pos="2058"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to make any change that would provide any additional rights or benefits to the Holders or that does not materially adversely affect the rights of any Holder;</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to effect or maintain the qualification of the Indenture under the Trust Indenture Act;</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to secure the Notes or any Guarantees or any other obligation under the Indenture;</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to evidence and provide for the acceptance of appointment by a successor trustee; or</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901 may be executed by the Issuer, the Guarantors and the Trustee without the consent of the Holders, notwithstanding any of the provisions of Section 902.</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the consent of the Holders of a majority in aggregate principal amount of the Outstanding Notes affected thereby (voting as a separate class), including, without limitation, consents obtained in connection with a purchase of, or tender offer or exchange offer for, the Notes, the Issuer, the Guarantors and the Trustee may amend or supplement the Indenture, the Notes or any Guarantees or, subject to Section 513, waive any existing Default or Event of Default or compliance with any provision of the Indenture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193" w:lineRule="exact"/>
        <w:rPr>
          <w:sz w:val="20"/>
          <w:szCs w:val="20"/>
          <w:color w:val="auto"/>
        </w:rPr>
      </w:pPr>
    </w:p>
    <w:p>
      <w:pPr>
        <w:ind w:left="2060" w:hanging="755"/>
        <w:spacing w:after="0"/>
        <w:tabs>
          <w:tab w:leader="none" w:pos="206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reduce, or change the maturity of, the principal of any Note;</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reduce the rate of or extend the time for payment of interest on any Note;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ind w:left="660" w:firstLine="645"/>
        <w:spacing w:after="0" w:line="259" w:lineRule="auto"/>
        <w:tabs>
          <w:tab w:leader="none" w:pos="2058"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Section 1007) shall not be deemed a redemption of the Notes;</w:t>
      </w:r>
    </w:p>
    <w:p>
      <w:pPr>
        <w:spacing w:after="0" w:line="186" w:lineRule="exact"/>
        <w:rPr>
          <w:rFonts w:ascii="Arial" w:cs="Arial" w:eastAsia="Arial" w:hAnsi="Arial"/>
          <w:sz w:val="18"/>
          <w:szCs w:val="18"/>
          <w:color w:val="010000"/>
        </w:rPr>
      </w:pPr>
    </w:p>
    <w:p>
      <w:pPr>
        <w:ind w:left="2060" w:hanging="755"/>
        <w:spacing w:after="0"/>
        <w:tabs>
          <w:tab w:leader="none" w:pos="206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make any Note payable in money or currency other than that stated in the Notes;</w:t>
      </w:r>
    </w:p>
    <w:p>
      <w:pPr>
        <w:spacing w:after="0" w:line="225" w:lineRule="exact"/>
        <w:rPr>
          <w:rFonts w:ascii="Arial" w:cs="Arial" w:eastAsia="Arial" w:hAnsi="Arial"/>
          <w:sz w:val="18"/>
          <w:szCs w:val="18"/>
          <w:color w:val="010000"/>
        </w:rPr>
      </w:pPr>
    </w:p>
    <w:p>
      <w:pPr>
        <w:ind w:left="660" w:right="20" w:firstLine="645"/>
        <w:spacing w:after="0" w:line="277" w:lineRule="auto"/>
        <w:tabs>
          <w:tab w:leader="none" w:pos="2058"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177"/>
        </w:numPr>
        <w:rPr>
          <w:rFonts w:ascii="Arial" w:cs="Arial" w:eastAsia="Arial" w:hAnsi="Arial"/>
          <w:sz w:val="16"/>
          <w:szCs w:val="16"/>
          <w:color w:val="010000"/>
        </w:rPr>
      </w:pPr>
      <w:r>
        <w:rPr>
          <w:rFonts w:ascii="Arial" w:cs="Arial" w:eastAsia="Arial" w:hAnsi="Arial"/>
          <w:sz w:val="16"/>
          <w:szCs w:val="16"/>
          <w:color w:val="auto"/>
        </w:rPr>
        <w:t>reduce the percentage of Holders necessary to consent to an amendment, supplement or waiver to the Indenture, the Guarantees</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or the Notes;</w:t>
      </w:r>
    </w:p>
    <w:p>
      <w:pPr>
        <w:spacing w:after="0" w:line="210" w:lineRule="exact"/>
        <w:rPr>
          <w:rFonts w:ascii="Arial" w:cs="Arial" w:eastAsia="Arial" w:hAnsi="Arial"/>
          <w:sz w:val="16"/>
          <w:szCs w:val="16"/>
          <w:color w:val="010000"/>
        </w:rPr>
      </w:pPr>
    </w:p>
    <w:p>
      <w:pPr>
        <w:ind w:left="660" w:right="20" w:firstLine="645"/>
        <w:spacing w:after="0" w:line="342" w:lineRule="auto"/>
        <w:tabs>
          <w:tab w:leader="none" w:pos="2058" w:val="left"/>
        </w:tabs>
        <w:numPr>
          <w:ilvl w:val="0"/>
          <w:numId w:val="177"/>
        </w:numPr>
        <w:rPr>
          <w:rFonts w:ascii="Arial" w:cs="Arial" w:eastAsia="Arial" w:hAnsi="Arial"/>
          <w:sz w:val="16"/>
          <w:szCs w:val="16"/>
          <w:color w:val="010000"/>
        </w:rPr>
      </w:pPr>
      <w:r>
        <w:rPr>
          <w:rFonts w:ascii="Arial" w:cs="Arial" w:eastAsia="Arial" w:hAnsi="Arial"/>
          <w:sz w:val="16"/>
          <w:szCs w:val="16"/>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23" w:lineRule="exact"/>
        <w:rPr>
          <w:rFonts w:ascii="Arial" w:cs="Arial" w:eastAsia="Arial" w:hAnsi="Arial"/>
          <w:sz w:val="16"/>
          <w:szCs w:val="16"/>
          <w:color w:val="010000"/>
        </w:rPr>
      </w:pPr>
    </w:p>
    <w:p>
      <w:pPr>
        <w:ind w:left="660" w:right="280" w:firstLine="645"/>
        <w:spacing w:after="0" w:line="277" w:lineRule="auto"/>
        <w:tabs>
          <w:tab w:leader="none" w:pos="2058"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177"/>
        </w:numPr>
        <w:rPr>
          <w:rFonts w:ascii="Arial" w:cs="Arial" w:eastAsia="Arial" w:hAnsi="Arial"/>
          <w:sz w:val="16"/>
          <w:szCs w:val="16"/>
          <w:color w:val="010000"/>
        </w:rPr>
      </w:pPr>
      <w:r>
        <w:rPr>
          <w:rFonts w:ascii="Arial" w:cs="Arial" w:eastAsia="Arial" w:hAnsi="Arial"/>
          <w:sz w:val="16"/>
          <w:szCs w:val="16"/>
          <w:color w:val="auto"/>
        </w:rPr>
        <w:t>release any Guarantor from any of its obligations under its Guarantee or the Indenture, except as permitted by the Indenture; or</w:t>
      </w:r>
    </w:p>
    <w:p>
      <w:pPr>
        <w:spacing w:after="0" w:line="248" w:lineRule="exact"/>
        <w:rPr>
          <w:rFonts w:ascii="Arial" w:cs="Arial" w:eastAsia="Arial" w:hAnsi="Arial"/>
          <w:sz w:val="16"/>
          <w:szCs w:val="16"/>
          <w:color w:val="010000"/>
        </w:rPr>
      </w:pPr>
    </w:p>
    <w:p>
      <w:pPr>
        <w:ind w:left="2060" w:hanging="755"/>
        <w:spacing w:after="0"/>
        <w:tabs>
          <w:tab w:leader="none" w:pos="206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make any change in these amendment, supplement and waiver provisions.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After an amendment or supplement under this Section 902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The Trustee may, but shall not be obligated to, enter into any such supplemental indenture which affects the Trustee’s own rights, duties or immunities under the Indenture or otherwise.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44" w:name="page145"/>
    <w:bookmarkEnd w:id="144"/>
    <w:p>
      <w:pPr>
        <w:spacing w:after="0"/>
        <w:tabs>
          <w:tab w:leader="none" w:pos="13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Conformity with Trust Indenture Act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Section 312, every supplemental indenture executed pursuant to this Article shall conform to the requirements of the Trust Indenture Act.</w:t>
      </w:r>
    </w:p>
    <w:p>
      <w:pPr>
        <w:spacing w:after="0" w:line="24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Reference in Notes to Supplemental Indentures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Notes authenticated and delivered after the execution of any supplemental indenture pursuant to this Article may, and shall if so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w:t>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TEN</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Issuer covenants and agrees for the benefit of the Holders of the Notes that it will duly and punctually pay the principal of and any premium and interest on the Notes in accordance with the terms of the Notes and the Indenture.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5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45" w:name="page146"/>
    <w:bookmarkEnd w:id="145"/>
    <w:p>
      <w:pPr>
        <w:spacing w:after="0"/>
        <w:tabs>
          <w:tab w:leader="none" w:pos="134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Issuer will maintain, in the City and State of New York and in any other Place of Payment, an office or agency where Notes may be presented or surrendered for payment, and it will maintain an office or agency in the continental United States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The Issuer hereby irrevocably designates as a Place of Payment for the Notes the City and State of New York, and initially appoints CT Corporation Systems, New York, New York as the Issuer’s office or agency in such city where the Notes may be presented or surrendered for payment.</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will maintain a Paying Agent and Registrar in the City and State of New York so long as any Notes are Outstanding. The Issuer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Money for Notes Payments to Be Held in Trust</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as provided by the Trust Indenture Act, and (unless such Paying Agent is the Trustee) the Issuer will promptly notify the Trustee of its action or failure so to act.</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Issuer will cause each Paying Agent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6" w:name="page147"/>
    <w:bookmarkEnd w:id="146"/>
    <w:p>
      <w:pPr>
        <w:jc w:val="both"/>
        <w:ind w:right="160" w:firstLine="648"/>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8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Annual Compliance Certificate; Statement by Officers as to Default</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3" w:lineRule="auto"/>
        <w:tabs>
          <w:tab w:leader="none" w:pos="20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Issuer shall deliver to the Trustee within 120 days after the end of each fiscal year of the Issuer ending after the Issue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78" w:lineRule="exact"/>
        <w:rPr>
          <w:rFonts w:ascii="Arial" w:cs="Arial" w:eastAsia="Arial" w:hAnsi="Arial"/>
          <w:sz w:val="17"/>
          <w:szCs w:val="17"/>
          <w:color w:val="auto"/>
        </w:rPr>
      </w:pPr>
    </w:p>
    <w:p>
      <w:pPr>
        <w:jc w:val="both"/>
        <w:ind w:right="480" w:firstLine="1305"/>
        <w:spacing w:after="0" w:line="264" w:lineRule="auto"/>
        <w:tabs>
          <w:tab w:leader="none" w:pos="20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Subject to Article Eight, the Issuer and each Guarantor will do or cause to be done all things necessary to preserve and keep in full force and effect its existence, rights (charter and statutory)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spacing w:after="0"/>
        <w:tabs>
          <w:tab w:leader="none" w:pos="134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Limitation on Designation of Unrestricted Subsidiaries</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81" w:lineRule="exact"/>
        <w:rPr>
          <w:sz w:val="20"/>
          <w:szCs w:val="20"/>
          <w:color w:val="auto"/>
        </w:rPr>
      </w:pPr>
    </w:p>
    <w:p>
      <w:pPr>
        <w:ind w:left="2060" w:hanging="755"/>
        <w:spacing w:after="0"/>
        <w:tabs>
          <w:tab w:leader="none" w:pos="2060"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at the time of or after giving effect to such Designation; and</w:t>
      </w:r>
    </w:p>
    <w:p>
      <w:pPr>
        <w:spacing w:after="0" w:line="225" w:lineRule="exact"/>
        <w:rPr>
          <w:rFonts w:ascii="Arial" w:cs="Arial" w:eastAsia="Arial" w:hAnsi="Arial"/>
          <w:sz w:val="18"/>
          <w:szCs w:val="18"/>
          <w:color w:val="010000"/>
        </w:rPr>
      </w:pPr>
    </w:p>
    <w:p>
      <w:pPr>
        <w:jc w:val="both"/>
        <w:ind w:left="660" w:right="680" w:firstLine="645"/>
        <w:spacing w:after="0" w:line="264" w:lineRule="auto"/>
        <w:tabs>
          <w:tab w:leader="none" w:pos="2058"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the Parent Guarantor would be permitted to make, at the time of such Designation, (a) a Permitted Investment or (b) an Investment pursuant to Section 1009, in either case, in an amount (the “Designation Amount”) equal to the Fair Market Value of the Parent Guarantor’s proportionate interest in such Subsidiary on such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225" w:lineRule="exact"/>
        <w:rPr>
          <w:sz w:val="20"/>
          <w:szCs w:val="20"/>
          <w:color w:val="auto"/>
        </w:rPr>
      </w:pPr>
    </w:p>
    <w:p>
      <w:pPr>
        <w:ind w:left="660" w:right="180" w:firstLine="645"/>
        <w:spacing w:after="0" w:line="297" w:lineRule="auto"/>
        <w:tabs>
          <w:tab w:leader="none" w:pos="2058" w:val="left"/>
        </w:tabs>
        <w:numPr>
          <w:ilvl w:val="0"/>
          <w:numId w:val="180"/>
        </w:numPr>
        <w:rPr>
          <w:rFonts w:ascii="Arial" w:cs="Arial" w:eastAsia="Arial" w:hAnsi="Arial"/>
          <w:sz w:val="16"/>
          <w:szCs w:val="16"/>
          <w:color w:val="010000"/>
        </w:rPr>
      </w:pPr>
      <w:r>
        <w:rPr>
          <w:rFonts w:ascii="Arial" w:cs="Arial" w:eastAsia="Arial" w:hAnsi="Arial"/>
          <w:sz w:val="16"/>
          <w:szCs w:val="16"/>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1008;</w:t>
      </w:r>
    </w:p>
    <w:p>
      <w:pPr>
        <w:spacing w:after="0" w:line="158" w:lineRule="exact"/>
        <w:rPr>
          <w:rFonts w:ascii="Arial" w:cs="Arial" w:eastAsia="Arial" w:hAnsi="Arial"/>
          <w:sz w:val="16"/>
          <w:szCs w:val="16"/>
          <w:color w:val="010000"/>
        </w:rPr>
      </w:pPr>
    </w:p>
    <w:p>
      <w:pPr>
        <w:ind w:left="660" w:right="40" w:firstLine="645"/>
        <w:spacing w:after="0" w:line="257" w:lineRule="auto"/>
        <w:tabs>
          <w:tab w:leader="none" w:pos="2058"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88" w:lineRule="exact"/>
        <w:rPr>
          <w:rFonts w:ascii="Arial" w:cs="Arial" w:eastAsia="Arial" w:hAnsi="Arial"/>
          <w:sz w:val="18"/>
          <w:szCs w:val="18"/>
          <w:color w:val="010000"/>
        </w:rPr>
      </w:pPr>
    </w:p>
    <w:p>
      <w:pPr>
        <w:ind w:left="660" w:right="340" w:firstLine="645"/>
        <w:spacing w:after="0" w:line="277" w:lineRule="auto"/>
        <w:tabs>
          <w:tab w:leader="none" w:pos="2058"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w:t>
      </w:r>
    </w:p>
    <w:p>
      <w:pPr>
        <w:spacing w:after="0" w:line="170" w:lineRule="exact"/>
        <w:rPr>
          <w:rFonts w:ascii="Arial" w:cs="Arial" w:eastAsia="Arial" w:hAnsi="Arial"/>
          <w:sz w:val="18"/>
          <w:szCs w:val="18"/>
          <w:color w:val="010000"/>
        </w:rPr>
      </w:pPr>
    </w:p>
    <w:p>
      <w:pPr>
        <w:ind w:left="1300" w:firstLine="743"/>
        <w:spacing w:after="0" w:line="257" w:lineRule="auto"/>
        <w:tabs>
          <w:tab w:leader="none" w:pos="2778" w:val="left"/>
        </w:tabs>
        <w:numPr>
          <w:ilvl w:val="1"/>
          <w:numId w:val="180"/>
        </w:numPr>
        <w:rPr>
          <w:rFonts w:ascii="Arial" w:cs="Arial" w:eastAsia="Arial" w:hAnsi="Arial"/>
          <w:sz w:val="18"/>
          <w:szCs w:val="18"/>
          <w:color w:val="010000"/>
        </w:rPr>
      </w:pPr>
      <w:r>
        <w:rPr>
          <w:rFonts w:ascii="Arial" w:cs="Arial" w:eastAsia="Arial" w:hAnsi="Arial"/>
          <w:sz w:val="18"/>
          <w:szCs w:val="18"/>
          <w:color w:val="auto"/>
        </w:rPr>
        <w:t>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48" w:name="page149"/>
    <w:bookmarkEnd w:id="148"/>
    <w:p>
      <w:pPr>
        <w:ind w:firstLine="648"/>
        <w:spacing w:after="0" w:line="273" w:lineRule="auto"/>
        <w:rPr>
          <w:sz w:val="20"/>
          <w:szCs w:val="20"/>
          <w:color w:val="auto"/>
        </w:rPr>
      </w:pPr>
      <w:r>
        <w:rPr>
          <w:rFonts w:ascii="Arial" w:cs="Arial" w:eastAsia="Arial" w:hAnsi="Arial"/>
          <w:sz w:val="17"/>
          <w:szCs w:val="17"/>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1008 or the Lien is not permitted under Section 1010, the Parent Guarantor shall be in default of the applicable covenant.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 only if:</w:t>
      </w:r>
    </w:p>
    <w:p>
      <w:pPr>
        <w:spacing w:after="0" w:line="248" w:lineRule="exact"/>
        <w:rPr>
          <w:sz w:val="20"/>
          <w:szCs w:val="20"/>
          <w:color w:val="auto"/>
        </w:rPr>
      </w:pPr>
    </w:p>
    <w:p>
      <w:pPr>
        <w:ind w:left="2060" w:hanging="755"/>
        <w:spacing w:after="0"/>
        <w:tabs>
          <w:tab w:leader="none" w:pos="2060" w:val="left"/>
        </w:tabs>
        <w:numPr>
          <w:ilvl w:val="0"/>
          <w:numId w:val="181"/>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at the time of and after giving effect to such Redesignation; and</w:t>
      </w:r>
    </w:p>
    <w:p>
      <w:pPr>
        <w:spacing w:after="0" w:line="225" w:lineRule="exact"/>
        <w:rPr>
          <w:rFonts w:ascii="Arial" w:cs="Arial" w:eastAsia="Arial" w:hAnsi="Arial"/>
          <w:sz w:val="18"/>
          <w:szCs w:val="18"/>
          <w:color w:val="010000"/>
        </w:rPr>
      </w:pPr>
    </w:p>
    <w:p>
      <w:pPr>
        <w:ind w:left="660" w:right="120" w:firstLine="645"/>
        <w:spacing w:after="0" w:line="277" w:lineRule="auto"/>
        <w:tabs>
          <w:tab w:leader="none" w:pos="2058" w:val="left"/>
        </w:tabs>
        <w:numPr>
          <w:ilvl w:val="0"/>
          <w:numId w:val="181"/>
        </w:numPr>
        <w:rPr>
          <w:rFonts w:ascii="Arial" w:cs="Arial" w:eastAsia="Arial" w:hAnsi="Arial"/>
          <w:sz w:val="18"/>
          <w:szCs w:val="18"/>
          <w:color w:val="010000"/>
        </w:rPr>
      </w:pPr>
      <w:r>
        <w:rPr>
          <w:rFonts w:ascii="Arial" w:cs="Arial" w:eastAsia="Arial" w:hAnsi="Arial"/>
          <w:sz w:val="18"/>
          <w:szCs w:val="18"/>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Purchase of Notes Upon a Change of Control</w:t>
      </w:r>
      <w:r>
        <w:rPr>
          <w:rFonts w:ascii="Arial" w:cs="Arial" w:eastAsia="Arial" w:hAnsi="Arial"/>
          <w:sz w:val="16"/>
          <w:szCs w:val="16"/>
          <w:color w:val="auto"/>
        </w:rPr>
        <w:t>.</w:t>
      </w:r>
    </w:p>
    <w:p>
      <w:pPr>
        <w:spacing w:after="0" w:line="225"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Upon the occurrence of a Change of Control, unless the Issuer has previously or concurrently exercised its right to redeem all of the Notes under Section 1103, each Holder of Notes will have the right, except as provided below, to require that the Issuer purchase all or any part (equal to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later than 30 days following any Change of Control, the Issuer will deliver, or cause to be delivered, to the Holders, with a copy to the Trustee,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left="2060" w:hanging="755"/>
        <w:spacing w:after="0"/>
        <w:tabs>
          <w:tab w:leader="none" w:pos="2060" w:val="left"/>
        </w:tabs>
        <w:numPr>
          <w:ilvl w:val="0"/>
          <w:numId w:val="182"/>
        </w:numPr>
        <w:rPr>
          <w:rFonts w:ascii="Arial" w:cs="Arial" w:eastAsia="Arial" w:hAnsi="Arial"/>
          <w:sz w:val="18"/>
          <w:szCs w:val="18"/>
          <w:color w:val="010000"/>
        </w:rPr>
      </w:pPr>
      <w:r>
        <w:rPr>
          <w:rFonts w:ascii="Arial" w:cs="Arial" w:eastAsia="Arial" w:hAnsi="Arial"/>
          <w:sz w:val="18"/>
          <w:szCs w:val="18"/>
          <w:color w:val="auto"/>
        </w:rPr>
        <w:t>describing the transaction or transactions that constitute the Change of Control;</w:t>
      </w:r>
    </w:p>
    <w:p>
      <w:pPr>
        <w:spacing w:after="0" w:line="225" w:lineRule="exact"/>
        <w:rPr>
          <w:rFonts w:ascii="Arial" w:cs="Arial" w:eastAsia="Arial" w:hAnsi="Arial"/>
          <w:sz w:val="18"/>
          <w:szCs w:val="18"/>
          <w:color w:val="010000"/>
        </w:rPr>
      </w:pPr>
    </w:p>
    <w:p>
      <w:pPr>
        <w:jc w:val="both"/>
        <w:ind w:left="660" w:right="140" w:firstLine="645"/>
        <w:spacing w:after="0" w:line="302" w:lineRule="auto"/>
        <w:tabs>
          <w:tab w:leader="none" w:pos="2058" w:val="left"/>
        </w:tabs>
        <w:numPr>
          <w:ilvl w:val="0"/>
          <w:numId w:val="182"/>
        </w:numPr>
        <w:rPr>
          <w:rFonts w:ascii="Arial" w:cs="Arial" w:eastAsia="Arial" w:hAnsi="Arial"/>
          <w:sz w:val="16"/>
          <w:szCs w:val="16"/>
          <w:color w:val="010000"/>
        </w:rPr>
      </w:pPr>
      <w:r>
        <w:rPr>
          <w:rFonts w:ascii="Arial" w:cs="Arial" w:eastAsia="Arial" w:hAnsi="Arial"/>
          <w:sz w:val="16"/>
          <w:szCs w:val="16"/>
          <w:color w:val="auto"/>
        </w:rPr>
        <w:t>offering to purchase, pursuant to the procedures required hereby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49" w:name="page150"/>
    <w:bookmarkEnd w:id="149"/>
    <w:p>
      <w:pPr>
        <w:ind w:left="660" w:right="460" w:firstLine="645"/>
        <w:spacing w:after="0" w:line="277" w:lineRule="auto"/>
        <w:tabs>
          <w:tab w:leader="none" w:pos="2058"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225" w:lineRule="exact"/>
        <w:rPr>
          <w:sz w:val="20"/>
          <w:szCs w:val="20"/>
          <w:color w:val="auto"/>
        </w:rPr>
      </w:pPr>
    </w:p>
    <w:p>
      <w:pPr>
        <w:ind w:left="660" w:right="140" w:firstLine="645"/>
        <w:spacing w:after="0" w:line="277" w:lineRule="auto"/>
        <w:tabs>
          <w:tab w:leader="none" w:pos="2058"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170" w:lineRule="exact"/>
        <w:rPr>
          <w:rFonts w:ascii="Arial" w:cs="Arial" w:eastAsia="Arial" w:hAnsi="Arial"/>
          <w:sz w:val="18"/>
          <w:szCs w:val="18"/>
          <w:color w:val="010000"/>
        </w:rPr>
      </w:pPr>
    </w:p>
    <w:p>
      <w:pPr>
        <w:ind w:left="660" w:right="220" w:firstLine="645"/>
        <w:spacing w:after="0" w:line="277" w:lineRule="auto"/>
        <w:tabs>
          <w:tab w:leader="none" w:pos="2058"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Issuer will not be required to make a Change of Control Offer upon a Change of Control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1103, unless and until there is a default in the payment of the applicable Redemption Price.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ind w:firstLine="648"/>
        <w:spacing w:after="0" w:line="255" w:lineRule="auto"/>
        <w:rPr>
          <w:sz w:val="20"/>
          <w:szCs w:val="20"/>
          <w:color w:val="auto"/>
        </w:rPr>
      </w:pPr>
      <w:r>
        <w:rPr>
          <w:rFonts w:ascii="Arial" w:cs="Arial" w:eastAsia="Arial" w:hAnsi="Arial"/>
          <w:sz w:val="18"/>
          <w:szCs w:val="18"/>
          <w:color w:val="auto"/>
        </w:rPr>
        <w:t>If Holders of not less than 90.0%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9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1007, the Issuer shall comply with the applicable securities laws and regulations and will not be deemed to have breached its obligations under this Section 1007 by virtue of such compliance.</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Notwithstanding anything to the contrary contained herein, a Change of Control Offer may be made in advance of a Change of Control, conditional upon such Change of Control, if a definitive agreement is in place for the Change of Control at the time of making of the Change of Control Offer.</w:t>
      </w:r>
    </w:p>
    <w:p>
      <w:pPr>
        <w:spacing w:after="0" w:line="12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Limitation on Additional Indebtedness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225" w:lineRule="exact"/>
        <w:rPr>
          <w:sz w:val="20"/>
          <w:szCs w:val="20"/>
          <w:color w:val="auto"/>
        </w:rPr>
      </w:pPr>
    </w:p>
    <w:p>
      <w:pPr>
        <w:ind w:left="660" w:right="180" w:firstLine="645"/>
        <w:spacing w:after="0" w:line="312" w:lineRule="auto"/>
        <w:tabs>
          <w:tab w:leader="none" w:pos="2058" w:val="left"/>
        </w:tabs>
        <w:numPr>
          <w:ilvl w:val="0"/>
          <w:numId w:val="185"/>
        </w:numPr>
        <w:rPr>
          <w:rFonts w:ascii="Arial" w:cs="Arial" w:eastAsia="Arial" w:hAnsi="Arial"/>
          <w:sz w:val="16"/>
          <w:szCs w:val="16"/>
          <w:color w:val="010000"/>
        </w:rPr>
      </w:pPr>
      <w:r>
        <w:rPr>
          <w:rFonts w:ascii="Arial" w:cs="Arial" w:eastAsia="Arial" w:hAnsi="Arial"/>
          <w:sz w:val="16"/>
          <w:szCs w:val="16"/>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$1,000.0 million;</w:t>
      </w:r>
    </w:p>
    <w:p>
      <w:pPr>
        <w:spacing w:after="0" w:line="146" w:lineRule="exact"/>
        <w:rPr>
          <w:rFonts w:ascii="Arial" w:cs="Arial" w:eastAsia="Arial" w:hAnsi="Arial"/>
          <w:sz w:val="16"/>
          <w:szCs w:val="16"/>
          <w:color w:val="010000"/>
        </w:rPr>
      </w:pPr>
    </w:p>
    <w:p>
      <w:pPr>
        <w:ind w:left="2060" w:hanging="755"/>
        <w:spacing w:after="0"/>
        <w:tabs>
          <w:tab w:leader="none" w:pos="2060"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Indebtedness under (a) the Notes and (b) the Guarantees of the Notes;</w:t>
      </w:r>
    </w:p>
    <w:p>
      <w:pPr>
        <w:spacing w:after="0" w:line="225" w:lineRule="exact"/>
        <w:rPr>
          <w:rFonts w:ascii="Arial" w:cs="Arial" w:eastAsia="Arial" w:hAnsi="Arial"/>
          <w:sz w:val="18"/>
          <w:szCs w:val="18"/>
          <w:color w:val="010000"/>
        </w:rPr>
      </w:pPr>
    </w:p>
    <w:p>
      <w:pPr>
        <w:ind w:left="660" w:right="500" w:firstLine="645"/>
        <w:spacing w:after="0" w:line="277" w:lineRule="auto"/>
        <w:tabs>
          <w:tab w:leader="none" w:pos="2058"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170" w:lineRule="exact"/>
        <w:rPr>
          <w:rFonts w:ascii="Arial" w:cs="Arial" w:eastAsia="Arial" w:hAnsi="Arial"/>
          <w:sz w:val="18"/>
          <w:szCs w:val="18"/>
          <w:color w:val="010000"/>
        </w:rPr>
      </w:pPr>
    </w:p>
    <w:p>
      <w:pPr>
        <w:ind w:left="660" w:right="200" w:firstLine="645"/>
        <w:spacing w:after="0" w:line="259" w:lineRule="auto"/>
        <w:tabs>
          <w:tab w:leader="none" w:pos="2058"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1" w:name="page152"/>
    <w:bookmarkEnd w:id="151"/>
    <w:p>
      <w:pPr>
        <w:ind w:left="-540" w:right="140" w:firstLine="645"/>
        <w:spacing w:after="0" w:line="277" w:lineRule="auto"/>
        <w:tabs>
          <w:tab w:leader="none" w:pos="858"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170" w:lineRule="exact"/>
        <w:rPr>
          <w:rFonts w:ascii="Arial" w:cs="Arial" w:eastAsia="Arial" w:hAnsi="Arial"/>
          <w:sz w:val="18"/>
          <w:szCs w:val="18"/>
          <w:color w:val="010000"/>
        </w:rPr>
      </w:pPr>
    </w:p>
    <w:p>
      <w:pPr>
        <w:ind w:left="-540" w:firstLine="645"/>
        <w:spacing w:after="0" w:line="297" w:lineRule="auto"/>
        <w:tabs>
          <w:tab w:leader="none" w:pos="858" w:val="left"/>
        </w:tabs>
        <w:numPr>
          <w:ilvl w:val="0"/>
          <w:numId w:val="186"/>
        </w:numPr>
        <w:rPr>
          <w:rFonts w:ascii="Arial" w:cs="Arial" w:eastAsia="Arial" w:hAnsi="Arial"/>
          <w:sz w:val="16"/>
          <w:szCs w:val="16"/>
          <w:color w:val="010000"/>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158" w:lineRule="exact"/>
        <w:rPr>
          <w:rFonts w:ascii="Arial" w:cs="Arial" w:eastAsia="Arial" w:hAnsi="Arial"/>
          <w:sz w:val="16"/>
          <w:szCs w:val="16"/>
          <w:color w:val="010000"/>
        </w:rPr>
      </w:pPr>
    </w:p>
    <w:p>
      <w:pPr>
        <w:ind w:left="-540" w:right="40" w:firstLine="645"/>
        <w:spacing w:after="0" w:line="291" w:lineRule="auto"/>
        <w:tabs>
          <w:tab w:leader="none" w:pos="858" w:val="left"/>
        </w:tabs>
        <w:numPr>
          <w:ilvl w:val="0"/>
          <w:numId w:val="186"/>
        </w:numPr>
        <w:rPr>
          <w:rFonts w:ascii="Arial" w:cs="Arial" w:eastAsia="Arial" w:hAnsi="Arial"/>
          <w:sz w:val="16"/>
          <w:szCs w:val="16"/>
          <w:color w:val="010000"/>
        </w:rPr>
      </w:pPr>
      <w:r>
        <w:rPr>
          <w:rFonts w:ascii="Arial" w:cs="Arial" w:eastAsia="Arial" w:hAnsi="Arial"/>
          <w:sz w:val="16"/>
          <w:szCs w:val="16"/>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67" w:lineRule="exact"/>
        <w:rPr>
          <w:rFonts w:ascii="Arial" w:cs="Arial" w:eastAsia="Arial" w:hAnsi="Arial"/>
          <w:sz w:val="16"/>
          <w:szCs w:val="16"/>
          <w:color w:val="010000"/>
        </w:rPr>
      </w:pPr>
    </w:p>
    <w:p>
      <w:pPr>
        <w:ind w:left="-540" w:firstLine="645"/>
        <w:spacing w:after="0" w:line="286" w:lineRule="auto"/>
        <w:tabs>
          <w:tab w:leader="none" w:pos="858" w:val="left"/>
        </w:tabs>
        <w:numPr>
          <w:ilvl w:val="0"/>
          <w:numId w:val="186"/>
        </w:numPr>
        <w:rPr>
          <w:rFonts w:ascii="Arial" w:cs="Arial" w:eastAsia="Arial" w:hAnsi="Arial"/>
          <w:sz w:val="17"/>
          <w:szCs w:val="17"/>
          <w:color w:val="010000"/>
        </w:rPr>
      </w:pPr>
      <w:r>
        <w:rPr>
          <w:rFonts w:ascii="Arial" w:cs="Arial" w:eastAsia="Arial" w:hAnsi="Arial"/>
          <w:sz w:val="17"/>
          <w:szCs w:val="17"/>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$250 million and (b) 2.5% of the Parent Guarantor’s Consolidated Tangible Assets determined at the time of incurrence;</w:t>
      </w:r>
    </w:p>
    <w:p>
      <w:pPr>
        <w:spacing w:after="0" w:line="165" w:lineRule="exact"/>
        <w:rPr>
          <w:rFonts w:ascii="Arial" w:cs="Arial" w:eastAsia="Arial" w:hAnsi="Arial"/>
          <w:sz w:val="17"/>
          <w:szCs w:val="17"/>
          <w:color w:val="010000"/>
        </w:rPr>
      </w:pPr>
    </w:p>
    <w:p>
      <w:pPr>
        <w:ind w:left="-540" w:right="600" w:firstLine="645"/>
        <w:spacing w:after="0" w:line="308" w:lineRule="auto"/>
        <w:tabs>
          <w:tab w:leader="none" w:pos="858" w:val="left"/>
        </w:tabs>
        <w:numPr>
          <w:ilvl w:val="0"/>
          <w:numId w:val="186"/>
        </w:numPr>
        <w:rPr>
          <w:rFonts w:ascii="Arial" w:cs="Arial" w:eastAsia="Arial" w:hAnsi="Arial"/>
          <w:sz w:val="17"/>
          <w:szCs w:val="17"/>
          <w:color w:val="010000"/>
        </w:rPr>
      </w:pPr>
      <w:r>
        <w:rPr>
          <w:rFonts w:ascii="Arial" w:cs="Arial" w:eastAsia="Arial" w:hAnsi="Arial"/>
          <w:sz w:val="17"/>
          <w:szCs w:val="17"/>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46" w:lineRule="exact"/>
        <w:rPr>
          <w:rFonts w:ascii="Arial" w:cs="Arial" w:eastAsia="Arial" w:hAnsi="Arial"/>
          <w:sz w:val="17"/>
          <w:szCs w:val="17"/>
          <w:color w:val="010000"/>
        </w:rPr>
      </w:pPr>
    </w:p>
    <w:p>
      <w:pPr>
        <w:ind w:left="-540" w:right="300" w:firstLine="645"/>
        <w:spacing w:after="0" w:line="277" w:lineRule="auto"/>
        <w:tabs>
          <w:tab w:leader="none" w:pos="858"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40"/>
          </w:cols>
          <w:pgMar w:left="1440" w:top="908" w:right="319" w:bottom="1440" w:gutter="0" w:footer="0" w:header="0"/>
        </w:sectPr>
      </w:pPr>
    </w:p>
    <w:bookmarkStart w:id="152" w:name="page153"/>
    <w:bookmarkEnd w:id="152"/>
    <w:p>
      <w:pPr>
        <w:ind w:left="660" w:right="320" w:firstLine="645"/>
        <w:spacing w:after="0" w:line="277" w:lineRule="auto"/>
        <w:tabs>
          <w:tab w:leader="none" w:pos="2141"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below;</w:t>
      </w:r>
    </w:p>
    <w:p>
      <w:pPr>
        <w:spacing w:after="0" w:line="170" w:lineRule="exact"/>
        <w:rPr>
          <w:rFonts w:ascii="Arial" w:cs="Arial" w:eastAsia="Arial" w:hAnsi="Arial"/>
          <w:sz w:val="18"/>
          <w:szCs w:val="18"/>
          <w:color w:val="010000"/>
        </w:rPr>
      </w:pPr>
    </w:p>
    <w:p>
      <w:pPr>
        <w:jc w:val="both"/>
        <w:ind w:left="660" w:right="100" w:firstLine="645"/>
        <w:spacing w:after="0" w:line="259" w:lineRule="auto"/>
        <w:tabs>
          <w:tab w:leader="none" w:pos="2148"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86" w:lineRule="exact"/>
        <w:rPr>
          <w:rFonts w:ascii="Arial" w:cs="Arial" w:eastAsia="Arial" w:hAnsi="Arial"/>
          <w:sz w:val="18"/>
          <w:szCs w:val="18"/>
          <w:color w:val="010000"/>
        </w:rPr>
      </w:pPr>
    </w:p>
    <w:p>
      <w:pPr>
        <w:ind w:left="660" w:firstLine="645"/>
        <w:spacing w:after="0" w:line="259" w:lineRule="auto"/>
        <w:tabs>
          <w:tab w:leader="none" w:pos="2148"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$500 million and (b) 5.0% of the Parent Guarantor’s Consolidated Tangible Assets determined at the time of incurrence;</w:t>
      </w:r>
    </w:p>
    <w:p>
      <w:pPr>
        <w:spacing w:after="0" w:line="186" w:lineRule="exact"/>
        <w:rPr>
          <w:rFonts w:ascii="Arial" w:cs="Arial" w:eastAsia="Arial" w:hAnsi="Arial"/>
          <w:sz w:val="18"/>
          <w:szCs w:val="18"/>
          <w:color w:val="010000"/>
        </w:rPr>
      </w:pPr>
    </w:p>
    <w:p>
      <w:pPr>
        <w:ind w:left="2140" w:hanging="835"/>
        <w:spacing w:after="0"/>
        <w:tabs>
          <w:tab w:leader="none" w:pos="2140" w:val="left"/>
        </w:tabs>
        <w:numPr>
          <w:ilvl w:val="0"/>
          <w:numId w:val="187"/>
        </w:numPr>
        <w:rPr>
          <w:rFonts w:ascii="Arial" w:cs="Arial" w:eastAsia="Arial" w:hAnsi="Arial"/>
          <w:sz w:val="17"/>
          <w:szCs w:val="17"/>
          <w:color w:val="010000"/>
        </w:rPr>
      </w:pPr>
      <w:r>
        <w:rPr>
          <w:rFonts w:ascii="Arial" w:cs="Arial" w:eastAsia="Arial" w:hAnsi="Arial"/>
          <w:sz w:val="17"/>
          <w:szCs w:val="17"/>
          <w:color w:val="auto"/>
        </w:rPr>
        <w:t>Indebtedness in respect of Specified Cash Management Agreements entered into in the ordinary course of business;</w:t>
      </w:r>
    </w:p>
    <w:p>
      <w:pPr>
        <w:spacing w:after="0" w:line="236" w:lineRule="exact"/>
        <w:rPr>
          <w:rFonts w:ascii="Arial" w:cs="Arial" w:eastAsia="Arial" w:hAnsi="Arial"/>
          <w:sz w:val="17"/>
          <w:szCs w:val="17"/>
          <w:color w:val="010000"/>
        </w:rPr>
      </w:pPr>
    </w:p>
    <w:p>
      <w:pPr>
        <w:ind w:left="660" w:right="180" w:firstLine="645"/>
        <w:spacing w:after="0" w:line="277" w:lineRule="auto"/>
        <w:tabs>
          <w:tab w:leader="none" w:pos="2148"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 and</w:t>
      </w:r>
    </w:p>
    <w:p>
      <w:pPr>
        <w:spacing w:after="0" w:line="170" w:lineRule="exact"/>
        <w:rPr>
          <w:rFonts w:ascii="Arial" w:cs="Arial" w:eastAsia="Arial" w:hAnsi="Arial"/>
          <w:sz w:val="18"/>
          <w:szCs w:val="18"/>
          <w:color w:val="010000"/>
        </w:rPr>
      </w:pPr>
    </w:p>
    <w:p>
      <w:pPr>
        <w:ind w:left="660" w:right="60" w:firstLine="645"/>
        <w:spacing w:after="0" w:line="271" w:lineRule="auto"/>
        <w:tabs>
          <w:tab w:leader="none" w:pos="2148" w:val="left"/>
        </w:tabs>
        <w:numPr>
          <w:ilvl w:val="0"/>
          <w:numId w:val="187"/>
        </w:numPr>
        <w:rPr>
          <w:rFonts w:ascii="Arial" w:cs="Arial" w:eastAsia="Arial" w:hAnsi="Arial"/>
          <w:sz w:val="17"/>
          <w:szCs w:val="17"/>
          <w:color w:val="010000"/>
        </w:rPr>
      </w:pPr>
      <w:r>
        <w:rPr>
          <w:rFonts w:ascii="Arial" w:cs="Arial" w:eastAsia="Arial" w:hAnsi="Arial"/>
          <w:sz w:val="17"/>
          <w:szCs w:val="17"/>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purposes of determining compliance with this Section 1008,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Agreements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jc w:val="both"/>
        <w:ind w:right="340" w:firstLine="648"/>
        <w:spacing w:after="0" w:line="286" w:lineRule="auto"/>
        <w:rPr>
          <w:sz w:val="20"/>
          <w:szCs w:val="20"/>
          <w:color w:val="auto"/>
        </w:rPr>
      </w:pPr>
      <w:r>
        <w:rPr>
          <w:rFonts w:ascii="Arial" w:cs="Arial" w:eastAsia="Arial" w:hAnsi="Arial"/>
          <w:sz w:val="17"/>
          <w:szCs w:val="17"/>
          <w:color w:val="auto"/>
        </w:rPr>
        <w:t xml:space="preserve">The accrual of interest, the accretion or amortization of original issue discount and the payment of interest on any Indebtedness, including in the form of additional Indebtedness with the same terms, will not be deemed to be an incurrence of Indebtedness of this Section 1008;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Consolidated Interest Expense of the Parent Guarantor as accrued.</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1008, the Issuer shall be in Default of this covenant).</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170" w:lineRule="exact"/>
        <w:rPr>
          <w:sz w:val="20"/>
          <w:szCs w:val="20"/>
          <w:color w:val="auto"/>
        </w:rPr>
      </w:pPr>
    </w:p>
    <w:p>
      <w:pPr>
        <w:ind w:left="2060" w:hanging="755"/>
        <w:spacing w:after="0"/>
        <w:tabs>
          <w:tab w:leader="none" w:pos="2060" w:val="left"/>
        </w:tabs>
        <w:numPr>
          <w:ilvl w:val="0"/>
          <w:numId w:val="188"/>
        </w:numPr>
        <w:rPr>
          <w:rFonts w:ascii="Arial" w:cs="Arial" w:eastAsia="Arial" w:hAnsi="Arial"/>
          <w:sz w:val="18"/>
          <w:szCs w:val="18"/>
          <w:color w:val="010000"/>
        </w:rPr>
      </w:pPr>
      <w:r>
        <w:rPr>
          <w:rFonts w:ascii="Arial" w:cs="Arial" w:eastAsia="Arial" w:hAnsi="Arial"/>
          <w:sz w:val="18"/>
          <w:szCs w:val="18"/>
          <w:color w:val="auto"/>
        </w:rPr>
        <w:t>a Default shall have occurred and be continuing or shall occur as a consequence thereof;</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188"/>
        </w:numPr>
        <w:rPr>
          <w:rFonts w:ascii="Arial" w:cs="Arial" w:eastAsia="Arial" w:hAnsi="Arial"/>
          <w:sz w:val="16"/>
          <w:szCs w:val="16"/>
          <w:color w:val="010000"/>
        </w:rPr>
      </w:pPr>
      <w:r>
        <w:rPr>
          <w:rFonts w:ascii="Arial" w:cs="Arial" w:eastAsia="Arial" w:hAnsi="Arial"/>
          <w:sz w:val="16"/>
          <w:szCs w:val="16"/>
          <w:color w:val="auto"/>
        </w:rPr>
        <w:t>the Parent Guarantor is not able to incur at least $1.00 of additional Indebtedness pursuant to the Coverage Ratio Exception; or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54" w:name="page155"/>
    <w:bookmarkEnd w:id="154"/>
    <w:p>
      <w:pPr>
        <w:ind w:right="360" w:firstLine="645"/>
        <w:spacing w:after="0" w:line="264" w:lineRule="auto"/>
        <w:tabs>
          <w:tab w:leader="none" w:pos="1398"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181" w:lineRule="exact"/>
        <w:rPr>
          <w:rFonts w:ascii="Arial" w:cs="Arial" w:eastAsia="Arial" w:hAnsi="Arial"/>
          <w:sz w:val="18"/>
          <w:szCs w:val="18"/>
          <w:color w:val="010000"/>
        </w:rPr>
      </w:pPr>
    </w:p>
    <w:p>
      <w:pPr>
        <w:ind w:left="640" w:right="40" w:firstLine="743"/>
        <w:spacing w:after="0" w:line="259" w:lineRule="auto"/>
        <w:tabs>
          <w:tab w:leader="none" w:pos="2118" w:val="left"/>
        </w:tabs>
        <w:numPr>
          <w:ilvl w:val="1"/>
          <w:numId w:val="189"/>
        </w:numPr>
        <w:rPr>
          <w:rFonts w:ascii="Arial" w:cs="Arial" w:eastAsia="Arial" w:hAnsi="Arial"/>
          <w:sz w:val="18"/>
          <w:szCs w:val="18"/>
          <w:color w:val="010000"/>
        </w:rPr>
      </w:pPr>
      <w:r>
        <w:rPr>
          <w:rFonts w:ascii="Arial" w:cs="Arial" w:eastAsia="Arial" w:hAnsi="Arial"/>
          <w:sz w:val="18"/>
          <w:szCs w:val="18"/>
          <w:color w:val="auto"/>
        </w:rPr>
        <w:t>50.0% of Consolidated Net Income of the Parent Guarantor and the Restricted Subsidiaries for the period (taken as one accounting period) commencing on the Issue Date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86" w:lineRule="exact"/>
        <w:rPr>
          <w:rFonts w:ascii="Arial" w:cs="Arial" w:eastAsia="Arial" w:hAnsi="Arial"/>
          <w:sz w:val="18"/>
          <w:szCs w:val="18"/>
          <w:color w:val="010000"/>
        </w:rPr>
      </w:pPr>
    </w:p>
    <w:p>
      <w:pPr>
        <w:ind w:left="640" w:firstLine="743"/>
        <w:spacing w:after="0" w:line="289" w:lineRule="auto"/>
        <w:tabs>
          <w:tab w:leader="none" w:pos="2083" w:val="left"/>
        </w:tabs>
        <w:numPr>
          <w:ilvl w:val="1"/>
          <w:numId w:val="189"/>
        </w:numPr>
        <w:rPr>
          <w:rFonts w:ascii="Arial" w:cs="Arial" w:eastAsia="Arial" w:hAnsi="Arial"/>
          <w:sz w:val="16"/>
          <w:szCs w:val="16"/>
          <w:color w:val="010000"/>
        </w:rPr>
      </w:pPr>
      <w:r>
        <w:rPr>
          <w:rFonts w:ascii="Arial" w:cs="Arial" w:eastAsia="Arial" w:hAnsi="Arial"/>
          <w:sz w:val="16"/>
          <w:szCs w:val="16"/>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66" w:lineRule="exact"/>
        <w:rPr>
          <w:rFonts w:ascii="Arial" w:cs="Arial" w:eastAsia="Arial" w:hAnsi="Arial"/>
          <w:sz w:val="16"/>
          <w:szCs w:val="16"/>
          <w:color w:val="010000"/>
        </w:rPr>
      </w:pPr>
    </w:p>
    <w:p>
      <w:pPr>
        <w:ind w:left="640" w:firstLine="743"/>
        <w:spacing w:after="0" w:line="259" w:lineRule="auto"/>
        <w:tabs>
          <w:tab w:leader="none" w:pos="2118" w:val="left"/>
        </w:tabs>
        <w:numPr>
          <w:ilvl w:val="1"/>
          <w:numId w:val="189"/>
        </w:numPr>
        <w:rPr>
          <w:rFonts w:ascii="Arial" w:cs="Arial" w:eastAsia="Arial" w:hAnsi="Arial"/>
          <w:sz w:val="18"/>
          <w:szCs w:val="18"/>
          <w:color w:val="010000"/>
        </w:rPr>
      </w:pPr>
      <w:r>
        <w:rPr>
          <w:rFonts w:ascii="Arial" w:cs="Arial" w:eastAsia="Arial" w:hAnsi="Arial"/>
          <w:sz w:val="18"/>
          <w:szCs w:val="18"/>
          <w:color w:val="auto"/>
        </w:rPr>
        <w:t>in the case of the disposition or repayment of or return on any Investment that was treated as a Restricted Payment after the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86" w:lineRule="exact"/>
        <w:rPr>
          <w:rFonts w:ascii="Arial" w:cs="Arial" w:eastAsia="Arial" w:hAnsi="Arial"/>
          <w:sz w:val="18"/>
          <w:szCs w:val="18"/>
          <w:color w:val="010000"/>
        </w:rPr>
      </w:pPr>
    </w:p>
    <w:p>
      <w:pPr>
        <w:ind w:left="640" w:right="20" w:firstLine="743"/>
        <w:spacing w:after="0" w:line="257" w:lineRule="auto"/>
        <w:tabs>
          <w:tab w:leader="none" w:pos="2128" w:val="left"/>
        </w:tabs>
        <w:numPr>
          <w:ilvl w:val="1"/>
          <w:numId w:val="189"/>
        </w:numPr>
        <w:rPr>
          <w:rFonts w:ascii="Arial" w:cs="Arial" w:eastAsia="Arial" w:hAnsi="Arial"/>
          <w:sz w:val="18"/>
          <w:szCs w:val="18"/>
          <w:color w:val="010000"/>
        </w:rPr>
      </w:pPr>
      <w:r>
        <w:rPr>
          <w:rFonts w:ascii="Arial" w:cs="Arial" w:eastAsia="Arial" w:hAnsi="Arial"/>
          <w:sz w:val="18"/>
          <w:szCs w:val="18"/>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9" w:right="259" w:bottom="1440" w:gutter="0" w:footer="0" w:header="0"/>
        </w:sectPr>
      </w:pPr>
    </w:p>
    <w:bookmarkStart w:id="155" w:name="page156"/>
    <w:bookmarkEnd w:id="155"/>
    <w:p>
      <w:pPr>
        <w:jc w:val="both"/>
        <w:ind w:left="-540" w:firstLine="645"/>
        <w:spacing w:after="0" w:line="264" w:lineRule="auto"/>
        <w:tabs>
          <w:tab w:leader="none" w:pos="858"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81" w:lineRule="exact"/>
        <w:rPr>
          <w:rFonts w:ascii="Arial" w:cs="Arial" w:eastAsia="Arial" w:hAnsi="Arial"/>
          <w:sz w:val="18"/>
          <w:szCs w:val="18"/>
          <w:color w:val="010000"/>
        </w:rPr>
      </w:pPr>
    </w:p>
    <w:p>
      <w:pPr>
        <w:ind w:left="-540" w:right="620" w:firstLine="645"/>
        <w:spacing w:after="0" w:line="277" w:lineRule="auto"/>
        <w:tabs>
          <w:tab w:leader="none" w:pos="858"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170" w:lineRule="exact"/>
        <w:rPr>
          <w:rFonts w:ascii="Arial" w:cs="Arial" w:eastAsia="Arial" w:hAnsi="Arial"/>
          <w:sz w:val="18"/>
          <w:szCs w:val="18"/>
          <w:color w:val="010000"/>
        </w:rPr>
      </w:pPr>
    </w:p>
    <w:p>
      <w:pPr>
        <w:ind w:left="-540" w:firstLine="645"/>
        <w:spacing w:after="0" w:line="264" w:lineRule="auto"/>
        <w:tabs>
          <w:tab w:leader="none" w:pos="858"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Section 1008 and the other terms of the Indenture;</w:t>
      </w:r>
    </w:p>
    <w:p>
      <w:pPr>
        <w:spacing w:after="0" w:line="181" w:lineRule="exact"/>
        <w:rPr>
          <w:rFonts w:ascii="Arial" w:cs="Arial" w:eastAsia="Arial" w:hAnsi="Arial"/>
          <w:sz w:val="18"/>
          <w:szCs w:val="18"/>
          <w:color w:val="010000"/>
        </w:rPr>
      </w:pPr>
    </w:p>
    <w:p>
      <w:pPr>
        <w:ind w:left="-540" w:firstLine="645"/>
        <w:spacing w:after="0" w:line="255" w:lineRule="auto"/>
        <w:tabs>
          <w:tab w:leader="none" w:pos="858"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1007;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 of Control Offer as provided in Section 1007 and has completed the repurchase or redemption of all Notes validly tendered for payment in connection with such Change of Control Offer;</w:t>
      </w:r>
    </w:p>
    <w:p>
      <w:pPr>
        <w:spacing w:after="0" w:line="193" w:lineRule="exact"/>
        <w:rPr>
          <w:rFonts w:ascii="Arial" w:cs="Arial" w:eastAsia="Arial" w:hAnsi="Arial"/>
          <w:sz w:val="18"/>
          <w:szCs w:val="18"/>
          <w:color w:val="010000"/>
        </w:rPr>
      </w:pPr>
    </w:p>
    <w:p>
      <w:pPr>
        <w:ind w:left="-540" w:right="60" w:firstLine="645"/>
        <w:spacing w:after="0" w:line="286" w:lineRule="auto"/>
        <w:tabs>
          <w:tab w:leader="none" w:pos="903" w:val="left"/>
        </w:tabs>
        <w:numPr>
          <w:ilvl w:val="0"/>
          <w:numId w:val="190"/>
        </w:numPr>
        <w:rPr>
          <w:rFonts w:ascii="Arial" w:cs="Arial" w:eastAsia="Arial" w:hAnsi="Arial"/>
          <w:sz w:val="16"/>
          <w:szCs w:val="16"/>
          <w:color w:val="010000"/>
        </w:rPr>
      </w:pPr>
      <w:r>
        <w:rPr>
          <w:rFonts w:ascii="Arial" w:cs="Arial" w:eastAsia="Arial" w:hAnsi="Arial"/>
          <w:sz w:val="16"/>
          <w:szCs w:val="16"/>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in any case, that the aggregate cash consideration paid for all such redemptions, repurchases or other acquisitions or retirements shall not exceed (A) $25.0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provided further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908" w:right="279" w:bottom="1440" w:gutter="0" w:footer="0" w:header="0"/>
        </w:sectPr>
      </w:pPr>
    </w:p>
    <w:bookmarkStart w:id="156" w:name="page157"/>
    <w:bookmarkEnd w:id="156"/>
    <w:p>
      <w:pPr>
        <w:ind w:left="660" w:right="60" w:firstLine="645"/>
        <w:spacing w:after="0" w:line="255" w:lineRule="auto"/>
        <w:tabs>
          <w:tab w:leader="none" w:pos="2013"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93" w:lineRule="exact"/>
        <w:rPr>
          <w:rFonts w:ascii="Arial" w:cs="Arial" w:eastAsia="Arial" w:hAnsi="Arial"/>
          <w:sz w:val="18"/>
          <w:szCs w:val="18"/>
          <w:color w:val="010000"/>
        </w:rPr>
      </w:pPr>
    </w:p>
    <w:p>
      <w:pPr>
        <w:ind w:left="660" w:right="260" w:firstLine="645"/>
        <w:spacing w:after="0" w:line="264" w:lineRule="auto"/>
        <w:tabs>
          <w:tab w:leader="none" w:pos="2058"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Section 1008 to the extent such dividends or distributions are included in the definition of Consolidated Interest Expense;</w:t>
      </w:r>
    </w:p>
    <w:p>
      <w:pPr>
        <w:spacing w:after="0" w:line="181" w:lineRule="exact"/>
        <w:rPr>
          <w:rFonts w:ascii="Arial" w:cs="Arial" w:eastAsia="Arial" w:hAnsi="Arial"/>
          <w:sz w:val="18"/>
          <w:szCs w:val="18"/>
          <w:color w:val="010000"/>
        </w:rPr>
      </w:pPr>
    </w:p>
    <w:p>
      <w:pPr>
        <w:ind w:left="2060" w:hanging="755"/>
        <w:spacing w:after="0"/>
        <w:tabs>
          <w:tab w:leader="none" w:pos="2060"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the payment of cash in lieu of fractional Equity Interests;</w:t>
      </w:r>
    </w:p>
    <w:p>
      <w:pPr>
        <w:spacing w:after="0" w:line="225" w:lineRule="exact"/>
        <w:rPr>
          <w:rFonts w:ascii="Arial" w:cs="Arial" w:eastAsia="Arial" w:hAnsi="Arial"/>
          <w:sz w:val="18"/>
          <w:szCs w:val="18"/>
          <w:color w:val="010000"/>
        </w:rPr>
      </w:pPr>
    </w:p>
    <w:p>
      <w:pPr>
        <w:ind w:left="660" w:right="360" w:firstLine="645"/>
        <w:spacing w:after="0" w:line="277" w:lineRule="auto"/>
        <w:tabs>
          <w:tab w:leader="none" w:pos="2058"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of Section 801;</w:t>
      </w:r>
    </w:p>
    <w:p>
      <w:pPr>
        <w:spacing w:after="0" w:line="170" w:lineRule="exact"/>
        <w:rPr>
          <w:rFonts w:ascii="Arial" w:cs="Arial" w:eastAsia="Arial" w:hAnsi="Arial"/>
          <w:sz w:val="18"/>
          <w:szCs w:val="18"/>
          <w:color w:val="010000"/>
        </w:rPr>
      </w:pPr>
    </w:p>
    <w:p>
      <w:pPr>
        <w:ind w:left="660" w:right="120" w:firstLine="645"/>
        <w:spacing w:after="0" w:line="277" w:lineRule="auto"/>
        <w:tabs>
          <w:tab w:leader="none" w:pos="2058"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170" w:lineRule="exact"/>
        <w:rPr>
          <w:rFonts w:ascii="Arial" w:cs="Arial" w:eastAsia="Arial" w:hAnsi="Arial"/>
          <w:sz w:val="18"/>
          <w:szCs w:val="18"/>
          <w:color w:val="010000"/>
        </w:rPr>
      </w:pPr>
    </w:p>
    <w:p>
      <w:pPr>
        <w:ind w:left="660" w:firstLine="645"/>
        <w:spacing w:after="0" w:line="264" w:lineRule="auto"/>
        <w:tabs>
          <w:tab w:leader="none" w:pos="2051"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81" w:lineRule="exact"/>
        <w:rPr>
          <w:rFonts w:ascii="Arial" w:cs="Arial" w:eastAsia="Arial" w:hAnsi="Arial"/>
          <w:sz w:val="18"/>
          <w:szCs w:val="18"/>
          <w:color w:val="010000"/>
        </w:rPr>
      </w:pPr>
    </w:p>
    <w:p>
      <w:pPr>
        <w:ind w:left="2060" w:hanging="755"/>
        <w:spacing w:after="0"/>
        <w:tabs>
          <w:tab w:leader="none" w:pos="2060" w:val="left"/>
        </w:tabs>
        <w:numPr>
          <w:ilvl w:val="1"/>
          <w:numId w:val="191"/>
        </w:numPr>
        <w:rPr>
          <w:rFonts w:ascii="Arial" w:cs="Arial" w:eastAsia="Arial" w:hAnsi="Arial"/>
          <w:sz w:val="16"/>
          <w:szCs w:val="16"/>
          <w:color w:val="010000"/>
        </w:rPr>
      </w:pPr>
      <w:r>
        <w:rPr>
          <w:rFonts w:ascii="Arial" w:cs="Arial" w:eastAsia="Arial" w:hAnsi="Arial"/>
          <w:sz w:val="16"/>
          <w:szCs w:val="16"/>
          <w:color w:val="auto"/>
        </w:rPr>
        <w:t>payment of other Restricted Payments from time to time in an aggregate amount since the Issue Date not to exceed the greater of</w:t>
      </w:r>
    </w:p>
    <w:p>
      <w:pPr>
        <w:spacing w:after="0" w:line="46" w:lineRule="exact"/>
        <w:rPr>
          <w:rFonts w:ascii="Arial" w:cs="Arial" w:eastAsia="Arial" w:hAnsi="Arial"/>
          <w:sz w:val="16"/>
          <w:szCs w:val="16"/>
          <w:color w:val="010000"/>
        </w:rPr>
      </w:pPr>
    </w:p>
    <w:p>
      <w:pPr>
        <w:ind w:left="880" w:hanging="224"/>
        <w:spacing w:after="0"/>
        <w:tabs>
          <w:tab w:leader="none" w:pos="8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$200 million and (ii) 2.0% of the Parent Guarantor’s Consolidated Tangible Assets determined at the time made; or</w:t>
      </w:r>
    </w:p>
    <w:p>
      <w:pPr>
        <w:spacing w:after="0" w:line="210" w:lineRule="exact"/>
        <w:rPr>
          <w:rFonts w:ascii="Arial" w:cs="Arial" w:eastAsia="Arial" w:hAnsi="Arial"/>
          <w:sz w:val="18"/>
          <w:szCs w:val="18"/>
          <w:color w:val="auto"/>
        </w:rPr>
      </w:pPr>
    </w:p>
    <w:p>
      <w:pPr>
        <w:ind w:left="660" w:firstLine="645"/>
        <w:spacing w:after="0" w:line="277" w:lineRule="auto"/>
        <w:tabs>
          <w:tab w:leader="none" w:pos="2013" w:val="left"/>
        </w:tabs>
        <w:numPr>
          <w:ilvl w:val="1"/>
          <w:numId w:val="192"/>
        </w:numPr>
        <w:rPr>
          <w:rFonts w:ascii="Arial" w:cs="Arial" w:eastAsia="Arial" w:hAnsi="Arial"/>
          <w:sz w:val="18"/>
          <w:szCs w:val="18"/>
          <w:color w:val="010000"/>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Basket to the extent of such payment.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57" w:name="page158"/>
    <w:bookmarkEnd w:id="157"/>
    <w:p>
      <w:pPr>
        <w:spacing w:after="0"/>
        <w:tabs>
          <w:tab w:leader="none" w:pos="134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without in any such case making effective provision whereby all of the Notes then Outstanding shall be secured equally and ratably with, or prior to, such obligations so long as such obligations shall be so secured. This restriction shall not apply to:</w:t>
      </w:r>
    </w:p>
    <w:p>
      <w:pPr>
        <w:spacing w:after="0" w:line="187" w:lineRule="exact"/>
        <w:rPr>
          <w:sz w:val="20"/>
          <w:szCs w:val="20"/>
          <w:color w:val="auto"/>
        </w:rPr>
      </w:pPr>
    </w:p>
    <w:p>
      <w:pPr>
        <w:ind w:left="660" w:right="120" w:firstLine="690"/>
        <w:spacing w:after="0" w:line="264" w:lineRule="auto"/>
        <w:tabs>
          <w:tab w:leader="none" w:pos="2058" w:val="left"/>
        </w:tabs>
        <w:numPr>
          <w:ilvl w:val="1"/>
          <w:numId w:val="193"/>
        </w:numPr>
        <w:rPr>
          <w:rFonts w:ascii="Arial" w:cs="Arial" w:eastAsia="Arial" w:hAnsi="Arial"/>
          <w:sz w:val="18"/>
          <w:szCs w:val="18"/>
          <w:color w:val="010000"/>
        </w:rPr>
      </w:pPr>
      <w:r>
        <w:rPr>
          <w:rFonts w:ascii="Arial" w:cs="Arial" w:eastAsia="Arial" w:hAnsi="Arial"/>
          <w:sz w:val="18"/>
          <w:szCs w:val="18"/>
          <w:color w:val="auto"/>
        </w:rPr>
        <w:t>Liens (i) existing on the Issue Date, (ii) provided for under the terms of agreements existing on such date securing Indebtedness existing on such date, (iii) under the terms of a Credit Facility securing Indebtedness incurred pursuant to clause (1) of the definition of Permitted Indebtedness or (iv) Liens securing the Notes and the Guarantees of the Notes;</w:t>
      </w:r>
    </w:p>
    <w:p>
      <w:pPr>
        <w:spacing w:after="0" w:line="181" w:lineRule="exact"/>
        <w:rPr>
          <w:rFonts w:ascii="Arial" w:cs="Arial" w:eastAsia="Arial" w:hAnsi="Arial"/>
          <w:sz w:val="18"/>
          <w:szCs w:val="18"/>
          <w:color w:val="010000"/>
        </w:rPr>
      </w:pPr>
    </w:p>
    <w:p>
      <w:pPr>
        <w:ind w:left="2060" w:hanging="710"/>
        <w:spacing w:after="0"/>
        <w:tabs>
          <w:tab w:leader="none" w:pos="2060" w:val="left"/>
        </w:tabs>
        <w:numPr>
          <w:ilvl w:val="1"/>
          <w:numId w:val="193"/>
        </w:numPr>
        <w:rPr>
          <w:rFonts w:ascii="Arial" w:cs="Arial" w:eastAsia="Arial" w:hAnsi="Arial"/>
          <w:sz w:val="16"/>
          <w:szCs w:val="16"/>
          <w:color w:val="010000"/>
        </w:rPr>
      </w:pPr>
      <w:r>
        <w:rPr>
          <w:rFonts w:ascii="Arial" w:cs="Arial" w:eastAsia="Arial" w:hAnsi="Arial"/>
          <w:sz w:val="16"/>
          <w:szCs w:val="16"/>
          <w:color w:val="auto"/>
        </w:rPr>
        <w:t>Liens provided for under the terms of a Credit Agreement securing Indebtedness incurred pursuant to clauses (5), (9), (10) and</w:t>
      </w:r>
    </w:p>
    <w:p>
      <w:pPr>
        <w:spacing w:after="0" w:line="46" w:lineRule="exact"/>
        <w:rPr>
          <w:rFonts w:ascii="Arial" w:cs="Arial" w:eastAsia="Arial" w:hAnsi="Arial"/>
          <w:sz w:val="16"/>
          <w:szCs w:val="16"/>
          <w:color w:val="010000"/>
        </w:rPr>
      </w:pPr>
    </w:p>
    <w:p>
      <w:pPr>
        <w:ind w:left="1000" w:hanging="344"/>
        <w:spacing w:after="0"/>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of the definition of Permitted Indebtedness;</w:t>
      </w:r>
    </w:p>
    <w:p>
      <w:pPr>
        <w:spacing w:after="0" w:line="210" w:lineRule="exact"/>
        <w:rPr>
          <w:rFonts w:ascii="Arial" w:cs="Arial" w:eastAsia="Arial" w:hAnsi="Arial"/>
          <w:sz w:val="18"/>
          <w:szCs w:val="18"/>
          <w:color w:val="auto"/>
        </w:rPr>
      </w:pPr>
    </w:p>
    <w:p>
      <w:pPr>
        <w:ind w:left="660" w:firstLine="690"/>
        <w:spacing w:after="0" w:line="253" w:lineRule="auto"/>
        <w:tabs>
          <w:tab w:leader="none" w:pos="2058" w:val="left"/>
        </w:tabs>
        <w:numPr>
          <w:ilvl w:val="1"/>
          <w:numId w:val="194"/>
        </w:numPr>
        <w:rPr>
          <w:rFonts w:ascii="Arial" w:cs="Arial" w:eastAsia="Arial" w:hAnsi="Arial"/>
          <w:sz w:val="18"/>
          <w:szCs w:val="18"/>
          <w:color w:val="010000"/>
        </w:rPr>
      </w:pPr>
      <w:r>
        <w:rPr>
          <w:rFonts w:ascii="Arial" w:cs="Arial" w:eastAsia="Arial" w:hAnsi="Arial"/>
          <w:sz w:val="18"/>
          <w:szCs w:val="18"/>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(2) whether or not such Lien is created within such one year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97" w:lineRule="exact"/>
        <w:rPr>
          <w:rFonts w:ascii="Arial" w:cs="Arial" w:eastAsia="Arial" w:hAnsi="Arial"/>
          <w:sz w:val="18"/>
          <w:szCs w:val="18"/>
          <w:color w:val="010000"/>
        </w:rPr>
      </w:pPr>
    </w:p>
    <w:p>
      <w:pPr>
        <w:ind w:left="660" w:right="60" w:firstLine="690"/>
        <w:spacing w:after="0" w:line="259" w:lineRule="auto"/>
        <w:tabs>
          <w:tab w:leader="none" w:pos="2058" w:val="left"/>
        </w:tabs>
        <w:numPr>
          <w:ilvl w:val="1"/>
          <w:numId w:val="194"/>
        </w:numPr>
        <w:rPr>
          <w:rFonts w:ascii="Arial" w:cs="Arial" w:eastAsia="Arial" w:hAnsi="Arial"/>
          <w:sz w:val="18"/>
          <w:szCs w:val="18"/>
          <w:color w:val="010000"/>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86" w:lineRule="exact"/>
        <w:rPr>
          <w:rFonts w:ascii="Arial" w:cs="Arial" w:eastAsia="Arial" w:hAnsi="Arial"/>
          <w:sz w:val="18"/>
          <w:szCs w:val="18"/>
          <w:color w:val="010000"/>
        </w:rPr>
      </w:pPr>
    </w:p>
    <w:p>
      <w:pPr>
        <w:ind w:left="2060" w:hanging="710"/>
        <w:spacing w:after="0"/>
        <w:tabs>
          <w:tab w:leader="none" w:pos="2060" w:val="left"/>
        </w:tabs>
        <w:numPr>
          <w:ilvl w:val="1"/>
          <w:numId w:val="194"/>
        </w:numPr>
        <w:rPr>
          <w:rFonts w:ascii="Arial" w:cs="Arial" w:eastAsia="Arial" w:hAnsi="Arial"/>
          <w:sz w:val="18"/>
          <w:szCs w:val="18"/>
          <w:color w:val="010000"/>
        </w:rPr>
      </w:pPr>
      <w:r>
        <w:rPr>
          <w:rFonts w:ascii="Arial" w:cs="Arial" w:eastAsia="Arial" w:hAnsi="Arial"/>
          <w:sz w:val="18"/>
          <w:szCs w:val="18"/>
          <w:color w:val="auto"/>
        </w:rPr>
        <w:t>Liens in favor of the Parent Guarantor or any Restricted Subsidiary;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58" w:name="page159"/>
    <w:bookmarkEnd w:id="158"/>
    <w:p>
      <w:pPr>
        <w:ind w:left="660" w:firstLine="690"/>
        <w:spacing w:after="0" w:line="273" w:lineRule="auto"/>
        <w:tabs>
          <w:tab w:leader="none" w:pos="2058" w:val="left"/>
        </w:tabs>
        <w:numPr>
          <w:ilvl w:val="0"/>
          <w:numId w:val="195"/>
        </w:numPr>
        <w:rPr>
          <w:rFonts w:ascii="Arial" w:cs="Arial" w:eastAsia="Arial" w:hAnsi="Arial"/>
          <w:sz w:val="17"/>
          <w:szCs w:val="17"/>
          <w:color w:val="010000"/>
        </w:rPr>
      </w:pPr>
      <w:r>
        <w:rPr>
          <w:rFonts w:ascii="Arial" w:cs="Arial" w:eastAsia="Arial" w:hAnsi="Arial"/>
          <w:sz w:val="17"/>
          <w:szCs w:val="17"/>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Indebtedness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78" w:lineRule="exact"/>
        <w:rPr>
          <w:rFonts w:ascii="Arial" w:cs="Arial" w:eastAsia="Arial" w:hAnsi="Arial"/>
          <w:sz w:val="17"/>
          <w:szCs w:val="17"/>
          <w:color w:val="010000"/>
        </w:rPr>
      </w:pPr>
    </w:p>
    <w:p>
      <w:pPr>
        <w:ind w:left="2060" w:hanging="710"/>
        <w:spacing w:after="0"/>
        <w:tabs>
          <w:tab w:leader="none" w:pos="2060"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precautionary Liens on Receivables arising in connection with Permitted Factoring Transactions;</w:t>
      </w:r>
    </w:p>
    <w:p>
      <w:pPr>
        <w:spacing w:after="0" w:line="225" w:lineRule="exact"/>
        <w:rPr>
          <w:rFonts w:ascii="Arial" w:cs="Arial" w:eastAsia="Arial" w:hAnsi="Arial"/>
          <w:sz w:val="18"/>
          <w:szCs w:val="18"/>
          <w:color w:val="010000"/>
        </w:rPr>
      </w:pPr>
    </w:p>
    <w:p>
      <w:pPr>
        <w:ind w:left="2060" w:hanging="710"/>
        <w:spacing w:after="0"/>
        <w:tabs>
          <w:tab w:leader="none" w:pos="2060"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Permitted Liens; and</w:t>
      </w:r>
    </w:p>
    <w:p>
      <w:pPr>
        <w:spacing w:after="0" w:line="225" w:lineRule="exact"/>
        <w:rPr>
          <w:rFonts w:ascii="Arial" w:cs="Arial" w:eastAsia="Arial" w:hAnsi="Arial"/>
          <w:sz w:val="18"/>
          <w:szCs w:val="18"/>
          <w:color w:val="010000"/>
        </w:rPr>
      </w:pPr>
    </w:p>
    <w:p>
      <w:pPr>
        <w:ind w:left="660" w:right="140" w:firstLine="690"/>
        <w:spacing w:after="0" w:line="293" w:lineRule="auto"/>
        <w:tabs>
          <w:tab w:leader="none" w:pos="2058" w:val="left"/>
        </w:tabs>
        <w:numPr>
          <w:ilvl w:val="0"/>
          <w:numId w:val="195"/>
        </w:numPr>
        <w:rPr>
          <w:rFonts w:ascii="Arial" w:cs="Arial" w:eastAsia="Arial" w:hAnsi="Arial"/>
          <w:sz w:val="16"/>
          <w:szCs w:val="16"/>
          <w:color w:val="010000"/>
        </w:rPr>
      </w:pPr>
      <w:r>
        <w:rPr>
          <w:rFonts w:ascii="Arial" w:cs="Arial" w:eastAsia="Arial" w:hAnsi="Arial"/>
          <w:sz w:val="16"/>
          <w:szCs w:val="16"/>
          <w:color w:val="auto"/>
        </w:rPr>
        <w:t xml:space="preserve">any extension, renewal, or replacement (or successive extensions, renewals or replacements), in whole or in part, of any Lien referred to in any of the foregoing clauses (1), (2), (3), (4), (5), (6), (7) and (8) to the extent such extension, renewal or replacement (or successive extensions, renewals or replacements) involves a Lien described in the foregoing clauses;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Indebtedness secured thereby shall not exceed the principal amount of Indebtedness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6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Limitation on Dividends and Other Restrictions Affecting Restricted Subsidiaries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81" w:lineRule="exact"/>
        <w:rPr>
          <w:sz w:val="20"/>
          <w:szCs w:val="20"/>
          <w:color w:val="auto"/>
        </w:rPr>
      </w:pPr>
    </w:p>
    <w:p>
      <w:pPr>
        <w:ind w:left="1300" w:right="20" w:firstLine="698"/>
        <w:spacing w:after="0" w:line="279" w:lineRule="auto"/>
        <w:tabs>
          <w:tab w:leader="none" w:pos="2733" w:val="left"/>
        </w:tabs>
        <w:numPr>
          <w:ilvl w:val="0"/>
          <w:numId w:val="196"/>
        </w:numPr>
        <w:rPr>
          <w:rFonts w:ascii="Arial" w:cs="Arial" w:eastAsia="Arial" w:hAnsi="Arial"/>
          <w:sz w:val="17"/>
          <w:szCs w:val="17"/>
          <w:color w:val="010000"/>
        </w:rPr>
      </w:pPr>
      <w:r>
        <w:rPr>
          <w:rFonts w:ascii="Arial" w:cs="Arial" w:eastAsia="Arial" w:hAnsi="Arial"/>
          <w:sz w:val="17"/>
          <w:szCs w:val="17"/>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71" w:lineRule="exact"/>
        <w:rPr>
          <w:rFonts w:ascii="Arial" w:cs="Arial" w:eastAsia="Arial" w:hAnsi="Arial"/>
          <w:sz w:val="17"/>
          <w:szCs w:val="17"/>
          <w:color w:val="010000"/>
        </w:rPr>
      </w:pPr>
    </w:p>
    <w:p>
      <w:pPr>
        <w:ind w:left="1300" w:right="440" w:firstLine="698"/>
        <w:spacing w:after="0" w:line="259" w:lineRule="auto"/>
        <w:tabs>
          <w:tab w:leader="none" w:pos="2743" w:val="left"/>
        </w:tabs>
        <w:numPr>
          <w:ilvl w:val="0"/>
          <w:numId w:val="196"/>
        </w:numPr>
        <w:rPr>
          <w:rFonts w:ascii="Arial" w:cs="Arial" w:eastAsia="Arial" w:hAnsi="Arial"/>
          <w:sz w:val="18"/>
          <w:szCs w:val="18"/>
          <w:color w:val="010000"/>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59" w:name="page160"/>
    <w:bookmarkEnd w:id="159"/>
    <w:p>
      <w:pPr>
        <w:ind w:left="1300" w:right="60" w:firstLine="698"/>
        <w:spacing w:after="0" w:line="277" w:lineRule="auto"/>
        <w:tabs>
          <w:tab w:leader="none" w:pos="2733"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for, in each case:</w:t>
      </w:r>
    </w:p>
    <w:p>
      <w:pPr>
        <w:spacing w:after="0" w:line="225" w:lineRule="exact"/>
        <w:rPr>
          <w:sz w:val="20"/>
          <w:szCs w:val="20"/>
          <w:color w:val="auto"/>
        </w:rPr>
      </w:pPr>
    </w:p>
    <w:p>
      <w:pPr>
        <w:ind w:left="660" w:right="480" w:firstLine="645"/>
        <w:spacing w:after="0" w:line="277" w:lineRule="auto"/>
        <w:tabs>
          <w:tab w:leader="none" w:pos="2058"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encumbrances or restrictions existing under agreements existing on the Issue Date (including, without limitation, the Credit Agreements) as in effect on that date;</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encumbrances or restrictions existing under the Indenture, the Notes and the Guarantees;</w:t>
      </w:r>
    </w:p>
    <w:p>
      <w:pPr>
        <w:spacing w:after="0" w:line="225" w:lineRule="exact"/>
        <w:rPr>
          <w:rFonts w:ascii="Arial" w:cs="Arial" w:eastAsia="Arial" w:hAnsi="Arial"/>
          <w:sz w:val="18"/>
          <w:szCs w:val="18"/>
          <w:color w:val="010000"/>
        </w:rPr>
      </w:pPr>
    </w:p>
    <w:p>
      <w:pPr>
        <w:ind w:left="660" w:right="240" w:firstLine="645"/>
        <w:spacing w:after="0" w:line="264" w:lineRule="auto"/>
        <w:tabs>
          <w:tab w:leader="none" w:pos="2058"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81" w:lineRule="exact"/>
        <w:rPr>
          <w:rFonts w:ascii="Arial" w:cs="Arial" w:eastAsia="Arial" w:hAnsi="Arial"/>
          <w:sz w:val="18"/>
          <w:szCs w:val="18"/>
          <w:color w:val="010000"/>
        </w:rPr>
      </w:pPr>
    </w:p>
    <w:p>
      <w:pPr>
        <w:ind w:left="660" w:right="80" w:firstLine="645"/>
        <w:spacing w:after="0" w:line="259" w:lineRule="auto"/>
        <w:tabs>
          <w:tab w:leader="none" w:pos="2058"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86" w:lineRule="exact"/>
        <w:rPr>
          <w:rFonts w:ascii="Arial" w:cs="Arial" w:eastAsia="Arial" w:hAnsi="Arial"/>
          <w:sz w:val="18"/>
          <w:szCs w:val="18"/>
          <w:color w:val="010000"/>
        </w:rPr>
      </w:pPr>
    </w:p>
    <w:p>
      <w:pPr>
        <w:ind w:left="660" w:right="140" w:firstLine="645"/>
        <w:spacing w:after="0" w:line="297" w:lineRule="auto"/>
        <w:tabs>
          <w:tab w:leader="none" w:pos="2058" w:val="left"/>
        </w:tabs>
        <w:numPr>
          <w:ilvl w:val="0"/>
          <w:numId w:val="198"/>
        </w:numPr>
        <w:rPr>
          <w:rFonts w:ascii="Arial" w:cs="Arial" w:eastAsia="Arial" w:hAnsi="Arial"/>
          <w:sz w:val="16"/>
          <w:szCs w:val="16"/>
          <w:color w:val="010000"/>
        </w:rPr>
      </w:pPr>
      <w:r>
        <w:rPr>
          <w:rFonts w:ascii="Arial" w:cs="Arial" w:eastAsia="Arial" w:hAnsi="Arial"/>
          <w:sz w:val="16"/>
          <w:szCs w:val="16"/>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58" w:lineRule="exact"/>
        <w:rPr>
          <w:rFonts w:ascii="Arial" w:cs="Arial" w:eastAsia="Arial" w:hAnsi="Arial"/>
          <w:sz w:val="16"/>
          <w:szCs w:val="16"/>
          <w:color w:val="010000"/>
        </w:rPr>
      </w:pPr>
    </w:p>
    <w:p>
      <w:pPr>
        <w:ind w:left="2060" w:hanging="755"/>
        <w:spacing w:after="0"/>
        <w:tabs>
          <w:tab w:leader="none" w:pos="2060"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encumbrances or restrictions existing under or by reason of applicable law, regulation or order;</w:t>
      </w:r>
    </w:p>
    <w:p>
      <w:pPr>
        <w:spacing w:after="0" w:line="225" w:lineRule="exact"/>
        <w:rPr>
          <w:rFonts w:ascii="Arial" w:cs="Arial" w:eastAsia="Arial" w:hAnsi="Arial"/>
          <w:sz w:val="18"/>
          <w:szCs w:val="18"/>
          <w:color w:val="010000"/>
        </w:rPr>
      </w:pPr>
    </w:p>
    <w:p>
      <w:pPr>
        <w:ind w:left="660" w:firstLine="645"/>
        <w:spacing w:after="0" w:line="277" w:lineRule="auto"/>
        <w:tabs>
          <w:tab w:leader="none" w:pos="2058"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170" w:lineRule="exact"/>
        <w:rPr>
          <w:rFonts w:ascii="Arial" w:cs="Arial" w:eastAsia="Arial" w:hAnsi="Arial"/>
          <w:sz w:val="18"/>
          <w:szCs w:val="18"/>
          <w:color w:val="010000"/>
        </w:rPr>
      </w:pPr>
    </w:p>
    <w:p>
      <w:pPr>
        <w:ind w:left="660" w:right="200" w:firstLine="645"/>
        <w:spacing w:after="0" w:line="277" w:lineRule="auto"/>
        <w:tabs>
          <w:tab w:leader="none" w:pos="2058" w:val="left"/>
        </w:tabs>
        <w:numPr>
          <w:ilvl w:val="0"/>
          <w:numId w:val="198"/>
        </w:numPr>
        <w:rPr>
          <w:rFonts w:ascii="Arial" w:cs="Arial" w:eastAsia="Arial" w:hAnsi="Arial"/>
          <w:sz w:val="18"/>
          <w:szCs w:val="18"/>
          <w:color w:val="010000"/>
        </w:rPr>
      </w:pPr>
      <w:r>
        <w:rPr>
          <w:rFonts w:ascii="Arial" w:cs="Arial" w:eastAsia="Arial" w:hAnsi="Arial"/>
          <w:sz w:val="18"/>
          <w:szCs w:val="18"/>
          <w:color w:val="auto"/>
        </w:rPr>
        <w:t>in the case of clause (c) above, Liens permitted to be incurred under Section 1010 that limit the right of the debtor to dispose of the assets securing such Indebtedness;</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restrictions imposed under any agreement to sell Equity Interests or assets to any Person pending the closing of such sale;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p>
      <w:pPr>
        <w:ind w:left="-540" w:right="40" w:firstLine="645"/>
        <w:spacing w:after="0" w:line="255" w:lineRule="auto"/>
        <w:tabs>
          <w:tab w:leader="none" w:pos="858"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89" w:lineRule="exact"/>
        <w:rPr>
          <w:rFonts w:ascii="Arial" w:cs="Arial" w:eastAsia="Arial" w:hAnsi="Arial"/>
          <w:sz w:val="18"/>
          <w:szCs w:val="18"/>
          <w:color w:val="010000"/>
        </w:rPr>
      </w:pPr>
    </w:p>
    <w:p>
      <w:pPr>
        <w:ind w:left="-540" w:right="120" w:firstLine="645"/>
        <w:spacing w:after="0" w:line="264" w:lineRule="auto"/>
        <w:tabs>
          <w:tab w:leader="none" w:pos="851"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81" w:lineRule="exact"/>
        <w:rPr>
          <w:rFonts w:ascii="Arial" w:cs="Arial" w:eastAsia="Arial" w:hAnsi="Arial"/>
          <w:sz w:val="18"/>
          <w:szCs w:val="18"/>
          <w:color w:val="010000"/>
        </w:rPr>
      </w:pPr>
    </w:p>
    <w:p>
      <w:pPr>
        <w:ind w:left="-540" w:right="300" w:firstLine="645"/>
        <w:spacing w:after="0" w:line="277" w:lineRule="auto"/>
        <w:tabs>
          <w:tab w:leader="none" w:pos="858"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Purchase Money Indebtedness and any Refinancing Indebtedness in respect thereof incurred in compliance with Section 1008 that imposes restrictions of the nature described in clause (c) above on the assets acquired;</w:t>
      </w:r>
    </w:p>
    <w:p>
      <w:pPr>
        <w:spacing w:after="0" w:line="170" w:lineRule="exact"/>
        <w:rPr>
          <w:rFonts w:ascii="Arial" w:cs="Arial" w:eastAsia="Arial" w:hAnsi="Arial"/>
          <w:sz w:val="18"/>
          <w:szCs w:val="18"/>
          <w:color w:val="010000"/>
        </w:rPr>
      </w:pPr>
    </w:p>
    <w:p>
      <w:pPr>
        <w:ind w:left="-540" w:firstLine="645"/>
        <w:spacing w:after="0" w:line="277" w:lineRule="auto"/>
        <w:tabs>
          <w:tab w:leader="none" w:pos="858"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170" w:lineRule="exact"/>
        <w:rPr>
          <w:rFonts w:ascii="Arial" w:cs="Arial" w:eastAsia="Arial" w:hAnsi="Arial"/>
          <w:sz w:val="18"/>
          <w:szCs w:val="18"/>
          <w:color w:val="010000"/>
        </w:rPr>
      </w:pPr>
    </w:p>
    <w:p>
      <w:pPr>
        <w:ind w:left="-540" w:right="80" w:firstLine="645"/>
        <w:spacing w:after="0" w:line="257" w:lineRule="auto"/>
        <w:tabs>
          <w:tab w:leader="none" w:pos="858"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88" w:lineRule="exact"/>
        <w:rPr>
          <w:rFonts w:ascii="Arial" w:cs="Arial" w:eastAsia="Arial" w:hAnsi="Arial"/>
          <w:sz w:val="18"/>
          <w:szCs w:val="18"/>
          <w:color w:val="010000"/>
        </w:rPr>
      </w:pPr>
    </w:p>
    <w:p>
      <w:pPr>
        <w:ind w:left="-540" w:right="120" w:firstLine="645"/>
        <w:spacing w:after="0" w:line="276" w:lineRule="auto"/>
        <w:tabs>
          <w:tab w:leader="none" w:pos="858" w:val="left"/>
        </w:tabs>
        <w:numPr>
          <w:ilvl w:val="0"/>
          <w:numId w:val="199"/>
        </w:numPr>
        <w:rPr>
          <w:rFonts w:ascii="Arial" w:cs="Arial" w:eastAsia="Arial" w:hAnsi="Arial"/>
          <w:sz w:val="17"/>
          <w:szCs w:val="17"/>
          <w:color w:val="010000"/>
        </w:rPr>
      </w:pPr>
      <w:r>
        <w:rPr>
          <w:rFonts w:ascii="Arial" w:cs="Arial" w:eastAsia="Arial" w:hAnsi="Arial"/>
          <w:sz w:val="17"/>
          <w:szCs w:val="17"/>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72" w:lineRule="exact"/>
        <w:rPr>
          <w:rFonts w:ascii="Arial" w:cs="Arial" w:eastAsia="Arial" w:hAnsi="Arial"/>
          <w:sz w:val="17"/>
          <w:szCs w:val="17"/>
          <w:color w:val="010000"/>
        </w:rPr>
      </w:pPr>
    </w:p>
    <w:p>
      <w:pPr>
        <w:ind w:left="860" w:hanging="755"/>
        <w:spacing w:after="0"/>
        <w:tabs>
          <w:tab w:leader="none" w:pos="860"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any Permitted Investment or Restricted Payments which are made in accordance with Section 1009;</w:t>
      </w:r>
    </w:p>
    <w:p>
      <w:pPr>
        <w:spacing w:after="0" w:line="225" w:lineRule="exact"/>
        <w:rPr>
          <w:rFonts w:ascii="Arial" w:cs="Arial" w:eastAsia="Arial" w:hAnsi="Arial"/>
          <w:sz w:val="18"/>
          <w:szCs w:val="18"/>
          <w:color w:val="010000"/>
        </w:rPr>
      </w:pPr>
    </w:p>
    <w:p>
      <w:pPr>
        <w:ind w:left="860" w:hanging="755"/>
        <w:spacing w:after="0"/>
        <w:tabs>
          <w:tab w:leader="none" w:pos="860" w:val="left"/>
        </w:tabs>
        <w:numPr>
          <w:ilvl w:val="0"/>
          <w:numId w:val="199"/>
        </w:numPr>
        <w:rPr>
          <w:rFonts w:ascii="Arial" w:cs="Arial" w:eastAsia="Arial" w:hAnsi="Arial"/>
          <w:sz w:val="18"/>
          <w:szCs w:val="18"/>
          <w:color w:val="010000"/>
        </w:rPr>
      </w:pPr>
      <w:r>
        <w:rPr>
          <w:rFonts w:ascii="Arial" w:cs="Arial" w:eastAsia="Arial" w:hAnsi="Arial"/>
          <w:sz w:val="18"/>
          <w:szCs w:val="18"/>
          <w:color w:val="auto"/>
        </w:rPr>
        <w:t>restrictions contained in Standard Securitization Undertakings; and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1" w:name="page162"/>
    <w:bookmarkEnd w:id="161"/>
    <w:p>
      <w:pPr>
        <w:ind w:left="2060" w:hanging="755"/>
        <w:spacing w:after="0"/>
        <w:tabs>
          <w:tab w:leader="none" w:pos="2060" w:val="left"/>
        </w:tabs>
        <w:numPr>
          <w:ilvl w:val="0"/>
          <w:numId w:val="200"/>
        </w:numPr>
        <w:rPr>
          <w:rFonts w:ascii="Arial" w:cs="Arial" w:eastAsia="Arial" w:hAnsi="Arial"/>
          <w:sz w:val="16"/>
          <w:szCs w:val="16"/>
          <w:color w:val="010000"/>
        </w:rPr>
      </w:pPr>
      <w:r>
        <w:rPr>
          <w:rFonts w:ascii="Arial" w:cs="Arial" w:eastAsia="Arial" w:hAnsi="Arial"/>
          <w:sz w:val="16"/>
          <w:szCs w:val="16"/>
          <w:color w:val="auto"/>
        </w:rPr>
        <w:t>supermajority voting requirements existing under corporate charters, by-laws, stockholders agreements and similar documents</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and agreements.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u w:val="single" w:color="auto"/>
          <w:color w:val="auto"/>
        </w:rPr>
        <w:t>Limitation on Asset Sales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Guarantor shall not, and shall not permit any of its Restricted Subsidiaries to, consummate an Asset Sale unless:</w:t>
      </w:r>
    </w:p>
    <w:p>
      <w:pPr>
        <w:spacing w:after="0" w:line="225" w:lineRule="exact"/>
        <w:rPr>
          <w:sz w:val="20"/>
          <w:szCs w:val="20"/>
          <w:color w:val="auto"/>
        </w:rPr>
      </w:pPr>
    </w:p>
    <w:p>
      <w:pPr>
        <w:ind w:firstLine="656"/>
        <w:spacing w:after="0" w:line="312" w:lineRule="auto"/>
        <w:tabs>
          <w:tab w:leader="none" w:pos="135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Parent Guarantor (or the Restricted Subsidiary, as the case may be) receives consideration (including by way of relief from, or any Person assuming responsibilities for, any liabilities, contingent or otherwise) at the time of the Asset Sale at least equal to the Fair Market Value (measured as of the date of the definitive agreement with respect to such Asset Sale) of the assets or Equity Interests issued or sold or otherwise disposed of; and</w:t>
      </w:r>
    </w:p>
    <w:p>
      <w:pPr>
        <w:spacing w:after="0" w:line="146" w:lineRule="exact"/>
        <w:rPr>
          <w:rFonts w:ascii="Arial" w:cs="Arial" w:eastAsia="Arial" w:hAnsi="Arial"/>
          <w:sz w:val="16"/>
          <w:szCs w:val="16"/>
          <w:color w:val="auto"/>
        </w:rPr>
      </w:pPr>
    </w:p>
    <w:p>
      <w:pPr>
        <w:jc w:val="both"/>
        <w:ind w:right="40" w:firstLine="656"/>
        <w:spacing w:after="0" w:line="264" w:lineRule="auto"/>
        <w:tabs>
          <w:tab w:leader="none" w:pos="135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least 75% of the aggregate consideration received by the Parent Guarantor and its Restricted Subsidiaries in the Asset Sale and all other Asset Sales since the date of the Indenture is in the form of cash or Cash Equivalents. For purposes of this provision, each of the following will be deemed to be cash:</w:t>
      </w:r>
    </w:p>
    <w:p>
      <w:pPr>
        <w:spacing w:after="0" w:line="181" w:lineRule="exact"/>
        <w:rPr>
          <w:rFonts w:ascii="Arial" w:cs="Arial" w:eastAsia="Arial" w:hAnsi="Arial"/>
          <w:sz w:val="18"/>
          <w:szCs w:val="18"/>
          <w:color w:val="auto"/>
        </w:rPr>
      </w:pPr>
    </w:p>
    <w:p>
      <w:pPr>
        <w:ind w:left="660" w:right="20" w:firstLine="735"/>
        <w:spacing w:after="0" w:line="269" w:lineRule="auto"/>
        <w:tabs>
          <w:tab w:leader="none" w:pos="213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any liabilities, as shown on the Parent Guarantor’s or any Restricted Subsidiary’s most recent consolidated balance sheet, of the Parent Guarantor or such Restricted Subsidiary (other than contingent liabilities and liabilities that are by their terms subordinated in right of payment to the Notes or any Subsidiary Guarantee) that are assumed by the transferee of any such assets pursuant to a novation or indemnity agreement that releases the Parent Guarantor or such Restricted Subsidiary from further liability (or in lieu of such absence of liability, the acquiring Person or its parent company agrees to indemnify and hold the Parent Guarantor or such Restricted Subsidiary harmless from and against any loss, liability or cost in respect of such assumed liabilities accompanied by the posting of a letter of credit (issued by a commercial bank of national standing) in favor of the Parent Guarantor or such Restricted Subsidiary for the full amount of such liabilities and for so long as such liabilities remain outstanding unless such indemnifying party (or its long term debt securities) shall have an investment grade rating (with no indication of a negative outlook or credit watch with negative implications, in any case, that contemplates such indemnifying party (or its long term debt securities) failing to have an investment grade rating) at the time the indemnity is entered into) or that are otherwise cancelled or terminated in connection with the transaction with such transferee;</w:t>
      </w:r>
    </w:p>
    <w:p>
      <w:pPr>
        <w:spacing w:after="0" w:line="182" w:lineRule="exact"/>
        <w:rPr>
          <w:rFonts w:ascii="Arial" w:cs="Arial" w:eastAsia="Arial" w:hAnsi="Arial"/>
          <w:sz w:val="17"/>
          <w:szCs w:val="17"/>
          <w:color w:val="auto"/>
        </w:rPr>
      </w:pPr>
    </w:p>
    <w:p>
      <w:pPr>
        <w:ind w:left="660" w:right="140" w:firstLine="735"/>
        <w:spacing w:after="0" w:line="264" w:lineRule="auto"/>
        <w:tabs>
          <w:tab w:leader="none" w:pos="210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Parent Guarantor or any such Restricted Subsidiary from such transferee that are, within 180 days after the Asset Sale, converted by the Parent Guarantor or such Restricted Subsidiary into cash, to the extent of the cash received in that conversion; and</w:t>
      </w:r>
    </w:p>
    <w:p>
      <w:pPr>
        <w:spacing w:after="0" w:line="181" w:lineRule="exact"/>
        <w:rPr>
          <w:rFonts w:ascii="Arial" w:cs="Arial" w:eastAsia="Arial" w:hAnsi="Arial"/>
          <w:sz w:val="18"/>
          <w:szCs w:val="18"/>
          <w:color w:val="auto"/>
        </w:rPr>
      </w:pPr>
    </w:p>
    <w:p>
      <w:pPr>
        <w:ind w:left="2080" w:hanging="685"/>
        <w:spacing w:after="0"/>
        <w:tabs>
          <w:tab w:leader="none" w:pos="20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Additional Assets.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Within 365 days after the receipt of any Net Proceeds from an Asset Sale, the Parent Guarantor (or any Restricted Subsidiary) may apply those Net Proceeds at its option to any combination of the following: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62" w:name="page163"/>
    <w:bookmarkEnd w:id="162"/>
    <w:p>
      <w:pPr>
        <w:ind w:right="60" w:firstLine="656"/>
        <w:spacing w:after="0" w:line="312" w:lineRule="auto"/>
        <w:tabs>
          <w:tab w:leader="none" w:pos="136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to prepay, repay, redeem or repurchase Secured Indebtedness;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connection with any prepayment, repayment, redemption repurchase of Indebtedness pursuant to this clause (I), the Parent Guarantor or such Restricted Subsidiary will retire such Indebtedness and, in the case of revolving Indebtedness, will cause the related commitment (if any) to be permanently reduced in an amount equal to the principal amount so retired;</w:t>
      </w:r>
    </w:p>
    <w:p>
      <w:pPr>
        <w:spacing w:after="0" w:line="147" w:lineRule="exact"/>
        <w:rPr>
          <w:sz w:val="20"/>
          <w:szCs w:val="20"/>
          <w:color w:val="auto"/>
        </w:rPr>
      </w:pPr>
    </w:p>
    <w:p>
      <w:pPr>
        <w:ind w:left="1400" w:hanging="744"/>
        <w:spacing w:after="0"/>
        <w:tabs>
          <w:tab w:leader="none" w:pos="14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purchase Notes;</w:t>
      </w:r>
    </w:p>
    <w:p>
      <w:pPr>
        <w:spacing w:after="0" w:line="225" w:lineRule="exact"/>
        <w:rPr>
          <w:sz w:val="20"/>
          <w:szCs w:val="20"/>
          <w:color w:val="auto"/>
        </w:rPr>
      </w:pPr>
    </w:p>
    <w:p>
      <w:pPr>
        <w:ind w:right="120" w:firstLine="656"/>
        <w:spacing w:after="0" w:line="276" w:lineRule="auto"/>
        <w:tabs>
          <w:tab w:leader="none" w:pos="1353"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purchase or repay on a permanent basis other Indebtedness (excluding (i) any Subordinated Indebtedness and (ii) any Notes or other Indebtedness owed to the Issuer or an Affiliate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Issuer shall equally and ratably redeem or purchase Notes as described under “—Optional Redemption,” through open market purchases (to the extent such purchases are at or above 100% of the principal amount thereof) or by making an offer (in accordance with the procedures set forth below for an Asset Offer) to all Holders to purchase the Notes at 100% of the principal amount thereof, plus the amount of accrued but unpaid interest, if any, on the amount of Notes that would otherwise be prepaid;</w:t>
      </w:r>
    </w:p>
    <w:p>
      <w:pPr>
        <w:spacing w:after="0" w:line="17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to invest in or acquire Additional Assets; or</w:t>
      </w:r>
    </w:p>
    <w:p>
      <w:pPr>
        <w:spacing w:after="0" w:line="225" w:lineRule="exact"/>
        <w:rPr>
          <w:sz w:val="20"/>
          <w:szCs w:val="20"/>
          <w:color w:val="auto"/>
        </w:rPr>
      </w:pPr>
    </w:p>
    <w:p>
      <w:pPr>
        <w:ind w:left="1400" w:hanging="744"/>
        <w:spacing w:after="0"/>
        <w:tabs>
          <w:tab w:leader="none" w:pos="14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to make capital expenditures in respect of the Parent Guarantor’s or its Restricted Subsidiaries’ Permitted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Net Proceeds from Asset Sales that are not applied or invested as provided in the second preceding paragraph will constitute “Excess Proceeds.”</w:t>
      </w:r>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If on the 366th day after an Asset Sale the aggregate amount of Excess Proceeds then exceeds $25.0 million, within five days after such date, the Issuer will make an offer (the “Asset Sale Offer”</w:t>
      </w:r>
      <w:r>
        <w:rPr>
          <w:rFonts w:ascii="Arial" w:cs="Arial" w:eastAsia="Arial" w:hAnsi="Arial"/>
          <w:sz w:val="16"/>
          <w:szCs w:val="16"/>
          <w:i w:val="1"/>
          <w:iCs w:val="1"/>
          <w:color w:val="auto"/>
        </w:rPr>
        <w:t>)</w:t>
      </w:r>
      <w:r>
        <w:rPr>
          <w:rFonts w:ascii="Arial" w:cs="Arial" w:eastAsia="Arial" w:hAnsi="Arial"/>
          <w:sz w:val="16"/>
          <w:szCs w:val="16"/>
          <w:color w:val="auto"/>
        </w:rPr>
        <w:t xml:space="preserve"> to all Holders of Notes, and all holders of other Indebtedness that is Pari Passu Indebtedness containing provisions similar to those set forth in the Indenture with respect to offers to purchase, prepay or redeem with the proceeds of sales of assets, to purchase, prepay or redeem on a pro rata basis (based on principal amounts of Notes and Pari Passu Indebtedness (or, in the case of Pari Passu Indebtedness issued with significant original issue discount, based on the accreted value thereof) tendered) the maximum principal amount of Notes and such other Pari Passu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principal amount plus accrued and unpaid interest, if any, to the date of settlement, subject to the right of Holders of record on the relevant record date to receive interest due on an interest payment date that is on or prior to the date of settlement, and will be payable in cash. If any Excess Proceeds remain after consummation of an Asset Sale Offer, the Parent Guarantor or any Restricted Subsidiary may use those Excess Proceeds for any purpose not otherwise prohibited by the Indenture. If the aggregate principal amount of Notes tendered into such Asset Sale Offer exceeds the amount of Excess Proceeds allocated to the purchase of Notes, the Trustee will select the Notes to be purchased on a pro rata basis (except that any Notes represented by a note in global form will be selected by such method as DTC or its nominee or successor may require or, where such nominee or successor is the Trustee, a method that most nearly approximates pro rata selection as the Trustee deems fair and appropriate), based on the principal amounts tendered (with such adjustments as may be deemed appropriate by the Issuer so that only Notes in denominations of $2,000, or an integral multiple of $1,000 thereof, will be purchased). Upon completion of each Asset Sale Offer, the amount of Excess Proceeds will be reset at zero. The Parent Guarantor may satisfy the foregoing obligation with respect to any Excess Proceeds by making an Asset Sale Offer prior to the expiration of the relevant 365-day period or with respect to Excess Proceeds of $25.0 million or less.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3" w:name="page164"/>
    <w:bookmarkEnd w:id="163"/>
    <w:p>
      <w:pPr>
        <w:ind w:right="60" w:firstLine="648"/>
        <w:spacing w:after="0" w:line="277" w:lineRule="auto"/>
        <w:rPr>
          <w:sz w:val="20"/>
          <w:szCs w:val="20"/>
          <w:color w:val="auto"/>
        </w:rPr>
      </w:pPr>
      <w:r>
        <w:rPr>
          <w:rFonts w:ascii="Arial" w:cs="Arial" w:eastAsia="Arial" w:hAnsi="Arial"/>
          <w:sz w:val="18"/>
          <w:szCs w:val="18"/>
          <w:color w:val="auto"/>
        </w:rPr>
        <w:t>The provisions under the Indenture relative to the Parent Guarantor’s obligation to make an offer to repurchase the Notes as a result of an Asset Sale may be waived or modified with the written consent of a majority in principal amount of the outstanding Notes.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Section 1012, the Issuer will comply with the applicable securities laws and regulations and will not be deemed to have breached its obligations under such provisions by virtue of such compliance.</w:t>
      </w:r>
    </w:p>
    <w:p>
      <w:pPr>
        <w:spacing w:after="0" w:line="17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7"/>
          <w:szCs w:val="17"/>
          <w:u w:val="single" w:color="auto"/>
          <w:color w:val="auto"/>
        </w:rPr>
        <w:t>Limitation on Affiliate Transactions</w:t>
      </w:r>
      <w:r>
        <w:rPr>
          <w:rFonts w:ascii="Arial" w:cs="Arial" w:eastAsia="Arial" w:hAnsi="Arial"/>
          <w:sz w:val="17"/>
          <w:szCs w:val="17"/>
          <w:color w:val="auto"/>
        </w:rPr>
        <w:t>.</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$40.0 million (an “Affiliate Transaction”), unless:</w:t>
      </w:r>
    </w:p>
    <w:p>
      <w:pPr>
        <w:spacing w:after="0" w:line="147" w:lineRule="exact"/>
        <w:rPr>
          <w:sz w:val="20"/>
          <w:szCs w:val="20"/>
          <w:color w:val="auto"/>
        </w:rPr>
      </w:pPr>
    </w:p>
    <w:p>
      <w:pPr>
        <w:ind w:left="660" w:firstLine="735"/>
        <w:spacing w:after="0" w:line="257" w:lineRule="auto"/>
        <w:tabs>
          <w:tab w:leader="none" w:pos="2148" w:val="left"/>
        </w:tabs>
        <w:numPr>
          <w:ilvl w:val="0"/>
          <w:numId w:val="206"/>
        </w:numPr>
        <w:rPr>
          <w:rFonts w:ascii="Arial" w:cs="Arial" w:eastAsia="Arial" w:hAnsi="Arial"/>
          <w:sz w:val="18"/>
          <w:szCs w:val="18"/>
          <w:color w:val="010000"/>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88" w:lineRule="exact"/>
        <w:rPr>
          <w:rFonts w:ascii="Arial" w:cs="Arial" w:eastAsia="Arial" w:hAnsi="Arial"/>
          <w:sz w:val="18"/>
          <w:szCs w:val="18"/>
          <w:color w:val="010000"/>
        </w:rPr>
      </w:pPr>
    </w:p>
    <w:p>
      <w:pPr>
        <w:ind w:left="2140" w:hanging="745"/>
        <w:spacing w:after="0"/>
        <w:tabs>
          <w:tab w:leader="none" w:pos="2140" w:val="left"/>
        </w:tabs>
        <w:numPr>
          <w:ilvl w:val="0"/>
          <w:numId w:val="206"/>
        </w:numPr>
        <w:rPr>
          <w:rFonts w:ascii="Arial" w:cs="Arial" w:eastAsia="Arial" w:hAnsi="Arial"/>
          <w:sz w:val="16"/>
          <w:szCs w:val="16"/>
          <w:color w:val="010000"/>
        </w:rPr>
      </w:pPr>
      <w:r>
        <w:rPr>
          <w:rFonts w:ascii="Arial" w:cs="Arial" w:eastAsia="Arial" w:hAnsi="Arial"/>
          <w:sz w:val="16"/>
          <w:szCs w:val="16"/>
          <w:color w:val="auto"/>
        </w:rPr>
        <w:t>the Parent Guarantor delivers to the Trustee, with respect to any Affiliate Transaction involving aggregate value in excess of</w:t>
      </w:r>
    </w:p>
    <w:p>
      <w:pPr>
        <w:spacing w:after="0" w:line="46" w:lineRule="exact"/>
        <w:rPr>
          <w:sz w:val="20"/>
          <w:szCs w:val="20"/>
          <w:color w:val="auto"/>
        </w:rPr>
      </w:pPr>
    </w:p>
    <w:p>
      <w:pPr>
        <w:ind w:left="660" w:right="960"/>
        <w:spacing w:after="0" w:line="290" w:lineRule="auto"/>
        <w:rPr>
          <w:sz w:val="20"/>
          <w:szCs w:val="20"/>
          <w:color w:val="auto"/>
        </w:rPr>
      </w:pPr>
      <w:r>
        <w:rPr>
          <w:rFonts w:ascii="Arial" w:cs="Arial" w:eastAsia="Arial" w:hAnsi="Arial"/>
          <w:sz w:val="17"/>
          <w:szCs w:val="17"/>
          <w:color w:val="auto"/>
        </w:rPr>
        <w:t>$75.0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shall not apply to:</w:t>
      </w:r>
    </w:p>
    <w:p>
      <w:pPr>
        <w:spacing w:after="0" w:line="225" w:lineRule="exact"/>
        <w:rPr>
          <w:sz w:val="20"/>
          <w:szCs w:val="20"/>
          <w:color w:val="auto"/>
        </w:rPr>
      </w:pPr>
    </w:p>
    <w:p>
      <w:pPr>
        <w:ind w:left="2140" w:hanging="745"/>
        <w:spacing w:after="0"/>
        <w:tabs>
          <w:tab w:leader="none" w:pos="2140" w:val="left"/>
        </w:tabs>
        <w:numPr>
          <w:ilvl w:val="0"/>
          <w:numId w:val="207"/>
        </w:numPr>
        <w:rPr>
          <w:rFonts w:ascii="Arial" w:cs="Arial" w:eastAsia="Arial" w:hAnsi="Arial"/>
          <w:sz w:val="16"/>
          <w:szCs w:val="16"/>
          <w:color w:val="010000"/>
        </w:rPr>
      </w:pPr>
      <w:r>
        <w:rPr>
          <w:rFonts w:ascii="Arial" w:cs="Arial" w:eastAsia="Arial" w:hAnsi="Arial"/>
          <w:sz w:val="16"/>
          <w:szCs w:val="16"/>
          <w:color w:val="auto"/>
        </w:rPr>
        <w:t>transactions to the extent between or among (a) the Parent Guarantor and one or more Restricted Subsidiaries or (b) Restricted</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4" w:name="page165"/>
    <w:bookmarkEnd w:id="164"/>
    <w:p>
      <w:pPr>
        <w:ind w:left="-540" w:firstLine="735"/>
        <w:spacing w:after="0" w:line="259" w:lineRule="auto"/>
        <w:tabs>
          <w:tab w:leader="none" w:pos="903"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86" w:lineRule="exact"/>
        <w:rPr>
          <w:rFonts w:ascii="Arial" w:cs="Arial" w:eastAsia="Arial" w:hAnsi="Arial"/>
          <w:sz w:val="18"/>
          <w:szCs w:val="18"/>
          <w:color w:val="010000"/>
        </w:rPr>
      </w:pPr>
    </w:p>
    <w:p>
      <w:pPr>
        <w:ind w:left="-540" w:right="300" w:firstLine="735"/>
        <w:spacing w:after="0" w:line="277" w:lineRule="auto"/>
        <w:tabs>
          <w:tab w:leader="none" w:pos="948"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Permitted Investments (other than those made under clause (1) of such definition) or Restricted Payments which are made in accordance with Section 1009;</w:t>
      </w:r>
    </w:p>
    <w:p>
      <w:pPr>
        <w:spacing w:after="0" w:line="170" w:lineRule="exact"/>
        <w:rPr>
          <w:rFonts w:ascii="Arial" w:cs="Arial" w:eastAsia="Arial" w:hAnsi="Arial"/>
          <w:sz w:val="18"/>
          <w:szCs w:val="18"/>
          <w:color w:val="010000"/>
        </w:rPr>
      </w:pPr>
    </w:p>
    <w:p>
      <w:pPr>
        <w:ind w:left="-540" w:right="240" w:firstLine="735"/>
        <w:spacing w:after="0" w:line="264" w:lineRule="auto"/>
        <w:tabs>
          <w:tab w:leader="none" w:pos="948"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181" w:lineRule="exact"/>
        <w:rPr>
          <w:rFonts w:ascii="Arial" w:cs="Arial" w:eastAsia="Arial" w:hAnsi="Arial"/>
          <w:sz w:val="18"/>
          <w:szCs w:val="18"/>
          <w:color w:val="010000"/>
        </w:rPr>
      </w:pPr>
    </w:p>
    <w:p>
      <w:pPr>
        <w:ind w:left="-540" w:firstLine="735"/>
        <w:spacing w:after="0" w:line="264" w:lineRule="auto"/>
        <w:tabs>
          <w:tab w:leader="none" w:pos="948"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81" w:lineRule="exact"/>
        <w:rPr>
          <w:rFonts w:ascii="Arial" w:cs="Arial" w:eastAsia="Arial" w:hAnsi="Arial"/>
          <w:sz w:val="18"/>
          <w:szCs w:val="18"/>
          <w:color w:val="010000"/>
        </w:rPr>
      </w:pPr>
    </w:p>
    <w:p>
      <w:pPr>
        <w:ind w:left="-540" w:right="60" w:firstLine="735"/>
        <w:spacing w:after="0" w:line="257" w:lineRule="auto"/>
        <w:tabs>
          <w:tab w:leader="none" w:pos="948"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88" w:lineRule="exact"/>
        <w:rPr>
          <w:rFonts w:ascii="Arial" w:cs="Arial" w:eastAsia="Arial" w:hAnsi="Arial"/>
          <w:sz w:val="18"/>
          <w:szCs w:val="18"/>
          <w:color w:val="010000"/>
        </w:rPr>
      </w:pPr>
    </w:p>
    <w:p>
      <w:pPr>
        <w:ind w:left="-540" w:right="740" w:firstLine="735"/>
        <w:spacing w:after="0" w:line="308" w:lineRule="auto"/>
        <w:tabs>
          <w:tab w:leader="none" w:pos="948" w:val="left"/>
        </w:tabs>
        <w:numPr>
          <w:ilvl w:val="0"/>
          <w:numId w:val="208"/>
        </w:numPr>
        <w:rPr>
          <w:rFonts w:ascii="Arial" w:cs="Arial" w:eastAsia="Arial" w:hAnsi="Arial"/>
          <w:sz w:val="17"/>
          <w:szCs w:val="17"/>
          <w:color w:val="010000"/>
        </w:rPr>
      </w:pPr>
      <w:r>
        <w:rPr>
          <w:rFonts w:ascii="Arial" w:cs="Arial" w:eastAsia="Arial" w:hAnsi="Arial"/>
          <w:sz w:val="17"/>
          <w:szCs w:val="17"/>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46" w:lineRule="exact"/>
        <w:rPr>
          <w:rFonts w:ascii="Arial" w:cs="Arial" w:eastAsia="Arial" w:hAnsi="Arial"/>
          <w:sz w:val="17"/>
          <w:szCs w:val="17"/>
          <w:color w:val="010000"/>
        </w:rPr>
      </w:pPr>
    </w:p>
    <w:p>
      <w:pPr>
        <w:ind w:left="940" w:hanging="745"/>
        <w:spacing w:after="0"/>
        <w:tabs>
          <w:tab w:leader="none" w:pos="940"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pledging of Equity Interests of Unrestricted Subsidiaries;</w:t>
      </w:r>
    </w:p>
    <w:p>
      <w:pPr>
        <w:spacing w:after="0" w:line="225" w:lineRule="exact"/>
        <w:rPr>
          <w:rFonts w:ascii="Arial" w:cs="Arial" w:eastAsia="Arial" w:hAnsi="Arial"/>
          <w:sz w:val="18"/>
          <w:szCs w:val="18"/>
          <w:color w:val="010000"/>
        </w:rPr>
      </w:pPr>
    </w:p>
    <w:p>
      <w:pPr>
        <w:ind w:left="940" w:hanging="745"/>
        <w:spacing w:after="0"/>
        <w:tabs>
          <w:tab w:leader="none" w:pos="940"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any transaction effected as part of a Permitted Factoring Transaction;</w:t>
      </w:r>
    </w:p>
    <w:p>
      <w:pPr>
        <w:spacing w:after="0" w:line="225" w:lineRule="exact"/>
        <w:rPr>
          <w:rFonts w:ascii="Arial" w:cs="Arial" w:eastAsia="Arial" w:hAnsi="Arial"/>
          <w:sz w:val="18"/>
          <w:szCs w:val="18"/>
          <w:color w:val="010000"/>
        </w:rPr>
      </w:pPr>
    </w:p>
    <w:p>
      <w:pPr>
        <w:ind w:left="-540" w:right="360" w:firstLine="734"/>
        <w:spacing w:after="0" w:line="277" w:lineRule="auto"/>
        <w:tabs>
          <w:tab w:leader="none" w:pos="948"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170" w:lineRule="exact"/>
        <w:rPr>
          <w:rFonts w:ascii="Arial" w:cs="Arial" w:eastAsia="Arial" w:hAnsi="Arial"/>
          <w:sz w:val="18"/>
          <w:szCs w:val="18"/>
          <w:color w:val="010000"/>
        </w:rPr>
      </w:pPr>
    </w:p>
    <w:p>
      <w:pPr>
        <w:ind w:left="940" w:hanging="745"/>
        <w:spacing w:after="0"/>
        <w:tabs>
          <w:tab w:leader="none" w:pos="940" w:val="left"/>
        </w:tabs>
        <w:numPr>
          <w:ilvl w:val="0"/>
          <w:numId w:val="208"/>
        </w:numPr>
        <w:rPr>
          <w:rFonts w:ascii="Arial" w:cs="Arial" w:eastAsia="Arial" w:hAnsi="Arial"/>
          <w:sz w:val="18"/>
          <w:szCs w:val="18"/>
          <w:color w:val="010000"/>
        </w:rPr>
      </w:pPr>
      <w:r>
        <w:rPr>
          <w:rFonts w:ascii="Arial" w:cs="Arial" w:eastAsia="Arial" w:hAnsi="Arial"/>
          <w:sz w:val="18"/>
          <w:szCs w:val="18"/>
          <w:color w:val="auto"/>
        </w:rPr>
        <w:t>non-exclusive licenses of patents, copyrights, trademarks, trade secrets and other intellectual property;</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5" w:name="page166"/>
    <w:bookmarkEnd w:id="165"/>
    <w:p>
      <w:pPr>
        <w:ind w:left="660" w:right="120" w:firstLine="735"/>
        <w:spacing w:after="0" w:line="259" w:lineRule="auto"/>
        <w:tabs>
          <w:tab w:leader="none" w:pos="2148" w:val="left"/>
        </w:tabs>
        <w:numPr>
          <w:ilvl w:val="0"/>
          <w:numId w:val="209"/>
        </w:numPr>
        <w:rPr>
          <w:rFonts w:ascii="Arial" w:cs="Arial" w:eastAsia="Arial" w:hAnsi="Arial"/>
          <w:sz w:val="18"/>
          <w:szCs w:val="18"/>
          <w:color w:val="010000"/>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Parent Guarantor on any matter involving such other Person; and</w:t>
      </w:r>
    </w:p>
    <w:p>
      <w:pPr>
        <w:spacing w:after="0" w:line="186" w:lineRule="exact"/>
        <w:rPr>
          <w:rFonts w:ascii="Arial" w:cs="Arial" w:eastAsia="Arial" w:hAnsi="Arial"/>
          <w:sz w:val="18"/>
          <w:szCs w:val="18"/>
          <w:color w:val="010000"/>
        </w:rPr>
      </w:pPr>
    </w:p>
    <w:p>
      <w:pPr>
        <w:ind w:left="2140" w:hanging="745"/>
        <w:spacing w:after="0"/>
        <w:tabs>
          <w:tab w:leader="none" w:pos="2140" w:val="left"/>
        </w:tabs>
        <w:numPr>
          <w:ilvl w:val="0"/>
          <w:numId w:val="209"/>
        </w:numPr>
        <w:rPr>
          <w:rFonts w:ascii="Arial" w:cs="Arial" w:eastAsia="Arial" w:hAnsi="Arial"/>
          <w:sz w:val="18"/>
          <w:szCs w:val="18"/>
          <w:color w:val="010000"/>
        </w:rPr>
      </w:pPr>
      <w:r>
        <w:rPr>
          <w:rFonts w:ascii="Arial" w:cs="Arial" w:eastAsia="Arial" w:hAnsi="Arial"/>
          <w:sz w:val="18"/>
          <w:szCs w:val="18"/>
          <w:color w:val="auto"/>
        </w:rPr>
        <w:t>agreements and transactions entered into or effected in connection with the payment of Related Taxes.</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Additional Guarantees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after the Issue Date, any Restricted Subsidiary of the Parent Guarantor, other than the Issuer or a Guarantor, shall guarantee any Debt of the Parent Guarantor, the Issuer or any other Guarantor (excluding any Debt under a Credit Facility incurred pursuant to clause (1) of the definition of Permitted Indebtedness) in an aggregate principal amount in excess of $100.0 million, then the Parent Guarantor shall, within thirty (30) days thereof, cause such Restricted Subsidiary to execute and deliver to the Trustee a supplemental indenture substantially in the form of Annex E pursuant to which such Restricted Subsidiary shall become a Guarantor with respect to the Notes, upon the terms and subject to the release provisions and other limitations in Article Fourteen.</w:t>
      </w:r>
    </w:p>
    <w:p>
      <w:pPr>
        <w:spacing w:after="0" w:line="15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5"/>
          <w:szCs w:val="15"/>
          <w:u w:val="single" w:color="auto"/>
          <w:color w:val="auto"/>
        </w:rPr>
        <w:t>Covenant Suspension</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Following the first date that the Notes have an Investment Grade Rating and no Default or Event of Default has occurred and is then continuing, then upon delivery by the Issuer to the Trustee of an Officer’s Certificate to the foregoing effect and each day thereafter until a Reversion Date, if any (as described in this Section 1015), the following covenants (the “Suspended Covenants”) will be suspended and the Parent Guarantor and its Restricted Subsidiaries will no longer be subject to the Suspended Covenants:</w:t>
      </w:r>
    </w:p>
    <w:p>
      <w:pPr>
        <w:spacing w:after="0" w:line="187" w:lineRule="exact"/>
        <w:rPr>
          <w:sz w:val="20"/>
          <w:szCs w:val="20"/>
          <w:color w:val="auto"/>
        </w:rPr>
      </w:pPr>
    </w:p>
    <w:p>
      <w:pPr>
        <w:ind w:left="2060" w:hanging="755"/>
        <w:spacing w:after="0"/>
        <w:tabs>
          <w:tab w:leader="none" w:pos="2060"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Section 1006;</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Section 1008;</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Section 1009;</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Section 1011;</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Section 1012; and</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Section 1013</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During any period that the foregoing covenants have been suspended (each such period, a “Suspension Period”), the Issuer’s Board of Directors may not designate any of its Restricted Subsidiaries as Unrestricted Subsidiaries pursuant to Section 1006 and the definition of “Unrestricted Subsidiary.”</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foregoing, if the rating assigned by either Moody’s or S&amp;P should subsequently decline to below Baa3 or BBB- (or the equivalent under any successor ratings categories of Moody’s) or BBB- (or the equivalent under any successor ratings categories of S&amp;P), respectively, the Suspended Covenants will be reinstituted as of and from the date of such rating decline (such date, a “Reversion Date”) and on the Reversion Date and on each date thereafter (subject to the provisions of the first paragraph of Section 1015) the Issuer and the Restricted Subsidiaries shall be subject to (and shall be required to comply with) the Suspended Covenants.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ind w:firstLine="648"/>
        <w:spacing w:after="0" w:line="287" w:lineRule="auto"/>
        <w:rPr>
          <w:sz w:val="20"/>
          <w:szCs w:val="20"/>
          <w:color w:val="auto"/>
        </w:rPr>
      </w:pPr>
      <w:r>
        <w:rPr>
          <w:rFonts w:ascii="Arial" w:cs="Arial" w:eastAsia="Arial" w:hAnsi="Arial"/>
          <w:sz w:val="16"/>
          <w:szCs w:val="16"/>
          <w:color w:val="auto"/>
        </w:rPr>
        <w:t xml:space="preserve">For purposes of calculating the amount available to be made as Restricted Payments under Section 1009(3), calculations under that clause will be made with reference to the date of the Restricted Payment, as set forth in that clause. Accordingly (x) Restricted Payments made during the Suspension Period that would not otherwise be permitted pursuant to any of clauses (1) through (12) of the second paragraph of Section 1009 will reduce the amount available to be made as Restricted Payments under Section 1009(3);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amount available to be made as a Restricted Payment shall not be reduced to below zero solely as a result of such Restricted Payments but may be reduced to below zero as a result of negative cumulative Consolidated Net Income during the Suspension Period for purposes of Section 1009(3)(a) and (y) the items specified in clauses (3)(a) through (d) of Section 1009 that occur during the Suspension Period will increase the amount available to be made as Restricted Payments under Section 1009(3). For purposes of Section 1012, on each Reversion Date, the unutilized Excess Proceeds will be reset to zero. No Default or Event of Default will be deemed to have occurred or exist on a Reversion Date (or thereafter) under any Suspended Covenant, solely as a result of, or as a result of the continued existence on or after a Reversion Date of facts and circumstances arising from, any actions taken by the Issuer or any Restricted Subsidiaries thereof, or events occurring, or performance on or after a Reversion Date of any obligations arising from transactions which occurred, during a Suspension Period.</w:t>
      </w:r>
    </w:p>
    <w:p>
      <w:pPr>
        <w:spacing w:after="0" w:line="17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Maintenance of Ratings</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Use commercially reasonable efforts to (i) obtain a rating of the Notes (but not obtain a specific rating) from each Ratings Agency within 90 days after the Closing Date and (ii) maintain a public corporate family rating of the Parent Guarantor and maintain the rating of the Notes obtained in accordance with the immediately preceding clause (i) (but not maintain a specific rating), in each case from each Ratings Agency (it being understood and agreed that “commercially reasonable efforts” shall in any event include the payment by the Parent Guarantor of customary rating agency fees and cooperation with information and data requests by each Ratings Agency in connection with their ratings process).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NOTES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shall be redeemable at the election of the Issuer in accordance with their terms and in accordance with this Article.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spacing w:after="0"/>
        <w:tabs>
          <w:tab w:leader="none" w:pos="134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case of any redemption of less than all Notes, the Issuer shall, at least 5 Business Days prior to the last date a notice of redemption may be provided to Holders under Section 1105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right="320" w:firstLine="1395"/>
        <w:spacing w:after="0" w:line="273" w:lineRule="auto"/>
        <w:tabs>
          <w:tab w:leader="none" w:pos="208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Except as set forth in clauses (b), (c) and (d) of this Section 1103, the Issuer shall not have the option to redeem the Notes pursuant to this Section 1103 prior to December 1, 2021. On or after December 1,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the applicable redemption date (subject to the right of Holders of record on the relevant record date to receive interest due on an interest payment date that is on or prior to the redemption date), if redeemed during the twelve-month period beginning on December 1 of the years indicated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YEAR</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vMerge w:val="continue"/>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line="237" w:lineRule="exact"/>
              <w:rPr>
                <w:sz w:val="20"/>
                <w:szCs w:val="20"/>
                <w:color w:val="auto"/>
              </w:rPr>
            </w:pPr>
            <w:r>
              <w:rPr>
                <w:rFonts w:ascii="Arial" w:cs="Arial" w:eastAsia="Arial" w:hAnsi="Arial"/>
                <w:sz w:val="22"/>
                <w:szCs w:val="22"/>
                <w:color w:val="auto"/>
              </w:rPr>
              <w:t>105.500%</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102.750%</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46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1395"/>
        <w:spacing w:after="0" w:line="279" w:lineRule="auto"/>
        <w:tabs>
          <w:tab w:leader="none" w:pos="209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Notwithstanding the provisions of clause (a) of this Section 1103, at any time prior to December 1, 2022, the Issuer may on one or more occasions redeem up to $500 million in the aggregate principal amount of Notes issued under the Indenture at a redemption price of 103% of the principal amount of the Notes redeemed, plus accrued and unpaid interest, if any, thereon to the redemption date (subject to the right of Holders of record on the relevant record date to receive interest due on an interest payment date that is on or prior to the redemption date).</w:t>
      </w:r>
    </w:p>
    <w:p>
      <w:pPr>
        <w:spacing w:after="0" w:line="171" w:lineRule="exact"/>
        <w:rPr>
          <w:rFonts w:ascii="Arial" w:cs="Arial" w:eastAsia="Arial" w:hAnsi="Arial"/>
          <w:sz w:val="17"/>
          <w:szCs w:val="17"/>
          <w:color w:val="auto"/>
        </w:rPr>
      </w:pPr>
    </w:p>
    <w:p>
      <w:pPr>
        <w:ind w:left="2080" w:hanging="685"/>
        <w:spacing w:after="0"/>
        <w:tabs>
          <w:tab w:leader="none" w:pos="20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Prior to December 1, 2021, the Issuer may redeem on one or more occasions all or part of the Notes at a redemption price equal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sum of:</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Make Whole Premium at the redemption date, plus</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97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accrued and unpaid interest, if any, to the redemption date (subject to the right of Holders of record on the relevant record date to receive interest due on an interest payment date that is on or prior to the redemption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ind w:right="880" w:firstLine="1395"/>
        <w:spacing w:after="0" w:line="277" w:lineRule="auto"/>
        <w:tabs>
          <w:tab w:leader="none" w:pos="209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Notes may be redeemed, as a whole, following certain Change of Control Offers pursuant to Section 1007, at the Redemption Price and subject to the conditions set forth in such Section.</w:t>
      </w:r>
    </w:p>
    <w:p>
      <w:pPr>
        <w:spacing w:after="0" w:line="170" w:lineRule="exact"/>
        <w:rPr>
          <w:rFonts w:ascii="Arial" w:cs="Arial" w:eastAsia="Arial" w:hAnsi="Arial"/>
          <w:sz w:val="18"/>
          <w:szCs w:val="18"/>
          <w:color w:val="auto"/>
        </w:rPr>
      </w:pPr>
    </w:p>
    <w:p>
      <w:pPr>
        <w:jc w:val="both"/>
        <w:ind w:right="140" w:firstLine="1395"/>
        <w:spacing w:after="0" w:line="259" w:lineRule="auto"/>
        <w:tabs>
          <w:tab w:leader="none" w:pos="212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86" w:lineRule="exact"/>
        <w:rPr>
          <w:rFonts w:ascii="Arial" w:cs="Arial" w:eastAsia="Arial" w:hAnsi="Arial"/>
          <w:sz w:val="18"/>
          <w:szCs w:val="18"/>
          <w:color w:val="auto"/>
        </w:rPr>
      </w:pPr>
    </w:p>
    <w:p>
      <w:pPr>
        <w:ind w:right="640" w:firstLine="1395"/>
        <w:spacing w:after="0" w:line="342" w:lineRule="auto"/>
        <w:tabs>
          <w:tab w:leader="none" w:pos="210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23" w:lineRule="exact"/>
        <w:rPr>
          <w:rFonts w:ascii="Arial" w:cs="Arial" w:eastAsia="Arial" w:hAnsi="Arial"/>
          <w:sz w:val="16"/>
          <w:szCs w:val="16"/>
          <w:color w:val="auto"/>
        </w:rPr>
      </w:pPr>
    </w:p>
    <w:p>
      <w:pPr>
        <w:ind w:right="240" w:firstLine="1395"/>
        <w:spacing w:after="0" w:line="264" w:lineRule="auto"/>
        <w:tabs>
          <w:tab w:leader="none" w:pos="209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1103,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Selection by Trustee of Notes to Be Redeemed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Notes of a principal amount of $2,000 in original principal amount or less shall be redeemed in part.</w:t>
      </w:r>
    </w:p>
    <w:p>
      <w:pPr>
        <w:spacing w:after="0" w:line="173"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2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Notice of redemption shall be given by first-class mail, postage prepaid, mailed (or, in the case of any notice to the Holder of a Global Note, sent electronically in accordance with the Depositary’s procedures) not less than 30 nor more than 60 days prior to the Redemption Date, to (i) each Holder of Notes to be redeemed, at its address appearing in the Security Register and (ii) in the case of any redemption pursuant to Section 1103(d), to any beneficial owner of an interest in a Global Note, if required by applicable law, except that redemption notices may be sent more than 60 days prior to a Redemption Date if the notice is issued in connection with a Legal Defeasance or Covenant Defeasance of the Notes or a satisfaction and discharge of the Indenture pursuant to Article Four.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9" w:name="page170"/>
    <w:bookmarkEnd w:id="169"/>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2060" w:hanging="755"/>
        <w:spacing w:after="0"/>
        <w:tabs>
          <w:tab w:leader="none" w:pos="20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the Redemption Price, if then determined and otherwise the manner of calculation thereof,</w:t>
      </w:r>
    </w:p>
    <w:p>
      <w:pPr>
        <w:spacing w:after="0" w:line="225" w:lineRule="exact"/>
        <w:rPr>
          <w:rFonts w:ascii="Arial" w:cs="Arial" w:eastAsia="Arial" w:hAnsi="Arial"/>
          <w:sz w:val="18"/>
          <w:szCs w:val="18"/>
          <w:color w:val="010000"/>
        </w:rPr>
      </w:pPr>
    </w:p>
    <w:p>
      <w:pPr>
        <w:ind w:left="660" w:right="300" w:firstLine="645"/>
        <w:spacing w:after="0" w:line="277" w:lineRule="auto"/>
        <w:tabs>
          <w:tab w:leader="none" w:pos="2058"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if less than all the Outstanding Notes are to be redeemed, the identification (and, in the case of partial redemption of any such Notes, the principal amounts) of the particular Notes to be redeemed,</w:t>
      </w:r>
    </w:p>
    <w:p>
      <w:pPr>
        <w:spacing w:after="0" w:line="170" w:lineRule="exact"/>
        <w:rPr>
          <w:rFonts w:ascii="Arial" w:cs="Arial" w:eastAsia="Arial" w:hAnsi="Arial"/>
          <w:sz w:val="18"/>
          <w:szCs w:val="18"/>
          <w:color w:val="010000"/>
        </w:rPr>
      </w:pPr>
    </w:p>
    <w:p>
      <w:pPr>
        <w:ind w:left="660" w:right="400" w:firstLine="645"/>
        <w:spacing w:after="0" w:line="277" w:lineRule="auto"/>
        <w:tabs>
          <w:tab w:leader="none" w:pos="2058"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that on the Redemption Date the Redemption Price will become due and payable upon each such Note be redeemed and that interest thereon will cease to accrue on and after said date,</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the place or places where each such Note is to be surrendered for payment of the Redemption Price,</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the CUSIP/ISIN numbers of the Notes; and</w:t>
      </w:r>
    </w:p>
    <w:p>
      <w:pPr>
        <w:spacing w:after="0" w:line="225" w:lineRule="exact"/>
        <w:rPr>
          <w:rFonts w:ascii="Arial" w:cs="Arial" w:eastAsia="Arial" w:hAnsi="Arial"/>
          <w:sz w:val="18"/>
          <w:szCs w:val="18"/>
          <w:color w:val="010000"/>
        </w:rPr>
      </w:pPr>
    </w:p>
    <w:p>
      <w:pPr>
        <w:ind w:left="2060" w:hanging="755"/>
        <w:spacing w:after="0"/>
        <w:tabs>
          <w:tab w:leader="none" w:pos="2060" w:val="left"/>
        </w:tabs>
        <w:numPr>
          <w:ilvl w:val="0"/>
          <w:numId w:val="215"/>
        </w:numPr>
        <w:rPr>
          <w:rFonts w:ascii="Arial" w:cs="Arial" w:eastAsia="Arial" w:hAnsi="Arial"/>
          <w:sz w:val="18"/>
          <w:szCs w:val="18"/>
          <w:color w:val="010000"/>
        </w:rPr>
      </w:pPr>
      <w:r>
        <w:rPr>
          <w:rFonts w:ascii="Arial" w:cs="Arial" w:eastAsia="Arial" w:hAnsi="Arial"/>
          <w:sz w:val="18"/>
          <w:szCs w:val="18"/>
          <w:color w:val="auto"/>
        </w:rPr>
        <w:t>any conditions precedent for the redemption or notice of redemption.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Notice of redemption of Notes to be redeemed at the election of the Issuer shall be given by the Issuer or, at the Issuer’s request, by the Trustee in the name and at the expense of the Issuer and shall be irrevocable. Any redemption or notice of redemption may, at the Issuer’s discretion, be subject to one or more conditions precedent.</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Prior to 11:00 a.m., New York City time, on any Redemption Date, the Issuer shall deposit with the Trustee or with a Paying Agent (or, if the Issuer or a Subsidiary is acting as its own Paying Agent, segregate and hold in trust as provided in Section 1003) an amount of money sufficient to pay the Redemption Price of, and (except if the Redemption Date shall be an Interest Payment Date) accrued interest on, all the Notes which are to be redeemed on that date.</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u w:val="single" w:color="auto"/>
          <w:color w:val="auto"/>
        </w:rPr>
        <w:t>Notes Payable on Redemption Date</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1103(e).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0" w:name="page171"/>
    <w:bookmarkEnd w:id="170"/>
    <w:p>
      <w:pPr>
        <w:ind w:right="260" w:firstLine="648"/>
        <w:spacing w:after="0" w:line="277"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5"/>
          <w:szCs w:val="15"/>
          <w:u w:val="single" w:color="auto"/>
          <w:color w:val="auto"/>
        </w:rPr>
        <w:t>Notes Redeemed in Part</w:t>
      </w:r>
      <w:r>
        <w:rPr>
          <w:rFonts w:ascii="Arial" w:cs="Arial" w:eastAsia="Arial" w:hAnsi="Arial"/>
          <w:sz w:val="15"/>
          <w:szCs w:val="15"/>
          <w:color w:val="auto"/>
        </w:rPr>
        <w: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 OTHER ACQUISITIONS OF NOTES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u w:val="single" w:color="auto"/>
          <w:color w:val="auto"/>
        </w:rPr>
        <w:t>Mandatory Redemption, Etc</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Issuer will not be required to make mandatory redemption or sinking fund payments with respect to the Notes. The Issuer may purchase Notes in the market from time to time in its discretion.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Issuer’s Option to Effect Legal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Issuer may elect, at its option at any time, to have Section 1302 or Section 1303 applied to the Notes, upon compliance with the conditions set forth below in this Article. Any such election shall be evidenced in or pursuant to a Board Resolution delivered to the Trustee.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spacing w:after="0"/>
        <w:tabs>
          <w:tab w:leader="none" w:pos="134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5"/>
          <w:szCs w:val="15"/>
          <w:u w:val="single" w:color="auto"/>
          <w:color w:val="auto"/>
        </w:rPr>
        <w:t>Defeasance and Discharge</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1304 are satisfied (hereinafter called “Legal Defeasance”).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proper instruments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1304 and as more fully set forth in such Section, payments in respect of the principal of, and interest and premium, if any, on, the Notes when payments are due, (2) the Issuer’s obligations under Sections 304, 305, 306, 1002, 1003 and 1004(a) and its obligations under Section 314(a) of the Trust Indenture Act, (3) the rights, powers, trusts, duties and immunities of the Trustee hereunder and the obligations of the Issuer and the Guarantors in connection therewith and (4) this Article. If the Issuer exercises its defeasance option pursuant to this Section 1302, the payment of the defeased Notes may not be accelerated pursuant to Section 502 because of an Event of Default. Subject to compliance with this Article, the Issuer may exercise its option (if any) to have this Section applied to the Notes notwithstanding the prior exercise of its option (if any) to have Section 1303 applied to the Notes.</w:t>
      </w:r>
    </w:p>
    <w:p>
      <w:pPr>
        <w:spacing w:after="0" w:line="17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Upon the Issuer’s exercise of its option to have this Section applied to the Notes, (1) the Issuer shall be released from its obligations under Section 801(3) and Sections 1006 through 1014, inclusive; (2) the occurrence of any event specified in Sections 501(3) (with respect only to the obligation under Section 801(3)), 501(4), 501(5), 501(6), 501(7) (with respect only to Significant Subsidiaries) or 501(8) (with respect only to Significant Subsidiaries) and 501(9) shall be deemed not to be or to result in a Default or an Event of Default, and (3) the Guarantees shall be automatically released, in each case as provided in this Section on and after the date the conditions set forth in Section 1304 are satisfied (hereinafter called “Covenant Defeasance”). 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9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u w:val="single" w:color="auto"/>
          <w:color w:val="auto"/>
        </w:rPr>
        <w:t>Conditions to Legal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shall be the conditions to the application of Section 1302 or 1303:</w:t>
      </w:r>
    </w:p>
    <w:p>
      <w:pPr>
        <w:spacing w:after="0" w:line="225" w:lineRule="exact"/>
        <w:rPr>
          <w:sz w:val="20"/>
          <w:szCs w:val="20"/>
          <w:color w:val="auto"/>
        </w:rPr>
      </w:pPr>
    </w:p>
    <w:p>
      <w:pPr>
        <w:ind w:left="660" w:firstLine="735"/>
        <w:spacing w:after="0" w:line="257" w:lineRule="auto"/>
        <w:tabs>
          <w:tab w:leader="none" w:pos="2148" w:val="left"/>
        </w:tabs>
        <w:numPr>
          <w:ilvl w:val="0"/>
          <w:numId w:val="216"/>
        </w:numPr>
        <w:rPr>
          <w:rFonts w:ascii="Arial" w:cs="Arial" w:eastAsia="Arial" w:hAnsi="Arial"/>
          <w:sz w:val="18"/>
          <w:szCs w:val="18"/>
          <w:color w:val="010000"/>
        </w:rPr>
      </w:pPr>
      <w:r>
        <w:rPr>
          <w:rFonts w:ascii="Arial" w:cs="Arial" w:eastAsia="Arial" w:hAnsi="Arial"/>
          <w:sz w:val="18"/>
          <w:szCs w:val="18"/>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2" w:name="page173"/>
    <w:bookmarkEnd w:id="172"/>
    <w:p>
      <w:pPr>
        <w:ind w:left="2140" w:hanging="745"/>
        <w:spacing w:after="0"/>
        <w:tabs>
          <w:tab w:leader="none" w:pos="2140" w:val="left"/>
        </w:tabs>
        <w:numPr>
          <w:ilvl w:val="0"/>
          <w:numId w:val="217"/>
        </w:numPr>
        <w:rPr>
          <w:rFonts w:ascii="Arial" w:cs="Arial" w:eastAsia="Arial" w:hAnsi="Arial"/>
          <w:sz w:val="17"/>
          <w:szCs w:val="17"/>
          <w:color w:val="010000"/>
        </w:rPr>
      </w:pPr>
      <w:r>
        <w:rPr>
          <w:rFonts w:ascii="Arial" w:cs="Arial" w:eastAsia="Arial" w:hAnsi="Arial"/>
          <w:sz w:val="17"/>
          <w:szCs w:val="17"/>
          <w:color w:val="auto"/>
        </w:rPr>
        <w:t>in the case of Legal Defeasance, the Issuer shall have delivered to the Trustee an Opinion of Counsel in the United States</w:t>
      </w:r>
    </w:p>
    <w:p>
      <w:pPr>
        <w:spacing w:after="0" w:line="34" w:lineRule="exact"/>
        <w:rPr>
          <w:rFonts w:ascii="Arial" w:cs="Arial" w:eastAsia="Arial" w:hAnsi="Arial"/>
          <w:sz w:val="17"/>
          <w:szCs w:val="17"/>
          <w:color w:val="010000"/>
        </w:rPr>
      </w:pPr>
    </w:p>
    <w:p>
      <w:pPr>
        <w:ind w:left="660"/>
        <w:spacing w:after="0"/>
        <w:rPr>
          <w:rFonts w:ascii="Arial" w:cs="Arial" w:eastAsia="Arial" w:hAnsi="Arial"/>
          <w:sz w:val="17"/>
          <w:szCs w:val="17"/>
          <w:color w:val="010000"/>
        </w:rPr>
      </w:pPr>
      <w:r>
        <w:rPr>
          <w:rFonts w:ascii="Arial" w:cs="Arial" w:eastAsia="Arial" w:hAnsi="Arial"/>
          <w:sz w:val="18"/>
          <w:szCs w:val="18"/>
          <w:color w:val="auto"/>
        </w:rPr>
        <w:t>confirming that:</w:t>
      </w:r>
    </w:p>
    <w:p>
      <w:pPr>
        <w:spacing w:after="0" w:line="210" w:lineRule="exact"/>
        <w:rPr>
          <w:rFonts w:ascii="Arial" w:cs="Arial" w:eastAsia="Arial" w:hAnsi="Arial"/>
          <w:sz w:val="17"/>
          <w:szCs w:val="17"/>
          <w:color w:val="010000"/>
        </w:rPr>
      </w:pPr>
    </w:p>
    <w:p>
      <w:pPr>
        <w:ind w:left="2700" w:hanging="747"/>
        <w:spacing w:after="0"/>
        <w:tabs>
          <w:tab w:leader="none" w:pos="2700" w:val="left"/>
        </w:tabs>
        <w:numPr>
          <w:ilvl w:val="1"/>
          <w:numId w:val="217"/>
        </w:numPr>
        <w:rPr>
          <w:rFonts w:ascii="Arial" w:cs="Arial" w:eastAsia="Arial" w:hAnsi="Arial"/>
          <w:sz w:val="18"/>
          <w:szCs w:val="18"/>
          <w:color w:val="010000"/>
        </w:rPr>
      </w:pPr>
      <w:r>
        <w:rPr>
          <w:rFonts w:ascii="Arial" w:cs="Arial" w:eastAsia="Arial" w:hAnsi="Arial"/>
          <w:sz w:val="18"/>
          <w:szCs w:val="18"/>
          <w:color w:val="auto"/>
        </w:rPr>
        <w:t>the Issuer has received from, or there has been published by the Internal Revenue Service, a ruling; or</w:t>
      </w:r>
    </w:p>
    <w:p>
      <w:pPr>
        <w:spacing w:after="0" w:line="225" w:lineRule="exact"/>
        <w:rPr>
          <w:rFonts w:ascii="Arial" w:cs="Arial" w:eastAsia="Arial" w:hAnsi="Arial"/>
          <w:sz w:val="18"/>
          <w:szCs w:val="18"/>
          <w:color w:val="010000"/>
        </w:rPr>
      </w:pPr>
    </w:p>
    <w:p>
      <w:pPr>
        <w:ind w:left="2700" w:hanging="747"/>
        <w:spacing w:after="0"/>
        <w:tabs>
          <w:tab w:leader="none" w:pos="2700" w:val="left"/>
        </w:tabs>
        <w:numPr>
          <w:ilvl w:val="1"/>
          <w:numId w:val="217"/>
        </w:numPr>
        <w:rPr>
          <w:rFonts w:ascii="Arial" w:cs="Arial" w:eastAsia="Arial" w:hAnsi="Arial"/>
          <w:sz w:val="18"/>
          <w:szCs w:val="18"/>
          <w:color w:val="010000"/>
        </w:rPr>
      </w:pPr>
      <w:r>
        <w:rPr>
          <w:rFonts w:ascii="Arial" w:cs="Arial" w:eastAsia="Arial" w:hAnsi="Arial"/>
          <w:sz w:val="18"/>
          <w:szCs w:val="18"/>
          <w:color w:val="auto"/>
        </w:rPr>
        <w:t>since the date of the Indenture, there has been a change in the applicable U.S. federal income tax law</w:t>
      </w:r>
    </w:p>
    <w:p>
      <w:pPr>
        <w:spacing w:after="0" w:line="225" w:lineRule="exact"/>
        <w:rPr>
          <w:sz w:val="20"/>
          <w:szCs w:val="20"/>
          <w:color w:val="auto"/>
        </w:rPr>
      </w:pPr>
    </w:p>
    <w:p>
      <w:pPr>
        <w:ind w:left="1300" w:right="4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left="660" w:right="60" w:firstLine="735"/>
        <w:spacing w:after="0" w:line="279" w:lineRule="auto"/>
        <w:tabs>
          <w:tab w:leader="none" w:pos="2148" w:val="left"/>
        </w:tabs>
        <w:numPr>
          <w:ilvl w:val="0"/>
          <w:numId w:val="218"/>
        </w:numPr>
        <w:rPr>
          <w:rFonts w:ascii="Arial" w:cs="Arial" w:eastAsia="Arial" w:hAnsi="Arial"/>
          <w:sz w:val="17"/>
          <w:szCs w:val="17"/>
          <w:color w:val="010000"/>
        </w:rPr>
      </w:pPr>
      <w:r>
        <w:rPr>
          <w:rFonts w:ascii="Arial" w:cs="Arial" w:eastAsia="Arial" w:hAnsi="Arial"/>
          <w:sz w:val="17"/>
          <w:szCs w:val="17"/>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71" w:lineRule="exact"/>
        <w:rPr>
          <w:rFonts w:ascii="Arial" w:cs="Arial" w:eastAsia="Arial" w:hAnsi="Arial"/>
          <w:sz w:val="17"/>
          <w:szCs w:val="17"/>
          <w:color w:val="010000"/>
        </w:rPr>
      </w:pPr>
    </w:p>
    <w:p>
      <w:pPr>
        <w:ind w:left="660" w:right="100" w:firstLine="735"/>
        <w:spacing w:after="0" w:line="277" w:lineRule="auto"/>
        <w:tabs>
          <w:tab w:leader="none" w:pos="2148" w:val="left"/>
        </w:tabs>
        <w:numPr>
          <w:ilvl w:val="0"/>
          <w:numId w:val="218"/>
        </w:numPr>
        <w:rPr>
          <w:rFonts w:ascii="Arial" w:cs="Arial" w:eastAsia="Arial" w:hAnsi="Arial"/>
          <w:sz w:val="18"/>
          <w:szCs w:val="18"/>
          <w:color w:val="010000"/>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010000"/>
        </w:rPr>
      </w:pPr>
    </w:p>
    <w:p>
      <w:pPr>
        <w:ind w:left="660" w:right="80" w:firstLine="735"/>
        <w:spacing w:after="0" w:line="312" w:lineRule="auto"/>
        <w:tabs>
          <w:tab w:leader="none" w:pos="2148" w:val="left"/>
        </w:tabs>
        <w:numPr>
          <w:ilvl w:val="0"/>
          <w:numId w:val="218"/>
        </w:numPr>
        <w:rPr>
          <w:rFonts w:ascii="Arial" w:cs="Arial" w:eastAsia="Arial" w:hAnsi="Arial"/>
          <w:sz w:val="16"/>
          <w:szCs w:val="16"/>
          <w:color w:val="010000"/>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6" w:lineRule="exact"/>
        <w:rPr>
          <w:rFonts w:ascii="Arial" w:cs="Arial" w:eastAsia="Arial" w:hAnsi="Arial"/>
          <w:sz w:val="16"/>
          <w:szCs w:val="16"/>
          <w:color w:val="010000"/>
        </w:rPr>
      </w:pPr>
    </w:p>
    <w:p>
      <w:pPr>
        <w:ind w:left="660" w:firstLine="735"/>
        <w:spacing w:after="0" w:line="264" w:lineRule="auto"/>
        <w:tabs>
          <w:tab w:leader="none" w:pos="2148" w:val="left"/>
        </w:tabs>
        <w:numPr>
          <w:ilvl w:val="0"/>
          <w:numId w:val="218"/>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81" w:lineRule="exact"/>
        <w:rPr>
          <w:rFonts w:ascii="Arial" w:cs="Arial" w:eastAsia="Arial" w:hAnsi="Arial"/>
          <w:sz w:val="18"/>
          <w:szCs w:val="18"/>
          <w:color w:val="010000"/>
        </w:rPr>
      </w:pPr>
    </w:p>
    <w:p>
      <w:pPr>
        <w:ind w:left="660" w:right="100" w:firstLine="735"/>
        <w:spacing w:after="0" w:line="277" w:lineRule="auto"/>
        <w:tabs>
          <w:tab w:leader="none" w:pos="2148" w:val="left"/>
        </w:tabs>
        <w:numPr>
          <w:ilvl w:val="0"/>
          <w:numId w:val="218"/>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Subject to the provisions of the last paragraph of Section 1003, all money and U.S. Government Obligations (including the proceeds thereof) deposited with the Trustee pursuant to Section 1304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3" w:name="page174"/>
    <w:bookmarkEnd w:id="173"/>
    <w:p>
      <w:pPr>
        <w:jc w:val="both"/>
        <w:ind w:right="20" w:firstLine="648"/>
        <w:spacing w:after="0" w:line="264"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Notes.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Anything in this Article to the contrary notwithstanding, the Trustee shall deliver or pay to the Issuer from time to time upon Issuer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1302 or 1303 shall be revived and reinstated as though no deposit had occurred pursuant to this Article, until such time as the Trustee or Paying Agent is permitted to apply all money held in trust pursuant to Section 1305 in accordance with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u w:val="single" w:color="auto"/>
          <w:color w:val="auto"/>
        </w:rPr>
        <w:t>Unconditional Guarantee</w:t>
      </w:r>
      <w:r>
        <w:rPr>
          <w:rFonts w:ascii="Arial" w:cs="Arial" w:eastAsia="Arial" w:hAnsi="Arial"/>
          <w:sz w:val="16"/>
          <w:szCs w:val="16"/>
          <w:color w:val="auto"/>
        </w:rPr>
        <w:t>.</w:t>
      </w:r>
    </w:p>
    <w:p>
      <w:pPr>
        <w:spacing w:after="0" w:line="225" w:lineRule="exact"/>
        <w:rPr>
          <w:sz w:val="20"/>
          <w:szCs w:val="20"/>
          <w:color w:val="auto"/>
        </w:rPr>
      </w:pPr>
    </w:p>
    <w:p>
      <w:pPr>
        <w:ind w:right="80" w:firstLine="1395"/>
        <w:spacing w:after="0" w:line="271" w:lineRule="auto"/>
        <w:tabs>
          <w:tab w:leader="none" w:pos="212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For value received, each of the Guarantors hereby fully, irrevocably, unconditionally and absolutely guarantees to the Holders and to the Trustee the due and punctual payment of the principal of, and premium, if any, and interest on the Notes and all other amounts due and payable under the Indenture and the Notes by the Issuer (collectively, the “Indenture Obligations”),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1403.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74" w:name="page175"/>
    <w:bookmarkEnd w:id="174"/>
    <w:p>
      <w:pPr>
        <w:ind w:left="-40" w:firstLine="1305"/>
        <w:spacing w:after="0" w:line="287" w:lineRule="auto"/>
        <w:tabs>
          <w:tab w:leader="none" w:pos="196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Failing payment when due of any amount guaranteed pursuant to its Guarantee, for whatever reason, each of the Guarantors will be jointly and severally obligated (to the fullest extent permitted by law) to pay the same immediately to the Trustee, without set-off or counterclaim or other reduction whatsoever (whether for taxes, withholding or otherwise).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507, by the Holders, on the terms and conditions set forth in the Indenture, directly against such Guarantor to enforce its Guarantee without first proceeding against the Issuer or any other Guarantor.</w:t>
      </w:r>
    </w:p>
    <w:p>
      <w:pPr>
        <w:spacing w:after="0" w:line="168" w:lineRule="exact"/>
        <w:rPr>
          <w:rFonts w:ascii="Arial" w:cs="Arial" w:eastAsia="Arial" w:hAnsi="Arial"/>
          <w:sz w:val="16"/>
          <w:szCs w:val="16"/>
          <w:color w:val="auto"/>
        </w:rPr>
      </w:pPr>
    </w:p>
    <w:p>
      <w:pPr>
        <w:ind w:left="-40" w:firstLine="1305"/>
        <w:spacing w:after="0" w:line="285" w:lineRule="auto"/>
        <w:tabs>
          <w:tab w:leader="none" w:pos="195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of the Notes, the Guarantees or the Indenture or (J) any other circumstances (other than payment in full or discharge of all amounts guaranteed pursuant to the Guarantees) which might otherwise constitute a legal or equitable discharge of a surety or guarantor.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909" w:right="279" w:bottom="1440" w:gutter="0" w:footer="0" w:header="0"/>
        </w:sectPr>
      </w:pPr>
    </w:p>
    <w:bookmarkStart w:id="175" w:name="page176"/>
    <w:bookmarkEnd w:id="175"/>
    <w:p>
      <w:pPr>
        <w:ind w:firstLine="1305"/>
        <w:spacing w:after="0" w:line="286" w:lineRule="auto"/>
        <w:tabs>
          <w:tab w:leader="none" w:pos="200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each of the Guarantors hereby (A) waives diligence, presentment, demand of payment,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w:t>
      </w:r>
    </w:p>
    <w:p>
      <w:pPr>
        <w:spacing w:after="0" w:line="1" w:lineRule="exact"/>
        <w:rPr>
          <w:rFonts w:ascii="Arial" w:cs="Arial" w:eastAsia="Arial" w:hAnsi="Arial"/>
          <w:sz w:val="16"/>
          <w:szCs w:val="16"/>
          <w:color w:val="auto"/>
        </w:rPr>
      </w:pPr>
    </w:p>
    <w:p>
      <w:pPr>
        <w:ind w:right="180" w:firstLine="8"/>
        <w:spacing w:after="0" w:line="252" w:lineRule="auto"/>
        <w:tabs>
          <w:tab w:leader="none" w:pos="2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94" w:lineRule="exact"/>
        <w:rPr>
          <w:rFonts w:ascii="Arial" w:cs="Arial" w:eastAsia="Arial" w:hAnsi="Arial"/>
          <w:sz w:val="18"/>
          <w:szCs w:val="18"/>
          <w:color w:val="auto"/>
        </w:rPr>
      </w:pPr>
    </w:p>
    <w:p>
      <w:pPr>
        <w:ind w:right="20" w:firstLine="1305"/>
        <w:spacing w:after="0" w:line="312" w:lineRule="auto"/>
        <w:tabs>
          <w:tab w:leader="none" w:pos="199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46" w:lineRule="exact"/>
        <w:rPr>
          <w:rFonts w:ascii="Arial" w:cs="Arial" w:eastAsia="Arial" w:hAnsi="Arial"/>
          <w:sz w:val="16"/>
          <w:szCs w:val="16"/>
          <w:color w:val="auto"/>
        </w:rPr>
      </w:pPr>
    </w:p>
    <w:p>
      <w:pPr>
        <w:ind w:firstLine="1305"/>
        <w:spacing w:after="0" w:line="273" w:lineRule="auto"/>
        <w:tabs>
          <w:tab w:leader="none" w:pos="2016"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no failure to exercise and no delay in exercising, on the part of the Trustee or the Holders, any right, power, privilege or remedy under this Article Fourteen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Fourteen shall limit the right of the Trustee or the Holders to take any action to accelerate the maturity of the Notes pursuant to Article Five or to pursue any other rights or remedies hereunder or under applicable law.</w:t>
      </w:r>
    </w:p>
    <w:p>
      <w:pPr>
        <w:spacing w:after="0" w:line="17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u w:val="single" w:color="auto"/>
          <w:color w:val="auto"/>
        </w:rPr>
        <w:t>Subsidiary Guarantee Evidenced by Indenture</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Guarantee of any Guarantor shall be evidenced solely by its execution and delivery of the Indenture (or, in the case of any Guarantor that is not party to the Indenture on the Issue Date, a supplemental indenture hereto) and not by an endorsement on, or attachment to, any Note or any guarantee or notation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76" w:name="page177"/>
    <w:bookmarkEnd w:id="176"/>
    <w:p>
      <w:pPr>
        <w:ind w:right="20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1401 hereof will remain in full force and effect notwithstanding any failure to endorse on each Note a notation of such Guarantee.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the Indenture on behalf of the Guarantors.</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the event that the Issuer, the Parent Guarantor or any of their respective Restricted Subsidiaries creates or acquires any Restricted Subsidiary after the Issue Date, if required by Section 1014 hereof, the Issuer or the Parent Guarantor, as applicable, will cause such Restricted Subsidiary to comply with the provisions of Section 1014 hereof and this Article Fourteen, to the extent applicable.</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1403.</w:t>
      </w:r>
      <w:r>
        <w:rPr>
          <w:sz w:val="20"/>
          <w:szCs w:val="20"/>
          <w:color w:val="auto"/>
        </w:rPr>
        <w:tab/>
      </w:r>
      <w:r>
        <w:rPr>
          <w:rFonts w:ascii="Arial" w:cs="Arial" w:eastAsia="Arial" w:hAnsi="Arial"/>
          <w:sz w:val="17"/>
          <w:szCs w:val="17"/>
          <w:u w:val="single" w:color="auto"/>
          <w:color w:val="auto"/>
        </w:rPr>
        <w:t>Limitation on Guarantors’ Liability</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Credit Agreements)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1404.</w:t>
      </w:r>
      <w:r>
        <w:rPr>
          <w:sz w:val="20"/>
          <w:szCs w:val="20"/>
          <w:color w:val="auto"/>
        </w:rPr>
        <w:tab/>
      </w:r>
      <w:r>
        <w:rPr>
          <w:rFonts w:ascii="Arial" w:cs="Arial" w:eastAsia="Arial" w:hAnsi="Arial"/>
          <w:sz w:val="16"/>
          <w:szCs w:val="16"/>
          <w:u w:val="single" w:color="auto"/>
          <w:color w:val="auto"/>
        </w:rPr>
        <w:t>Release of Guarantors from Guarantees</w:t>
      </w:r>
      <w:r>
        <w:rPr>
          <w:rFonts w:ascii="Arial" w:cs="Arial" w:eastAsia="Arial" w:hAnsi="Arial"/>
          <w:sz w:val="16"/>
          <w:szCs w:val="16"/>
          <w:color w:val="auto"/>
        </w:rPr>
        <w:t>.</w:t>
      </w:r>
    </w:p>
    <w:p>
      <w:pPr>
        <w:spacing w:after="0" w:line="225" w:lineRule="exact"/>
        <w:rPr>
          <w:sz w:val="20"/>
          <w:szCs w:val="20"/>
          <w:color w:val="auto"/>
        </w:rPr>
      </w:pPr>
    </w:p>
    <w:p>
      <w:pPr>
        <w:jc w:val="both"/>
        <w:ind w:right="420" w:firstLine="1305"/>
        <w:spacing w:after="0" w:line="264" w:lineRule="auto"/>
        <w:tabs>
          <w:tab w:leader="none" w:pos="199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Notwithstanding any other provisions of the Indenture, the Guarantee of any Guarantor shall be released upon the terms and subject to the conditions set forth in this Section 1404. A Guarantor shall be released automatically from its obligations under its Guarantee and its other obligations under the Indenture upon: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(1)</w:t>
      </w:r>
    </w:p>
    <w:p>
      <w:pPr>
        <w:spacing w:after="0" w:line="225" w:lineRule="exact"/>
        <w:rPr>
          <w:sz w:val="20"/>
          <w:szCs w:val="20"/>
          <w:color w:val="auto"/>
        </w:rPr>
      </w:pPr>
    </w:p>
    <w:p>
      <w:pPr>
        <w:ind w:left="1300" w:right="340" w:firstLine="653"/>
        <w:spacing w:after="0" w:line="286" w:lineRule="auto"/>
        <w:tabs>
          <w:tab w:leader="none" w:pos="2643" w:val="left"/>
        </w:tabs>
        <w:numPr>
          <w:ilvl w:val="0"/>
          <w:numId w:val="224"/>
        </w:numPr>
        <w:rPr>
          <w:rFonts w:ascii="Arial" w:cs="Arial" w:eastAsia="Arial" w:hAnsi="Arial"/>
          <w:sz w:val="17"/>
          <w:szCs w:val="17"/>
          <w:color w:val="010000"/>
        </w:rPr>
      </w:pPr>
      <w:r>
        <w:rPr>
          <w:rFonts w:ascii="Arial" w:cs="Arial" w:eastAsia="Arial" w:hAnsi="Arial"/>
          <w:sz w:val="17"/>
          <w:szCs w:val="17"/>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165" w:lineRule="exact"/>
        <w:rPr>
          <w:rFonts w:ascii="Arial" w:cs="Arial" w:eastAsia="Arial" w:hAnsi="Arial"/>
          <w:sz w:val="17"/>
          <w:szCs w:val="17"/>
          <w:color w:val="010000"/>
        </w:rPr>
      </w:pPr>
    </w:p>
    <w:p>
      <w:pPr>
        <w:jc w:val="both"/>
        <w:ind w:left="1300" w:right="240" w:firstLine="653"/>
        <w:spacing w:after="0" w:line="264" w:lineRule="auto"/>
        <w:tabs>
          <w:tab w:leader="none" w:pos="2653" w:val="left"/>
        </w:tabs>
        <w:numPr>
          <w:ilvl w:val="0"/>
          <w:numId w:val="224"/>
        </w:numPr>
        <w:rPr>
          <w:rFonts w:ascii="Arial" w:cs="Arial" w:eastAsia="Arial" w:hAnsi="Arial"/>
          <w:sz w:val="18"/>
          <w:szCs w:val="18"/>
          <w:color w:val="010000"/>
        </w:rPr>
      </w:pPr>
      <w:r>
        <w:rPr>
          <w:rFonts w:ascii="Arial" w:cs="Arial" w:eastAsia="Arial" w:hAnsi="Arial"/>
          <w:sz w:val="18"/>
          <w:szCs w:val="18"/>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7" w:name="page178"/>
    <w:bookmarkEnd w:id="177"/>
    <w:p>
      <w:pPr>
        <w:ind w:left="2640" w:hanging="687"/>
        <w:spacing w:after="0"/>
        <w:tabs>
          <w:tab w:leader="none" w:pos="2640" w:val="left"/>
        </w:tabs>
        <w:numPr>
          <w:ilvl w:val="1"/>
          <w:numId w:val="225"/>
        </w:numPr>
        <w:rPr>
          <w:rFonts w:ascii="Arial" w:cs="Arial" w:eastAsia="Arial" w:hAnsi="Arial"/>
          <w:sz w:val="16"/>
          <w:szCs w:val="16"/>
          <w:color w:val="010000"/>
        </w:rPr>
      </w:pPr>
      <w:r>
        <w:rPr>
          <w:rFonts w:ascii="Arial" w:cs="Arial" w:eastAsia="Arial" w:hAnsi="Arial"/>
          <w:sz w:val="16"/>
          <w:szCs w:val="16"/>
          <w:color w:val="auto"/>
        </w:rPr>
        <w:t>in the case of a Subsidiary Guarantor, the proper designation of such Subsidiary Guarantor as an Unrestricted Subsidiary;</w:t>
      </w:r>
    </w:p>
    <w:p>
      <w:pPr>
        <w:spacing w:after="0" w:line="248" w:lineRule="exact"/>
        <w:rPr>
          <w:rFonts w:ascii="Arial" w:cs="Arial" w:eastAsia="Arial" w:hAnsi="Arial"/>
          <w:sz w:val="16"/>
          <w:szCs w:val="16"/>
          <w:color w:val="010000"/>
        </w:rPr>
      </w:pPr>
    </w:p>
    <w:p>
      <w:pPr>
        <w:ind w:left="1300" w:right="160" w:firstLine="653"/>
        <w:spacing w:after="0" w:line="277" w:lineRule="auto"/>
        <w:tabs>
          <w:tab w:leader="none" w:pos="2653" w:val="left"/>
        </w:tabs>
        <w:numPr>
          <w:ilvl w:val="1"/>
          <w:numId w:val="225"/>
        </w:numPr>
        <w:rPr>
          <w:rFonts w:ascii="Arial" w:cs="Arial" w:eastAsia="Arial" w:hAnsi="Arial"/>
          <w:sz w:val="18"/>
          <w:szCs w:val="18"/>
          <w:color w:val="010000"/>
        </w:rPr>
      </w:pPr>
      <w:r>
        <w:rPr>
          <w:rFonts w:ascii="Arial" w:cs="Arial" w:eastAsia="Arial" w:hAnsi="Arial"/>
          <w:sz w:val="18"/>
          <w:szCs w:val="18"/>
          <w:color w:val="auto"/>
        </w:rPr>
        <w:t xml:space="preserve">in the case of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 all Debt which required such Subsidiary Guarantor to guarantee the Notes pursuant to Section 1014 is no longer outstanding;</w:t>
      </w:r>
    </w:p>
    <w:p>
      <w:pPr>
        <w:spacing w:after="0" w:line="170" w:lineRule="exact"/>
        <w:rPr>
          <w:rFonts w:ascii="Arial" w:cs="Arial" w:eastAsia="Arial" w:hAnsi="Arial"/>
          <w:sz w:val="18"/>
          <w:szCs w:val="18"/>
          <w:color w:val="010000"/>
        </w:rPr>
      </w:pPr>
    </w:p>
    <w:p>
      <w:pPr>
        <w:ind w:left="2640" w:hanging="687"/>
        <w:spacing w:after="0"/>
        <w:tabs>
          <w:tab w:leader="none" w:pos="2640" w:val="left"/>
        </w:tabs>
        <w:numPr>
          <w:ilvl w:val="1"/>
          <w:numId w:val="225"/>
        </w:numPr>
        <w:rPr>
          <w:rFonts w:ascii="Arial" w:cs="Arial" w:eastAsia="Arial" w:hAnsi="Arial"/>
          <w:sz w:val="16"/>
          <w:szCs w:val="16"/>
          <w:color w:val="010000"/>
        </w:rPr>
      </w:pPr>
      <w:r>
        <w:rPr>
          <w:rFonts w:ascii="Arial" w:cs="Arial" w:eastAsia="Arial" w:hAnsi="Arial"/>
          <w:sz w:val="16"/>
          <w:szCs w:val="16"/>
          <w:color w:val="auto"/>
        </w:rPr>
        <w:t>Legal Defeasance or Covenant Defeasance or satisfaction and discharge of the Indenture as provided in Article Four; or</w:t>
      </w:r>
    </w:p>
    <w:p>
      <w:pPr>
        <w:spacing w:after="0" w:line="248" w:lineRule="exact"/>
        <w:rPr>
          <w:rFonts w:ascii="Arial" w:cs="Arial" w:eastAsia="Arial" w:hAnsi="Arial"/>
          <w:sz w:val="16"/>
          <w:szCs w:val="16"/>
          <w:color w:val="010000"/>
        </w:rPr>
      </w:pPr>
    </w:p>
    <w:p>
      <w:pPr>
        <w:ind w:left="2680" w:hanging="727"/>
        <w:spacing w:after="0"/>
        <w:tabs>
          <w:tab w:leader="none" w:pos="2680" w:val="left"/>
        </w:tabs>
        <w:numPr>
          <w:ilvl w:val="1"/>
          <w:numId w:val="225"/>
        </w:numPr>
        <w:rPr>
          <w:rFonts w:ascii="Arial" w:cs="Arial" w:eastAsia="Arial" w:hAnsi="Arial"/>
          <w:sz w:val="16"/>
          <w:szCs w:val="16"/>
          <w:color w:val="010000"/>
        </w:rPr>
      </w:pPr>
      <w:r>
        <w:rPr>
          <w:rFonts w:ascii="Arial" w:cs="Arial" w:eastAsia="Arial" w:hAnsi="Arial"/>
          <w:sz w:val="16"/>
          <w:szCs w:val="16"/>
          <w:color w:val="010000"/>
        </w:rPr>
        <w:t xml:space="preserve">liquidation and dissolution of such Guarantor, </w:t>
      </w:r>
      <w:r>
        <w:rPr>
          <w:rFonts w:ascii="Arial" w:cs="Arial" w:eastAsia="Arial" w:hAnsi="Arial"/>
          <w:sz w:val="16"/>
          <w:szCs w:val="16"/>
          <w:i w:val="1"/>
          <w:iCs w:val="1"/>
          <w:color w:val="010000"/>
        </w:rPr>
        <w:t>provided</w:t>
      </w:r>
      <w:r>
        <w:rPr>
          <w:rFonts w:ascii="Arial" w:cs="Arial" w:eastAsia="Arial" w:hAnsi="Arial"/>
          <w:sz w:val="16"/>
          <w:szCs w:val="16"/>
          <w:color w:val="010000"/>
        </w:rPr>
        <w:t xml:space="preserve"> no Default or Event of Default has occurred that is continuing;</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010000"/>
        </w:rPr>
        <w:t>and</w:t>
      </w:r>
    </w:p>
    <w:p>
      <w:pPr>
        <w:spacing w:after="0" w:line="210" w:lineRule="exact"/>
        <w:rPr>
          <w:rFonts w:ascii="Arial" w:cs="Arial" w:eastAsia="Arial" w:hAnsi="Arial"/>
          <w:sz w:val="16"/>
          <w:szCs w:val="16"/>
          <w:color w:val="010000"/>
        </w:rPr>
      </w:pPr>
    </w:p>
    <w:p>
      <w:pPr>
        <w:ind w:left="660" w:right="200" w:firstLine="645"/>
        <w:spacing w:after="0" w:line="264" w:lineRule="auto"/>
        <w:tabs>
          <w:tab w:leader="none" w:pos="2013"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the Issuer delivering to the Trustee an Officers’ Certificate and an Opinion of Counsel to the effect that all conditions precedent provided for in this Section 1404 relating to the release of such Guarantor’s Guarantee and its other obligations under the Indenture have been complied with.</w:t>
      </w:r>
    </w:p>
    <w:p>
      <w:pPr>
        <w:spacing w:after="0" w:line="181" w:lineRule="exact"/>
        <w:rPr>
          <w:sz w:val="20"/>
          <w:szCs w:val="20"/>
          <w:color w:val="auto"/>
        </w:rPr>
      </w:pPr>
    </w:p>
    <w:p>
      <w:pPr>
        <w:ind w:right="20" w:firstLine="1305"/>
        <w:spacing w:after="0" w:line="264" w:lineRule="auto"/>
        <w:tabs>
          <w:tab w:leader="none" w:pos="20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181" w:lineRule="exact"/>
        <w:rPr>
          <w:rFonts w:ascii="Arial" w:cs="Arial" w:eastAsia="Arial" w:hAnsi="Arial"/>
          <w:sz w:val="18"/>
          <w:szCs w:val="18"/>
          <w:color w:val="auto"/>
        </w:rPr>
      </w:pPr>
    </w:p>
    <w:p>
      <w:pPr>
        <w:ind w:right="140" w:firstLine="1305"/>
        <w:spacing w:after="0" w:line="308" w:lineRule="auto"/>
        <w:tabs>
          <w:tab w:leader="none" w:pos="199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Any Guarantor not released in accordance with the provisions of the Indenture will remain liable for the full amount of principal of (and premium, if any, on) and interest on the Notes as provided in this Article Fourteen, subject to the limitations of Section 1403.</w:t>
      </w:r>
    </w:p>
    <w:p>
      <w:pPr>
        <w:spacing w:after="0" w:line="14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1405.</w:t>
      </w:r>
      <w:r>
        <w:rPr>
          <w:sz w:val="20"/>
          <w:szCs w:val="20"/>
          <w:color w:val="auto"/>
        </w:rPr>
        <w:tab/>
      </w:r>
      <w:r>
        <w:rPr>
          <w:rFonts w:ascii="Arial" w:cs="Arial" w:eastAsia="Arial" w:hAnsi="Arial"/>
          <w:sz w:val="16"/>
          <w:szCs w:val="16"/>
          <w:u w:val="single" w:color="auto"/>
          <w:color w:val="auto"/>
        </w:rPr>
        <w:t>Guarantor Contribution</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(if any) in a pro rata amount based on the respective net assets (as determined at such time in accordance with GAAP) of all of the Guarantors (including the Funding Guarantor) for all payments, damages and expenses incurred by that Funding Guarantor in discharging the Indenture Obligations or any other Guarantor’s obligations with respect to its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128905</wp:posOffset>
            </wp:positionV>
            <wp:extent cx="18097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Trustee hereby accepts the trusts in the Indenture upon the terms and conditions herein set forth.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the Indenture to be duly executed as of the day and year first above written.</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Mohammed Dadhiwala</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Christine M. Morrison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Stuart Fraser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EUTSCHE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MERICAS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Bridgette Casanovas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Bridgette Casanovas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Annie Jaghatspanyan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DVANTAGE</w:t>
      </w:r>
      <w:r>
        <w:rPr>
          <w:rFonts w:ascii="Arial" w:cs="Arial" w:eastAsia="Arial" w:hAnsi="Arial"/>
          <w:sz w:val="18"/>
          <w:szCs w:val="18"/>
          <w:color w:val="auto"/>
        </w:rPr>
        <w:t xml:space="preserve"> R&amp;D,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ENMORE</w:t>
      </w:r>
      <w:r>
        <w:rPr>
          <w:rFonts w:ascii="Arial" w:cs="Arial" w:eastAsia="Arial" w:hAnsi="Arial"/>
          <w:sz w:val="18"/>
          <w:szCs w:val="18"/>
          <w:color w:val="auto"/>
        </w:rPr>
        <w:t xml:space="preserve"> I</w:t>
      </w:r>
      <w:r>
        <w:rPr>
          <w:rFonts w:ascii="Arial" w:cs="Arial" w:eastAsia="Arial" w:hAnsi="Arial"/>
          <w:sz w:val="12"/>
          <w:szCs w:val="12"/>
          <w:color w:val="auto"/>
        </w:rPr>
        <w:t>N</w:t>
      </w:r>
      <w:r>
        <w:rPr>
          <w:rFonts w:ascii="Arial" w:cs="Arial" w:eastAsia="Arial" w:hAnsi="Arial"/>
          <w:sz w:val="18"/>
          <w:szCs w:val="18"/>
          <w:color w:val="auto"/>
        </w:rPr>
        <w:t>-D</w:t>
      </w:r>
      <w:r>
        <w:rPr>
          <w:rFonts w:ascii="Arial" w:cs="Arial" w:eastAsia="Arial" w:hAnsi="Arial"/>
          <w:sz w:val="12"/>
          <w:szCs w:val="12"/>
          <w:color w:val="auto"/>
        </w:rPr>
        <w:t>EPTH</w:t>
      </w:r>
      <w:r>
        <w:rPr>
          <w:rFonts w:ascii="Arial" w:cs="Arial" w:eastAsia="Arial" w:hAnsi="Arial"/>
          <w:sz w:val="18"/>
          <w:szCs w:val="18"/>
          <w:color w:val="auto"/>
        </w:rPr>
        <w:t xml:space="preserve"> C</w:t>
      </w:r>
      <w:r>
        <w:rPr>
          <w:rFonts w:ascii="Arial" w:cs="Arial" w:eastAsia="Arial" w:hAnsi="Arial"/>
          <w:sz w:val="12"/>
          <w:szCs w:val="12"/>
          <w:color w:val="auto"/>
        </w:rPr>
        <w:t>ORP</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ASE</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OLOMBIA</w:t>
      </w:r>
      <w:r>
        <w:rPr>
          <w:rFonts w:ascii="Arial" w:cs="Arial" w:eastAsia="Arial" w:hAnsi="Arial"/>
          <w:sz w:val="18"/>
          <w:szCs w:val="18"/>
          <w:color w:val="auto"/>
        </w:rPr>
        <w:t xml:space="preserve"> P</w:t>
      </w:r>
      <w:r>
        <w:rPr>
          <w:rFonts w:ascii="Arial" w:cs="Arial" w:eastAsia="Arial" w:hAnsi="Arial"/>
          <w:sz w:val="12"/>
          <w:szCs w:val="12"/>
          <w:color w:val="auto"/>
        </w:rPr>
        <w:t>ETROLEUM</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C</w:t>
      </w:r>
      <w:r>
        <w:rPr>
          <w:rFonts w:ascii="Arial" w:cs="Arial" w:eastAsia="Arial" w:hAnsi="Arial"/>
          <w:sz w:val="12"/>
          <w:szCs w:val="12"/>
          <w:color w:val="auto"/>
        </w:rPr>
        <w:t>ORP</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OLUMBIA</w:t>
      </w:r>
      <w:r>
        <w:rPr>
          <w:rFonts w:ascii="Arial" w:cs="Arial" w:eastAsia="Arial" w:hAnsi="Arial"/>
          <w:sz w:val="18"/>
          <w:szCs w:val="18"/>
          <w:color w:val="auto"/>
        </w:rPr>
        <w:t xml:space="preserve"> O</w:t>
      </w:r>
      <w:r>
        <w:rPr>
          <w:rFonts w:ascii="Arial" w:cs="Arial" w:eastAsia="Arial" w:hAnsi="Arial"/>
          <w:sz w:val="12"/>
          <w:szCs w:val="12"/>
          <w:color w:val="auto"/>
        </w:rPr>
        <w:t>ILFIELD SUPPLY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ATALOG</w:t>
      </w:r>
      <w:r>
        <w:rPr>
          <w:rFonts w:ascii="Arial" w:cs="Arial" w:eastAsia="Arial" w:hAnsi="Arial"/>
          <w:sz w:val="18"/>
          <w:szCs w:val="18"/>
          <w:color w:val="auto"/>
        </w:rPr>
        <w:t xml:space="preserve"> A</w:t>
      </w:r>
      <w:r>
        <w:rPr>
          <w:rFonts w:ascii="Arial" w:cs="Arial" w:eastAsia="Arial" w:hAnsi="Arial"/>
          <w:sz w:val="12"/>
          <w:szCs w:val="12"/>
          <w:color w:val="auto"/>
        </w:rPr>
        <w:t>CQUISITION</w:t>
      </w:r>
      <w:r>
        <w:rPr>
          <w:rFonts w:ascii="Arial" w:cs="Arial" w:eastAsia="Arial" w:hAnsi="Arial"/>
          <w:sz w:val="18"/>
          <w:szCs w:val="18"/>
          <w:color w:val="auto"/>
        </w:rPr>
        <w:t>, LLC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ISCOVERY</w:t>
      </w:r>
      <w:r>
        <w:rPr>
          <w:rFonts w:ascii="Arial" w:cs="Arial" w:eastAsia="Arial" w:hAnsi="Arial"/>
          <w:sz w:val="18"/>
          <w:szCs w:val="18"/>
          <w:color w:val="auto"/>
        </w:rPr>
        <w:t xml:space="preserve"> L</w:t>
      </w:r>
      <w:r>
        <w:rPr>
          <w:rFonts w:ascii="Arial" w:cs="Arial" w:eastAsia="Arial" w:hAnsi="Arial"/>
          <w:sz w:val="12"/>
          <w:szCs w:val="12"/>
          <w:color w:val="auto"/>
        </w:rPr>
        <w:t>OGGING</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DINBURGH</w:t>
      </w:r>
      <w:r>
        <w:rPr>
          <w:rFonts w:ascii="Arial" w:cs="Arial" w:eastAsia="Arial" w:hAnsi="Arial"/>
          <w:sz w:val="18"/>
          <w:szCs w:val="18"/>
          <w:color w:val="auto"/>
        </w:rPr>
        <w:t xml:space="preserve"> P</w:t>
      </w:r>
      <w:r>
        <w:rPr>
          <w:rFonts w:ascii="Arial" w:cs="Arial" w:eastAsia="Arial" w:hAnsi="Arial"/>
          <w:sz w:val="12"/>
          <w:szCs w:val="12"/>
          <w:color w:val="auto"/>
        </w:rPr>
        <w:t>ETROLEUM</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A</w:t>
      </w:r>
      <w:r>
        <w:rPr>
          <w:rFonts w:ascii="Arial" w:cs="Arial" w:eastAsia="Arial" w:hAnsi="Arial"/>
          <w:sz w:val="12"/>
          <w:szCs w:val="12"/>
          <w:color w:val="auto"/>
        </w:rPr>
        <w:t>MERICAS</w:t>
      </w:r>
      <w:r>
        <w:rPr>
          <w:rFonts w:ascii="Arial" w:cs="Arial" w:eastAsia="Arial" w:hAnsi="Arial"/>
          <w:sz w:val="18"/>
          <w:szCs w:val="18"/>
          <w:color w:val="auto"/>
        </w:rPr>
        <w:t xml:space="preserve"> I</w:t>
      </w:r>
      <w:r>
        <w:rPr>
          <w:rFonts w:ascii="Arial" w:cs="Arial" w:eastAsia="Arial" w:hAnsi="Arial"/>
          <w:sz w:val="12"/>
          <w:szCs w:val="12"/>
          <w:color w:val="auto"/>
        </w:rPr>
        <w:t>NCORPORATED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2"/>
          <w:szCs w:val="12"/>
          <w:color w:val="auto"/>
        </w:rPr>
        <w:t>E</w:t>
      </w:r>
      <w:r>
        <w:rPr>
          <w:rFonts w:ascii="Arial" w:cs="Arial" w:eastAsia="Arial" w:hAnsi="Arial"/>
          <w:sz w:val="18"/>
          <w:szCs w:val="18"/>
          <w:color w:val="auto"/>
        </w:rPr>
        <w:t>P</w:t>
      </w:r>
      <w:r>
        <w:rPr>
          <w:rFonts w:ascii="Arial" w:cs="Arial" w:eastAsia="Arial" w:hAnsi="Arial"/>
          <w:sz w:val="12"/>
          <w:szCs w:val="12"/>
          <w:color w:val="auto"/>
        </w:rPr>
        <w:t xml:space="preserve">RODUCTION </w:t>
      </w:r>
      <w:r>
        <w:rPr>
          <w:rFonts w:ascii="Arial" w:cs="Arial" w:eastAsia="Arial" w:hAnsi="Arial"/>
          <w:sz w:val="18"/>
          <w:szCs w:val="18"/>
          <w:color w:val="auto"/>
        </w:rPr>
        <w:t>S</w:t>
      </w:r>
      <w:r>
        <w:rPr>
          <w:rFonts w:ascii="Arial" w:cs="Arial" w:eastAsia="Arial" w:hAnsi="Arial"/>
          <w:sz w:val="12"/>
          <w:szCs w:val="12"/>
          <w:color w:val="auto"/>
        </w:rPr>
        <w:t>OLUTIONS</w:t>
      </w:r>
      <w:r>
        <w:rPr>
          <w:rFonts w:ascii="Arial" w:cs="Arial" w:eastAsia="Arial" w:hAnsi="Arial"/>
          <w:sz w:val="18"/>
          <w:szCs w:val="18"/>
          <w:color w:val="auto"/>
        </w:rPr>
        <w:t>, LLC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IGH</w:t>
      </w:r>
      <w:r>
        <w:rPr>
          <w:rFonts w:ascii="Arial" w:cs="Arial" w:eastAsia="Arial" w:hAnsi="Arial"/>
          <w:sz w:val="18"/>
          <w:szCs w:val="18"/>
          <w:color w:val="auto"/>
        </w:rPr>
        <w:t xml:space="preserve"> P</w:t>
      </w:r>
      <w:r>
        <w:rPr>
          <w:rFonts w:ascii="Arial" w:cs="Arial" w:eastAsia="Arial" w:hAnsi="Arial"/>
          <w:sz w:val="12"/>
          <w:szCs w:val="12"/>
          <w:color w:val="auto"/>
        </w:rPr>
        <w:t>RESSURE</w:t>
      </w:r>
      <w:r>
        <w:rPr>
          <w:rFonts w:ascii="Arial" w:cs="Arial" w:eastAsia="Arial" w:hAnsi="Arial"/>
          <w:sz w:val="18"/>
          <w:szCs w:val="18"/>
          <w:color w:val="auto"/>
        </w:rPr>
        <w:t xml:space="preserve"> I</w:t>
      </w:r>
      <w:r>
        <w:rPr>
          <w:rFonts w:ascii="Arial" w:cs="Arial" w:eastAsia="Arial" w:hAnsi="Arial"/>
          <w:sz w:val="12"/>
          <w:szCs w:val="12"/>
          <w:color w:val="auto"/>
        </w:rPr>
        <w:t>NTEGRITY</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-D</w:t>
      </w:r>
      <w:r>
        <w:rPr>
          <w:rFonts w:ascii="Arial" w:cs="Arial" w:eastAsia="Arial" w:hAnsi="Arial"/>
          <w:sz w:val="12"/>
          <w:szCs w:val="12"/>
          <w:color w:val="auto"/>
        </w:rPr>
        <w:t>EPTH</w:t>
      </w:r>
      <w:r>
        <w:rPr>
          <w:rFonts w:ascii="Arial" w:cs="Arial" w:eastAsia="Arial" w:hAnsi="Arial"/>
          <w:sz w:val="18"/>
          <w:szCs w:val="18"/>
          <w:color w:val="auto"/>
        </w:rPr>
        <w:t xml:space="preserve"> S</w:t>
      </w:r>
      <w:r>
        <w:rPr>
          <w:rFonts w:ascii="Arial" w:cs="Arial" w:eastAsia="Arial" w:hAnsi="Arial"/>
          <w:sz w:val="12"/>
          <w:szCs w:val="12"/>
          <w:color w:val="auto"/>
        </w:rPr>
        <w:t>YSTEMS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OGGING</w:t>
      </w:r>
      <w:r>
        <w:rPr>
          <w:rFonts w:ascii="Arial" w:cs="Arial" w:eastAsia="Arial" w:hAnsi="Arial"/>
          <w:sz w:val="18"/>
          <w:szCs w:val="18"/>
          <w:color w:val="auto"/>
        </w:rPr>
        <w:t xml:space="preserve"> LLC</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80"/>
          </w:cols>
          <w:pgMar w:left="900" w:top="905" w:right="1219" w:bottom="1440" w:gutter="0" w:footer="0" w:header="0"/>
        </w:sectPr>
      </w:pPr>
    </w:p>
    <w:bookmarkStart w:id="179" w:name="page180"/>
    <w:bookmarkEnd w:id="179"/>
    <w:p>
      <w:pPr>
        <w:ind w:left="452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OGGING</w:t>
      </w:r>
      <w:r>
        <w:rPr>
          <w:rFonts w:ascii="Arial" w:cs="Arial" w:eastAsia="Arial" w:hAnsi="Arial"/>
          <w:sz w:val="18"/>
          <w:szCs w:val="18"/>
          <w:color w:val="auto"/>
        </w:rPr>
        <w:t xml:space="preserve"> S.A.,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PD H</w:t>
      </w:r>
      <w:r>
        <w:rPr>
          <w:rFonts w:ascii="Arial" w:cs="Arial" w:eastAsia="Arial" w:hAnsi="Arial"/>
          <w:sz w:val="12"/>
          <w:szCs w:val="12"/>
          <w:color w:val="auto"/>
        </w:rPr>
        <w:t>OLDINGS</w:t>
      </w:r>
      <w:r>
        <w:rPr>
          <w:rFonts w:ascii="Arial" w:cs="Arial" w:eastAsia="Arial" w:hAnsi="Arial"/>
          <w:sz w:val="18"/>
          <w:szCs w:val="18"/>
          <w:color w:val="auto"/>
        </w:rPr>
        <w:t xml:space="preserve"> (USA),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RECISION</w:t>
      </w:r>
      <w:r>
        <w:rPr>
          <w:rFonts w:ascii="Arial" w:cs="Arial" w:eastAsia="Arial" w:hAnsi="Arial"/>
          <w:sz w:val="18"/>
          <w:szCs w:val="18"/>
          <w:color w:val="auto"/>
        </w:rPr>
        <w:t xml:space="preserve"> D</w:t>
      </w:r>
      <w:r>
        <w:rPr>
          <w:rFonts w:ascii="Arial" w:cs="Arial" w:eastAsia="Arial" w:hAnsi="Arial"/>
          <w:sz w:val="12"/>
          <w:szCs w:val="12"/>
          <w:color w:val="auto"/>
        </w:rPr>
        <w:t>RILLING</w:t>
      </w:r>
      <w:r>
        <w:rPr>
          <w:rFonts w:ascii="Arial" w:cs="Arial" w:eastAsia="Arial" w:hAnsi="Arial"/>
          <w:sz w:val="18"/>
          <w:szCs w:val="18"/>
          <w:color w:val="auto"/>
        </w:rPr>
        <w:t xml:space="preserve"> GP,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RECISION</w:t>
      </w:r>
      <w:r>
        <w:rPr>
          <w:rFonts w:ascii="Arial" w:cs="Arial" w:eastAsia="Arial" w:hAnsi="Arial"/>
          <w:sz w:val="18"/>
          <w:szCs w:val="18"/>
          <w:color w:val="auto"/>
        </w:rPr>
        <w:t xml:space="preserve"> E</w:t>
      </w:r>
      <w:r>
        <w:rPr>
          <w:rFonts w:ascii="Arial" w:cs="Arial" w:eastAsia="Arial" w:hAnsi="Arial"/>
          <w:sz w:val="12"/>
          <w:szCs w:val="12"/>
          <w:color w:val="auto"/>
        </w:rPr>
        <w:t>NERGY</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RECISION</w:t>
      </w:r>
      <w:r>
        <w:rPr>
          <w:rFonts w:ascii="Arial" w:cs="Arial" w:eastAsia="Arial" w:hAnsi="Arial"/>
          <w:sz w:val="18"/>
          <w:szCs w:val="18"/>
          <w:color w:val="auto"/>
        </w:rPr>
        <w:t xml:space="preserve"> O</w:t>
      </w:r>
      <w:r>
        <w:rPr>
          <w:rFonts w:ascii="Arial" w:cs="Arial" w:eastAsia="Arial" w:hAnsi="Arial"/>
          <w:sz w:val="12"/>
          <w:szCs w:val="12"/>
          <w:color w:val="auto"/>
        </w:rPr>
        <w:t>ILFIELD</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LLP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TEALTH</w:t>
      </w:r>
      <w:r>
        <w:rPr>
          <w:rFonts w:ascii="Arial" w:cs="Arial" w:eastAsia="Arial" w:hAnsi="Arial"/>
          <w:sz w:val="18"/>
          <w:szCs w:val="18"/>
          <w:color w:val="auto"/>
        </w:rPr>
        <w:t xml:space="preserve"> O</w:t>
      </w:r>
      <w:r>
        <w:rPr>
          <w:rFonts w:ascii="Arial" w:cs="Arial" w:eastAsia="Arial" w:hAnsi="Arial"/>
          <w:sz w:val="12"/>
          <w:szCs w:val="12"/>
          <w:color w:val="auto"/>
        </w:rPr>
        <w:t>IL</w:t>
      </w:r>
      <w:r>
        <w:rPr>
          <w:rFonts w:ascii="Arial" w:cs="Arial" w:eastAsia="Arial" w:hAnsi="Arial"/>
          <w:sz w:val="18"/>
          <w:szCs w:val="18"/>
          <w:color w:val="auto"/>
        </w:rPr>
        <w:t xml:space="preserve"> &amp; G</w:t>
      </w:r>
      <w:r>
        <w:rPr>
          <w:rFonts w:ascii="Arial" w:cs="Arial" w:eastAsia="Arial" w:hAnsi="Arial"/>
          <w:sz w:val="12"/>
          <w:szCs w:val="12"/>
          <w:color w:val="auto"/>
        </w:rPr>
        <w:t>AS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OOKE</w:t>
      </w:r>
      <w:r>
        <w:rPr>
          <w:rFonts w:ascii="Arial" w:cs="Arial" w:eastAsia="Arial" w:hAnsi="Arial"/>
          <w:sz w:val="18"/>
          <w:szCs w:val="18"/>
          <w:color w:val="auto"/>
        </w:rPr>
        <w:t xml:space="preserve"> R</w:t>
      </w:r>
      <w:r>
        <w:rPr>
          <w:rFonts w:ascii="Arial" w:cs="Arial" w:eastAsia="Arial" w:hAnsi="Arial"/>
          <w:sz w:val="12"/>
          <w:szCs w:val="12"/>
          <w:color w:val="auto"/>
        </w:rPr>
        <w:t>OCKIES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ISEAN</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ISUAL</w:t>
      </w:r>
      <w:r>
        <w:rPr>
          <w:rFonts w:ascii="Arial" w:cs="Arial" w:eastAsia="Arial" w:hAnsi="Arial"/>
          <w:sz w:val="18"/>
          <w:szCs w:val="18"/>
          <w:color w:val="auto"/>
        </w:rPr>
        <w:t xml:space="preserve"> S</w:t>
      </w:r>
      <w:r>
        <w:rPr>
          <w:rFonts w:ascii="Arial" w:cs="Arial" w:eastAsia="Arial" w:hAnsi="Arial"/>
          <w:sz w:val="12"/>
          <w:szCs w:val="12"/>
          <w:color w:val="auto"/>
        </w:rPr>
        <w:t>YSTEMS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ARRIOR</w:t>
      </w:r>
      <w:r>
        <w:rPr>
          <w:rFonts w:ascii="Arial" w:cs="Arial" w:eastAsia="Arial" w:hAnsi="Arial"/>
          <w:sz w:val="18"/>
          <w:szCs w:val="18"/>
          <w:color w:val="auto"/>
        </w:rPr>
        <w:t xml:space="preserve"> W</w:t>
      </w:r>
      <w:r>
        <w:rPr>
          <w:rFonts w:ascii="Arial" w:cs="Arial" w:eastAsia="Arial" w:hAnsi="Arial"/>
          <w:sz w:val="12"/>
          <w:szCs w:val="12"/>
          <w:color w:val="auto"/>
        </w:rPr>
        <w:t>ELL</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(PTWI),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A</w:t>
      </w:r>
      <w:r>
        <w:rPr>
          <w:rFonts w:ascii="Arial" w:cs="Arial" w:eastAsia="Arial" w:hAnsi="Arial"/>
          <w:sz w:val="12"/>
          <w:szCs w:val="12"/>
          <w:color w:val="auto"/>
        </w:rPr>
        <w:t>RTIFICIAL</w:t>
      </w:r>
      <w:r>
        <w:rPr>
          <w:rFonts w:ascii="Arial" w:cs="Arial" w:eastAsia="Arial" w:hAnsi="Arial"/>
          <w:sz w:val="18"/>
          <w:szCs w:val="18"/>
          <w:color w:val="auto"/>
        </w:rPr>
        <w:t xml:space="preserve"> L</w:t>
      </w:r>
      <w:r>
        <w:rPr>
          <w:rFonts w:ascii="Arial" w:cs="Arial" w:eastAsia="Arial" w:hAnsi="Arial"/>
          <w:sz w:val="12"/>
          <w:szCs w:val="12"/>
          <w:color w:val="auto"/>
        </w:rPr>
        <w:t>IFT</w:t>
      </w:r>
      <w:r>
        <w:rPr>
          <w:rFonts w:ascii="Arial" w:cs="Arial" w:eastAsia="Arial" w:hAnsi="Arial"/>
          <w:sz w:val="18"/>
          <w:szCs w:val="18"/>
          <w:color w:val="auto"/>
        </w:rPr>
        <w:t xml:space="preserve"> S</w:t>
      </w:r>
      <w:r>
        <w:rPr>
          <w:rFonts w:ascii="Arial" w:cs="Arial" w:eastAsia="Arial" w:hAnsi="Arial"/>
          <w:sz w:val="12"/>
          <w:szCs w:val="12"/>
          <w:color w:val="auto"/>
        </w:rPr>
        <w:t>YSTEMS</w:t>
      </w:r>
      <w:r>
        <w:rPr>
          <w:rFonts w:ascii="Arial" w:cs="Arial" w:eastAsia="Arial" w:hAnsi="Arial"/>
          <w:sz w:val="18"/>
          <w:szCs w:val="18"/>
          <w:color w:val="auto"/>
        </w:rPr>
        <w: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DISC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NVESTMENT</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L</w:t>
      </w:r>
      <w:r>
        <w:rPr>
          <w:rFonts w:ascii="Arial" w:cs="Arial" w:eastAsia="Arial" w:hAnsi="Arial"/>
          <w:sz w:val="12"/>
          <w:szCs w:val="12"/>
          <w:color w:val="auto"/>
        </w:rPr>
        <w:t>ATIN</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xml:space="preserv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U.S.,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URS H</w:t>
      </w:r>
      <w:r>
        <w:rPr>
          <w:rFonts w:ascii="Arial" w:cs="Arial" w:eastAsia="Arial" w:hAnsi="Arial"/>
          <w:sz w:val="12"/>
          <w:szCs w:val="12"/>
          <w:color w:val="auto"/>
        </w:rPr>
        <w:t>OLDINGS</w:t>
      </w:r>
      <w:r>
        <w:rPr>
          <w:rFonts w:ascii="Arial" w:cs="Arial" w:eastAsia="Arial" w:hAnsi="Arial"/>
          <w:sz w:val="18"/>
          <w:szCs w:val="18"/>
          <w:color w:val="auto"/>
        </w:rPr>
        <w: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/L</w:t>
      </w:r>
      <w:r>
        <w:rPr>
          <w:rFonts w:ascii="Arial" w:cs="Arial" w:eastAsia="Arial" w:hAnsi="Arial"/>
          <w:sz w:val="12"/>
          <w:szCs w:val="12"/>
          <w:color w:val="auto"/>
        </w:rPr>
        <w:t>AMB</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w:t>
      </w:r>
      <w:r>
        <w:rPr>
          <w:rFonts w:ascii="Arial" w:cs="Arial" w:eastAsia="Arial" w:hAnsi="Arial"/>
          <w:sz w:val="12"/>
          <w:szCs w:val="12"/>
          <w:color w:val="auto"/>
        </w:rPr>
        <w:t>OLDING</w:t>
      </w:r>
      <w:r>
        <w:rPr>
          <w:rFonts w:ascii="Arial" w:cs="Arial" w:eastAsia="Arial" w:hAnsi="Arial"/>
          <w:sz w:val="18"/>
          <w:szCs w:val="18"/>
          <w:color w:val="auto"/>
        </w:rPr>
        <w: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WUS H</w:t>
      </w:r>
      <w:r>
        <w:rPr>
          <w:rFonts w:ascii="Arial" w:cs="Arial" w:eastAsia="Arial" w:hAnsi="Arial"/>
          <w:sz w:val="12"/>
          <w:szCs w:val="12"/>
          <w:color w:val="auto"/>
        </w:rPr>
        <w:t>OLDING</w:t>
      </w:r>
      <w:r>
        <w:rPr>
          <w:rFonts w:ascii="Arial" w:cs="Arial" w:eastAsia="Arial" w:hAnsi="Arial"/>
          <w:sz w:val="18"/>
          <w:szCs w:val="18"/>
          <w:color w:val="auto"/>
        </w:rPr>
        <w:t>,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Christine M. Morrison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ABRE DRILLING</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B</w:t>
      </w:r>
      <w:r>
        <w:rPr>
          <w:rFonts w:ascii="Arial" w:cs="Arial" w:eastAsia="Arial" w:hAnsi="Arial"/>
          <w:sz w:val="12"/>
          <w:szCs w:val="12"/>
          <w:color w:val="auto"/>
        </w:rPr>
        <w:t>ERMUDA</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C</w:t>
      </w:r>
      <w:r>
        <w:rPr>
          <w:rFonts w:ascii="Arial" w:cs="Arial" w:eastAsia="Arial" w:hAnsi="Arial"/>
          <w:sz w:val="12"/>
          <w:szCs w:val="12"/>
          <w:color w:val="auto"/>
        </w:rPr>
        <w:t>OLOMBIA</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EATHERFORD</w:t>
      </w:r>
      <w:r>
        <w:rPr>
          <w:rFonts w:ascii="Arial" w:cs="Arial" w:eastAsia="Arial" w:hAnsi="Arial"/>
          <w:sz w:val="17"/>
          <w:szCs w:val="17"/>
          <w:color w:val="auto"/>
        </w:rPr>
        <w:t xml:space="preserve"> D</w:t>
      </w:r>
      <w:r>
        <w:rPr>
          <w:rFonts w:ascii="Arial" w:cs="Arial" w:eastAsia="Arial" w:hAnsi="Arial"/>
          <w:sz w:val="11"/>
          <w:szCs w:val="11"/>
          <w:color w:val="auto"/>
        </w:rPr>
        <w:t>RILLING</w:t>
      </w:r>
      <w:r>
        <w:rPr>
          <w:rFonts w:ascii="Arial" w:cs="Arial" w:eastAsia="Arial" w:hAnsi="Arial"/>
          <w:sz w:val="17"/>
          <w:szCs w:val="17"/>
          <w:color w:val="auto"/>
        </w:rPr>
        <w:t xml:space="preserve"> I</w:t>
      </w:r>
      <w:r>
        <w:rPr>
          <w:rFonts w:ascii="Arial" w:cs="Arial" w:eastAsia="Arial" w:hAnsi="Arial"/>
          <w:sz w:val="11"/>
          <w:szCs w:val="11"/>
          <w:color w:val="auto"/>
        </w:rPr>
        <w:t>NTERNATIONAL</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xml:space="preserve"> (BVI) L</w:t>
      </w:r>
      <w:r>
        <w:rPr>
          <w:rFonts w:ascii="Arial" w:cs="Arial" w:eastAsia="Arial" w:hAnsi="Arial"/>
          <w:sz w:val="11"/>
          <w:szCs w:val="11"/>
          <w:color w:val="auto"/>
        </w:rPr>
        <w:t>TD</w:t>
      </w:r>
      <w:r>
        <w:rPr>
          <w:rFonts w:ascii="Arial" w:cs="Arial" w:eastAsia="Arial" w:hAnsi="Arial"/>
          <w:sz w:val="17"/>
          <w:szCs w:val="17"/>
          <w:color w:val="auto"/>
        </w:rPr>
        <w: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(B</w:t>
      </w:r>
      <w:r>
        <w:rPr>
          <w:rFonts w:ascii="Arial" w:cs="Arial" w:eastAsia="Arial" w:hAnsi="Arial"/>
          <w:sz w:val="12"/>
          <w:szCs w:val="12"/>
          <w:color w:val="auto"/>
        </w:rPr>
        <w:t>ERMUDA</w:t>
      </w:r>
      <w:r>
        <w:rPr>
          <w:rFonts w:ascii="Arial" w:cs="Arial" w:eastAsia="Arial" w:hAnsi="Arial"/>
          <w:sz w:val="18"/>
          <w:szCs w:val="18"/>
          <w:color w:val="auto"/>
        </w:rPr>
        <w:t>) L</w:t>
      </w:r>
      <w:r>
        <w:rPr>
          <w:rFonts w:ascii="Arial" w:cs="Arial" w:eastAsia="Arial" w:hAnsi="Arial"/>
          <w:sz w:val="12"/>
          <w:szCs w:val="12"/>
          <w:color w:val="auto"/>
        </w:rPr>
        <w:t>TD</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H</w:t>
      </w:r>
      <w:r>
        <w:rPr>
          <w:rFonts w:ascii="Arial" w:cs="Arial" w:eastAsia="Arial" w:hAnsi="Arial"/>
          <w:sz w:val="12"/>
          <w:szCs w:val="12"/>
          <w:color w:val="auto"/>
        </w:rPr>
        <w:t>OLDING</w:t>
      </w:r>
      <w:r>
        <w:rPr>
          <w:rFonts w:ascii="Arial" w:cs="Arial" w:eastAsia="Arial" w:hAnsi="Arial"/>
          <w:sz w:val="18"/>
          <w:szCs w:val="18"/>
          <w:color w:val="auto"/>
        </w:rPr>
        <w:t xml:space="preserve"> (B</w:t>
      </w:r>
      <w:r>
        <w:rPr>
          <w:rFonts w:ascii="Arial" w:cs="Arial" w:eastAsia="Arial" w:hAnsi="Arial"/>
          <w:sz w:val="12"/>
          <w:szCs w:val="12"/>
          <w:color w:val="auto"/>
        </w:rPr>
        <w:t>ERMUDA</w:t>
      </w:r>
      <w:r>
        <w:rPr>
          <w:rFonts w:ascii="Arial" w:cs="Arial" w:eastAsia="Arial" w:hAnsi="Arial"/>
          <w:sz w:val="18"/>
          <w:szCs w:val="18"/>
          <w:color w:val="auto"/>
        </w:rPr>
        <w:t>) L</w:t>
      </w:r>
      <w:r>
        <w:rPr>
          <w:rFonts w:ascii="Arial" w:cs="Arial" w:eastAsia="Arial" w:hAnsi="Arial"/>
          <w:sz w:val="12"/>
          <w:szCs w:val="12"/>
          <w:color w:val="auto"/>
        </w:rPr>
        <w:t>TD</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P</w:t>
      </w:r>
      <w:r>
        <w:rPr>
          <w:rFonts w:ascii="Arial" w:cs="Arial" w:eastAsia="Arial" w:hAnsi="Arial"/>
          <w:sz w:val="12"/>
          <w:szCs w:val="12"/>
          <w:color w:val="auto"/>
        </w:rPr>
        <w:t>ANGAEA</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L</w:t>
      </w:r>
      <w:r>
        <w:rPr>
          <w:rFonts w:ascii="Arial" w:cs="Arial" w:eastAsia="Arial" w:hAnsi="Arial"/>
          <w:sz w:val="12"/>
          <w:szCs w:val="12"/>
          <w:color w:val="auto"/>
        </w:rPr>
        <w:t>TD</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w:t>
      </w:r>
      <w:r>
        <w:rPr>
          <w:rFonts w:ascii="Arial" w:cs="Arial" w:eastAsia="Arial" w:hAnsi="Arial"/>
          <w:sz w:val="12"/>
          <w:szCs w:val="12"/>
          <w:color w:val="auto"/>
        </w:rPr>
        <w:t>SSURANCE</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Mohammed Dadhiwala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0" w:name="page181"/>
    <w:bookmarkEnd w:id="180"/>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(BVI)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O</w:t>
      </w:r>
      <w:r>
        <w:rPr>
          <w:rFonts w:ascii="Arial" w:cs="Arial" w:eastAsia="Arial" w:hAnsi="Arial"/>
          <w:sz w:val="12"/>
          <w:szCs w:val="12"/>
          <w:color w:val="auto"/>
        </w:rPr>
        <w:t>IL</w:t>
      </w:r>
      <w:r>
        <w:rPr>
          <w:rFonts w:ascii="Arial" w:cs="Arial" w:eastAsia="Arial" w:hAnsi="Arial"/>
          <w:sz w:val="18"/>
          <w:szCs w:val="18"/>
          <w:color w:val="auto"/>
        </w:rPr>
        <w:t xml:space="preserve"> T</w:t>
      </w:r>
      <w:r>
        <w:rPr>
          <w:rFonts w:ascii="Arial" w:cs="Arial" w:eastAsia="Arial" w:hAnsi="Arial"/>
          <w:sz w:val="12"/>
          <w:szCs w:val="12"/>
          <w:color w:val="auto"/>
        </w:rPr>
        <w:t>OOL</w:t>
      </w:r>
      <w:r>
        <w:rPr>
          <w:rFonts w:ascii="Arial" w:cs="Arial" w:eastAsia="Arial" w:hAnsi="Arial"/>
          <w:sz w:val="18"/>
          <w:szCs w:val="18"/>
          <w:color w:val="auto"/>
        </w:rPr>
        <w:t xml:space="preserve"> M</w:t>
      </w:r>
      <w:r>
        <w:rPr>
          <w:rFonts w:ascii="Arial" w:cs="Arial" w:eastAsia="Arial" w:hAnsi="Arial"/>
          <w:sz w:val="12"/>
          <w:szCs w:val="12"/>
          <w:color w:val="auto"/>
        </w:rPr>
        <w:t>IDDLE</w:t>
      </w:r>
      <w:r>
        <w:rPr>
          <w:rFonts w:ascii="Arial" w:cs="Arial" w:eastAsia="Arial" w:hAnsi="Arial"/>
          <w:sz w:val="18"/>
          <w:szCs w:val="18"/>
          <w:color w:val="auto"/>
        </w:rPr>
        <w:t xml:space="preserve"> E</w:t>
      </w:r>
      <w:r>
        <w:rPr>
          <w:rFonts w:ascii="Arial" w:cs="Arial" w:eastAsia="Arial" w:hAnsi="Arial"/>
          <w:sz w:val="12"/>
          <w:szCs w:val="12"/>
          <w:color w:val="auto"/>
        </w:rPr>
        <w:t>AST</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Mohammed Dadhiwala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w:t>
      </w:r>
      <w:r>
        <w:rPr>
          <w:rFonts w:ascii="Arial" w:cs="Arial" w:eastAsia="Arial" w:hAnsi="Arial"/>
          <w:sz w:val="12"/>
          <w:szCs w:val="12"/>
          <w:color w:val="auto"/>
        </w:rPr>
        <w:t>EY</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D</w:t>
      </w:r>
      <w:r>
        <w:rPr>
          <w:rFonts w:ascii="Arial" w:cs="Arial" w:eastAsia="Arial" w:hAnsi="Arial"/>
          <w:sz w:val="12"/>
          <w:szCs w:val="12"/>
          <w:color w:val="auto"/>
        </w:rPr>
        <w:t>RILLING</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D</w:t>
      </w:r>
      <w:r>
        <w:rPr>
          <w:rFonts w:ascii="Arial" w:cs="Arial" w:eastAsia="Arial" w:hAnsi="Arial"/>
          <w:sz w:val="12"/>
          <w:szCs w:val="12"/>
          <w:color w:val="auto"/>
        </w:rPr>
        <w:t>RILLING</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(BVI) L</w:t>
      </w:r>
      <w:r>
        <w:rPr>
          <w:rFonts w:ascii="Arial" w:cs="Arial" w:eastAsia="Arial" w:hAnsi="Arial"/>
          <w:sz w:val="12"/>
          <w:szCs w:val="12"/>
          <w:color w:val="auto"/>
        </w:rPr>
        <w:t>TD</w:t>
      </w:r>
      <w:r>
        <w:rPr>
          <w:rFonts w:ascii="Arial" w:cs="Arial" w:eastAsia="Arial" w:hAnsi="Arial"/>
          <w:sz w:val="18"/>
          <w:szCs w:val="18"/>
          <w:color w:val="auto"/>
        </w:rPr>
        <w: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Andrew David Gold</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Andrew David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RECISION</w:t>
      </w:r>
      <w:r>
        <w:rPr>
          <w:rFonts w:ascii="Arial" w:cs="Arial" w:eastAsia="Arial" w:hAnsi="Arial"/>
          <w:sz w:val="18"/>
          <w:szCs w:val="18"/>
          <w:color w:val="auto"/>
        </w:rPr>
        <w:t xml:space="preserve"> E</w:t>
      </w:r>
      <w:r>
        <w:rPr>
          <w:rFonts w:ascii="Arial" w:cs="Arial" w:eastAsia="Arial" w:hAnsi="Arial"/>
          <w:sz w:val="12"/>
          <w:szCs w:val="12"/>
          <w:color w:val="auto"/>
        </w:rPr>
        <w:t>NERGY</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RECISION</w:t>
      </w:r>
      <w:r>
        <w:rPr>
          <w:rFonts w:ascii="Arial" w:cs="Arial" w:eastAsia="Arial" w:hAnsi="Arial"/>
          <w:sz w:val="18"/>
          <w:szCs w:val="18"/>
          <w:color w:val="auto"/>
        </w:rPr>
        <w:t xml:space="preserve"> E</w:t>
      </w:r>
      <w:r>
        <w:rPr>
          <w:rFonts w:ascii="Arial" w:cs="Arial" w:eastAsia="Arial" w:hAnsi="Arial"/>
          <w:sz w:val="12"/>
          <w:szCs w:val="12"/>
          <w:color w:val="auto"/>
        </w:rPr>
        <w:t>NERGY</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C</w:t>
      </w:r>
      <w:r>
        <w:rPr>
          <w:rFonts w:ascii="Arial" w:cs="Arial" w:eastAsia="Arial" w:hAnsi="Arial"/>
          <w:sz w:val="12"/>
          <w:szCs w:val="12"/>
          <w:color w:val="auto"/>
        </w:rPr>
        <w:t>OLOMBIA</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RECISION</w:t>
      </w:r>
      <w:r>
        <w:rPr>
          <w:rFonts w:ascii="Arial" w:cs="Arial" w:eastAsia="Arial" w:hAnsi="Arial"/>
          <w:sz w:val="18"/>
          <w:szCs w:val="18"/>
          <w:color w:val="auto"/>
        </w:rPr>
        <w:t xml:space="preserve"> E</w:t>
      </w:r>
      <w:r>
        <w:rPr>
          <w:rFonts w:ascii="Arial" w:cs="Arial" w:eastAsia="Arial" w:hAnsi="Arial"/>
          <w:sz w:val="12"/>
          <w:szCs w:val="12"/>
          <w:color w:val="auto"/>
        </w:rPr>
        <w:t>NERGY</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ULC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(N</w:t>
      </w:r>
      <w:r>
        <w:rPr>
          <w:rFonts w:ascii="Arial" w:cs="Arial" w:eastAsia="Arial" w:hAnsi="Arial"/>
          <w:sz w:val="12"/>
          <w:szCs w:val="12"/>
          <w:color w:val="auto"/>
        </w:rPr>
        <w:t>OVA</w:t>
      </w:r>
      <w:r>
        <w:rPr>
          <w:rFonts w:ascii="Arial" w:cs="Arial" w:eastAsia="Arial" w:hAnsi="Arial"/>
          <w:sz w:val="18"/>
          <w:szCs w:val="18"/>
          <w:color w:val="auto"/>
        </w:rPr>
        <w:t xml:space="preserve"> S</w:t>
      </w:r>
      <w:r>
        <w:rPr>
          <w:rFonts w:ascii="Arial" w:cs="Arial" w:eastAsia="Arial" w:hAnsi="Arial"/>
          <w:sz w:val="12"/>
          <w:szCs w:val="12"/>
          <w:color w:val="auto"/>
        </w:rPr>
        <w:t>COTIA</w:t>
      </w:r>
      <w:r>
        <w:rPr>
          <w:rFonts w:ascii="Arial" w:cs="Arial" w:eastAsia="Arial" w:hAnsi="Arial"/>
          <w:sz w:val="18"/>
          <w:szCs w:val="18"/>
          <w:color w:val="auto"/>
        </w:rPr>
        <w:t>) ULC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C</w:t>
      </w:r>
      <w:r>
        <w:rPr>
          <w:rFonts w:ascii="Arial" w:cs="Arial" w:eastAsia="Arial" w:hAnsi="Arial"/>
          <w:sz w:val="12"/>
          <w:szCs w:val="12"/>
          <w:color w:val="auto"/>
        </w:rPr>
        <w:t>ANADA</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Raymond Charles Smith</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Raymond Charles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(S</w:t>
      </w:r>
      <w:r>
        <w:rPr>
          <w:rFonts w:ascii="Arial" w:cs="Arial" w:eastAsia="Arial" w:hAnsi="Arial"/>
          <w:sz w:val="12"/>
          <w:szCs w:val="12"/>
          <w:color w:val="auto"/>
        </w:rPr>
        <w:t>WITZERLAND</w:t>
      </w:r>
      <w:r>
        <w:rPr>
          <w:rFonts w:ascii="Arial" w:cs="Arial" w:eastAsia="Arial" w:hAnsi="Arial"/>
          <w:sz w:val="18"/>
          <w:szCs w:val="18"/>
          <w:color w:val="auto"/>
        </w:rPr>
        <w:t>) G</w:t>
      </w:r>
      <w:r>
        <w:rPr>
          <w:rFonts w:ascii="Arial" w:cs="Arial" w:eastAsia="Arial" w:hAnsi="Arial"/>
          <w:sz w:val="12"/>
          <w:szCs w:val="12"/>
          <w:color w:val="auto"/>
        </w:rPr>
        <w:t>MB</w:t>
      </w:r>
      <w:r>
        <w:rPr>
          <w:rFonts w:ascii="Arial" w:cs="Arial" w:eastAsia="Arial" w:hAnsi="Arial"/>
          <w:sz w:val="18"/>
          <w:szCs w:val="18"/>
          <w:color w:val="auto"/>
        </w:rPr>
        <w:t>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S</w:t>
      </w:r>
      <w:r>
        <w:rPr>
          <w:rFonts w:ascii="Arial" w:cs="Arial" w:eastAsia="Arial" w:hAnsi="Arial"/>
          <w:sz w:val="12"/>
          <w:szCs w:val="12"/>
          <w:color w:val="auto"/>
        </w:rPr>
        <w:t>WITZERLAND</w:t>
      </w:r>
      <w:r>
        <w:rPr>
          <w:rFonts w:ascii="Arial" w:cs="Arial" w:eastAsia="Arial" w:hAnsi="Arial"/>
          <w:sz w:val="18"/>
          <w:szCs w:val="18"/>
          <w:color w:val="auto"/>
        </w:rPr>
        <w:t xml:space="preserve"> S</w:t>
      </w:r>
      <w:r>
        <w:rPr>
          <w:rFonts w:ascii="Arial" w:cs="Arial" w:eastAsia="Arial" w:hAnsi="Arial"/>
          <w:sz w:val="12"/>
          <w:szCs w:val="12"/>
          <w:color w:val="auto"/>
        </w:rPr>
        <w:t>ÀRL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Valentin Mueller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P</w:t>
      </w:r>
      <w:r>
        <w:rPr>
          <w:rFonts w:ascii="Arial" w:cs="Arial" w:eastAsia="Arial" w:hAnsi="Arial"/>
          <w:sz w:val="12"/>
          <w:szCs w:val="12"/>
          <w:color w:val="auto"/>
        </w:rPr>
        <w:t>RODUCTS</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S</w:t>
      </w:r>
      <w:r>
        <w:rPr>
          <w:rFonts w:ascii="Arial" w:cs="Arial" w:eastAsia="Arial" w:hAnsi="Arial"/>
          <w:sz w:val="12"/>
          <w:szCs w:val="12"/>
          <w:color w:val="auto"/>
        </w:rPr>
        <w:t>WITZERLAND</w:t>
      </w:r>
      <w:r>
        <w:rPr>
          <w:rFonts w:ascii="Arial" w:cs="Arial" w:eastAsia="Arial" w:hAnsi="Arial"/>
          <w:sz w:val="18"/>
          <w:szCs w:val="18"/>
          <w:color w:val="auto"/>
        </w:rPr>
        <w:t xml:space="preserve"> T</w:t>
      </w:r>
      <w:r>
        <w:rPr>
          <w:rFonts w:ascii="Arial" w:cs="Arial" w:eastAsia="Arial" w:hAnsi="Arial"/>
          <w:sz w:val="12"/>
          <w:szCs w:val="12"/>
          <w:color w:val="auto"/>
        </w:rPr>
        <w:t>RADING AND</w:t>
      </w:r>
      <w:r>
        <w:rPr>
          <w:rFonts w:ascii="Arial" w:cs="Arial" w:eastAsia="Arial" w:hAnsi="Arial"/>
          <w:sz w:val="18"/>
          <w:szCs w:val="18"/>
          <w:color w:val="auto"/>
        </w:rPr>
        <w:t xml:space="preserve"> D</w:t>
      </w:r>
      <w:r>
        <w:rPr>
          <w:rFonts w:ascii="Arial" w:cs="Arial" w:eastAsia="Arial" w:hAnsi="Arial"/>
          <w:sz w:val="12"/>
          <w:szCs w:val="12"/>
          <w:color w:val="auto"/>
        </w:rPr>
        <w:t>EVELOPMENT</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w:t>
      </w:r>
      <w:r>
        <w:rPr>
          <w:rFonts w:ascii="Arial" w:cs="Arial" w:eastAsia="Arial" w:hAnsi="Arial"/>
          <w:sz w:val="12"/>
          <w:szCs w:val="12"/>
          <w:color w:val="auto"/>
        </w:rPr>
        <w:t>NTERNATIONAL</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Mathias Neuenschwander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 xml:space="preserve"> S. </w:t>
      </w:r>
      <w:r>
        <w:rPr>
          <w:rFonts w:ascii="Arial" w:cs="Arial" w:eastAsia="Arial" w:hAnsi="Arial"/>
          <w:sz w:val="12"/>
          <w:szCs w:val="12"/>
          <w:color w:val="auto"/>
        </w:rPr>
        <w:t>DE</w:t>
      </w:r>
      <w:r>
        <w:rPr>
          <w:rFonts w:ascii="Arial" w:cs="Arial" w:eastAsia="Arial" w:hAnsi="Arial"/>
          <w:sz w:val="18"/>
          <w:szCs w:val="18"/>
          <w:color w:val="auto"/>
        </w:rPr>
        <w:t xml:space="preserve"> R.L.</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Mathias Neuenschwander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Worldwide Holdings GmbH, as shareholder</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40"/>
          </w:cols>
          <w:pgMar w:left="1440" w:top="909" w:right="919" w:bottom="1440" w:gutter="0" w:footer="0" w:header="0"/>
        </w:sectPr>
      </w:pPr>
    </w:p>
    <w:bookmarkStart w:id="181" w:name="page182"/>
    <w:bookmarkEnd w:id="181"/>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E</w:t>
      </w:r>
      <w:r>
        <w:rPr>
          <w:rFonts w:ascii="Arial" w:cs="Arial" w:eastAsia="Arial" w:hAnsi="Arial"/>
          <w:sz w:val="12"/>
          <w:szCs w:val="12"/>
          <w:color w:val="auto"/>
        </w:rPr>
        <w:t>UROPEAN</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w:t>
      </w:r>
      <w:r>
        <w:rPr>
          <w:rFonts w:ascii="Arial" w:cs="Arial" w:eastAsia="Arial" w:hAnsi="Arial"/>
          <w:sz w:val="12"/>
          <w:szCs w:val="12"/>
          <w:color w:val="auto"/>
        </w:rPr>
        <w:t>UXEMBOURG</w:t>
      </w:r>
      <w:r>
        <w:rPr>
          <w:rFonts w:ascii="Arial" w:cs="Arial" w:eastAsia="Arial" w:hAnsi="Arial"/>
          <w:sz w:val="18"/>
          <w:szCs w:val="18"/>
          <w:color w:val="auto"/>
        </w:rPr>
        <w:t>) S.</w:t>
      </w:r>
      <w:r>
        <w:rPr>
          <w:rFonts w:ascii="Arial" w:cs="Arial" w:eastAsia="Arial" w:hAnsi="Arial"/>
          <w:sz w:val="12"/>
          <w:szCs w:val="12"/>
          <w:color w:val="auto"/>
        </w:rPr>
        <w:t>À R</w:t>
      </w:r>
      <w:r>
        <w:rPr>
          <w:rFonts w:ascii="Arial" w:cs="Arial" w:eastAsia="Arial" w:hAnsi="Arial"/>
          <w:sz w:val="18"/>
          <w:szCs w:val="18"/>
          <w:color w:val="auto"/>
        </w:rPr>
        <w:t>.</w:t>
      </w:r>
      <w:r>
        <w:rPr>
          <w:rFonts w:ascii="Arial" w:cs="Arial" w:eastAsia="Arial" w:hAnsi="Arial"/>
          <w:sz w:val="12"/>
          <w:szCs w:val="12"/>
          <w:color w:val="auto"/>
        </w:rPr>
        <w:t>L</w:t>
      </w:r>
      <w:r>
        <w:rPr>
          <w:rFonts w:ascii="Arial" w:cs="Arial" w:eastAsia="Arial" w:hAnsi="Arial"/>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EATHERFORD</w:t>
      </w:r>
      <w:r>
        <w:rPr>
          <w:rFonts w:ascii="Arial" w:cs="Arial" w:eastAsia="Arial" w:hAnsi="Arial"/>
          <w:sz w:val="17"/>
          <w:szCs w:val="17"/>
          <w:color w:val="auto"/>
        </w:rPr>
        <w:t xml:space="preserve"> I</w:t>
      </w:r>
      <w:r>
        <w:rPr>
          <w:rFonts w:ascii="Arial" w:cs="Arial" w:eastAsia="Arial" w:hAnsi="Arial"/>
          <w:sz w:val="11"/>
          <w:szCs w:val="11"/>
          <w:color w:val="auto"/>
        </w:rPr>
        <w:t>NTERNATIONAL</w:t>
      </w:r>
      <w:r>
        <w:rPr>
          <w:rFonts w:ascii="Arial" w:cs="Arial" w:eastAsia="Arial" w:hAnsi="Arial"/>
          <w:sz w:val="17"/>
          <w:szCs w:val="17"/>
          <w:color w:val="auto"/>
        </w:rPr>
        <w:t xml:space="preserve"> (L</w:t>
      </w:r>
      <w:r>
        <w:rPr>
          <w:rFonts w:ascii="Arial" w:cs="Arial" w:eastAsia="Arial" w:hAnsi="Arial"/>
          <w:sz w:val="11"/>
          <w:szCs w:val="11"/>
          <w:color w:val="auto"/>
        </w:rPr>
        <w:t>UXEMBOURG</w:t>
      </w:r>
      <w:r>
        <w:rPr>
          <w:rFonts w:ascii="Arial" w:cs="Arial" w:eastAsia="Arial" w:hAnsi="Arial"/>
          <w:sz w:val="17"/>
          <w:szCs w:val="17"/>
          <w:color w:val="auto"/>
        </w:rPr>
        <w:t>) H</w:t>
      </w:r>
      <w:r>
        <w:rPr>
          <w:rFonts w:ascii="Arial" w:cs="Arial" w:eastAsia="Arial" w:hAnsi="Arial"/>
          <w:sz w:val="11"/>
          <w:szCs w:val="11"/>
          <w:color w:val="auto"/>
        </w:rPr>
        <w:t>OLDINGS</w:t>
      </w:r>
      <w:r>
        <w:rPr>
          <w:rFonts w:ascii="Arial" w:cs="Arial" w:eastAsia="Arial" w:hAnsi="Arial"/>
          <w:sz w:val="17"/>
          <w:szCs w:val="17"/>
          <w:color w:val="auto"/>
        </w:rPr>
        <w:t xml:space="preserve"> S.</w:t>
      </w:r>
      <w:r>
        <w:rPr>
          <w:rFonts w:ascii="Arial" w:cs="Arial" w:eastAsia="Arial" w:hAnsi="Arial"/>
          <w:sz w:val="11"/>
          <w:szCs w:val="11"/>
          <w:color w:val="auto"/>
        </w:rPr>
        <w:t>À R</w:t>
      </w:r>
      <w:r>
        <w:rPr>
          <w:rFonts w:ascii="Arial" w:cs="Arial" w:eastAsia="Arial" w:hAnsi="Arial"/>
          <w:sz w:val="17"/>
          <w:szCs w:val="17"/>
          <w:color w:val="auto"/>
        </w:rPr>
        <w:t>.</w:t>
      </w:r>
      <w:r>
        <w:rPr>
          <w:rFonts w:ascii="Arial" w:cs="Arial" w:eastAsia="Arial" w:hAnsi="Arial"/>
          <w:sz w:val="11"/>
          <w:szCs w:val="11"/>
          <w:color w:val="auto"/>
        </w:rPr>
        <w:t>L</w:t>
      </w:r>
      <w:r>
        <w:rPr>
          <w:rFonts w:ascii="Arial" w:cs="Arial" w:eastAsia="Arial" w:hAnsi="Arial"/>
          <w:sz w:val="17"/>
          <w:szCs w:val="17"/>
          <w:color w:val="auto"/>
        </w:rPr>
        <w:t>.</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Mathias Neuenschwander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 A</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S</w:t>
      </w:r>
      <w:r>
        <w:rPr>
          <w:rFonts w:ascii="Arial" w:cs="Arial" w:eastAsia="Arial" w:hAnsi="Arial"/>
          <w:sz w:val="12"/>
          <w:szCs w:val="12"/>
          <w:color w:val="auto"/>
        </w:rPr>
        <w:t>WISS</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Arjana Cabariu-Truong</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Arjana Cabariu-Truong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E</w:t>
      </w:r>
      <w:r>
        <w:rPr>
          <w:rFonts w:ascii="Arial" w:cs="Arial" w:eastAsia="Arial" w:hAnsi="Arial"/>
          <w:sz w:val="12"/>
          <w:szCs w:val="12"/>
          <w:color w:val="auto"/>
        </w:rPr>
        <w:t>URASIA</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RISH</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Neil Alexander MacLeod</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Neil Alexander MacLeod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U.K. L</w:t>
      </w:r>
      <w:r>
        <w:rPr>
          <w:rFonts w:ascii="Arial" w:cs="Arial" w:eastAsia="Arial" w:hAnsi="Arial"/>
          <w:sz w:val="12"/>
          <w:szCs w:val="12"/>
          <w:color w:val="auto"/>
        </w:rPr>
        <w:t>IMITED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Alexander Olsson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Alexander Olsson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N</w:t>
      </w:r>
      <w:r>
        <w:rPr>
          <w:rFonts w:ascii="Arial" w:cs="Arial" w:eastAsia="Arial" w:hAnsi="Arial"/>
          <w:sz w:val="12"/>
          <w:szCs w:val="12"/>
          <w:color w:val="auto"/>
        </w:rPr>
        <w:t>ETHERLANDS</w:t>
      </w:r>
      <w:r>
        <w:rPr>
          <w:rFonts w:ascii="Arial" w:cs="Arial" w:eastAsia="Arial" w:hAnsi="Arial"/>
          <w:sz w:val="18"/>
          <w:szCs w:val="18"/>
          <w:color w:val="auto"/>
        </w:rPr>
        <w:t xml:space="preserve"> B.V.</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August Willem Versteeg</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N</w:t>
      </w:r>
      <w:r>
        <w:rPr>
          <w:rFonts w:ascii="Arial" w:cs="Arial" w:eastAsia="Arial" w:hAnsi="Arial"/>
          <w:sz w:val="12"/>
          <w:szCs w:val="12"/>
          <w:color w:val="auto"/>
        </w:rPr>
        <w:t>ORGE</w:t>
      </w:r>
      <w:r>
        <w:rPr>
          <w:rFonts w:ascii="Arial" w:cs="Arial" w:eastAsia="Arial" w:hAnsi="Arial"/>
          <w:sz w:val="18"/>
          <w:szCs w:val="18"/>
          <w:color w:val="auto"/>
        </w:rPr>
        <w:t xml:space="preserve"> AS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Geir Egil Moller Olsen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A</w:t>
      </w:r>
      <w:r>
        <w:rPr>
          <w:rFonts w:ascii="Arial" w:cs="Arial" w:eastAsia="Arial" w:hAnsi="Arial"/>
          <w:sz w:val="12"/>
          <w:szCs w:val="12"/>
          <w:color w:val="auto"/>
        </w:rPr>
        <w:t>USTRALIA</w:t>
      </w:r>
      <w:r>
        <w:rPr>
          <w:rFonts w:ascii="Arial" w:cs="Arial" w:eastAsia="Arial" w:hAnsi="Arial"/>
          <w:sz w:val="18"/>
          <w:szCs w:val="18"/>
          <w:color w:val="auto"/>
        </w:rPr>
        <w:t xml:space="preserve"> P</w:t>
      </w:r>
      <w:r>
        <w:rPr>
          <w:rFonts w:ascii="Arial" w:cs="Arial" w:eastAsia="Arial" w:hAnsi="Arial"/>
          <w:sz w:val="12"/>
          <w:szCs w:val="12"/>
          <w:color w:val="auto"/>
        </w:rPr>
        <w:t>TY</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Antonio DeGasperis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Robert Antonio DeGasperis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O</w:t>
      </w:r>
      <w:r>
        <w:rPr>
          <w:rFonts w:ascii="Arial" w:cs="Arial" w:eastAsia="Arial" w:hAnsi="Arial"/>
          <w:sz w:val="12"/>
          <w:szCs w:val="12"/>
          <w:color w:val="auto"/>
        </w:rPr>
        <w:t>IL</w:t>
      </w:r>
      <w:r>
        <w:rPr>
          <w:rFonts w:ascii="Arial" w:cs="Arial" w:eastAsia="Arial" w:hAnsi="Arial"/>
          <w:sz w:val="18"/>
          <w:szCs w:val="18"/>
          <w:color w:val="auto"/>
        </w:rPr>
        <w:t xml:space="preserve"> T</w:t>
      </w:r>
      <w:r>
        <w:rPr>
          <w:rFonts w:ascii="Arial" w:cs="Arial" w:eastAsia="Arial" w:hAnsi="Arial"/>
          <w:sz w:val="12"/>
          <w:szCs w:val="12"/>
          <w:color w:val="auto"/>
        </w:rPr>
        <w:t>OOL</w:t>
      </w:r>
      <w:r>
        <w:rPr>
          <w:rFonts w:ascii="Arial" w:cs="Arial" w:eastAsia="Arial" w:hAnsi="Arial"/>
          <w:sz w:val="18"/>
          <w:szCs w:val="18"/>
          <w:color w:val="auto"/>
        </w:rPr>
        <w:t xml:space="preserve"> G</w:t>
      </w:r>
      <w:r>
        <w:rPr>
          <w:rFonts w:ascii="Arial" w:cs="Arial" w:eastAsia="Arial" w:hAnsi="Arial"/>
          <w:sz w:val="12"/>
          <w:szCs w:val="12"/>
          <w:color w:val="auto"/>
        </w:rPr>
        <w:t>MB</w:t>
      </w:r>
      <w:r>
        <w:rPr>
          <w:rFonts w:ascii="Arial" w:cs="Arial" w:eastAsia="Arial" w:hAnsi="Arial"/>
          <w:sz w:val="18"/>
          <w:szCs w:val="18"/>
          <w:color w:val="auto"/>
        </w:rPr>
        <w:t>H</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Marco Seffer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Marco Seffer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CUSIP ________</w:t>
      </w:r>
    </w:p>
    <w:p>
      <w:pPr>
        <w:spacing w:after="0" w:line="46"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ISIN 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Restricted Notes Legend, if applicable.</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Global Note, insert the Global Note Legend.</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11.00% Senior Note due 2024</w:t>
      </w:r>
    </w:p>
    <w:p>
      <w:pPr>
        <w:spacing w:after="0" w:line="225" w:lineRule="exact"/>
        <w:rPr>
          <w:sz w:val="20"/>
          <w:szCs w:val="20"/>
          <w:color w:val="auto"/>
        </w:rPr>
      </w:pPr>
    </w:p>
    <w:p>
      <w:pPr>
        <w:spacing w:after="0"/>
        <w:tabs>
          <w:tab w:leader="none" w:pos="10540" w:val="left"/>
        </w:tabs>
        <w:rPr>
          <w:sz w:val="20"/>
          <w:szCs w:val="20"/>
          <w:color w:val="auto"/>
        </w:rPr>
      </w:pPr>
      <w:r>
        <w:rPr>
          <w:rFonts w:ascii="Arial" w:cs="Arial" w:eastAsia="Arial" w:hAnsi="Arial"/>
          <w:sz w:val="18"/>
          <w:szCs w:val="18"/>
          <w:color w:val="auto"/>
        </w:rPr>
        <w:t>No.______</w:t>
      </w:r>
      <w:r>
        <w:rPr>
          <w:sz w:val="20"/>
          <w:szCs w:val="20"/>
          <w:color w:val="auto"/>
        </w:rPr>
        <w:tab/>
      </w:r>
      <w:r>
        <w:rPr>
          <w:rFonts w:ascii="Arial" w:cs="Arial" w:eastAsia="Arial" w:hAnsi="Arial"/>
          <w:sz w:val="16"/>
          <w:szCs w:val="16"/>
          <w:color w:val="auto"/>
        </w:rPr>
        <w:t>$ 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Ltd., a Bermuda exempted company (herein called the “Issuer,” which term includes any successor Person under the</w:t>
      </w:r>
    </w:p>
    <w:p>
      <w:pPr>
        <w:spacing w:after="0" w:line="35" w:lineRule="exact"/>
        <w:rPr>
          <w:sz w:val="20"/>
          <w:szCs w:val="20"/>
          <w:color w:val="auto"/>
        </w:rPr>
      </w:pPr>
    </w:p>
    <w:p>
      <w:pPr>
        <w:spacing w:after="0"/>
        <w:tabs>
          <w:tab w:leader="none" w:pos="5980" w:val="left"/>
          <w:tab w:leader="none" w:pos="9380" w:val="left"/>
        </w:tabs>
        <w:rPr>
          <w:sz w:val="20"/>
          <w:szCs w:val="20"/>
          <w:color w:val="auto"/>
        </w:rPr>
      </w:pPr>
      <w:r>
        <w:rPr>
          <w:rFonts w:ascii="Arial" w:cs="Arial" w:eastAsia="Arial" w:hAnsi="Arial"/>
          <w:sz w:val="18"/>
          <w:szCs w:val="18"/>
          <w:color w:val="auto"/>
        </w:rPr>
        <w:t>Indenture hereinafter referred to), for value received, hereby promises to pay to</w:t>
      </w:r>
      <w:r>
        <w:rPr>
          <w:sz w:val="20"/>
          <w:szCs w:val="20"/>
          <w:color w:val="auto"/>
        </w:rPr>
        <w:tab/>
      </w:r>
      <w:r>
        <w:rPr>
          <w:rFonts w:ascii="Arial" w:cs="Arial" w:eastAsia="Arial" w:hAnsi="Arial"/>
          <w:sz w:val="18"/>
          <w:szCs w:val="18"/>
          <w:color w:val="auto"/>
        </w:rPr>
        <w:t>, or registered assigns, the principal sum of</w:t>
      </w:r>
      <w:r>
        <w:rPr>
          <w:sz w:val="20"/>
          <w:szCs w:val="20"/>
          <w:color w:val="auto"/>
        </w:rPr>
        <w:tab/>
      </w:r>
      <w:r>
        <w:rPr>
          <w:rFonts w:ascii="Arial" w:cs="Arial" w:eastAsia="Arial" w:hAnsi="Arial"/>
          <w:sz w:val="16"/>
          <w:szCs w:val="16"/>
          <w:color w:val="auto"/>
        </w:rPr>
        <w:t>U.S. dollars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 2024, or such greater or lesser amount as may be indicated on the Schedule of Exchanges of Interests in the Global Note attached hereto,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 interest thereon from December 13, 2019 or from the most recent Interest Payment Date to which interest has been paid or duly provided for, semi-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annually on June 1 and December 1 in each year, commencing June 1, 2020, at the rate of 11.00% per annum, until the principal hereof is paid or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payment. The interest so payable, and punctually paid or duly provided for, on any Interest Payment Date will, as provided in such Indenture,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to the Person in whose name this Note (or one or more Predecessor Notes) is registered at the close of business on the Regular Record Date for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which shall be May 15 or November 15 (whether or not a Business Day), as the case may be, next preceding such Interest Payment Date. The Issuer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pay (i) Defaulted Interest (including post-petition interest in any proceeding under any Bankruptcy Law) on overdue principal and premium, if any,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to time on demand at a rate that is 2% higher than the applicable interest rate on the Notes to the extent lawful and (ii) Defaulted Interest (including post-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petition interest in any proceeding under any Bankruptcy Law) on overdue installments of interest (without regard to any applicable grace periods) from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time on demand at the rate that is 2% higher than the applicable interest rate on the Notes to the extent lawful.</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option of the Issuer, payment of interest may be made by check mailed to the address of the Person entitled thereto as such address shall appear in the Security Register.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3" w:name="page184"/>
    <w:bookmarkEnd w:id="183"/>
    <w:p>
      <w:pPr>
        <w:ind w:right="22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84" w:name="page185"/>
    <w:bookmarkEnd w:id="184"/>
    <w:p>
      <w:pPr>
        <w:ind w:left="660"/>
        <w:spacing w:after="0"/>
        <w:rPr>
          <w:sz w:val="20"/>
          <w:szCs w:val="20"/>
          <w:color w:val="auto"/>
        </w:rPr>
      </w:pPr>
      <w:r>
        <w:rPr>
          <w:rFonts w:ascii="Arial" w:cs="Arial" w:eastAsia="Arial" w:hAnsi="Arial"/>
          <w:sz w:val="18"/>
          <w:szCs w:val="18"/>
          <w:color w:val="auto"/>
        </w:rPr>
        <w:t>IN WITNESS WHEREOF, the Issuer has caused this Note to be duly executed by its undersigned officer.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11.00% Senior Notes due 2024 referred to in the within-mentioned Indenture.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color w:val="auto"/>
        </w:rPr>
        <w:t>[Form of Reverse of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Note is one of a duly authorized series of securities of the Issuer (herein called the “Notes”), issued under an Indenture, dated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13, 2019 (the “Indenture”) among the Issuer, the Guarantors named therein and Deutsche Bank Trust Company Americas, as Trustee (herein called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“Trustee,” which term includes any successor trustee under the Indenture), and reference is hereby made to the Indenture for a statement of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limitations of rights, duties and immunities thereunder of the Issuer, the Guarantors, the Trustee and the Holders of the Notes and of the terms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Notes are, and are to be, authenticated and delivered. This Note is one of the series designated on the face hereof, initially limited in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$2,100,000,000 but subject to re-opening as provided in the Indenture.</w:t>
      </w:r>
    </w:p>
    <w:p>
      <w:pPr>
        <w:spacing w:after="0" w:line="21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Except as set forth below and in the Indenture, the Issuer shall not have the option to redeem the Notes prior to December 1, 2021. On or after December 1,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the applicable redemption date (subject to the right of Holders of record on the relevant record date to receive interest due on an interest payment date that is on or prior to the redemption date), if redeemed during the twelve-month period beginning on December 1 of the years indicated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YEAR</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preceding paragraphs, at any time prior to December 1, 2022, the Issuer may on one or more occasions redeem up to $500.0 million in the aggregate principal amount of Notes issued under the Indenture at a redemption price of 103% of the principal amount of the Notes redeemed, plus accrued and unpaid interest, if any, thereon to the redemption date (subject to the right of Holders of record on the relevant record date to receive interest due on an interest payment date that is on or prior to the redemption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December 1, 2021, the Issuer may redeem on one or more occasions all or part of the Notes at a redemption price equal to the sum of:</w:t>
      </w:r>
    </w:p>
    <w:p>
      <w:pPr>
        <w:spacing w:after="0" w:line="248" w:lineRule="exact"/>
        <w:rPr>
          <w:sz w:val="20"/>
          <w:szCs w:val="20"/>
          <w:color w:val="auto"/>
        </w:rPr>
      </w:pPr>
    </w:p>
    <w:p>
      <w:pPr>
        <w:ind w:left="1420" w:hanging="764"/>
        <w:spacing w:after="0"/>
        <w:tabs>
          <w:tab w:leader="none" w:pos="1420" w:val="left"/>
        </w:tabs>
        <w:numPr>
          <w:ilvl w:val="0"/>
          <w:numId w:val="228"/>
        </w:numPr>
        <w:rPr>
          <w:rFonts w:ascii="Arial" w:cs="Arial" w:eastAsia="Arial" w:hAnsi="Arial"/>
          <w:sz w:val="18"/>
          <w:szCs w:val="18"/>
          <w:color w:val="010000"/>
        </w:rPr>
      </w:pPr>
      <w:r>
        <w:rPr>
          <w:rFonts w:ascii="Arial" w:cs="Arial" w:eastAsia="Arial" w:hAnsi="Arial"/>
          <w:sz w:val="18"/>
          <w:szCs w:val="18"/>
          <w:color w:val="auto"/>
        </w:rPr>
        <w:t>the principal amount thereof, plus</w:t>
      </w:r>
    </w:p>
    <w:p>
      <w:pPr>
        <w:spacing w:after="0" w:line="225" w:lineRule="exact"/>
        <w:rPr>
          <w:rFonts w:ascii="Arial" w:cs="Arial" w:eastAsia="Arial" w:hAnsi="Arial"/>
          <w:sz w:val="18"/>
          <w:szCs w:val="18"/>
          <w:color w:val="010000"/>
        </w:rPr>
      </w:pPr>
    </w:p>
    <w:p>
      <w:pPr>
        <w:ind w:left="1420" w:hanging="764"/>
        <w:spacing w:after="0"/>
        <w:tabs>
          <w:tab w:leader="none" w:pos="1420" w:val="left"/>
        </w:tabs>
        <w:numPr>
          <w:ilvl w:val="0"/>
          <w:numId w:val="228"/>
        </w:numPr>
        <w:rPr>
          <w:rFonts w:ascii="Arial" w:cs="Arial" w:eastAsia="Arial" w:hAnsi="Arial"/>
          <w:sz w:val="18"/>
          <w:szCs w:val="18"/>
          <w:color w:val="010000"/>
        </w:rPr>
      </w:pPr>
      <w:r>
        <w:rPr>
          <w:rFonts w:ascii="Arial" w:cs="Arial" w:eastAsia="Arial" w:hAnsi="Arial"/>
          <w:sz w:val="18"/>
          <w:szCs w:val="18"/>
          <w:color w:val="auto"/>
        </w:rPr>
        <w:t>the Make Whole Premium at the redemption date, plus</w:t>
      </w:r>
    </w:p>
    <w:p>
      <w:pPr>
        <w:spacing w:after="0" w:line="225" w:lineRule="exact"/>
        <w:rPr>
          <w:rFonts w:ascii="Arial" w:cs="Arial" w:eastAsia="Arial" w:hAnsi="Arial"/>
          <w:sz w:val="18"/>
          <w:szCs w:val="18"/>
          <w:color w:val="010000"/>
        </w:rPr>
      </w:pPr>
    </w:p>
    <w:p>
      <w:pPr>
        <w:ind w:right="120" w:firstLine="656"/>
        <w:spacing w:after="0" w:line="277" w:lineRule="auto"/>
        <w:tabs>
          <w:tab w:leader="none" w:pos="1413" w:val="left"/>
        </w:tabs>
        <w:numPr>
          <w:ilvl w:val="0"/>
          <w:numId w:val="228"/>
        </w:numPr>
        <w:rPr>
          <w:rFonts w:ascii="Arial" w:cs="Arial" w:eastAsia="Arial" w:hAnsi="Arial"/>
          <w:sz w:val="18"/>
          <w:szCs w:val="18"/>
          <w:color w:val="010000"/>
        </w:rPr>
      </w:pPr>
      <w:r>
        <w:rPr>
          <w:rFonts w:ascii="Arial" w:cs="Arial" w:eastAsia="Arial" w:hAnsi="Arial"/>
          <w:sz w:val="18"/>
          <w:szCs w:val="18"/>
          <w:color w:val="auto"/>
        </w:rPr>
        <w:t>accrued and unpaid interest, if any, to the redemption date (subject to the right of Holders of record on the relevant record date to receive interest due on an interest payment date that is on or prior to the redemption date).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86" w:name="page187"/>
    <w:bookmarkEnd w:id="186"/>
    <w:p>
      <w:pPr>
        <w:ind w:right="220" w:firstLine="648"/>
        <w:spacing w:after="0" w:line="277" w:lineRule="auto"/>
        <w:rPr>
          <w:sz w:val="20"/>
          <w:szCs w:val="20"/>
          <w:color w:val="auto"/>
        </w:rPr>
      </w:pPr>
      <w:r>
        <w:rPr>
          <w:rFonts w:ascii="Arial" w:cs="Arial" w:eastAsia="Arial" w:hAnsi="Arial"/>
          <w:sz w:val="18"/>
          <w:szCs w:val="18"/>
          <w:color w:val="auto"/>
        </w:rPr>
        <w:t>The Notes may also be redeemed, as a whole, at the Issuer’s option, following Change of Control Offers, at the respective Redemption Prices and subject to the conditions set forth in Sections 1103(d) and 1007 of the Indenture,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notice of redemption may, at the Issuer’s discretion, be subject to one or more conditions precedent specified in such notice of redemption.</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of like tenor for the unredeemed portion hereof will be issued in the name of the Holder hereof upon the cancellation hereof.</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affected thereby (voting as a separate series). The Indenture also 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Section 315(d)(3) and Section 316(a)(1) of the Trust Indenture Act is expressly excluded from the Indenture for all purposes. 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Notes owned by Specified Holders (as defined in the Indenture) shall not be so disregarded.</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 Event of Default shall occur and be continuing, the Notes may be declared (or shall automatically become) due and payable in the manner and with the effect provided in the Indenture.</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87" w:name="page188"/>
    <w:bookmarkEnd w:id="187"/>
    <w:p>
      <w:pPr>
        <w:ind w:right="140"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terms used in this Note which are defined in the Indenture but not defined herein shall have the meanings assigned to them in the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Notes, the Guarantees and the Indenture shall be governed by and construed in accordance with the laws of the State of New York.</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680" w:hanging="675"/>
        <w:spacing w:after="0"/>
        <w:tabs>
          <w:tab w:leader="none" w:pos="6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or (we) assign and transfer this Security to:</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-130810</wp:posOffset>
            </wp:positionV>
            <wp:extent cx="36188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443865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297815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152400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-130175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-130175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appoint____________________to transfer this Note on the books of the Issuer. The agent may substitute another to act for him.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-130810</wp:posOffset>
            </wp:positionV>
            <wp:extent cx="36188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1030605</wp:posOffset>
            </wp:positionH>
            <wp:positionV relativeFrom="paragraph">
              <wp:posOffset>14605</wp:posOffset>
            </wp:positionV>
            <wp:extent cx="25387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ind w:firstLine="635"/>
        <w:spacing w:after="0" w:line="264" w:lineRule="auto"/>
        <w:rPr>
          <w:sz w:val="20"/>
          <w:szCs w:val="20"/>
          <w:color w:val="auto"/>
        </w:rPr>
      </w:pPr>
      <w:r>
        <w:rPr>
          <w:rFonts w:ascii="Arial" w:cs="Arial" w:eastAsia="Arial" w:hAnsi="Arial"/>
          <w:sz w:val="18"/>
          <w:szCs w:val="18"/>
          <w:color w:val="auto"/>
        </w:rPr>
        <w:t>In connection with any transfer or exchange of any of the Notes evidenced by this certificate occurring prior to the date that is one year (or 40 days in the case of any Regulation S Notes) after the later of the date of original issuance of such Notes and the last date, if any, on which such Notes were owned by the Issuer or any Affiliate of the Issuer, the undersigned confirms that such Notes are being:</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CHECK ONE BOX BELOW:</w:t>
      </w:r>
    </w:p>
    <w:p>
      <w:pPr>
        <w:spacing w:after="0" w:line="193" w:lineRule="exact"/>
        <w:rPr>
          <w:sz w:val="20"/>
          <w:szCs w:val="20"/>
          <w:color w:val="auto"/>
        </w:rPr>
      </w:pPr>
    </w:p>
    <w:p>
      <w:pPr>
        <w:ind w:left="820" w:hanging="277"/>
        <w:spacing w:after="0" w:line="207" w:lineRule="exact"/>
        <w:tabs>
          <w:tab w:leader="none" w:pos="820" w:val="left"/>
        </w:tabs>
        <w:numPr>
          <w:ilvl w:val="1"/>
          <w:numId w:val="23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acquired for the undersigned’s own account, without transfer; or</w:t>
      </w:r>
    </w:p>
    <w:p>
      <w:pPr>
        <w:spacing w:after="0" w:line="225" w:lineRule="exact"/>
        <w:rPr>
          <w:rFonts w:ascii="Arial" w:cs="Arial" w:eastAsia="Arial" w:hAnsi="Arial"/>
          <w:sz w:val="18"/>
          <w:szCs w:val="18"/>
          <w:color w:val="auto"/>
        </w:rPr>
      </w:pPr>
    </w:p>
    <w:p>
      <w:pPr>
        <w:ind w:left="820" w:hanging="277"/>
        <w:spacing w:after="0" w:line="207" w:lineRule="exact"/>
        <w:tabs>
          <w:tab w:leader="none" w:pos="820" w:val="left"/>
        </w:tabs>
        <w:numPr>
          <w:ilvl w:val="1"/>
          <w:numId w:val="23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to the Parent Guarantor or any Subsidiary thereof; or</w:t>
      </w:r>
    </w:p>
    <w:p>
      <w:pPr>
        <w:spacing w:after="0" w:line="225" w:lineRule="exact"/>
        <w:rPr>
          <w:rFonts w:ascii="Arial" w:cs="Arial" w:eastAsia="Arial" w:hAnsi="Arial"/>
          <w:sz w:val="18"/>
          <w:szCs w:val="18"/>
          <w:color w:val="auto"/>
        </w:rPr>
      </w:pPr>
    </w:p>
    <w:p>
      <w:pPr>
        <w:ind w:left="-100" w:right="720" w:firstLine="643"/>
        <w:spacing w:after="0" w:line="442" w:lineRule="exact"/>
        <w:tabs>
          <w:tab w:leader="none" w:pos="818" w:val="left"/>
        </w:tabs>
        <w:numPr>
          <w:ilvl w:val="1"/>
          <w:numId w:val="23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transferred pursuant to and in compliance with Rule 144A under the Securities Act of 1933, as amended (the “Securities Act”); or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-256540</wp:posOffset>
            </wp:positionV>
            <wp:extent cx="18097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5" w:right="339" w:bottom="1440" w:gutter="0" w:footer="0" w:header="0"/>
        </w:sectPr>
      </w:pPr>
    </w:p>
    <w:bookmarkStart w:id="189" w:name="page190"/>
    <w:bookmarkEnd w:id="189"/>
    <w:p>
      <w:pPr>
        <w:ind w:left="920" w:hanging="277"/>
        <w:spacing w:after="0" w:line="207" w:lineRule="exact"/>
        <w:tabs>
          <w:tab w:leader="none" w:pos="920"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 effective registration statement under the Securities Act; or</w:t>
      </w:r>
    </w:p>
    <w:p>
      <w:pPr>
        <w:spacing w:after="0" w:line="225" w:lineRule="exact"/>
        <w:rPr>
          <w:rFonts w:ascii="Arial" w:cs="Arial" w:eastAsia="Arial" w:hAnsi="Arial"/>
          <w:sz w:val="18"/>
          <w:szCs w:val="18"/>
          <w:color w:val="auto"/>
        </w:rPr>
      </w:pPr>
    </w:p>
    <w:p>
      <w:pPr>
        <w:ind w:left="920" w:hanging="277"/>
        <w:spacing w:after="0" w:line="207" w:lineRule="exact"/>
        <w:tabs>
          <w:tab w:leader="none" w:pos="920"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and in compliance with Regulation S under the Securities Act; or</w:t>
      </w:r>
    </w:p>
    <w:p>
      <w:pPr>
        <w:spacing w:after="0" w:line="225" w:lineRule="exact"/>
        <w:rPr>
          <w:rFonts w:ascii="Arial" w:cs="Arial" w:eastAsia="Arial" w:hAnsi="Arial"/>
          <w:sz w:val="18"/>
          <w:szCs w:val="18"/>
          <w:color w:val="auto"/>
        </w:rPr>
      </w:pPr>
    </w:p>
    <w:p>
      <w:pPr>
        <w:ind w:left="1260" w:right="40" w:hanging="617"/>
        <w:spacing w:after="0" w:line="232" w:lineRule="exact"/>
        <w:tabs>
          <w:tab w:leader="none" w:pos="922"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to an institutional “accredited investor” (as defined in Rule 501(a)(1), (2), (3) or (7) under the Securities Act), that has furnished to the Trustee a signed letter containing certain representations and agreements (the form of which letter appears as Annex C to the Indenture); or</w:t>
      </w:r>
    </w:p>
    <w:p>
      <w:pPr>
        <w:spacing w:after="0" w:line="170" w:lineRule="exact"/>
        <w:rPr>
          <w:rFonts w:ascii="Arial" w:cs="Arial" w:eastAsia="Arial" w:hAnsi="Arial"/>
          <w:sz w:val="18"/>
          <w:szCs w:val="18"/>
          <w:color w:val="auto"/>
        </w:rPr>
      </w:pPr>
    </w:p>
    <w:p>
      <w:pPr>
        <w:ind w:left="920" w:hanging="277"/>
        <w:spacing w:after="0" w:line="207" w:lineRule="exact"/>
        <w:tabs>
          <w:tab w:leader="none" w:pos="920" w:val="left"/>
        </w:tabs>
        <w:numPr>
          <w:ilvl w:val="0"/>
          <w:numId w:val="2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another available exemption from the registration requirements of the Securities Act.</w:t>
      </w:r>
    </w:p>
    <w:p>
      <w:pPr>
        <w:spacing w:after="0" w:line="2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PURCHASER IF BOX (3) ABOVE IS CHECKED.</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7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3" w:lineRule="exact"/>
        <w:rPr>
          <w:sz w:val="20"/>
          <w:szCs w:val="20"/>
          <w:color w:val="auto"/>
        </w:rPr>
      </w:pPr>
    </w:p>
    <w:p>
      <w:pPr>
        <w:ind w:left="5580" w:right="2300" w:hanging="5572"/>
        <w:spacing w:after="0" w:line="618" w:lineRule="auto"/>
        <w:tabs>
          <w:tab w:leader="none" w:pos="127" w:val="left"/>
        </w:tabs>
        <w:numPr>
          <w:ilvl w:val="0"/>
          <w:numId w:val="232"/>
        </w:numPr>
        <w:rPr>
          <w:rFonts w:ascii="Arial" w:cs="Arial" w:eastAsia="Arial" w:hAnsi="Arial"/>
          <w:sz w:val="30"/>
          <w:szCs w:val="30"/>
          <w:color w:val="auto"/>
          <w:vertAlign w:val="superscript"/>
        </w:rPr>
      </w:pPr>
      <w:r>
        <w:rPr>
          <w:rFonts w:ascii="Arial" w:cs="Arial" w:eastAsia="Arial" w:hAnsi="Arial"/>
          <w:sz w:val="18"/>
          <w:szCs w:val="18"/>
          <w:color w:val="auto"/>
        </w:rPr>
        <w:t>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6" w:right="29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Note purchased by the Issuer pursuant to Section 1007 or Section 1012 of the Indenture, check the appropriate box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78" w:lineRule="exact"/>
        <w:rPr>
          <w:sz w:val="20"/>
          <w:szCs w:val="20"/>
          <w:color w:val="auto"/>
        </w:rPr>
      </w:pPr>
    </w:p>
    <w:p>
      <w:pPr>
        <w:ind w:left="400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1007</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Section 1012</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1007 or Section 1012 of the Indenture, state the amount you elect to have purchased:</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_______________</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__________________</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25387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ind w:left="5580" w:right="2320" w:hanging="5572"/>
        <w:spacing w:after="0" w:line="778" w:lineRule="auto"/>
        <w:tabs>
          <w:tab w:leader="none" w:pos="14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gridSpan w:val="6"/>
          </w:tcPr>
          <w:p>
            <w:pPr>
              <w:ind w:left="480"/>
              <w:spacing w:after="0"/>
              <w:rPr>
                <w:sz w:val="20"/>
                <w:szCs w:val="20"/>
                <w:color w:val="auto"/>
              </w:rPr>
            </w:pPr>
            <w:r>
              <w:rPr>
                <w:rFonts w:ascii="Arial" w:cs="Arial" w:eastAsia="Arial" w:hAnsi="Arial"/>
                <w:sz w:val="18"/>
                <w:szCs w:val="18"/>
                <w:color w:val="auto"/>
              </w:rPr>
              <w:t>SCHEDULE OF EXCHANGES OF INTERESTS IN THE GLOBAL NOTE*</w:t>
            </w:r>
          </w:p>
        </w:tc>
        <w:tc>
          <w:tcPr>
            <w:tcW w:w="1820" w:type="dxa"/>
            <w:vAlign w:val="bottom"/>
          </w:tcPr>
          <w:p>
            <w:pPr>
              <w:spacing w:after="0"/>
              <w:rPr>
                <w:sz w:val="20"/>
                <w:szCs w:val="20"/>
                <w:color w:val="auto"/>
              </w:rPr>
            </w:pPr>
          </w:p>
        </w:tc>
      </w:tr>
      <w:tr>
        <w:trPr>
          <w:trHeight w:val="432"/>
        </w:trPr>
        <w:tc>
          <w:tcPr>
            <w:tcW w:w="7440" w:type="dxa"/>
            <w:vAlign w:val="bottom"/>
            <w:gridSpan w:val="6"/>
          </w:tcPr>
          <w:p>
            <w:pPr>
              <w:ind w:left="660"/>
              <w:spacing w:after="0"/>
              <w:rPr>
                <w:sz w:val="20"/>
                <w:szCs w:val="20"/>
                <w:color w:val="auto"/>
              </w:rPr>
            </w:pPr>
            <w:r>
              <w:rPr>
                <w:rFonts w:ascii="Arial" w:cs="Arial" w:eastAsia="Arial" w:hAnsi="Arial"/>
                <w:sz w:val="18"/>
                <w:szCs w:val="18"/>
                <w:color w:val="auto"/>
                <w:w w:val="97"/>
              </w:rPr>
              <w:t>The following exchanges of a part of this Global Note for other Notes have been made:</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Amount</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Signature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Amount of</w:t>
            </w: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Amount of</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of this Global</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authorized</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decrease in</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increase in</w:t>
            </w: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Note following</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signatory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Amount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Amount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such decrease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Trustee or</w:t>
            </w:r>
          </w:p>
        </w:tc>
      </w:tr>
      <w:tr>
        <w:trPr>
          <w:trHeight w:val="230"/>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of Exchange</w:t>
            </w:r>
          </w:p>
        </w:tc>
        <w:tc>
          <w:tcPr>
            <w:tcW w:w="12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 this Global Note</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this Global Note</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(or increase)</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Custodian</w:t>
            </w:r>
          </w:p>
        </w:tc>
      </w:tr>
    </w:tbl>
    <w:p>
      <w:pPr>
        <w:spacing w:after="0" w:line="202" w:lineRule="exact"/>
        <w:rPr>
          <w:sz w:val="20"/>
          <w:szCs w:val="20"/>
          <w:color w:val="auto"/>
        </w:rPr>
      </w:pPr>
    </w:p>
    <w:p>
      <w:pPr>
        <w:ind w:left="140" w:hanging="132"/>
        <w:spacing w:after="0"/>
        <w:tabs>
          <w:tab w:leader="none" w:pos="140"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DELIVERED BY FUTURE SUBSIDIARY GUARANTORS</w:t>
      </w:r>
    </w:p>
    <w:p>
      <w:pPr>
        <w:spacing w:after="0" w:line="21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HIS</w:t>
      </w:r>
      <w:r>
        <w:rPr>
          <w:rFonts w:ascii="Arial" w:cs="Arial" w:eastAsia="Arial" w:hAnsi="Arial"/>
          <w:sz w:val="16"/>
          <w:szCs w:val="16"/>
          <w:color w:val="auto"/>
        </w:rPr>
        <w:t xml:space="preserve"> S</w:t>
      </w:r>
      <w:r>
        <w:rPr>
          <w:rFonts w:ascii="Arial" w:cs="Arial" w:eastAsia="Arial" w:hAnsi="Arial"/>
          <w:sz w:val="11"/>
          <w:szCs w:val="11"/>
          <w:color w:val="auto"/>
        </w:rPr>
        <w:t>UPPLEMENTAL INDENTURE</w:t>
      </w:r>
      <w:r>
        <w:rPr>
          <w:rFonts w:ascii="Arial" w:cs="Arial" w:eastAsia="Arial" w:hAnsi="Arial"/>
          <w:sz w:val="16"/>
          <w:szCs w:val="16"/>
          <w:color w:val="auto"/>
        </w:rPr>
        <w:t xml:space="preserve"> (this “Supplemental Indenture”), dated as of , 20 , is among [Name of Future Subsidiary Guarantor] (the “New Subsidiary Guarantor”), a subsidiary of Weatherford International plc, an Irish public limited company [or its permitted successor] (the “Parent Guarantor”), Weatherford International, LLC, a Delaware limited liability company (“Weatherford Delaware”), each other existing Subsidiary Guarantor (as defined in the Indenture referred to herein), Weatherford International Ltd., a Bermuda exempted company (the “Issuer”), the Parent Guarantor and Deutsche Bank Trust Company Americas, as trustee under the Indenture referred to herein (the “Trustee”). The New Subsidiary Guarantor and the existing Subsidiary Guarantors are sometimes referred to collectively herein as the “Subsidiary Guarantors,” or individually as a “Subsidiary Guarantor.”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Issuer, the Parent Guarantor, Weatherford Delaware and the Trustee are parties to an Indenture, dated as of December 13, 2019 relating to the 11.00%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 of the Issuer;</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WHEREAS, Section 1014 of the Indenture obligates the Issuer to cause certain Restricted Subsidiaries to become Subsidiary Guarantors by executing a supplemental indenture as provided in such Section; and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pursuant to Section 901 of the Indenture, the Issuer, the Parent Guarantor, the Subsidiary Guarantors and the Trustee are authorized to execute and deliver this Supplemental Indenture to amend or supplement the Indenture without the consent of any Holder;</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NOW, THEREFORE, to comply with the provisions of the Indenture and in consideration of the foregoing and for other good and valuable consideration, the receipt of which is hereby acknowledged, the New Subsidiary Guarantor, the other Subsidiary Guarantors, the Issuer, the Parent Guarantor and the Trustee mutually covenant and agree for the equal and ratable benefit of the Holders of the Notes as follows:</w:t>
      </w:r>
    </w:p>
    <w:p>
      <w:pPr>
        <w:spacing w:after="0" w:line="166" w:lineRule="exact"/>
        <w:rPr>
          <w:sz w:val="20"/>
          <w:szCs w:val="20"/>
          <w:color w:val="auto"/>
        </w:rPr>
      </w:pPr>
    </w:p>
    <w:p>
      <w:pPr>
        <w:ind w:left="1340" w:hanging="684"/>
        <w:spacing w:after="0"/>
        <w:tabs>
          <w:tab w:leader="none" w:pos="13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40" w:firstLine="656"/>
        <w:spacing w:after="0" w:line="257" w:lineRule="auto"/>
        <w:tabs>
          <w:tab w:leader="none" w:pos="132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AGREEMENT TO GUARANTEE. The New Subsidiary Guarantor hereby agrees, jointly and severally, with the Parent Guarantor and all other Subsidiary Guarantors, to fully and unconditionally guarantee to each Holder and to the Trustee the Indenture Obligations, to the extent set forth in Article Fourteen of the Indenture and subject to the provisions thereof. The obligations of the Subsidiary Guarantors to the Holders of Notes and to the Trustee pursuant to the Subsidiary Guarantees are expressly set forth in Article Fourteen of the Indenture, and reference is hereby made to such Article for the precise terms of the Subsidiary Guarantees.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3" w:name="page194"/>
    <w:bookmarkEnd w:id="193"/>
    <w:p>
      <w:pPr>
        <w:ind w:left="-140" w:right="60" w:firstLine="656"/>
        <w:spacing w:after="0" w:line="277" w:lineRule="auto"/>
        <w:tabs>
          <w:tab w:leader="none" w:pos="118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NEW YORK LAW TO GOVERN. THE LAWS OF THE STATE OF NEW YORK SHALL GOVERN AND BE USED TO CONSTRUE AND ENFORCE THIS SUPPLEMENTAL INDENTURE.</w:t>
      </w:r>
    </w:p>
    <w:p>
      <w:pPr>
        <w:spacing w:after="0" w:line="170" w:lineRule="exact"/>
        <w:rPr>
          <w:rFonts w:ascii="Arial" w:cs="Arial" w:eastAsia="Arial" w:hAnsi="Arial"/>
          <w:sz w:val="18"/>
          <w:szCs w:val="18"/>
          <w:color w:val="auto"/>
        </w:rPr>
      </w:pPr>
    </w:p>
    <w:p>
      <w:pPr>
        <w:jc w:val="both"/>
        <w:ind w:left="-140" w:right="20" w:firstLine="656"/>
        <w:spacing w:after="0" w:line="264" w:lineRule="auto"/>
        <w:tabs>
          <w:tab w:leader="none" w:pos="118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81" w:lineRule="exact"/>
        <w:rPr>
          <w:rFonts w:ascii="Arial" w:cs="Arial" w:eastAsia="Arial" w:hAnsi="Arial"/>
          <w:sz w:val="18"/>
          <w:szCs w:val="18"/>
          <w:color w:val="auto"/>
        </w:rPr>
      </w:pPr>
    </w:p>
    <w:p>
      <w:pPr>
        <w:ind w:left="1200" w:hanging="684"/>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140" w:firstLine="656"/>
        <w:spacing w:after="0" w:line="259" w:lineRule="auto"/>
        <w:tabs>
          <w:tab w:leader="none" w:pos="118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80" w:top="909" w:right="359" w:bottom="1440" w:gutter="0" w:footer="0" w:header="0"/>
        </w:sectPr>
      </w:pPr>
    </w:p>
    <w:bookmarkStart w:id="194" w:name="page195"/>
    <w:bookmarkEnd w:id="194"/>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-10160</wp:posOffset>
            </wp:positionV>
            <wp:extent cx="7143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SUBSIDIARY GUARANTOR]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[OTHER SUBSIDIARY GUARANTORS]</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 PLC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EUTSCHE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TO INSTITUTIONAL ACCREDITED INVESTORS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NYC60-1630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Corporates Team—Weatherford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11.00% Senior Notes due 2024 (the “Securities”) of Weatherford International Ltd., a Bermuda exempted company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transfer, the Securities would be registered in the name of the new beneficial owner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-10160</wp:posOffset>
            </wp:positionV>
            <wp:extent cx="22860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-10160</wp:posOffset>
            </wp:positionV>
            <wp:extent cx="2171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-10160</wp:posOffset>
            </wp:positionV>
            <wp:extent cx="15716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right="20" w:firstLine="656"/>
        <w:spacing w:after="0" w:line="255" w:lineRule="auto"/>
        <w:tabs>
          <w:tab w:leader="none" w:pos="132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 normal course of our business. We and any accounts for which we are acting are each able to bear the economic risk of our or its investment.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6" w:name="page197"/>
    <w:bookmarkEnd w:id="196"/>
    <w:p>
      <w:pPr>
        <w:ind w:left="-8" w:firstLine="656"/>
        <w:spacing w:after="0" w:line="284" w:lineRule="auto"/>
        <w:tabs>
          <w:tab w:leader="none" w:pos="1315" w:val="left"/>
        </w:tabs>
        <w:numPr>
          <w:ilvl w:val="1"/>
          <w:numId w:val="238"/>
        </w:numPr>
        <w:rPr>
          <w:rFonts w:ascii="Arial" w:cs="Arial" w:eastAsia="Arial" w:hAnsi="Arial"/>
          <w:sz w:val="16"/>
          <w:szCs w:val="16"/>
          <w:color w:val="auto"/>
        </w:rPr>
      </w:pPr>
      <w:r>
        <w:rPr>
          <w:rFonts w:ascii="Arial" w:cs="Arial" w:eastAsia="Arial" w:hAnsi="Arial"/>
          <w:sz w:val="16"/>
          <w:szCs w:val="16"/>
          <w:color w:val="auto"/>
        </w:rPr>
        <w:t>We understand that the Securities have not been registered under the Securities Act and, unless so registered, may not be sold except as permitted in the following sentence. We 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 Company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w:t>
      </w:r>
    </w:p>
    <w:p>
      <w:pPr>
        <w:spacing w:after="0" w:line="2" w:lineRule="exact"/>
        <w:rPr>
          <w:rFonts w:ascii="Arial" w:cs="Arial" w:eastAsia="Arial" w:hAnsi="Arial"/>
          <w:sz w:val="16"/>
          <w:szCs w:val="16"/>
          <w:color w:val="auto"/>
        </w:rPr>
      </w:pPr>
    </w:p>
    <w:p>
      <w:pPr>
        <w:ind w:left="-8" w:firstLine="8"/>
        <w:spacing w:after="0" w:line="285" w:lineRule="auto"/>
        <w:tabs>
          <w:tab w:leader="none" w:pos="24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clauses (e) or (f) above to require the delivery of an Opinion of Counsel, certifications and/or other information satisfactory to the Company and the Trustee.</w:t>
      </w:r>
    </w:p>
    <w:p>
      <w:pPr>
        <w:spacing w:after="0" w:line="170" w:lineRule="exact"/>
        <w:rPr>
          <w:rFonts w:ascii="Arial" w:cs="Arial" w:eastAsia="Arial" w:hAnsi="Arial"/>
          <w:sz w:val="16"/>
          <w:szCs w:val="16"/>
          <w:color w:val="auto"/>
        </w:rPr>
      </w:pPr>
    </w:p>
    <w:p>
      <w:pPr>
        <w:ind w:left="1332" w:hanging="684"/>
        <w:spacing w:after="0"/>
        <w:tabs>
          <w:tab w:leader="none" w:pos="133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We [are][are not] an Affiliate of the Company.</w:t>
      </w:r>
    </w:p>
    <w:p>
      <w:pPr>
        <w:spacing w:after="0" w:line="22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6350</wp:posOffset>
            </wp:positionV>
            <wp:extent cx="2752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33274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PURSUANT TO REGULATION 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NYC60-1630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Corporates Team—Weatherford</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Weatherford International ltd. (the “Company”) 11.00% Senior Notes due 2024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Securities, we confirm that such sale has been effected pursuant to and in accordance with Regulation S under the United States Securities Act of 1933, as amended (the “Securities Act”), and, accordingly, we represent that:</w:t>
      </w:r>
    </w:p>
    <w:p>
      <w:pPr>
        <w:spacing w:after="0" w:line="124" w:lineRule="exact"/>
        <w:rPr>
          <w:sz w:val="20"/>
          <w:szCs w:val="20"/>
          <w:color w:val="auto"/>
        </w:rPr>
      </w:pPr>
    </w:p>
    <w:p>
      <w:pPr>
        <w:ind w:left="2040" w:hanging="735"/>
        <w:spacing w:after="0"/>
        <w:tabs>
          <w:tab w:leader="none" w:pos="20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offer of the Securities was not made to a person in the United States;</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205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86" w:lineRule="exact"/>
        <w:rPr>
          <w:rFonts w:ascii="Arial" w:cs="Arial" w:eastAsia="Arial" w:hAnsi="Arial"/>
          <w:sz w:val="18"/>
          <w:szCs w:val="18"/>
          <w:color w:val="auto"/>
        </w:rPr>
      </w:pPr>
    </w:p>
    <w:p>
      <w:pPr>
        <w:ind w:left="2040" w:hanging="735"/>
        <w:spacing w:after="0"/>
        <w:tabs>
          <w:tab w:leader="none" w:pos="20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 directed selling efforts have been made in the United States in contravention of the requirements of Rule 903(a)(2)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Rule 904(a)(2) of Regulation S, as applicable; and</w:t>
      </w:r>
    </w:p>
    <w:p>
      <w:pPr>
        <w:spacing w:after="0" w:line="211" w:lineRule="exact"/>
        <w:rPr>
          <w:sz w:val="20"/>
          <w:szCs w:val="20"/>
          <w:color w:val="auto"/>
        </w:rPr>
      </w:pPr>
    </w:p>
    <w:p>
      <w:pPr>
        <w:ind w:left="2060" w:hanging="755"/>
        <w:spacing w:after="0"/>
        <w:tabs>
          <w:tab w:leader="none" w:pos="2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8" w:name="page199"/>
    <w:bookmarkEnd w:id="198"/>
    <w:p>
      <w:pPr>
        <w:ind w:right="340" w:firstLine="648"/>
        <w:spacing w:after="0" w:line="277" w:lineRule="auto"/>
        <w:rPr>
          <w:sz w:val="20"/>
          <w:szCs w:val="20"/>
          <w:color w:val="auto"/>
        </w:rPr>
      </w:pPr>
      <w:r>
        <w:rPr>
          <w:rFonts w:ascii="Arial" w:cs="Arial" w:eastAsia="Arial" w:hAnsi="Arial"/>
          <w:sz w:val="18"/>
          <w:szCs w:val="18"/>
          <w:color w:val="auto"/>
        </w:rPr>
        <w:t>We also hereby certify that we [are][are not] an Affiliate of the Company and, to our knowledge, the transferee of the Securities [is][is not] an Affiliate of the Company.</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Transferor]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9" w:right="45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317500</wp:posOffset>
            </wp:positionV>
            <wp:extent cx="617220" cy="6172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Lead Arrangers,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Book Runners,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LENDERS THAT ARE PARTIES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the Lenders,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Parent,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WEATHERFORD INTERNATIONAL, LLC,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Borrowers</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December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454660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8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540"/>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8480" w:type="dxa"/>
            <w:vAlign w:val="bottom"/>
            <w:gridSpan w:val="2"/>
          </w:tcPr>
          <w:p>
            <w:pPr>
              <w:ind w:left="80"/>
              <w:spacing w:after="0"/>
              <w:rPr>
                <w:sz w:val="20"/>
                <w:szCs w:val="20"/>
                <w:color w:val="auto"/>
              </w:rPr>
            </w:pPr>
            <w:r>
              <w:rPr>
                <w:rFonts w:ascii="Arial" w:cs="Arial" w:eastAsia="Arial" w:hAnsi="Arial"/>
                <w:sz w:val="18"/>
                <w:szCs w:val="18"/>
                <w:color w:val="auto"/>
              </w:rPr>
              <w:t>DEFINITIONS AND CONSTRUCTION</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1.1.</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1.2.</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Accounting Terms</w:t>
            </w:r>
          </w:p>
        </w:tc>
        <w:tc>
          <w:tcPr>
            <w:tcW w:w="2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1.3.</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Code; PPSA</w:t>
            </w:r>
          </w:p>
        </w:tc>
        <w:tc>
          <w:tcPr>
            <w:tcW w:w="2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1.4.</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Construction</w:t>
            </w:r>
          </w:p>
        </w:tc>
        <w:tc>
          <w:tcPr>
            <w:tcW w:w="2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1.5.</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Time References</w:t>
            </w:r>
          </w:p>
        </w:tc>
        <w:tc>
          <w:tcPr>
            <w:tcW w:w="2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1.6.</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Schedules and Exhibits</w:t>
            </w:r>
          </w:p>
        </w:tc>
        <w:tc>
          <w:tcPr>
            <w:tcW w:w="2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1.7.</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Divisions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1.8.</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Exchange Rates; Currency Equivalents; Alternative Currencies</w:t>
            </w:r>
          </w:p>
        </w:tc>
        <w:tc>
          <w:tcPr>
            <w:tcW w:w="2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78"/>
        </w:trPr>
        <w:tc>
          <w:tcPr>
            <w:tcW w:w="8680" w:type="dxa"/>
            <w:vAlign w:val="bottom"/>
            <w:gridSpan w:val="3"/>
          </w:tcPr>
          <w:p>
            <w:pPr>
              <w:spacing w:after="0"/>
              <w:rPr>
                <w:sz w:val="20"/>
                <w:szCs w:val="20"/>
                <w:color w:val="auto"/>
              </w:rPr>
            </w:pPr>
            <w:r>
              <w:rPr>
                <w:rFonts w:ascii="Arial" w:cs="Arial" w:eastAsia="Arial" w:hAnsi="Arial"/>
                <w:sz w:val="18"/>
                <w:szCs w:val="18"/>
                <w:color w:val="auto"/>
              </w:rPr>
              <w:t>2.  LOANS AND TERMS OF PAYMENT</w:t>
            </w:r>
          </w:p>
        </w:tc>
        <w:tc>
          <w:tcPr>
            <w:tcW w:w="2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2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2.1.</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Revolving Loans</w:t>
            </w:r>
          </w:p>
        </w:tc>
        <w:tc>
          <w:tcPr>
            <w:tcW w:w="2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2.2.</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FILO Loans</w:t>
            </w:r>
          </w:p>
        </w:tc>
        <w:tc>
          <w:tcPr>
            <w:tcW w:w="27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2.3.</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Borrowing Procedures and Settlements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2.4.</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Payments; Reductions of Commitments; Prepayments</w:t>
            </w:r>
          </w:p>
        </w:tc>
        <w:tc>
          <w:tcPr>
            <w:tcW w:w="27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2.5.</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Promise to Pay; Promissory Notes</w:t>
            </w:r>
          </w:p>
        </w:tc>
        <w:tc>
          <w:tcPr>
            <w:tcW w:w="27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2.6.</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Interest Rates and Letter of Credit Fee: Rates, Payments, and Calculations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2.7.</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Crediting Payments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2.8.</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Designated Account</w:t>
            </w:r>
          </w:p>
        </w:tc>
        <w:tc>
          <w:tcPr>
            <w:tcW w:w="2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2.9.</w:t>
            </w:r>
          </w:p>
        </w:tc>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Maintenance of Loan Account; Statements of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2.10.</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Fees</w:t>
            </w:r>
          </w:p>
        </w:tc>
        <w:tc>
          <w:tcPr>
            <w:tcW w:w="27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2.11.</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Letters of Credit</w:t>
            </w:r>
          </w:p>
        </w:tc>
        <w:tc>
          <w:tcPr>
            <w:tcW w:w="27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2.12.</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LIBOR Option</w:t>
            </w:r>
          </w:p>
        </w:tc>
        <w:tc>
          <w:tcPr>
            <w:tcW w:w="2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2.13.</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Capital Requirements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78"/>
        </w:trPr>
        <w:tc>
          <w:tcPr>
            <w:tcW w:w="8680" w:type="dxa"/>
            <w:vAlign w:val="bottom"/>
            <w:gridSpan w:val="3"/>
          </w:tcPr>
          <w:p>
            <w:pPr>
              <w:spacing w:after="0"/>
              <w:rPr>
                <w:sz w:val="20"/>
                <w:szCs w:val="20"/>
                <w:color w:val="auto"/>
              </w:rPr>
            </w:pPr>
            <w:r>
              <w:rPr>
                <w:rFonts w:ascii="Arial" w:cs="Arial" w:eastAsia="Arial" w:hAnsi="Arial"/>
                <w:sz w:val="18"/>
                <w:szCs w:val="18"/>
                <w:color w:val="auto"/>
              </w:rPr>
              <w:t>3.  CONDITIONS; TERM OF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2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3.1.</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Conditions Precedent to the Initial Extension of Credit</w:t>
            </w:r>
          </w:p>
        </w:tc>
        <w:tc>
          <w:tcPr>
            <w:tcW w:w="27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3.2.</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Conditions Precedent to all Extensions of Credit</w:t>
            </w:r>
          </w:p>
        </w:tc>
        <w:tc>
          <w:tcPr>
            <w:tcW w:w="27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3.3.</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Maturity</w:t>
            </w:r>
          </w:p>
        </w:tc>
        <w:tc>
          <w:tcPr>
            <w:tcW w:w="27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3.4.</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Effect of Maturity</w:t>
            </w:r>
          </w:p>
        </w:tc>
        <w:tc>
          <w:tcPr>
            <w:tcW w:w="27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3.5.</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Early Termination by Borrowers</w:t>
            </w:r>
          </w:p>
        </w:tc>
        <w:tc>
          <w:tcPr>
            <w:tcW w:w="2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3.6.</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Conditions Subsequent</w:t>
            </w:r>
          </w:p>
        </w:tc>
        <w:tc>
          <w:tcPr>
            <w:tcW w:w="2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78"/>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8480" w:type="dxa"/>
            <w:vAlign w:val="bottom"/>
            <w:gridSpan w:val="2"/>
          </w:tcPr>
          <w:p>
            <w:pPr>
              <w:ind w:left="80"/>
              <w:spacing w:after="0"/>
              <w:rPr>
                <w:sz w:val="20"/>
                <w:szCs w:val="20"/>
                <w:color w:val="auto"/>
              </w:rPr>
            </w:pPr>
            <w:r>
              <w:rPr>
                <w:rFonts w:ascii="Arial" w:cs="Arial" w:eastAsia="Arial" w:hAnsi="Arial"/>
                <w:sz w:val="18"/>
                <w:szCs w:val="18"/>
                <w:color w:val="auto"/>
              </w:rPr>
              <w:t>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2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4.1.</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Due Organization and Qualification; Subsidiaries</w:t>
            </w:r>
          </w:p>
        </w:tc>
        <w:tc>
          <w:tcPr>
            <w:tcW w:w="2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4.2.</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Due Authorization; No Conflict</w:t>
            </w:r>
          </w:p>
        </w:tc>
        <w:tc>
          <w:tcPr>
            <w:tcW w:w="27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4.3.</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Governmental Consents</w:t>
            </w:r>
          </w:p>
        </w:tc>
        <w:tc>
          <w:tcPr>
            <w:tcW w:w="27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20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4.4.</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Binding Obligations; Perfected Liens</w:t>
            </w:r>
          </w:p>
        </w:tc>
        <w:tc>
          <w:tcPr>
            <w:tcW w:w="274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96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7960" w:type="dxa"/>
            <w:vAlign w:val="bottom"/>
          </w:tcPr>
          <w:p>
            <w:pPr>
              <w:ind w:left="4560"/>
              <w:spacing w:after="0"/>
              <w:rPr>
                <w:sz w:val="20"/>
                <w:szCs w:val="20"/>
                <w:color w:val="auto"/>
              </w:rPr>
            </w:pPr>
            <w:r>
              <w:rPr>
                <w:rFonts w:ascii="Arial" w:cs="Arial" w:eastAsia="Arial" w:hAnsi="Arial"/>
                <w:sz w:val="18"/>
                <w:szCs w:val="18"/>
                <w:b w:val="1"/>
                <w:bCs w:val="1"/>
                <w:color w:val="auto"/>
              </w:rPr>
              <w:t>(continued)</w:t>
            </w:r>
          </w:p>
        </w:tc>
        <w:tc>
          <w:tcPr>
            <w:tcW w:w="274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459"/>
        </w:trPr>
        <w:tc>
          <w:tcPr>
            <w:tcW w:w="720" w:type="dxa"/>
            <w:vAlign w:val="bottom"/>
          </w:tcPr>
          <w:p>
            <w:pPr>
              <w:ind w:left="260"/>
              <w:spacing w:after="0"/>
              <w:rPr>
                <w:sz w:val="20"/>
                <w:szCs w:val="20"/>
                <w:color w:val="auto"/>
              </w:rPr>
            </w:pPr>
            <w:r>
              <w:rPr>
                <w:rFonts w:ascii="Arial" w:cs="Arial" w:eastAsia="Arial" w:hAnsi="Arial"/>
                <w:sz w:val="18"/>
                <w:szCs w:val="18"/>
                <w:color w:val="auto"/>
              </w:rPr>
              <w:t>4.5.</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Title to Assets; No Encumbrances</w:t>
            </w:r>
          </w:p>
        </w:tc>
        <w:tc>
          <w:tcPr>
            <w:tcW w:w="27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4.6.</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Litigation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4.7.</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Compliance with Laws</w:t>
            </w:r>
          </w:p>
        </w:tc>
        <w:tc>
          <w:tcPr>
            <w:tcW w:w="2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4.8.</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No Material Adverse Effect</w:t>
            </w:r>
          </w:p>
        </w:tc>
        <w:tc>
          <w:tcPr>
            <w:tcW w:w="2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4.9.</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Solvency</w:t>
            </w:r>
          </w:p>
        </w:tc>
        <w:tc>
          <w:tcPr>
            <w:tcW w:w="2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4.10.</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Employee Benefits</w:t>
            </w:r>
          </w:p>
        </w:tc>
        <w:tc>
          <w:tcPr>
            <w:tcW w:w="2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4.11.</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Environmental Condition</w:t>
            </w:r>
          </w:p>
        </w:tc>
        <w:tc>
          <w:tcPr>
            <w:tcW w:w="27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4.12.</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Complete Disclosure</w:t>
            </w:r>
          </w:p>
        </w:tc>
        <w:tc>
          <w:tcPr>
            <w:tcW w:w="27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4.13.</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Patriot Act, Etc.</w:t>
            </w:r>
          </w:p>
        </w:tc>
        <w:tc>
          <w:tcPr>
            <w:tcW w:w="2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4.14.</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Indebtedness</w:t>
            </w:r>
          </w:p>
        </w:tc>
        <w:tc>
          <w:tcPr>
            <w:tcW w:w="2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4.15.</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Payment of Taxes</w:t>
            </w:r>
          </w:p>
        </w:tc>
        <w:tc>
          <w:tcPr>
            <w:tcW w:w="2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4.16.</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Margin Stock</w:t>
            </w:r>
          </w:p>
        </w:tc>
        <w:tc>
          <w:tcPr>
            <w:tcW w:w="2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4.17.</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Governmental Regulation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4.18.</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OFAC; Sanctions; Anti-Corruption Laws; Anti-Money Laundering Laws</w:t>
            </w:r>
          </w:p>
        </w:tc>
        <w:tc>
          <w:tcPr>
            <w:tcW w:w="2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4.19.</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Employee and Labor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4.20.</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Status as a Holding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4.21.</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Leases</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4.22.</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Eligible Accounts</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4.23.</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Eligible Inventory</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4.24.</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Eligible Rental Tools</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4.25.</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Location of Inventory and Rental Tools</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4.26.</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Inventory Records</w:t>
            </w:r>
          </w:p>
        </w:tc>
        <w:tc>
          <w:tcPr>
            <w:tcW w:w="2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4.27.</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Other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4.28.</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Hedge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4.29.</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Compliance with the Swiss Non-Bank Rules</w:t>
            </w:r>
          </w:p>
        </w:tc>
        <w:tc>
          <w:tcPr>
            <w:tcW w:w="2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4.30.</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Centre of Main Interest</w:t>
            </w:r>
          </w:p>
        </w:tc>
        <w:tc>
          <w:tcPr>
            <w:tcW w:w="2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4.31.</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Dutch Fiscal Unity</w:t>
            </w:r>
          </w:p>
        </w:tc>
        <w:tc>
          <w:tcPr>
            <w:tcW w:w="2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4.32.</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Tax Residency</w:t>
            </w:r>
          </w:p>
        </w:tc>
        <w:tc>
          <w:tcPr>
            <w:tcW w:w="2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78"/>
        </w:trPr>
        <w:tc>
          <w:tcPr>
            <w:tcW w:w="8680" w:type="dxa"/>
            <w:vAlign w:val="bottom"/>
            <w:gridSpan w:val="2"/>
          </w:tcPr>
          <w:p>
            <w:pPr>
              <w:spacing w:after="0"/>
              <w:rPr>
                <w:sz w:val="20"/>
                <w:szCs w:val="20"/>
                <w:color w:val="auto"/>
              </w:rPr>
            </w:pPr>
            <w:r>
              <w:rPr>
                <w:rFonts w:ascii="Arial" w:cs="Arial" w:eastAsia="Arial" w:hAnsi="Arial"/>
                <w:sz w:val="18"/>
                <w:szCs w:val="18"/>
                <w:color w:val="auto"/>
              </w:rPr>
              <w:t>5.  AFFIRMATIVE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24"/>
        </w:trPr>
        <w:tc>
          <w:tcPr>
            <w:tcW w:w="720" w:type="dxa"/>
            <w:vAlign w:val="bottom"/>
          </w:tcPr>
          <w:p>
            <w:pPr>
              <w:ind w:left="260"/>
              <w:spacing w:after="0"/>
              <w:rPr>
                <w:sz w:val="20"/>
                <w:szCs w:val="20"/>
                <w:color w:val="auto"/>
              </w:rPr>
            </w:pPr>
            <w:r>
              <w:rPr>
                <w:rFonts w:ascii="Arial" w:cs="Arial" w:eastAsia="Arial" w:hAnsi="Arial"/>
                <w:sz w:val="18"/>
                <w:szCs w:val="18"/>
                <w:color w:val="auto"/>
              </w:rPr>
              <w:t>5.1.</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Reports, Certificates</w:t>
            </w:r>
          </w:p>
        </w:tc>
        <w:tc>
          <w:tcPr>
            <w:tcW w:w="27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5.2.</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Reporting</w:t>
            </w:r>
          </w:p>
        </w:tc>
        <w:tc>
          <w:tcPr>
            <w:tcW w:w="27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5.3.</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Existence</w:t>
            </w:r>
          </w:p>
        </w:tc>
        <w:tc>
          <w:tcPr>
            <w:tcW w:w="27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5.4.</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Maintenance of Properties</w:t>
            </w:r>
          </w:p>
        </w:tc>
        <w:tc>
          <w:tcPr>
            <w:tcW w:w="27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5.5.</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Taxes</w:t>
            </w:r>
          </w:p>
        </w:tc>
        <w:tc>
          <w:tcPr>
            <w:tcW w:w="27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5.6.</w:t>
            </w:r>
          </w:p>
        </w:tc>
        <w:tc>
          <w:tcPr>
            <w:tcW w:w="7960" w:type="dxa"/>
            <w:vAlign w:val="bottom"/>
          </w:tcPr>
          <w:p>
            <w:pPr>
              <w:ind w:left="80"/>
              <w:spacing w:after="0"/>
              <w:rPr>
                <w:sz w:val="20"/>
                <w:szCs w:val="20"/>
                <w:color w:val="auto"/>
              </w:rPr>
            </w:pPr>
            <w:r>
              <w:rPr>
                <w:rFonts w:ascii="Arial" w:cs="Arial" w:eastAsia="Arial" w:hAnsi="Arial"/>
                <w:sz w:val="18"/>
                <w:szCs w:val="18"/>
                <w:b w:val="1"/>
                <w:bCs w:val="1"/>
                <w:color w:val="auto"/>
              </w:rPr>
              <w:t>Insurance</w:t>
            </w:r>
          </w:p>
        </w:tc>
        <w:tc>
          <w:tcPr>
            <w:tcW w:w="274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28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14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280" w:type="dxa"/>
            <w:vAlign w:val="bottom"/>
          </w:tcPr>
          <w:p>
            <w:pPr>
              <w:ind w:left="4560"/>
              <w:spacing w:after="0"/>
              <w:rPr>
                <w:sz w:val="20"/>
                <w:szCs w:val="20"/>
                <w:color w:val="auto"/>
              </w:rPr>
            </w:pPr>
            <w:r>
              <w:rPr>
                <w:rFonts w:ascii="Arial" w:cs="Arial" w:eastAsia="Arial" w:hAnsi="Arial"/>
                <w:sz w:val="18"/>
                <w:szCs w:val="18"/>
                <w:b w:val="1"/>
                <w:bCs w:val="1"/>
                <w:color w:val="auto"/>
              </w:rPr>
              <w:t>(continued)</w:t>
            </w:r>
          </w:p>
        </w:tc>
        <w:tc>
          <w:tcPr>
            <w:tcW w:w="142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459"/>
        </w:trPr>
        <w:tc>
          <w:tcPr>
            <w:tcW w:w="720" w:type="dxa"/>
            <w:vAlign w:val="bottom"/>
          </w:tcPr>
          <w:p>
            <w:pPr>
              <w:ind w:left="260"/>
              <w:spacing w:after="0"/>
              <w:rPr>
                <w:sz w:val="20"/>
                <w:szCs w:val="20"/>
                <w:color w:val="auto"/>
              </w:rPr>
            </w:pPr>
            <w:r>
              <w:rPr>
                <w:rFonts w:ascii="Arial" w:cs="Arial" w:eastAsia="Arial" w:hAnsi="Arial"/>
                <w:sz w:val="18"/>
                <w:szCs w:val="18"/>
                <w:color w:val="auto"/>
              </w:rPr>
              <w:t>5.7.</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Inspection</w:t>
            </w: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5.8.</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Compliance with Laws; Material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5.9.</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Environmental</w:t>
            </w:r>
          </w:p>
        </w:tc>
        <w:tc>
          <w:tcPr>
            <w:tcW w:w="14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5.10.</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Disclosure Updates</w:t>
            </w:r>
          </w:p>
        </w:tc>
        <w:tc>
          <w:tcPr>
            <w:tcW w:w="14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10000" w:type="dxa"/>
            <w:vAlign w:val="bottom"/>
            <w:gridSpan w:val="2"/>
          </w:tcPr>
          <w:p>
            <w:pPr>
              <w:ind w:left="2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color w:val="auto"/>
              </w:rPr>
              <w:t>Additional Guarantors; Additional Collateral; Additional Specified Jurisdictions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5.12.</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Further Assurances</w:t>
            </w: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5.13.</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Lender 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5.14.</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Location of Inventory and Rental Tools; Chief Executive Office</w:t>
            </w: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5.15.</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OFAC; Sanctions; Anti-Corruption Laws; Anti-Money Laundering Laws</w:t>
            </w: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5.16.</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Compliance with ERISA and the IRC</w:t>
            </w: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5.17.</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w w:val="95"/>
              </w:rPr>
              <w:t>Designation of Unrestricted Subsidiaries; Redesignation of Unrestricted Subsidiaries as Restricted Subsidiaries</w:t>
            </w: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5.18.</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UK Cash Management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5.19.</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Collections; Cash Dominion</w:t>
            </w:r>
          </w:p>
        </w:tc>
        <w:tc>
          <w:tcPr>
            <w:tcW w:w="14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5.20.</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Compliance with the Swiss Non-Bank Rules</w:t>
            </w: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5.21.</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Centre of Main Interest</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5.22.</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Dutch Fiscal Unity</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5.23.</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Tax Residency</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78"/>
        </w:trPr>
        <w:tc>
          <w:tcPr>
            <w:tcW w:w="10000" w:type="dxa"/>
            <w:vAlign w:val="bottom"/>
            <w:gridSpan w:val="2"/>
          </w:tcPr>
          <w:p>
            <w:pPr>
              <w:spacing w:after="0"/>
              <w:rPr>
                <w:sz w:val="20"/>
                <w:szCs w:val="20"/>
                <w:color w:val="auto"/>
              </w:rPr>
            </w:pPr>
            <w:r>
              <w:rPr>
                <w:rFonts w:ascii="Arial" w:cs="Arial" w:eastAsia="Arial" w:hAnsi="Arial"/>
                <w:sz w:val="18"/>
                <w:szCs w:val="18"/>
                <w:color w:val="auto"/>
              </w:rPr>
              <w:t>6.  NEGATIVE COVENANTS</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720" w:type="dxa"/>
            <w:vAlign w:val="bottom"/>
          </w:tcPr>
          <w:p>
            <w:pPr>
              <w:ind w:left="260"/>
              <w:spacing w:after="0"/>
              <w:rPr>
                <w:sz w:val="20"/>
                <w:szCs w:val="20"/>
                <w:color w:val="auto"/>
              </w:rPr>
            </w:pPr>
            <w:r>
              <w:rPr>
                <w:rFonts w:ascii="Arial" w:cs="Arial" w:eastAsia="Arial" w:hAnsi="Arial"/>
                <w:sz w:val="18"/>
                <w:szCs w:val="18"/>
                <w:color w:val="auto"/>
              </w:rPr>
              <w:t>6.1.</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Indebtedness</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6.2.</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Fundamental Changes</w:t>
            </w:r>
          </w:p>
        </w:tc>
        <w:tc>
          <w:tcPr>
            <w:tcW w:w="14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6.3.</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Material Change in Business</w:t>
            </w: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6.4.</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Liens</w:t>
            </w: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6.5.</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Asset Dispositions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6.6.</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Investments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6.7.</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Hedge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6.8.</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Restricted Payments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6.9.</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Status as a Holding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6.10.</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Limitations on Transactions with Affiliates</w:t>
            </w:r>
          </w:p>
        </w:tc>
        <w:tc>
          <w:tcPr>
            <w:tcW w:w="14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6.11.</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Restrictive Agreements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6.12.</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6.13.</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Changes to Fiscal Year</w:t>
            </w: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6.14.</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Amendments to Certain Documents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720" w:type="dxa"/>
            <w:vAlign w:val="bottom"/>
          </w:tcPr>
          <w:p>
            <w:pPr>
              <w:ind w:left="260"/>
              <w:spacing w:after="0"/>
              <w:rPr>
                <w:sz w:val="20"/>
                <w:szCs w:val="20"/>
                <w:color w:val="auto"/>
              </w:rPr>
            </w:pPr>
            <w:r>
              <w:rPr>
                <w:rFonts w:ascii="Arial" w:cs="Arial" w:eastAsia="Arial" w:hAnsi="Arial"/>
                <w:sz w:val="18"/>
                <w:szCs w:val="18"/>
                <w:color w:val="auto"/>
              </w:rPr>
              <w:t>6.15.</w:t>
            </w:r>
          </w:p>
        </w:tc>
        <w:tc>
          <w:tcPr>
            <w:tcW w:w="9280" w:type="dxa"/>
            <w:vAlign w:val="bottom"/>
          </w:tcPr>
          <w:p>
            <w:pPr>
              <w:ind w:left="80"/>
              <w:spacing w:after="0"/>
              <w:rPr>
                <w:sz w:val="20"/>
                <w:szCs w:val="20"/>
                <w:color w:val="auto"/>
              </w:rPr>
            </w:pPr>
            <w:r>
              <w:rPr>
                <w:rFonts w:ascii="Arial" w:cs="Arial" w:eastAsia="Arial" w:hAnsi="Arial"/>
                <w:sz w:val="18"/>
                <w:szCs w:val="18"/>
                <w:b w:val="1"/>
                <w:bCs w:val="1"/>
                <w:color w:val="auto"/>
              </w:rPr>
              <w:t>[Reserved]</w:t>
            </w: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40" w:type="dxa"/>
            <w:vAlign w:val="bottom"/>
          </w:tcPr>
          <w:p>
            <w:pPr>
              <w:ind w:left="402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40" w:type="dxa"/>
            <w:vAlign w:val="bottom"/>
          </w:tcPr>
          <w:p>
            <w:pPr>
              <w:ind w:left="4540"/>
              <w:spacing w:after="0"/>
              <w:rPr>
                <w:sz w:val="20"/>
                <w:szCs w:val="20"/>
                <w:color w:val="auto"/>
              </w:rPr>
            </w:pPr>
            <w:r>
              <w:rPr>
                <w:rFonts w:ascii="Arial" w:cs="Arial" w:eastAsia="Arial" w:hAnsi="Arial"/>
                <w:sz w:val="18"/>
                <w:szCs w:val="18"/>
                <w:b w:val="1"/>
                <w:bCs w:val="1"/>
                <w:color w:val="auto"/>
              </w:rPr>
              <w:t>(continued)</w:t>
            </w:r>
          </w:p>
        </w:tc>
        <w:tc>
          <w:tcPr>
            <w:tcW w:w="27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459"/>
        </w:trPr>
        <w:tc>
          <w:tcPr>
            <w:tcW w:w="2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6.16.</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Inventory or Rental Tools with Bailees</w:t>
            </w:r>
          </w:p>
        </w:tc>
        <w:tc>
          <w:tcPr>
            <w:tcW w:w="27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6.17.</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Employee Benefits</w:t>
            </w:r>
          </w:p>
        </w:tc>
        <w:tc>
          <w:tcPr>
            <w:tcW w:w="27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6.18.</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Limitation on Issuance of Equity Interests</w:t>
            </w:r>
          </w:p>
        </w:tc>
        <w:tc>
          <w:tcPr>
            <w:tcW w:w="27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378"/>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FINANCIAL COVENANT</w:t>
            </w:r>
          </w:p>
        </w:tc>
        <w:tc>
          <w:tcPr>
            <w:tcW w:w="27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324"/>
        </w:trPr>
        <w:tc>
          <w:tcPr>
            <w:tcW w:w="2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8.1.</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Payments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8.2.</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8.3.</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Judgments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8.4.</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Voluntary Bankruptcy, etc.</w:t>
            </w:r>
          </w:p>
        </w:tc>
        <w:tc>
          <w:tcPr>
            <w:tcW w:w="2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8.5.</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Involuntary Bankruptcy, etc.</w:t>
            </w:r>
          </w:p>
        </w:tc>
        <w:tc>
          <w:tcPr>
            <w:tcW w:w="2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8.6.</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Default Under Other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8.7.</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Representations, etc.</w:t>
            </w:r>
          </w:p>
        </w:tc>
        <w:tc>
          <w:tcPr>
            <w:tcW w:w="2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8.8.</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Guaranty</w:t>
            </w:r>
          </w:p>
        </w:tc>
        <w:tc>
          <w:tcPr>
            <w:tcW w:w="2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8.9.</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Collateral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8.10.</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Loan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8.11.</w:t>
            </w:r>
          </w:p>
        </w:tc>
        <w:tc>
          <w:tcPr>
            <w:tcW w:w="7940" w:type="dxa"/>
            <w:vAlign w:val="bottom"/>
          </w:tcPr>
          <w:p>
            <w:pPr>
              <w:ind w:left="100"/>
              <w:spacing w:after="0"/>
              <w:rPr>
                <w:sz w:val="20"/>
                <w:szCs w:val="20"/>
                <w:color w:val="auto"/>
              </w:rPr>
            </w:pPr>
            <w:r>
              <w:rPr>
                <w:rFonts w:ascii="Arial" w:cs="Arial" w:eastAsia="Arial" w:hAnsi="Arial"/>
                <w:sz w:val="18"/>
                <w:szCs w:val="18"/>
                <w:b w:val="1"/>
                <w:bCs w:val="1"/>
                <w:color w:val="auto"/>
              </w:rPr>
              <w:t>Change of Control</w:t>
            </w:r>
          </w:p>
        </w:tc>
        <w:tc>
          <w:tcPr>
            <w:tcW w:w="27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8.12.</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ERISA</w:t>
            </w:r>
          </w:p>
        </w:tc>
        <w:tc>
          <w:tcPr>
            <w:tcW w:w="27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378"/>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RIGHTS AND REMEDIES</w:t>
            </w:r>
          </w:p>
        </w:tc>
        <w:tc>
          <w:tcPr>
            <w:tcW w:w="27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324"/>
        </w:trPr>
        <w:tc>
          <w:tcPr>
            <w:tcW w:w="2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9.1.</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Rights and Remedies</w:t>
            </w:r>
          </w:p>
        </w:tc>
        <w:tc>
          <w:tcPr>
            <w:tcW w:w="27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9.2.</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Remedies Cumulative</w:t>
            </w:r>
          </w:p>
        </w:tc>
        <w:tc>
          <w:tcPr>
            <w:tcW w:w="27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378"/>
        </w:trPr>
        <w:tc>
          <w:tcPr>
            <w:tcW w:w="260" w:type="dxa"/>
            <w:vAlign w:val="bottom"/>
          </w:tcPr>
          <w:p>
            <w:pPr>
              <w:spacing w:after="0"/>
              <w:rPr>
                <w:sz w:val="20"/>
                <w:szCs w:val="20"/>
                <w:color w:val="auto"/>
              </w:rPr>
            </w:pPr>
            <w:r>
              <w:rPr>
                <w:rFonts w:ascii="Arial" w:cs="Arial" w:eastAsia="Arial" w:hAnsi="Arial"/>
                <w:sz w:val="18"/>
                <w:szCs w:val="18"/>
                <w:color w:val="auto"/>
                <w:w w:val="95"/>
              </w:rPr>
              <w:t>10.</w:t>
            </w:r>
          </w:p>
        </w:tc>
        <w:tc>
          <w:tcPr>
            <w:tcW w:w="8420" w:type="dxa"/>
            <w:vAlign w:val="bottom"/>
            <w:gridSpan w:val="2"/>
          </w:tcPr>
          <w:p>
            <w:pPr>
              <w:ind w:left="100"/>
              <w:spacing w:after="0"/>
              <w:rPr>
                <w:sz w:val="20"/>
                <w:szCs w:val="20"/>
                <w:color w:val="auto"/>
              </w:rPr>
            </w:pPr>
            <w:r>
              <w:rPr>
                <w:rFonts w:ascii="Arial" w:cs="Arial" w:eastAsia="Arial" w:hAnsi="Arial"/>
                <w:sz w:val="18"/>
                <w:szCs w:val="18"/>
                <w:color w:val="auto"/>
              </w:rPr>
              <w:t>WAIVERS; INDEMNIFICATION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324"/>
        </w:trPr>
        <w:tc>
          <w:tcPr>
            <w:tcW w:w="2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Demand; Protest; etc.</w:t>
            </w:r>
          </w:p>
        </w:tc>
        <w:tc>
          <w:tcPr>
            <w:tcW w:w="27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10.2.</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The Lender Group's Liability for Collateral</w:t>
            </w:r>
          </w:p>
        </w:tc>
        <w:tc>
          <w:tcPr>
            <w:tcW w:w="27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10.3.</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Indemnification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78"/>
        </w:trPr>
        <w:tc>
          <w:tcPr>
            <w:tcW w:w="8680" w:type="dxa"/>
            <w:vAlign w:val="bottom"/>
            <w:gridSpan w:val="3"/>
          </w:tcPr>
          <w:p>
            <w:pPr>
              <w:spacing w:after="0"/>
              <w:rPr>
                <w:sz w:val="20"/>
                <w:szCs w:val="20"/>
                <w:color w:val="auto"/>
              </w:rPr>
            </w:pPr>
            <w:r>
              <w:rPr>
                <w:rFonts w:ascii="Arial" w:cs="Arial" w:eastAsia="Arial" w:hAnsi="Arial"/>
                <w:sz w:val="18"/>
                <w:szCs w:val="18"/>
                <w:color w:val="auto"/>
              </w:rPr>
              <w:t>11. 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12. CHOICE OF LAW AND VENUE; JURY TRIAL WAIVER; SERVICE OF PROCESS</w:t>
            </w:r>
          </w:p>
        </w:tc>
        <w:tc>
          <w:tcPr>
            <w:tcW w:w="27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13. ASSIGNMENTS AND PARTICIPATIONS; SUCCESSORS</w:t>
            </w:r>
          </w:p>
        </w:tc>
        <w:tc>
          <w:tcPr>
            <w:tcW w:w="27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2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13.1.</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Assignments and Participations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13.2.</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Successors</w:t>
            </w:r>
          </w:p>
        </w:tc>
        <w:tc>
          <w:tcPr>
            <w:tcW w:w="27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378"/>
        </w:trPr>
        <w:tc>
          <w:tcPr>
            <w:tcW w:w="8680" w:type="dxa"/>
            <w:vAlign w:val="bottom"/>
            <w:gridSpan w:val="3"/>
          </w:tcPr>
          <w:p>
            <w:pPr>
              <w:spacing w:after="0"/>
              <w:rPr>
                <w:sz w:val="20"/>
                <w:szCs w:val="20"/>
                <w:color w:val="auto"/>
              </w:rPr>
            </w:pPr>
            <w:r>
              <w:rPr>
                <w:rFonts w:ascii="Arial" w:cs="Arial" w:eastAsia="Arial" w:hAnsi="Arial"/>
                <w:sz w:val="18"/>
                <w:szCs w:val="18"/>
                <w:color w:val="auto"/>
              </w:rPr>
              <w:t>14. AMENDMENTS; WAIVERS</w:t>
            </w:r>
          </w:p>
        </w:tc>
        <w:tc>
          <w:tcPr>
            <w:tcW w:w="27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324"/>
        </w:trPr>
        <w:tc>
          <w:tcPr>
            <w:tcW w:w="2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14.1.</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Amendments and Waivers</w:t>
            </w:r>
          </w:p>
        </w:tc>
        <w:tc>
          <w:tcPr>
            <w:tcW w:w="27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14.2.</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Replacement of Certain Lenders</w:t>
            </w:r>
          </w:p>
        </w:tc>
        <w:tc>
          <w:tcPr>
            <w:tcW w:w="27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260" w:type="dxa"/>
            <w:vAlign w:val="bottom"/>
          </w:tcPr>
          <w:p>
            <w:pPr>
              <w:spacing w:after="0"/>
              <w:rPr>
                <w:sz w:val="23"/>
                <w:szCs w:val="23"/>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14.3.</w:t>
            </w:r>
          </w:p>
        </w:tc>
        <w:tc>
          <w:tcPr>
            <w:tcW w:w="7940" w:type="dxa"/>
            <w:vAlign w:val="bottom"/>
          </w:tcPr>
          <w:p>
            <w:pPr>
              <w:ind w:left="120"/>
              <w:spacing w:after="0"/>
              <w:rPr>
                <w:sz w:val="20"/>
                <w:szCs w:val="20"/>
                <w:color w:val="auto"/>
              </w:rPr>
            </w:pPr>
            <w:r>
              <w:rPr>
                <w:rFonts w:ascii="Arial" w:cs="Arial" w:eastAsia="Arial" w:hAnsi="Arial"/>
                <w:sz w:val="18"/>
                <w:szCs w:val="18"/>
                <w:b w:val="1"/>
                <w:bCs w:val="1"/>
                <w:color w:val="auto"/>
              </w:rPr>
              <w:t>No Waivers; Cumulative Remedies</w:t>
            </w:r>
          </w:p>
        </w:tc>
        <w:tc>
          <w:tcPr>
            <w:tcW w:w="2740" w:type="dxa"/>
            <w:vAlign w:val="bottom"/>
          </w:tcPr>
          <w:p>
            <w:pPr>
              <w:jc w:val="right"/>
              <w:spacing w:after="0"/>
              <w:rPr>
                <w:sz w:val="20"/>
                <w:szCs w:val="20"/>
                <w:color w:val="auto"/>
              </w:rPr>
            </w:pPr>
            <w:r>
              <w:rPr>
                <w:rFonts w:ascii="Arial" w:cs="Arial" w:eastAsia="Arial" w:hAnsi="Arial"/>
                <w:sz w:val="18"/>
                <w:szCs w:val="18"/>
                <w:color w:val="auto"/>
              </w:rPr>
              <w:t>191</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88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880" w:type="dxa"/>
            <w:vAlign w:val="bottom"/>
          </w:tcPr>
          <w:p>
            <w:pPr>
              <w:ind w:left="4500"/>
              <w:spacing w:after="0"/>
              <w:rPr>
                <w:sz w:val="20"/>
                <w:szCs w:val="20"/>
                <w:color w:val="auto"/>
              </w:rPr>
            </w:pPr>
            <w:r>
              <w:rPr>
                <w:rFonts w:ascii="Arial" w:cs="Arial" w:eastAsia="Arial" w:hAnsi="Arial"/>
                <w:sz w:val="18"/>
                <w:szCs w:val="18"/>
                <w:b w:val="1"/>
                <w:bCs w:val="1"/>
                <w:color w:val="auto"/>
              </w:rPr>
              <w:t>(continued)</w:t>
            </w:r>
          </w:p>
        </w:tc>
        <w:tc>
          <w:tcPr>
            <w:tcW w:w="17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567"/>
        </w:trPr>
        <w:tc>
          <w:tcPr>
            <w:tcW w:w="9660" w:type="dxa"/>
            <w:vAlign w:val="bottom"/>
            <w:gridSpan w:val="2"/>
          </w:tcPr>
          <w:p>
            <w:pPr>
              <w:spacing w:after="0"/>
              <w:rPr>
                <w:sz w:val="20"/>
                <w:szCs w:val="20"/>
                <w:color w:val="auto"/>
              </w:rPr>
            </w:pPr>
            <w:r>
              <w:rPr>
                <w:rFonts w:ascii="Arial" w:cs="Arial" w:eastAsia="Arial" w:hAnsi="Arial"/>
                <w:sz w:val="18"/>
                <w:szCs w:val="18"/>
                <w:color w:val="auto"/>
              </w:rPr>
              <w:t>15. AGENT; THE LENDER GROUP</w:t>
            </w:r>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324"/>
        </w:trPr>
        <w:tc>
          <w:tcPr>
            <w:tcW w:w="780" w:type="dxa"/>
            <w:vAlign w:val="bottom"/>
          </w:tcPr>
          <w:p>
            <w:pPr>
              <w:ind w:left="260"/>
              <w:spacing w:after="0"/>
              <w:rPr>
                <w:sz w:val="20"/>
                <w:szCs w:val="20"/>
                <w:color w:val="auto"/>
              </w:rPr>
            </w:pPr>
            <w:r>
              <w:rPr>
                <w:rFonts w:ascii="Arial" w:cs="Arial" w:eastAsia="Arial" w:hAnsi="Arial"/>
                <w:sz w:val="18"/>
                <w:szCs w:val="18"/>
                <w:color w:val="auto"/>
              </w:rPr>
              <w:t>15.1.</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Appointment and Authorization of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15.2.</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Delegation of Duties</w:t>
            </w:r>
          </w:p>
        </w:tc>
        <w:tc>
          <w:tcPr>
            <w:tcW w:w="17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15.3.</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Liability of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15.4.</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Reliance by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15.5.</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Notice of Default or Event of 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15.6.</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Credit Decision</w:t>
            </w:r>
          </w:p>
        </w:tc>
        <w:tc>
          <w:tcPr>
            <w:tcW w:w="17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15.7.</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Costs and Expenses; 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15.8.</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Agent in Individual Capacity</w:t>
            </w:r>
          </w:p>
        </w:tc>
        <w:tc>
          <w:tcPr>
            <w:tcW w:w="17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15.9.</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Successor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15.10.</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Lender in Individual Capacity</w:t>
            </w:r>
          </w:p>
        </w:tc>
        <w:tc>
          <w:tcPr>
            <w:tcW w:w="17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15.11.</w:t>
            </w:r>
          </w:p>
        </w:tc>
        <w:tc>
          <w:tcPr>
            <w:tcW w:w="8880" w:type="dxa"/>
            <w:vAlign w:val="bottom"/>
          </w:tcPr>
          <w:p>
            <w:pPr>
              <w:ind w:left="60"/>
              <w:spacing w:after="0"/>
              <w:rPr>
                <w:sz w:val="20"/>
                <w:szCs w:val="20"/>
                <w:color w:val="auto"/>
              </w:rPr>
            </w:pPr>
            <w:r>
              <w:rPr>
                <w:rFonts w:ascii="Arial" w:cs="Arial" w:eastAsia="Arial" w:hAnsi="Arial"/>
                <w:sz w:val="18"/>
                <w:szCs w:val="18"/>
                <w:b w:val="1"/>
                <w:bCs w:val="1"/>
                <w:color w:val="auto"/>
              </w:rPr>
              <w:t>Collateral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15.12.</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Restrictions on Actions by Lenders; Sharing of Payments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15.13.</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Agency for Perfection</w:t>
            </w:r>
          </w:p>
        </w:tc>
        <w:tc>
          <w:tcPr>
            <w:tcW w:w="17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15.14.</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Payments by Agent to the Lenders</w:t>
            </w:r>
          </w:p>
        </w:tc>
        <w:tc>
          <w:tcPr>
            <w:tcW w:w="17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15.15.</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Concerning the Collateral and Related Loan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15.16.</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Field Examination Reports; Confidentiality; Disclaimers by Lenders; Other Reports and Information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15.17.</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Several Obligations; No 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15.18.</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Joint Lead Arrangers and Joint Book Runners</w:t>
            </w:r>
          </w:p>
        </w:tc>
        <w:tc>
          <w:tcPr>
            <w:tcW w:w="17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15.19.</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Appointment for the Province of Quebec</w:t>
            </w:r>
          </w:p>
        </w:tc>
        <w:tc>
          <w:tcPr>
            <w:tcW w:w="17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w w:val="99"/>
              </w:rPr>
              <w:t>15.20.</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Scottish Appointment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378"/>
        </w:trPr>
        <w:tc>
          <w:tcPr>
            <w:tcW w:w="9660" w:type="dxa"/>
            <w:vAlign w:val="bottom"/>
            <w:gridSpan w:val="2"/>
          </w:tcPr>
          <w:p>
            <w:pPr>
              <w:spacing w:after="0"/>
              <w:rPr>
                <w:sz w:val="20"/>
                <w:szCs w:val="20"/>
                <w:color w:val="auto"/>
              </w:rPr>
            </w:pPr>
            <w:r>
              <w:rPr>
                <w:rFonts w:ascii="Arial" w:cs="Arial" w:eastAsia="Arial" w:hAnsi="Arial"/>
                <w:sz w:val="18"/>
                <w:szCs w:val="18"/>
                <w:color w:val="auto"/>
              </w:rPr>
              <w:t>16. WITHHOLDING TAXES</w:t>
            </w:r>
          </w:p>
        </w:tc>
        <w:tc>
          <w:tcPr>
            <w:tcW w:w="17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324"/>
        </w:trPr>
        <w:tc>
          <w:tcPr>
            <w:tcW w:w="780" w:type="dxa"/>
            <w:vAlign w:val="bottom"/>
          </w:tcPr>
          <w:p>
            <w:pPr>
              <w:ind w:left="260"/>
              <w:spacing w:after="0"/>
              <w:rPr>
                <w:sz w:val="20"/>
                <w:szCs w:val="20"/>
                <w:color w:val="auto"/>
              </w:rPr>
            </w:pPr>
            <w:r>
              <w:rPr>
                <w:rFonts w:ascii="Arial" w:cs="Arial" w:eastAsia="Arial" w:hAnsi="Arial"/>
                <w:sz w:val="18"/>
                <w:szCs w:val="18"/>
                <w:color w:val="auto"/>
              </w:rPr>
              <w:t>16.1.</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Payments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16.2.</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Exemptions</w:t>
            </w:r>
          </w:p>
        </w:tc>
        <w:tc>
          <w:tcPr>
            <w:tcW w:w="17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16.3.</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Reductions</w:t>
            </w:r>
          </w:p>
        </w:tc>
        <w:tc>
          <w:tcPr>
            <w:tcW w:w="17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16.4.</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Refunds</w:t>
            </w:r>
          </w:p>
        </w:tc>
        <w:tc>
          <w:tcPr>
            <w:tcW w:w="17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16.5.</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VAT</w:t>
            </w:r>
          </w:p>
        </w:tc>
        <w:tc>
          <w:tcPr>
            <w:tcW w:w="17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378"/>
        </w:trPr>
        <w:tc>
          <w:tcPr>
            <w:tcW w:w="9660" w:type="dxa"/>
            <w:vAlign w:val="bottom"/>
            <w:gridSpan w:val="2"/>
          </w:tcPr>
          <w:p>
            <w:pPr>
              <w:spacing w:after="0"/>
              <w:rPr>
                <w:sz w:val="20"/>
                <w:szCs w:val="20"/>
                <w:color w:val="auto"/>
              </w:rPr>
            </w:pPr>
            <w:r>
              <w:rPr>
                <w:rFonts w:ascii="Arial" w:cs="Arial" w:eastAsia="Arial" w:hAnsi="Arial"/>
                <w:sz w:val="18"/>
                <w:szCs w:val="18"/>
                <w:color w:val="auto"/>
              </w:rPr>
              <w:t>17. GENERAL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324"/>
        </w:trPr>
        <w:tc>
          <w:tcPr>
            <w:tcW w:w="780" w:type="dxa"/>
            <w:vAlign w:val="bottom"/>
          </w:tcPr>
          <w:p>
            <w:pPr>
              <w:ind w:left="260"/>
              <w:spacing w:after="0"/>
              <w:rPr>
                <w:sz w:val="20"/>
                <w:szCs w:val="20"/>
                <w:color w:val="auto"/>
              </w:rPr>
            </w:pPr>
            <w:r>
              <w:rPr>
                <w:rFonts w:ascii="Arial" w:cs="Arial" w:eastAsia="Arial" w:hAnsi="Arial"/>
                <w:sz w:val="18"/>
                <w:szCs w:val="18"/>
                <w:color w:val="auto"/>
              </w:rPr>
              <w:t>17.1.</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Effectiveness</w:t>
            </w:r>
          </w:p>
        </w:tc>
        <w:tc>
          <w:tcPr>
            <w:tcW w:w="1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17.2.</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Section Headings</w:t>
            </w:r>
          </w:p>
        </w:tc>
        <w:tc>
          <w:tcPr>
            <w:tcW w:w="1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17.3.</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Interpretation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17.4.</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Severability of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17.5.</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Bank Product Providers</w:t>
            </w:r>
          </w:p>
        </w:tc>
        <w:tc>
          <w:tcPr>
            <w:tcW w:w="17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780" w:type="dxa"/>
            <w:vAlign w:val="bottom"/>
          </w:tcPr>
          <w:p>
            <w:pPr>
              <w:ind w:left="260"/>
              <w:spacing w:after="0"/>
              <w:rPr>
                <w:sz w:val="20"/>
                <w:szCs w:val="20"/>
                <w:color w:val="auto"/>
              </w:rPr>
            </w:pPr>
            <w:r>
              <w:rPr>
                <w:rFonts w:ascii="Arial" w:cs="Arial" w:eastAsia="Arial" w:hAnsi="Arial"/>
                <w:sz w:val="18"/>
                <w:szCs w:val="18"/>
                <w:color w:val="auto"/>
              </w:rPr>
              <w:t>17.6.</w:t>
            </w: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Debtor-Creditor Relationship</w:t>
            </w:r>
          </w:p>
        </w:tc>
        <w:tc>
          <w:tcPr>
            <w:tcW w:w="1760" w:type="dxa"/>
            <w:vAlign w:val="bottom"/>
          </w:tcPr>
          <w:p>
            <w:pPr>
              <w:jc w:val="right"/>
              <w:spacing w:after="0"/>
              <w:rPr>
                <w:sz w:val="20"/>
                <w:szCs w:val="20"/>
                <w:color w:val="auto"/>
              </w:rPr>
            </w:pPr>
            <w:r>
              <w:rPr>
                <w:rFonts w:ascii="Arial" w:cs="Arial" w:eastAsia="Arial" w:hAnsi="Arial"/>
                <w:sz w:val="18"/>
                <w:szCs w:val="18"/>
                <w:color w:val="auto"/>
              </w:rPr>
              <w:t>209</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8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7880" w:type="dxa"/>
            <w:vAlign w:val="bottom"/>
          </w:tcPr>
          <w:p>
            <w:pPr>
              <w:ind w:left="4480"/>
              <w:spacing w:after="0"/>
              <w:rPr>
                <w:sz w:val="20"/>
                <w:szCs w:val="20"/>
                <w:color w:val="auto"/>
              </w:rPr>
            </w:pPr>
            <w:r>
              <w:rPr>
                <w:rFonts w:ascii="Arial" w:cs="Arial" w:eastAsia="Arial" w:hAnsi="Arial"/>
                <w:sz w:val="18"/>
                <w:szCs w:val="18"/>
                <w:b w:val="1"/>
                <w:bCs w:val="1"/>
                <w:color w:val="auto"/>
              </w:rPr>
              <w:t>(continued)</w:t>
            </w:r>
          </w:p>
        </w:tc>
        <w:tc>
          <w:tcPr>
            <w:tcW w:w="274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17.7.</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Counterparts; Electronic Execution</w:t>
            </w:r>
          </w:p>
        </w:tc>
        <w:tc>
          <w:tcPr>
            <w:tcW w:w="27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17.8.</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Revival and Reinstatement of Obligations; Certain Waivers</w:t>
            </w:r>
          </w:p>
        </w:tc>
        <w:tc>
          <w:tcPr>
            <w:tcW w:w="27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17.9.</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17.10.</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Survival</w:t>
            </w:r>
          </w:p>
        </w:tc>
        <w:tc>
          <w:tcPr>
            <w:tcW w:w="27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8420" w:type="dxa"/>
            <w:vAlign w:val="bottom"/>
            <w:gridSpan w:val="2"/>
          </w:tcPr>
          <w:p>
            <w:pPr>
              <w:spacing w:after="0"/>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color w:val="auto"/>
              </w:rPr>
              <w:t>Patriot Act; Due Diligence</w:t>
            </w:r>
          </w:p>
        </w:tc>
        <w:tc>
          <w:tcPr>
            <w:tcW w:w="27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17.12.</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Integration</w:t>
            </w:r>
          </w:p>
        </w:tc>
        <w:tc>
          <w:tcPr>
            <w:tcW w:w="27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17.13.</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WIL-Delaware as Agent for Borrowers</w:t>
            </w:r>
          </w:p>
        </w:tc>
        <w:tc>
          <w:tcPr>
            <w:tcW w:w="27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17.14.</w:t>
            </w:r>
          </w:p>
        </w:tc>
        <w:tc>
          <w:tcPr>
            <w:tcW w:w="7880" w:type="dxa"/>
            <w:vAlign w:val="bottom"/>
          </w:tcPr>
          <w:p>
            <w:pPr>
              <w:ind w:left="80"/>
              <w:spacing w:after="0"/>
              <w:rPr>
                <w:sz w:val="20"/>
                <w:szCs w:val="20"/>
                <w:color w:val="auto"/>
              </w:rPr>
            </w:pPr>
            <w:r>
              <w:rPr>
                <w:rFonts w:ascii="Arial" w:cs="Arial" w:eastAsia="Arial" w:hAnsi="Arial"/>
                <w:sz w:val="18"/>
                <w:szCs w:val="18"/>
                <w:b w:val="1"/>
                <w:bCs w:val="1"/>
                <w:color w:val="auto"/>
              </w:rPr>
              <w:t>Acknowledgement and Consent to Bail-In of EEA Financial Institutions</w:t>
            </w:r>
          </w:p>
        </w:tc>
        <w:tc>
          <w:tcPr>
            <w:tcW w:w="27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17.15.</w:t>
            </w:r>
          </w:p>
        </w:tc>
        <w:tc>
          <w:tcPr>
            <w:tcW w:w="7880" w:type="dxa"/>
            <w:vAlign w:val="bottom"/>
          </w:tcPr>
          <w:p>
            <w:pPr>
              <w:ind w:left="80"/>
              <w:spacing w:after="0"/>
              <w:rPr>
                <w:sz w:val="20"/>
                <w:szCs w:val="20"/>
                <w:color w:val="auto"/>
              </w:rPr>
            </w:pPr>
            <w:r>
              <w:rPr>
                <w:rFonts w:ascii="Arial" w:cs="Arial" w:eastAsia="Arial" w:hAnsi="Arial"/>
                <w:sz w:val="18"/>
                <w:szCs w:val="18"/>
                <w:b w:val="1"/>
                <w:bCs w:val="1"/>
                <w:color w:val="auto"/>
              </w:rPr>
              <w:t>Acknowledgement Regarding Any Supported QFCs</w:t>
            </w:r>
          </w:p>
        </w:tc>
        <w:tc>
          <w:tcPr>
            <w:tcW w:w="27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17.16.</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Judgment Currency</w:t>
            </w:r>
          </w:p>
        </w:tc>
        <w:tc>
          <w:tcPr>
            <w:tcW w:w="27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17.17.</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Confirmation of Lender’s Status as a Swiss Qualifying Lender</w:t>
            </w:r>
          </w:p>
        </w:tc>
        <w:tc>
          <w:tcPr>
            <w:tcW w:w="27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17.18.</w:t>
            </w:r>
          </w:p>
        </w:tc>
        <w:tc>
          <w:tcPr>
            <w:tcW w:w="7880" w:type="dxa"/>
            <w:vAlign w:val="bottom"/>
          </w:tcPr>
          <w:p>
            <w:pPr>
              <w:ind w:left="100"/>
              <w:spacing w:after="0"/>
              <w:rPr>
                <w:sz w:val="20"/>
                <w:szCs w:val="20"/>
                <w:color w:val="auto"/>
              </w:rPr>
            </w:pPr>
            <w:r>
              <w:rPr>
                <w:rFonts w:ascii="Arial" w:cs="Arial" w:eastAsia="Arial" w:hAnsi="Arial"/>
                <w:sz w:val="18"/>
                <w:szCs w:val="18"/>
                <w:b w:val="1"/>
                <w:bCs w:val="1"/>
                <w:color w:val="auto"/>
              </w:rPr>
              <w:t>Swiss limitations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00" w:lineRule="exact"/>
        <w:rPr>
          <w:sz w:val="20"/>
          <w:szCs w:val="20"/>
          <w:color w:val="auto"/>
        </w:rPr>
      </w:pPr>
    </w:p>
    <w:p>
      <w:pPr>
        <w:spacing w:after="0" w:line="27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32"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9660" w:type="dxa"/>
            <w:vAlign w:val="bottom"/>
          </w:tcPr>
          <w:p>
            <w:pPr>
              <w:ind w:left="2740"/>
              <w:spacing w:after="0"/>
              <w:rPr>
                <w:sz w:val="20"/>
                <w:szCs w:val="20"/>
                <w:color w:val="auto"/>
              </w:rPr>
            </w:pPr>
            <w:r>
              <w:rPr>
                <w:rFonts w:ascii="Arial" w:cs="Arial" w:eastAsia="Arial" w:hAnsi="Arial"/>
                <w:sz w:val="18"/>
                <w:szCs w:val="18"/>
                <w:b w:val="1"/>
                <w:bCs w:val="1"/>
                <w:color w:val="auto"/>
              </w:rPr>
              <w:t>EXHIBITS AND SCHEDULES</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Exhibit A-1</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A-2</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Assignee Certificate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B-1</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Borrowing Base Certificate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B-2</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Bank Product Provider Agreement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C-1</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J-1</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Joinder</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L-1</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LIBOR Notice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Exhibit P-1</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Perfection Certificate</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Exhibit P-2</w:t>
            </w:r>
          </w:p>
        </w:tc>
        <w:tc>
          <w:tcPr>
            <w:tcW w:w="9660" w:type="dxa"/>
            <w:vAlign w:val="bottom"/>
          </w:tcPr>
          <w:p>
            <w:pPr>
              <w:ind w:left="540"/>
              <w:spacing w:after="0"/>
              <w:rPr>
                <w:sz w:val="20"/>
                <w:szCs w:val="20"/>
                <w:color w:val="auto"/>
              </w:rPr>
            </w:pPr>
            <w:r>
              <w:rPr>
                <w:rFonts w:ascii="Arial" w:cs="Arial" w:eastAsia="Arial" w:hAnsi="Arial"/>
                <w:sz w:val="18"/>
                <w:szCs w:val="18"/>
                <w:color w:val="auto"/>
              </w:rPr>
              <w:t>Form of Participant Certificate</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Schedule A-1</w:t>
            </w:r>
          </w:p>
        </w:tc>
        <w:tc>
          <w:tcPr>
            <w:tcW w:w="9660" w:type="dxa"/>
            <w:vAlign w:val="bottom"/>
          </w:tcPr>
          <w:p>
            <w:pPr>
              <w:ind w:left="540"/>
              <w:spacing w:after="0"/>
              <w:rPr>
                <w:sz w:val="20"/>
                <w:szCs w:val="20"/>
                <w:color w:val="auto"/>
              </w:rPr>
            </w:pPr>
            <w:r>
              <w:rPr>
                <w:rFonts w:ascii="Arial" w:cs="Arial" w:eastAsia="Arial" w:hAnsi="Arial"/>
                <w:sz w:val="18"/>
                <w:szCs w:val="18"/>
                <w:color w:val="auto"/>
              </w:rPr>
              <w:t>Agent's Account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A-2</w:t>
            </w:r>
          </w:p>
        </w:tc>
        <w:tc>
          <w:tcPr>
            <w:tcW w:w="9660" w:type="dxa"/>
            <w:vAlign w:val="bottom"/>
          </w:tcPr>
          <w:p>
            <w:pPr>
              <w:ind w:left="540"/>
              <w:spacing w:after="0"/>
              <w:rPr>
                <w:sz w:val="20"/>
                <w:szCs w:val="20"/>
                <w:color w:val="auto"/>
              </w:rPr>
            </w:pPr>
            <w:r>
              <w:rPr>
                <w:rFonts w:ascii="Arial" w:cs="Arial" w:eastAsia="Arial" w:hAnsi="Arial"/>
                <w:sz w:val="18"/>
                <w:szCs w:val="18"/>
                <w:color w:val="auto"/>
              </w:rPr>
              <w:t>Authorized Persons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C-1</w:t>
            </w:r>
          </w:p>
        </w:tc>
        <w:tc>
          <w:tcPr>
            <w:tcW w:w="9660" w:type="dxa"/>
            <w:vAlign w:val="bottom"/>
          </w:tcPr>
          <w:p>
            <w:pPr>
              <w:ind w:left="540"/>
              <w:spacing w:after="0"/>
              <w:rPr>
                <w:sz w:val="20"/>
                <w:szCs w:val="20"/>
                <w:color w:val="auto"/>
              </w:rPr>
            </w:pPr>
            <w:r>
              <w:rPr>
                <w:rFonts w:ascii="Arial" w:cs="Arial" w:eastAsia="Arial" w:hAnsi="Arial"/>
                <w:sz w:val="18"/>
                <w:szCs w:val="18"/>
                <w:color w:val="auto"/>
              </w:rPr>
              <w:t>Commitments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C-2</w:t>
            </w:r>
          </w:p>
        </w:tc>
        <w:tc>
          <w:tcPr>
            <w:tcW w:w="9660" w:type="dxa"/>
            <w:vAlign w:val="bottom"/>
          </w:tcPr>
          <w:p>
            <w:pPr>
              <w:ind w:left="540"/>
              <w:spacing w:after="0"/>
              <w:rPr>
                <w:sz w:val="20"/>
                <w:szCs w:val="20"/>
                <w:color w:val="auto"/>
              </w:rPr>
            </w:pPr>
            <w:r>
              <w:rPr>
                <w:rFonts w:ascii="Arial" w:cs="Arial" w:eastAsia="Arial" w:hAnsi="Arial"/>
                <w:sz w:val="18"/>
                <w:szCs w:val="18"/>
                <w:color w:val="auto"/>
              </w:rPr>
              <w:t>Closing Date Letters of Credit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D-1</w:t>
            </w:r>
          </w:p>
        </w:tc>
        <w:tc>
          <w:tcPr>
            <w:tcW w:w="9660" w:type="dxa"/>
            <w:vAlign w:val="bottom"/>
          </w:tcPr>
          <w:p>
            <w:pPr>
              <w:ind w:left="540"/>
              <w:spacing w:after="0"/>
              <w:rPr>
                <w:sz w:val="20"/>
                <w:szCs w:val="20"/>
                <w:color w:val="auto"/>
              </w:rPr>
            </w:pPr>
            <w:r>
              <w:rPr>
                <w:rFonts w:ascii="Arial" w:cs="Arial" w:eastAsia="Arial" w:hAnsi="Arial"/>
                <w:sz w:val="18"/>
                <w:szCs w:val="18"/>
                <w:color w:val="auto"/>
              </w:rPr>
              <w:t>Designated Accounts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D-2</w:t>
            </w:r>
          </w:p>
        </w:tc>
        <w:tc>
          <w:tcPr>
            <w:tcW w:w="9660" w:type="dxa"/>
            <w:vAlign w:val="bottom"/>
          </w:tcPr>
          <w:p>
            <w:pPr>
              <w:ind w:left="540"/>
              <w:spacing w:after="0"/>
              <w:rPr>
                <w:sz w:val="20"/>
                <w:szCs w:val="20"/>
                <w:color w:val="auto"/>
              </w:rPr>
            </w:pPr>
            <w:r>
              <w:rPr>
                <w:rFonts w:ascii="Arial" w:cs="Arial" w:eastAsia="Arial" w:hAnsi="Arial"/>
                <w:sz w:val="18"/>
                <w:szCs w:val="18"/>
                <w:color w:val="auto"/>
              </w:rPr>
              <w:t>Domestic Borrowing Base Loan Parties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E-1</w:t>
            </w:r>
          </w:p>
        </w:tc>
        <w:tc>
          <w:tcPr>
            <w:tcW w:w="9660" w:type="dxa"/>
            <w:vAlign w:val="bottom"/>
          </w:tcPr>
          <w:p>
            <w:pPr>
              <w:ind w:left="540"/>
              <w:spacing w:after="0"/>
              <w:rPr>
                <w:sz w:val="20"/>
                <w:szCs w:val="20"/>
                <w:color w:val="auto"/>
              </w:rPr>
            </w:pPr>
            <w:r>
              <w:rPr>
                <w:rFonts w:ascii="Arial" w:cs="Arial" w:eastAsia="Arial" w:hAnsi="Arial"/>
                <w:sz w:val="18"/>
                <w:szCs w:val="18"/>
                <w:color w:val="auto"/>
              </w:rPr>
              <w:t>Excluded Jurisdictions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E-2</w:t>
            </w:r>
          </w:p>
        </w:tc>
        <w:tc>
          <w:tcPr>
            <w:tcW w:w="9660" w:type="dxa"/>
            <w:vAlign w:val="bottom"/>
          </w:tcPr>
          <w:p>
            <w:pPr>
              <w:ind w:left="540"/>
              <w:spacing w:after="0"/>
              <w:rPr>
                <w:sz w:val="20"/>
                <w:szCs w:val="20"/>
                <w:color w:val="auto"/>
              </w:rPr>
            </w:pPr>
            <w:r>
              <w:rPr>
                <w:rFonts w:ascii="Arial" w:cs="Arial" w:eastAsia="Arial" w:hAnsi="Arial"/>
                <w:sz w:val="18"/>
                <w:szCs w:val="18"/>
                <w:color w:val="auto"/>
              </w:rPr>
              <w:t>Existing Hedge Agreements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E-3</w:t>
            </w:r>
          </w:p>
        </w:tc>
        <w:tc>
          <w:tcPr>
            <w:tcW w:w="9660" w:type="dxa"/>
            <w:vAlign w:val="bottom"/>
          </w:tcPr>
          <w:p>
            <w:pPr>
              <w:ind w:left="54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E-4</w:t>
            </w:r>
          </w:p>
        </w:tc>
        <w:tc>
          <w:tcPr>
            <w:tcW w:w="9660" w:type="dxa"/>
            <w:vAlign w:val="bottom"/>
          </w:tcPr>
          <w:p>
            <w:pPr>
              <w:ind w:left="540"/>
              <w:spacing w:after="0"/>
              <w:rPr>
                <w:sz w:val="20"/>
                <w:szCs w:val="20"/>
                <w:color w:val="auto"/>
              </w:rPr>
            </w:pPr>
            <w:r>
              <w:rPr>
                <w:rFonts w:ascii="Arial" w:cs="Arial" w:eastAsia="Arial" w:hAnsi="Arial"/>
                <w:sz w:val="18"/>
                <w:szCs w:val="18"/>
                <w:color w:val="auto"/>
              </w:rPr>
              <w:t>Eligible Account Currencies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G-1</w:t>
            </w:r>
          </w:p>
        </w:tc>
        <w:tc>
          <w:tcPr>
            <w:tcW w:w="9660" w:type="dxa"/>
            <w:vAlign w:val="bottom"/>
          </w:tcPr>
          <w:p>
            <w:pPr>
              <w:ind w:left="540"/>
              <w:spacing w:after="0"/>
              <w:rPr>
                <w:sz w:val="20"/>
                <w:szCs w:val="20"/>
                <w:color w:val="auto"/>
              </w:rPr>
            </w:pPr>
            <w:r>
              <w:rPr>
                <w:rFonts w:ascii="Arial" w:cs="Arial" w:eastAsia="Arial" w:hAnsi="Arial"/>
                <w:sz w:val="18"/>
                <w:szCs w:val="18"/>
                <w:color w:val="auto"/>
              </w:rPr>
              <w:t>Guarantors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R-1</w:t>
            </w:r>
          </w:p>
        </w:tc>
        <w:tc>
          <w:tcPr>
            <w:tcW w:w="9660" w:type="dxa"/>
            <w:vAlign w:val="bottom"/>
          </w:tcPr>
          <w:p>
            <w:pPr>
              <w:ind w:left="540"/>
              <w:spacing w:after="0"/>
              <w:rPr>
                <w:sz w:val="20"/>
                <w:szCs w:val="20"/>
                <w:color w:val="auto"/>
              </w:rPr>
            </w:pPr>
            <w:r>
              <w:rPr>
                <w:rFonts w:ascii="Arial" w:cs="Arial" w:eastAsia="Arial" w:hAnsi="Arial"/>
                <w:sz w:val="18"/>
                <w:szCs w:val="18"/>
                <w:color w:val="auto"/>
              </w:rPr>
              <w:t>Real Property Collateral</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S-1</w:t>
            </w:r>
          </w:p>
        </w:tc>
        <w:tc>
          <w:tcPr>
            <w:tcW w:w="9660" w:type="dxa"/>
            <w:vAlign w:val="bottom"/>
          </w:tcPr>
          <w:p>
            <w:pPr>
              <w:ind w:left="540"/>
              <w:spacing w:after="0"/>
              <w:rPr>
                <w:sz w:val="20"/>
                <w:szCs w:val="20"/>
                <w:color w:val="auto"/>
              </w:rPr>
            </w:pPr>
            <w:r>
              <w:rPr>
                <w:rFonts w:ascii="Arial" w:cs="Arial" w:eastAsia="Arial" w:hAnsi="Arial"/>
                <w:sz w:val="18"/>
                <w:szCs w:val="18"/>
                <w:color w:val="auto"/>
              </w:rPr>
              <w:t>Security Agreements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w:t>
            </w:r>
          </w:p>
        </w:tc>
        <w:tc>
          <w:tcPr>
            <w:tcW w:w="9660" w:type="dxa"/>
            <w:vAlign w:val="bottom"/>
          </w:tcPr>
          <w:p>
            <w:pPr>
              <w:ind w:left="540"/>
              <w:spacing w:after="0"/>
              <w:rPr>
                <w:sz w:val="20"/>
                <w:szCs w:val="20"/>
                <w:color w:val="auto"/>
              </w:rPr>
            </w:pPr>
            <w:r>
              <w:rPr>
                <w:rFonts w:ascii="Arial" w:cs="Arial" w:eastAsia="Arial" w:hAnsi="Arial"/>
                <w:sz w:val="18"/>
                <w:szCs w:val="18"/>
                <w:color w:val="auto"/>
              </w:rPr>
              <w:t>Conditions Precedent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3.1(a)</w:t>
            </w:r>
          </w:p>
        </w:tc>
        <w:tc>
          <w:tcPr>
            <w:tcW w:w="9660" w:type="dxa"/>
            <w:vAlign w:val="bottom"/>
          </w:tcPr>
          <w:p>
            <w:pPr>
              <w:ind w:left="540"/>
              <w:spacing w:after="0"/>
              <w:rPr>
                <w:sz w:val="20"/>
                <w:szCs w:val="20"/>
                <w:color w:val="auto"/>
              </w:rPr>
            </w:pPr>
            <w:r>
              <w:rPr>
                <w:rFonts w:ascii="Arial" w:cs="Arial" w:eastAsia="Arial" w:hAnsi="Arial"/>
                <w:sz w:val="18"/>
                <w:szCs w:val="18"/>
                <w:color w:val="auto"/>
              </w:rPr>
              <w:t>German Conditions Precedent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3.1(b)</w:t>
            </w:r>
          </w:p>
        </w:tc>
        <w:tc>
          <w:tcPr>
            <w:tcW w:w="9660" w:type="dxa"/>
            <w:vAlign w:val="bottom"/>
          </w:tcPr>
          <w:p>
            <w:pPr>
              <w:ind w:left="540"/>
              <w:spacing w:after="0"/>
              <w:rPr>
                <w:sz w:val="20"/>
                <w:szCs w:val="20"/>
                <w:color w:val="auto"/>
              </w:rPr>
            </w:pPr>
            <w:r>
              <w:rPr>
                <w:rFonts w:ascii="Arial" w:cs="Arial" w:eastAsia="Arial" w:hAnsi="Arial"/>
                <w:sz w:val="18"/>
                <w:szCs w:val="18"/>
                <w:color w:val="auto"/>
              </w:rPr>
              <w:t>Swiss Conditions Precedent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3.6</w:t>
            </w:r>
          </w:p>
        </w:tc>
        <w:tc>
          <w:tcPr>
            <w:tcW w:w="9660" w:type="dxa"/>
            <w:vAlign w:val="bottom"/>
          </w:tcPr>
          <w:p>
            <w:pPr>
              <w:ind w:left="540"/>
              <w:spacing w:after="0"/>
              <w:rPr>
                <w:sz w:val="20"/>
                <w:szCs w:val="20"/>
                <w:color w:val="auto"/>
              </w:rPr>
            </w:pPr>
            <w:r>
              <w:rPr>
                <w:rFonts w:ascii="Arial" w:cs="Arial" w:eastAsia="Arial" w:hAnsi="Arial"/>
                <w:sz w:val="18"/>
                <w:szCs w:val="18"/>
                <w:color w:val="auto"/>
              </w:rPr>
              <w:t>Conditions Subsequent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3.6(a)</w:t>
            </w:r>
          </w:p>
        </w:tc>
        <w:tc>
          <w:tcPr>
            <w:tcW w:w="9660" w:type="dxa"/>
            <w:vAlign w:val="bottom"/>
          </w:tcPr>
          <w:p>
            <w:pPr>
              <w:ind w:left="540"/>
              <w:spacing w:after="0"/>
              <w:rPr>
                <w:sz w:val="20"/>
                <w:szCs w:val="20"/>
                <w:color w:val="auto"/>
              </w:rPr>
            </w:pPr>
            <w:r>
              <w:rPr>
                <w:rFonts w:ascii="Arial" w:cs="Arial" w:eastAsia="Arial" w:hAnsi="Arial"/>
                <w:sz w:val="18"/>
                <w:szCs w:val="18"/>
                <w:color w:val="auto"/>
              </w:rPr>
              <w:t>Norwegian Conditions Subsequent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4.1(b)</w:t>
            </w:r>
          </w:p>
        </w:tc>
        <w:tc>
          <w:tcPr>
            <w:tcW w:w="9660" w:type="dxa"/>
            <w:vAlign w:val="bottom"/>
          </w:tcPr>
          <w:p>
            <w:pPr>
              <w:ind w:left="540"/>
              <w:spacing w:after="0"/>
              <w:rPr>
                <w:sz w:val="20"/>
                <w:szCs w:val="20"/>
                <w:color w:val="auto"/>
              </w:rPr>
            </w:pPr>
            <w:r>
              <w:rPr>
                <w:rFonts w:ascii="Arial" w:cs="Arial" w:eastAsia="Arial" w:hAnsi="Arial"/>
                <w:sz w:val="18"/>
                <w:szCs w:val="18"/>
                <w:color w:val="auto"/>
              </w:rPr>
              <w:t>Capitalization of Parent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4.1(c)</w:t>
            </w:r>
          </w:p>
        </w:tc>
        <w:tc>
          <w:tcPr>
            <w:tcW w:w="9660" w:type="dxa"/>
            <w:vAlign w:val="bottom"/>
          </w:tcPr>
          <w:p>
            <w:pPr>
              <w:ind w:left="540"/>
              <w:spacing w:after="0"/>
              <w:rPr>
                <w:sz w:val="20"/>
                <w:szCs w:val="20"/>
                <w:color w:val="auto"/>
              </w:rPr>
            </w:pPr>
            <w:r>
              <w:rPr>
                <w:rFonts w:ascii="Arial" w:cs="Arial" w:eastAsia="Arial" w:hAnsi="Arial"/>
                <w:sz w:val="18"/>
                <w:szCs w:val="18"/>
                <w:color w:val="auto"/>
              </w:rPr>
              <w:t>Capitalization of Subsidiaries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4.1(d)</w:t>
            </w:r>
          </w:p>
        </w:tc>
        <w:tc>
          <w:tcPr>
            <w:tcW w:w="9660" w:type="dxa"/>
            <w:vAlign w:val="bottom"/>
          </w:tcPr>
          <w:p>
            <w:pPr>
              <w:ind w:left="540"/>
              <w:spacing w:after="0"/>
              <w:rPr>
                <w:sz w:val="20"/>
                <w:szCs w:val="20"/>
                <w:color w:val="auto"/>
              </w:rPr>
            </w:pPr>
            <w:r>
              <w:rPr>
                <w:rFonts w:ascii="Arial" w:cs="Arial" w:eastAsia="Arial" w:hAnsi="Arial"/>
                <w:sz w:val="18"/>
                <w:szCs w:val="18"/>
                <w:color w:val="auto"/>
              </w:rPr>
              <w:t>Subscriptions, Options, Warrants, Calls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4.6(b)</w:t>
            </w:r>
          </w:p>
        </w:tc>
        <w:tc>
          <w:tcPr>
            <w:tcW w:w="9660" w:type="dxa"/>
            <w:vAlign w:val="bottom"/>
          </w:tcPr>
          <w:p>
            <w:pPr>
              <w:ind w:left="540"/>
              <w:spacing w:after="0"/>
              <w:rPr>
                <w:sz w:val="20"/>
                <w:szCs w:val="20"/>
                <w:color w:val="auto"/>
              </w:rPr>
            </w:pPr>
            <w:r>
              <w:rPr>
                <w:rFonts w:ascii="Arial" w:cs="Arial" w:eastAsia="Arial" w:hAnsi="Arial"/>
                <w:sz w:val="18"/>
                <w:szCs w:val="18"/>
                <w:color w:val="auto"/>
              </w:rPr>
              <w:t>Litigation</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4.10</w:t>
            </w:r>
          </w:p>
        </w:tc>
        <w:tc>
          <w:tcPr>
            <w:tcW w:w="9660" w:type="dxa"/>
            <w:vAlign w:val="bottom"/>
          </w:tcPr>
          <w:p>
            <w:pPr>
              <w:ind w:left="540"/>
              <w:spacing w:after="0"/>
              <w:rPr>
                <w:sz w:val="20"/>
                <w:szCs w:val="20"/>
                <w:color w:val="auto"/>
              </w:rPr>
            </w:pPr>
            <w:r>
              <w:rPr>
                <w:rFonts w:ascii="Arial" w:cs="Arial" w:eastAsia="Arial" w:hAnsi="Arial"/>
                <w:sz w:val="18"/>
                <w:szCs w:val="18"/>
                <w:color w:val="auto"/>
              </w:rPr>
              <w:t>Employee Benefits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4.14</w:t>
            </w:r>
          </w:p>
        </w:tc>
        <w:tc>
          <w:tcPr>
            <w:tcW w:w="9660" w:type="dxa"/>
            <w:vAlign w:val="bottom"/>
          </w:tcPr>
          <w:p>
            <w:pPr>
              <w:ind w:left="540"/>
              <w:spacing w:after="0"/>
              <w:rPr>
                <w:sz w:val="20"/>
                <w:szCs w:val="20"/>
                <w:color w:val="auto"/>
              </w:rPr>
            </w:pPr>
            <w:r>
              <w:rPr>
                <w:rFonts w:ascii="Arial" w:cs="Arial" w:eastAsia="Arial" w:hAnsi="Arial"/>
                <w:sz w:val="18"/>
                <w:szCs w:val="18"/>
                <w:color w:val="auto"/>
              </w:rPr>
              <w:t>Permitted Indebtedness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4.18</w:t>
            </w:r>
          </w:p>
        </w:tc>
        <w:tc>
          <w:tcPr>
            <w:tcW w:w="9660" w:type="dxa"/>
            <w:vAlign w:val="bottom"/>
          </w:tcPr>
          <w:p>
            <w:pPr>
              <w:ind w:left="540"/>
              <w:spacing w:after="0"/>
              <w:rPr>
                <w:sz w:val="20"/>
                <w:szCs w:val="20"/>
                <w:color w:val="auto"/>
              </w:rPr>
            </w:pPr>
            <w:r>
              <w:rPr>
                <w:rFonts w:ascii="Arial" w:cs="Arial" w:eastAsia="Arial" w:hAnsi="Arial"/>
                <w:sz w:val="18"/>
                <w:szCs w:val="18"/>
                <w:color w:val="auto"/>
              </w:rPr>
              <w:t>Sanctioned Entities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4.25</w:t>
            </w:r>
          </w:p>
        </w:tc>
        <w:tc>
          <w:tcPr>
            <w:tcW w:w="9660" w:type="dxa"/>
            <w:vAlign w:val="bottom"/>
          </w:tcPr>
          <w:p>
            <w:pPr>
              <w:ind w:left="540"/>
              <w:spacing w:after="0"/>
              <w:rPr>
                <w:sz w:val="20"/>
                <w:szCs w:val="20"/>
                <w:color w:val="auto"/>
              </w:rPr>
            </w:pPr>
            <w:r>
              <w:rPr>
                <w:rFonts w:ascii="Arial" w:cs="Arial" w:eastAsia="Arial" w:hAnsi="Arial"/>
                <w:sz w:val="18"/>
                <w:szCs w:val="18"/>
                <w:color w:val="auto"/>
              </w:rPr>
              <w:t>Location of Inventory and Rental Tools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5.1</w:t>
            </w:r>
          </w:p>
        </w:tc>
        <w:tc>
          <w:tcPr>
            <w:tcW w:w="9660" w:type="dxa"/>
            <w:vAlign w:val="bottom"/>
          </w:tcPr>
          <w:p>
            <w:pPr>
              <w:ind w:left="540"/>
              <w:spacing w:after="0"/>
              <w:rPr>
                <w:sz w:val="20"/>
                <w:szCs w:val="20"/>
                <w:color w:val="auto"/>
              </w:rPr>
            </w:pPr>
            <w:r>
              <w:rPr>
                <w:rFonts w:ascii="Arial" w:cs="Arial" w:eastAsia="Arial" w:hAnsi="Arial"/>
                <w:sz w:val="18"/>
                <w:szCs w:val="18"/>
                <w:color w:val="auto"/>
              </w:rPr>
              <w:t>Financial Statements, Reports, Certificates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5.2</w:t>
            </w:r>
          </w:p>
        </w:tc>
        <w:tc>
          <w:tcPr>
            <w:tcW w:w="9660" w:type="dxa"/>
            <w:vAlign w:val="bottom"/>
          </w:tcPr>
          <w:p>
            <w:pPr>
              <w:ind w:left="540"/>
              <w:spacing w:after="0"/>
              <w:rPr>
                <w:sz w:val="20"/>
                <w:szCs w:val="20"/>
                <w:color w:val="auto"/>
              </w:rPr>
            </w:pPr>
            <w:r>
              <w:rPr>
                <w:rFonts w:ascii="Arial" w:cs="Arial" w:eastAsia="Arial" w:hAnsi="Arial"/>
                <w:sz w:val="18"/>
                <w:szCs w:val="18"/>
                <w:color w:val="auto"/>
              </w:rPr>
              <w:t>Collateral Reporting</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5.19(a)</w:t>
            </w:r>
          </w:p>
        </w:tc>
        <w:tc>
          <w:tcPr>
            <w:tcW w:w="9660" w:type="dxa"/>
            <w:vAlign w:val="bottom"/>
          </w:tcPr>
          <w:p>
            <w:pPr>
              <w:ind w:left="540"/>
              <w:spacing w:after="0"/>
              <w:rPr>
                <w:sz w:val="20"/>
                <w:szCs w:val="20"/>
                <w:color w:val="auto"/>
              </w:rPr>
            </w:pPr>
            <w:r>
              <w:rPr>
                <w:rFonts w:ascii="Arial" w:cs="Arial" w:eastAsia="Arial" w:hAnsi="Arial"/>
                <w:sz w:val="18"/>
                <w:szCs w:val="18"/>
                <w:color w:val="auto"/>
              </w:rPr>
              <w:t>BB Controlled Account Banks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5.19(b)</w:t>
            </w:r>
          </w:p>
        </w:tc>
        <w:tc>
          <w:tcPr>
            <w:tcW w:w="9660" w:type="dxa"/>
            <w:vAlign w:val="bottom"/>
          </w:tcPr>
          <w:p>
            <w:pPr>
              <w:ind w:left="540"/>
              <w:spacing w:after="0"/>
              <w:rPr>
                <w:sz w:val="20"/>
                <w:szCs w:val="20"/>
                <w:color w:val="auto"/>
              </w:rPr>
            </w:pPr>
            <w:r>
              <w:rPr>
                <w:rFonts w:ascii="Arial" w:cs="Arial" w:eastAsia="Arial" w:hAnsi="Arial"/>
                <w:sz w:val="18"/>
                <w:szCs w:val="18"/>
                <w:color w:val="auto"/>
              </w:rPr>
              <w:t>BVI/LP Controlled Account Banks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6.1</w:t>
            </w:r>
          </w:p>
        </w:tc>
        <w:tc>
          <w:tcPr>
            <w:tcW w:w="9660" w:type="dxa"/>
            <w:vAlign w:val="bottom"/>
          </w:tcPr>
          <w:p>
            <w:pPr>
              <w:ind w:left="540"/>
              <w:spacing w:after="0"/>
              <w:rPr>
                <w:sz w:val="20"/>
                <w:szCs w:val="20"/>
                <w:color w:val="auto"/>
              </w:rPr>
            </w:pPr>
            <w:r>
              <w:rPr>
                <w:rFonts w:ascii="Arial" w:cs="Arial" w:eastAsia="Arial" w:hAnsi="Arial"/>
                <w:sz w:val="18"/>
                <w:szCs w:val="18"/>
                <w:color w:val="auto"/>
              </w:rPr>
              <w:t>Permitted Existing Indebtedness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6.4</w:t>
            </w:r>
          </w:p>
        </w:tc>
        <w:tc>
          <w:tcPr>
            <w:tcW w:w="9660" w:type="dxa"/>
            <w:vAlign w:val="bottom"/>
          </w:tcPr>
          <w:p>
            <w:pPr>
              <w:ind w:left="540"/>
              <w:spacing w:after="0"/>
              <w:rPr>
                <w:sz w:val="20"/>
                <w:szCs w:val="20"/>
                <w:color w:val="auto"/>
              </w:rPr>
            </w:pPr>
            <w:r>
              <w:rPr>
                <w:rFonts w:ascii="Arial" w:cs="Arial" w:eastAsia="Arial" w:hAnsi="Arial"/>
                <w:sz w:val="18"/>
                <w:szCs w:val="18"/>
                <w:color w:val="auto"/>
              </w:rPr>
              <w:t>Permitted Existing Liens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6.5(d)</w:t>
            </w:r>
          </w:p>
        </w:tc>
        <w:tc>
          <w:tcPr>
            <w:tcW w:w="9660" w:type="dxa"/>
            <w:vAlign w:val="bottom"/>
          </w:tcPr>
          <w:p>
            <w:pPr>
              <w:ind w:left="540"/>
              <w:spacing w:after="0"/>
              <w:rPr>
                <w:sz w:val="20"/>
                <w:szCs w:val="20"/>
                <w:color w:val="auto"/>
              </w:rPr>
            </w:pPr>
            <w:r>
              <w:rPr>
                <w:rFonts w:ascii="Arial" w:cs="Arial" w:eastAsia="Arial" w:hAnsi="Arial"/>
                <w:sz w:val="18"/>
                <w:szCs w:val="18"/>
                <w:color w:val="auto"/>
              </w:rPr>
              <w:t>Specified Dispositions</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Schedule 6.6</w:t>
            </w:r>
          </w:p>
        </w:tc>
        <w:tc>
          <w:tcPr>
            <w:tcW w:w="9660" w:type="dxa"/>
            <w:vAlign w:val="bottom"/>
          </w:tcPr>
          <w:p>
            <w:pPr>
              <w:ind w:left="540"/>
              <w:spacing w:after="0"/>
              <w:rPr>
                <w:sz w:val="20"/>
                <w:szCs w:val="20"/>
                <w:color w:val="auto"/>
              </w:rPr>
            </w:pPr>
            <w:r>
              <w:rPr>
                <w:rFonts w:ascii="Arial" w:cs="Arial" w:eastAsia="Arial" w:hAnsi="Arial"/>
                <w:sz w:val="18"/>
                <w:szCs w:val="18"/>
                <w:color w:val="auto"/>
              </w:rPr>
              <w:t>Permitted Existing Investments</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Schedule 6.11</w:t>
            </w:r>
          </w:p>
        </w:tc>
        <w:tc>
          <w:tcPr>
            <w:tcW w:w="9660" w:type="dxa"/>
            <w:vAlign w:val="bottom"/>
          </w:tcPr>
          <w:p>
            <w:pPr>
              <w:ind w:left="540"/>
              <w:spacing w:after="0"/>
              <w:rPr>
                <w:sz w:val="20"/>
                <w:szCs w:val="20"/>
                <w:color w:val="auto"/>
              </w:rPr>
            </w:pPr>
            <w:r>
              <w:rPr>
                <w:rFonts w:ascii="Arial" w:cs="Arial" w:eastAsia="Arial" w:hAnsi="Arial"/>
                <w:sz w:val="18"/>
                <w:szCs w:val="18"/>
                <w:color w:val="auto"/>
              </w:rPr>
              <w:t>Restrictive Agreements</w:t>
            </w:r>
          </w:p>
        </w:tc>
      </w:tr>
      <w:tr>
        <w:trPr>
          <w:trHeight w:val="648"/>
        </w:trPr>
        <w:tc>
          <w:tcPr>
            <w:tcW w:w="17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rPr>
              <w:t>-vii-</w:t>
            </w:r>
          </w:p>
        </w:tc>
      </w:tr>
    </w:tbl>
    <w:p>
      <w:pPr>
        <w:sectPr>
          <w:pgSz w:w="11900" w:h="16838" w:orient="portrait"/>
          <w:cols w:equalWidth="0" w:num="1">
            <w:col w:w="11420"/>
          </w:cols>
          <w:pgMar w:left="240" w:top="904"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b w:val="1"/>
          <w:bCs w:val="1"/>
          <w:color w:val="auto"/>
        </w:rPr>
        <w:t>THIS CREDIT AGREEMENT</w:t>
      </w:r>
      <w:r>
        <w:rPr>
          <w:rFonts w:ascii="Arial" w:cs="Arial" w:eastAsia="Arial" w:hAnsi="Arial"/>
          <w:sz w:val="16"/>
          <w:szCs w:val="16"/>
          <w:color w:val="auto"/>
        </w:rPr>
        <w:t>, is entered into as of December 13, 2019 by and among the lenders identified on the signature pages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(each of such lenders, together with its successors and permitted assigns, is referred to hereinafter as a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as that term is hereinafter further defined),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a national banking association, as administrative agent for each member of the Lender Group and the Bank Product Providers (in such capacity, together with its successors and assigns in such capacity,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w:t>
      </w:r>
      <w:r>
        <w:rPr>
          <w:rFonts w:ascii="Arial" w:cs="Arial" w:eastAsia="Arial" w:hAnsi="Arial"/>
          <w:sz w:val="16"/>
          <w:szCs w:val="16"/>
          <w:b w:val="1"/>
          <w:bCs w:val="1"/>
          <w:color w:val="auto"/>
        </w:rPr>
        <w:t>WELLS FARGO BANK,</w:t>
      </w:r>
      <w:r>
        <w:rPr>
          <w:rFonts w:ascii="Arial" w:cs="Arial" w:eastAsia="Arial" w:hAnsi="Arial"/>
          <w:sz w:val="16"/>
          <w:szCs w:val="16"/>
          <w:color w:val="auto"/>
        </w:rPr>
        <w:t xml:space="preserve"> </w:t>
      </w:r>
      <w:r>
        <w:rPr>
          <w:rFonts w:ascii="Arial" w:cs="Arial" w:eastAsia="Arial" w:hAnsi="Arial"/>
          <w:sz w:val="16"/>
          <w:szCs w:val="16"/>
          <w:b w:val="1"/>
          <w:bCs w:val="1"/>
          <w:color w:val="auto"/>
        </w:rPr>
        <w:t>NATIONAL ASSOCIATION</w:t>
      </w:r>
      <w:r>
        <w:rPr>
          <w:rFonts w:ascii="Arial" w:cs="Arial" w:eastAsia="Arial" w:hAnsi="Arial"/>
          <w:sz w:val="16"/>
          <w:szCs w:val="16"/>
          <w:color w:val="auto"/>
        </w:rPr>
        <w:t>, a national banking association,</w:t>
      </w:r>
      <w:r>
        <w:rPr>
          <w:rFonts w:ascii="Arial" w:cs="Arial" w:eastAsia="Arial" w:hAnsi="Arial"/>
          <w:sz w:val="16"/>
          <w:szCs w:val="16"/>
          <w:b w:val="1"/>
          <w:bCs w:val="1"/>
          <w:color w:val="auto"/>
        </w:rPr>
        <w:t xml:space="preserve"> DEUTSCHE BANK SECURITIES INC., BARCLAYS BANK PLC </w:t>
      </w:r>
      <w:r>
        <w:rPr>
          <w:rFonts w:ascii="Arial" w:cs="Arial" w:eastAsia="Arial" w:hAnsi="Arial"/>
          <w:sz w:val="16"/>
          <w:szCs w:val="16"/>
          <w:color w:val="auto"/>
        </w:rPr>
        <w:t>and</w:t>
      </w:r>
      <w:r>
        <w:rPr>
          <w:rFonts w:ascii="Arial" w:cs="Arial" w:eastAsia="Arial" w:hAnsi="Arial"/>
          <w:sz w:val="16"/>
          <w:szCs w:val="16"/>
          <w:b w:val="1"/>
          <w:bCs w:val="1"/>
          <w:color w:val="auto"/>
        </w:rPr>
        <w:t xml:space="preserve"> CITIBANK, N.A.</w:t>
      </w:r>
      <w:r>
        <w:rPr>
          <w:rFonts w:ascii="Arial" w:cs="Arial" w:eastAsia="Arial" w:hAnsi="Arial"/>
          <w:sz w:val="16"/>
          <w:szCs w:val="16"/>
          <w:color w:val="auto"/>
        </w:rPr>
        <w:t>, as joint lead arrangers (in such capacity, together with their successors and assigns in such capacity, the "</w:t>
      </w:r>
      <w:r>
        <w:rPr>
          <w:rFonts w:ascii="Arial" w:cs="Arial" w:eastAsia="Arial" w:hAnsi="Arial"/>
          <w:sz w:val="16"/>
          <w:szCs w:val="16"/>
          <w:u w:val="single" w:color="auto"/>
          <w:color w:val="auto"/>
        </w:rPr>
        <w:t>Joint Lead Arrangers</w:t>
      </w:r>
      <w:r>
        <w:rPr>
          <w:rFonts w:ascii="Arial" w:cs="Arial" w:eastAsia="Arial" w:hAnsi="Arial"/>
          <w:sz w:val="16"/>
          <w:szCs w:val="16"/>
          <w:color w:val="auto"/>
        </w:rPr>
        <w:t>"),</w:t>
      </w:r>
      <w:r>
        <w:rPr>
          <w:rFonts w:ascii="Arial" w:cs="Arial" w:eastAsia="Arial" w:hAnsi="Arial"/>
          <w:sz w:val="16"/>
          <w:szCs w:val="16"/>
          <w:b w:val="1"/>
          <w:bCs w:val="1"/>
          <w:color w:val="auto"/>
        </w:rPr>
        <w:t xml:space="preserve"> WELLS FARGO BANK, NATIONAL ASSOCIATION</w:t>
      </w:r>
      <w:r>
        <w:rPr>
          <w:rFonts w:ascii="Arial" w:cs="Arial" w:eastAsia="Arial" w:hAnsi="Arial"/>
          <w:sz w:val="16"/>
          <w:szCs w:val="16"/>
          <w:color w:val="auto"/>
        </w:rPr>
        <w:t>, a national banking association,</w:t>
      </w:r>
      <w:r>
        <w:rPr>
          <w:rFonts w:ascii="Arial" w:cs="Arial" w:eastAsia="Arial" w:hAnsi="Arial"/>
          <w:sz w:val="16"/>
          <w:szCs w:val="16"/>
          <w:b w:val="1"/>
          <w:bCs w:val="1"/>
          <w:color w:val="auto"/>
        </w:rPr>
        <w:t xml:space="preserve"> DEUTSCHE BANK SECURITIES INC., BARCLAYS BANK PLC </w:t>
      </w:r>
      <w:r>
        <w:rPr>
          <w:rFonts w:ascii="Arial" w:cs="Arial" w:eastAsia="Arial" w:hAnsi="Arial"/>
          <w:sz w:val="16"/>
          <w:szCs w:val="16"/>
          <w:color w:val="auto"/>
        </w:rPr>
        <w:t>and</w:t>
      </w:r>
      <w:r>
        <w:rPr>
          <w:rFonts w:ascii="Arial" w:cs="Arial" w:eastAsia="Arial" w:hAnsi="Arial"/>
          <w:sz w:val="16"/>
          <w:szCs w:val="16"/>
          <w:b w:val="1"/>
          <w:bCs w:val="1"/>
          <w:color w:val="auto"/>
        </w:rPr>
        <w:t xml:space="preserve"> CITIBANK, N.A.</w:t>
      </w:r>
      <w:r>
        <w:rPr>
          <w:rFonts w:ascii="Arial" w:cs="Arial" w:eastAsia="Arial" w:hAnsi="Arial"/>
          <w:sz w:val="16"/>
          <w:szCs w:val="16"/>
          <w:color w:val="auto"/>
        </w:rPr>
        <w:t>, as joint book runners (in such capacity, together with their successors and assigns in such capacity, the "</w:t>
      </w:r>
      <w:r>
        <w:rPr>
          <w:rFonts w:ascii="Arial" w:cs="Arial" w:eastAsia="Arial" w:hAnsi="Arial"/>
          <w:sz w:val="16"/>
          <w:szCs w:val="16"/>
          <w:u w:val="single" w:color="auto"/>
          <w:color w:val="auto"/>
        </w:rPr>
        <w:t>Joint Book Runners</w:t>
      </w:r>
      <w:r>
        <w:rPr>
          <w:rFonts w:ascii="Arial" w:cs="Arial" w:eastAsia="Arial" w:hAnsi="Arial"/>
          <w:sz w:val="16"/>
          <w:szCs w:val="16"/>
          <w:color w:val="auto"/>
        </w:rPr>
        <w:t>"),</w:t>
      </w:r>
      <w:r>
        <w:rPr>
          <w:rFonts w:ascii="Arial" w:cs="Arial" w:eastAsia="Arial" w:hAnsi="Arial"/>
          <w:sz w:val="16"/>
          <w:szCs w:val="16"/>
          <w:b w:val="1"/>
          <w:bCs w:val="1"/>
          <w:color w:val="auto"/>
        </w:rPr>
        <w:t xml:space="preserve"> WEATHERFORD INTERNATIONAL PLC</w:t>
      </w:r>
      <w:r>
        <w:rPr>
          <w:rFonts w:ascii="Arial" w:cs="Arial" w:eastAsia="Arial" w:hAnsi="Arial"/>
          <w:sz w:val="16"/>
          <w:szCs w:val="16"/>
          <w:color w:val="auto"/>
        </w:rPr>
        <w:t>, a public limited company incorporated in the Republic of Ireland,</w:t>
      </w:r>
      <w:r>
        <w:rPr>
          <w:rFonts w:ascii="Arial" w:cs="Arial" w:eastAsia="Arial" w:hAnsi="Arial"/>
          <w:sz w:val="16"/>
          <w:szCs w:val="16"/>
          <w:b w:val="1"/>
          <w:bCs w:val="1"/>
          <w:color w:val="auto"/>
        </w:rPr>
        <w:t xml:space="preserve"> WEATHERFORD INTERNATIONAL LTD.</w:t>
      </w:r>
      <w:r>
        <w:rPr>
          <w:rFonts w:ascii="Arial" w:cs="Arial" w:eastAsia="Arial" w:hAnsi="Arial"/>
          <w:sz w:val="16"/>
          <w:szCs w:val="16"/>
          <w:color w:val="auto"/>
        </w:rPr>
        <w:t>, a Bermuda exempted company limited by shares ("</w:t>
      </w:r>
      <w:r>
        <w:rPr>
          <w:rFonts w:ascii="Arial" w:cs="Arial" w:eastAsia="Arial" w:hAnsi="Arial"/>
          <w:sz w:val="16"/>
          <w:szCs w:val="16"/>
          <w:u w:val="single" w:color="auto"/>
          <w:color w:val="auto"/>
        </w:rPr>
        <w:t>WIL-Bermuda</w:t>
      </w:r>
      <w:r>
        <w:rPr>
          <w:rFonts w:ascii="Arial" w:cs="Arial" w:eastAsia="Arial" w:hAnsi="Arial"/>
          <w:sz w:val="16"/>
          <w:szCs w:val="16"/>
          <w:color w:val="auto"/>
        </w:rPr>
        <w:t>"),</w:t>
      </w:r>
      <w:r>
        <w:rPr>
          <w:rFonts w:ascii="Arial" w:cs="Arial" w:eastAsia="Arial" w:hAnsi="Arial"/>
          <w:sz w:val="16"/>
          <w:szCs w:val="16"/>
          <w:b w:val="1"/>
          <w:bCs w:val="1"/>
          <w:color w:val="auto"/>
        </w:rPr>
        <w:t xml:space="preserve"> WEATHERFORD INTERNATIONAL, LLC</w:t>
      </w:r>
      <w:r>
        <w:rPr>
          <w:rFonts w:ascii="Arial" w:cs="Arial" w:eastAsia="Arial" w:hAnsi="Arial"/>
          <w:sz w:val="16"/>
          <w:szCs w:val="16"/>
          <w:color w:val="auto"/>
        </w:rPr>
        <w:t>, a Delaware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t>
      </w:r>
      <w:r>
        <w:rPr>
          <w:rFonts w:ascii="Arial" w:cs="Arial" w:eastAsia="Arial" w:hAnsi="Arial"/>
          <w:sz w:val="16"/>
          <w:szCs w:val="16"/>
          <w:u w:val="single" w:color="auto"/>
          <w:color w:val="auto"/>
        </w:rPr>
        <w:t>WIL-Delaware</w:t>
      </w:r>
      <w:r>
        <w:rPr>
          <w:rFonts w:ascii="Arial" w:cs="Arial" w:eastAsia="Arial" w:hAnsi="Arial"/>
          <w:sz w:val="16"/>
          <w:szCs w:val="16"/>
          <w:color w:val="auto"/>
        </w:rPr>
        <w:t xml:space="preserve">"), and those additional entities that hereafter become parties hereto as Borrowers in accordance with the terms hereof by executing the form of Joinder attached hereto as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(with such revisions as are necessary or reasonably desirable based on the laws of the applicable country of formation, in the case of a Foreign Subsidiary) (together with WIL Bermuda and WIL-Delaware, collectively,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165"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1, 2019, Borrowers and Parent (each, a "</w:t>
      </w:r>
      <w:r>
        <w:rPr>
          <w:rFonts w:ascii="Arial" w:cs="Arial" w:eastAsia="Arial" w:hAnsi="Arial"/>
          <w:sz w:val="18"/>
          <w:szCs w:val="18"/>
          <w:u w:val="single" w:color="auto"/>
          <w:color w:val="auto"/>
        </w:rPr>
        <w:t>Debtor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Debtors</w:t>
      </w:r>
      <w:r>
        <w:rPr>
          <w:rFonts w:ascii="Arial" w:cs="Arial" w:eastAsia="Arial" w:hAnsi="Arial"/>
          <w:sz w:val="18"/>
          <w:szCs w:val="18"/>
          <w:color w:val="auto"/>
        </w:rPr>
        <w:t>") initiated Chapter 11 Cases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by filing voluntary petitions pursuant to chapter 11 of the Bankruptcy Code with the Bankruptcy Court;</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Chapter 11 Cases, WIL-Bermuda has sought approval of, and to implement a scheme of arrangement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Bermuda under Section 99 of the Companies Act 1981 and Parent has sought approval of, and to implement a scheme of arrangement by the High Court of Ireland; and</w:t>
      </w:r>
    </w:p>
    <w:p>
      <w:pPr>
        <w:spacing w:after="0" w:line="176"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Plan of Reorganization (as hereinafter defined) has been confirmed in the Chapter 11 Cases by the Bankruptcy Court and</w:t>
      </w:r>
      <w:r>
        <w:rPr>
          <w:rFonts w:ascii="Arial" w:cs="Arial" w:eastAsia="Arial" w:hAnsi="Arial"/>
          <w:sz w:val="16"/>
          <w:szCs w:val="16"/>
          <w:b w:val="1"/>
          <w:bCs w:val="1"/>
          <w:color w:val="auto"/>
        </w:rPr>
        <w:t xml:space="preserve"> </w:t>
      </w:r>
      <w:r>
        <w:rPr>
          <w:rFonts w:ascii="Arial" w:cs="Arial" w:eastAsia="Arial" w:hAnsi="Arial"/>
          <w:sz w:val="16"/>
          <w:szCs w:val="16"/>
          <w:color w:val="auto"/>
        </w:rPr>
        <w:t>concurrently with the making of the initial loans or issuance of letters of credit hereunder, the Plan Effective Date (as hereinafter defined) shall have occurred.</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DEFINITIONS AND CONSTRUCTION.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shall have the following definitions:</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Appraisal</w:t>
      </w:r>
      <w:r>
        <w:rPr>
          <w:rFonts w:ascii="Arial" w:cs="Arial" w:eastAsia="Arial" w:hAnsi="Arial"/>
          <w:sz w:val="18"/>
          <w:szCs w:val="18"/>
          <w:color w:val="auto"/>
        </w:rPr>
        <w:t>" means, with respect to an appraisal of Inventory or Rental Tools, the most recent appraisal of such property received by Agent (a) from an appraisal company reasonably satisfactory to Agent (it being acknowledged and agreed that Hilco Valuation Services is satisfactory to Agent) and (b) the scope and methodology (including, to the extent relevant, any sampling procedure employed by such appraisal company) of which are reasonably satisfactory to Agent, in each case, in Agent's Permitted Discretion.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08" w:name="page209"/>
    <w:bookmarkEnd w:id="20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account (as that term is defined in the Code or, to the extent applicable, the PPSA).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obligated on an Account, chattel paper, or a general intangible.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Party</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2.11(h)</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(whether by purchase, merger, amalgamation, consolidation or otherwise) of property or series of related acquisitions of property that constitutes (i) assets comprising all or substantially all or any significant portion of a business or operating unit of a business, or (ii) all or substantially all of the Equity Interests of a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Activation Instruction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definition of Eligible Accounts and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this Agreement: (a) if any Person owns directly or indirectly 15% or more of the Equity Interests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9" w:name="page210"/>
    <w:bookmarkEnd w:id="209"/>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Guaranty</w:t>
      </w:r>
      <w:r>
        <w:rPr>
          <w:rFonts w:ascii="Arial" w:cs="Arial" w:eastAsia="Arial" w:hAnsi="Arial"/>
          <w:sz w:val="18"/>
          <w:szCs w:val="18"/>
          <w:color w:val="auto"/>
        </w:rPr>
        <w:t>" means that certain Affiliate Guaranty, dated as of the date hereof, by the Guarantors party thereto in favor of Agent, for the benefit of the Lender Group and the Bank Product Providers.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Fee Letter</w:t>
      </w:r>
      <w:r>
        <w:rPr>
          <w:rFonts w:ascii="Arial" w:cs="Arial" w:eastAsia="Arial" w:hAnsi="Arial"/>
          <w:sz w:val="18"/>
          <w:szCs w:val="18"/>
          <w:color w:val="auto"/>
        </w:rPr>
        <w:t>" means that certain amended and restated fee letter, dated as of even date with this Agreement, among Borrowers, Parent and Agent, in form and substance reasonably satisfactory to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Agent, together with its Affiliates, officers, directors, employees, attorneys, and agents.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xml:space="preserve">" means the Deposit Account of Agent identified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to this Agreement (or such other Deposit Account of Agent that has been designated as such, in writing, by Agent to Borrowers and the Lenders).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Agent's Liens</w:t>
      </w:r>
      <w:r>
        <w:rPr>
          <w:rFonts w:ascii="Arial" w:cs="Arial" w:eastAsia="Arial" w:hAnsi="Arial"/>
          <w:sz w:val="16"/>
          <w:szCs w:val="16"/>
          <w:color w:val="auto"/>
        </w:rPr>
        <w:t>" means the Liens granted by each Loan Party or its Restricted Subsidiaries to Agent under the Loan Documents and securing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Borrowing Base</w:t>
      </w:r>
      <w:r>
        <w:rPr>
          <w:rFonts w:ascii="Arial" w:cs="Arial" w:eastAsia="Arial" w:hAnsi="Arial"/>
          <w:sz w:val="17"/>
          <w:szCs w:val="17"/>
          <w:color w:val="auto"/>
        </w:rPr>
        <w:t xml:space="preserve">" means </w:t>
      </w:r>
      <w:r>
        <w:rPr>
          <w:rFonts w:ascii="Arial" w:cs="Arial" w:eastAsia="Arial" w:hAnsi="Arial"/>
          <w:sz w:val="17"/>
          <w:szCs w:val="17"/>
          <w:i w:val="1"/>
          <w:iCs w:val="1"/>
          <w:color w:val="auto"/>
        </w:rPr>
        <w:t>the sum of</w:t>
      </w:r>
      <w:r>
        <w:rPr>
          <w:rFonts w:ascii="Arial" w:cs="Arial" w:eastAsia="Arial" w:hAnsi="Arial"/>
          <w:sz w:val="17"/>
          <w:szCs w:val="17"/>
          <w:color w:val="auto"/>
        </w:rPr>
        <w:t xml:space="preserve"> (a) the Joint Borrowing Base,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the German Borrowing Base,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(c) the Swiss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Borrowing Base.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means any currency of a Specified State.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Credit Agreement, as amended, restated, amended and restated, supplemented or otherwise modified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each of (a) Euro, (b) Sterling, and (c) any other currency that is readily available and freely transferable and convertible into Dollars that is approved by Agent in its Permitted Discretion and the applicable Issuing Bank (such approval not to be unreasonably withheld).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Angolan Bond Investment</w:t>
      </w:r>
      <w:r>
        <w:rPr>
          <w:rFonts w:ascii="Arial" w:cs="Arial" w:eastAsia="Arial" w:hAnsi="Arial"/>
          <w:sz w:val="18"/>
          <w:szCs w:val="18"/>
          <w:color w:val="auto"/>
        </w:rPr>
        <w:t>" means the purchase of Dollar-linked or inflation-protected Angolan government sovereign bonds or similar instruments having a similar purpose by Parent or a Restricted Subsidiary.</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Annualized Basis</w:t>
      </w:r>
      <w:r>
        <w:rPr>
          <w:rFonts w:ascii="Arial" w:cs="Arial" w:eastAsia="Arial" w:hAnsi="Arial"/>
          <w:sz w:val="18"/>
          <w:szCs w:val="18"/>
          <w:color w:val="auto"/>
        </w:rPr>
        <w:t>" means, with respect to the calculation of the Fixed Charge Coverage Ratio for any applicable period, the product of (i) the applicable components of Fixed Charges made from and after the Closing Date through the last day of such period (the "</w:t>
      </w:r>
      <w:r>
        <w:rPr>
          <w:rFonts w:ascii="Arial" w:cs="Arial" w:eastAsia="Arial" w:hAnsi="Arial"/>
          <w:sz w:val="18"/>
          <w:szCs w:val="18"/>
          <w:u w:val="single" w:color="auto"/>
          <w:color w:val="auto"/>
        </w:rPr>
        <w:t>Post-Closing Period</w:t>
      </w:r>
      <w:r>
        <w:rPr>
          <w:rFonts w:ascii="Arial" w:cs="Arial" w:eastAsia="Arial" w:hAnsi="Arial"/>
          <w:sz w:val="18"/>
          <w:szCs w:val="18"/>
          <w:color w:val="auto"/>
        </w:rPr>
        <w:t xml:space="preserve">") divided by the number of calendar days in such Post-Closing Period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365.</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 including, without limitation, Canadian Anti-Money Laundering &amp; Anti-Terrorism Legislation and the </w:t>
      </w:r>
      <w:r>
        <w:rPr>
          <w:rFonts w:ascii="Arial" w:cs="Arial" w:eastAsia="Arial" w:hAnsi="Arial"/>
          <w:sz w:val="18"/>
          <w:szCs w:val="18"/>
          <w:i w:val="1"/>
          <w:iCs w:val="1"/>
          <w:color w:val="auto"/>
        </w:rPr>
        <w:t>Corruption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Public Officials Act </w:t>
      </w:r>
      <w:r>
        <w:rPr>
          <w:rFonts w:ascii="Arial" w:cs="Arial" w:eastAsia="Arial" w:hAnsi="Arial"/>
          <w:sz w:val="18"/>
          <w:szCs w:val="18"/>
          <w:color w:val="auto"/>
        </w:rPr>
        <w:t>(Canada).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0" w:name="page211"/>
    <w:bookmarkEnd w:id="210"/>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including, without limitation, Canadian Anti-Money Laundering &amp; Anti-Terrorism Legislation.</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Borrowing Base</w:t>
      </w:r>
      <w:r>
        <w:rPr>
          <w:rFonts w:ascii="Arial" w:cs="Arial" w:eastAsia="Arial" w:hAnsi="Arial"/>
          <w:sz w:val="18"/>
          <w:szCs w:val="18"/>
          <w:color w:val="auto"/>
        </w:rPr>
        <w:t>" means the Joint Borrowing Base and/or the German Borrowing Base and/or the Swiss Borrowing Base and/or the Joint FILO Borrowing Base, the German FILO Borrowing Base and/or the Swiss FILO Borrowing Base and/or the FILO Borrowing Base, as the context requires.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Borrowing Base Loan Parties</w:t>
      </w:r>
      <w:r>
        <w:rPr>
          <w:rFonts w:ascii="Arial" w:cs="Arial" w:eastAsia="Arial" w:hAnsi="Arial"/>
          <w:sz w:val="18"/>
          <w:szCs w:val="18"/>
          <w:color w:val="auto"/>
        </w:rPr>
        <w:t>" means the Joint Borrowing Base Loan Parties and/or the German Borrower and/or the Swiss Borrower, as the context requires.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as of any date of determination and with respect to Base Rate Loans or LIBOR Rate Loans, as applicable, the applicable margin set forth in the following table that corresponds to the Average Excess Availability of Borrowers for the most recently completed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period from the Closing Date through and including March 31, 2020, the Applicable Margin shall be set at the margin in the row styled "Level II":</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840" w:type="dxa"/>
            <w:vAlign w:val="bottom"/>
            <w:tcBorders>
              <w:top w:val="single" w:sz="8" w:color="auto"/>
              <w:left w:val="single" w:sz="8" w:color="auto"/>
              <w:right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right w:val="single" w:sz="8" w:color="auto"/>
            </w:tcBorders>
          </w:tcPr>
          <w:p>
            <w:pPr>
              <w:spacing w:after="0"/>
              <w:rPr>
                <w:sz w:val="23"/>
                <w:szCs w:val="23"/>
                <w:color w:val="auto"/>
              </w:rPr>
            </w:pPr>
          </w:p>
        </w:tc>
        <w:tc>
          <w:tcPr>
            <w:tcW w:w="206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3"/>
              </w:rPr>
              <w:t>Applicable Margin for</w:t>
            </w:r>
          </w:p>
        </w:tc>
        <w:tc>
          <w:tcPr>
            <w:tcW w:w="140" w:type="dxa"/>
            <w:vAlign w:val="bottom"/>
            <w:tcBorders>
              <w:top w:val="single" w:sz="8" w:color="auto"/>
            </w:tcBorders>
          </w:tcPr>
          <w:p>
            <w:pPr>
              <w:spacing w:after="0"/>
              <w:rPr>
                <w:sz w:val="23"/>
                <w:szCs w:val="23"/>
                <w:color w:val="auto"/>
              </w:rPr>
            </w:pPr>
          </w:p>
        </w:tc>
        <w:tc>
          <w:tcPr>
            <w:tcW w:w="1900" w:type="dxa"/>
            <w:vAlign w:val="bottom"/>
            <w:tcBorders>
              <w:top w:val="single" w:sz="8" w:color="auto"/>
              <w:right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4"/>
              </w:rPr>
              <w:t>Applicable Margin for</w:t>
            </w:r>
          </w:p>
        </w:tc>
        <w:tc>
          <w:tcPr>
            <w:tcW w:w="204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4"/>
              </w:rPr>
              <w:t>Applicable Margin for</w:t>
            </w:r>
          </w:p>
        </w:tc>
        <w:tc>
          <w:tcPr>
            <w:tcW w:w="100" w:type="dxa"/>
            <w:vAlign w:val="bottom"/>
            <w:tcBorders>
              <w:top w:val="single" w:sz="8" w:color="auto"/>
            </w:tcBorders>
          </w:tcPr>
          <w:p>
            <w:pPr>
              <w:spacing w:after="0"/>
              <w:rPr>
                <w:sz w:val="23"/>
                <w:szCs w:val="23"/>
                <w:color w:val="auto"/>
              </w:rPr>
            </w:pPr>
          </w:p>
        </w:tc>
        <w:tc>
          <w:tcPr>
            <w:tcW w:w="1940" w:type="dxa"/>
            <w:vAlign w:val="bottom"/>
            <w:tcBorders>
              <w:top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4"/>
              </w:rPr>
              <w:t>Applicable Margin for</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88"/>
              </w:rPr>
              <w:t>Base Rate Loans which</w:t>
            </w:r>
          </w:p>
        </w:tc>
        <w:tc>
          <w:tcPr>
            <w:tcW w:w="20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4"/>
              </w:rPr>
              <w:t>LIBOR Rate Loans which</w:t>
            </w:r>
          </w:p>
        </w:tc>
        <w:tc>
          <w:tcPr>
            <w:tcW w:w="20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Base Rate Loans which</w:t>
            </w:r>
          </w:p>
        </w:tc>
        <w:tc>
          <w:tcPr>
            <w:tcW w:w="20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LIBOR Rate Loans which</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are Revolving Loans (the</w:t>
            </w:r>
          </w:p>
        </w:tc>
        <w:tc>
          <w:tcPr>
            <w:tcW w:w="20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9"/>
              </w:rPr>
              <w:t>are Revolving Loans (the</w:t>
            </w:r>
          </w:p>
        </w:tc>
        <w:tc>
          <w:tcPr>
            <w:tcW w:w="20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93"/>
              </w:rPr>
              <w:t>are FILO Loans (the</w:t>
            </w:r>
          </w:p>
        </w:tc>
        <w:tc>
          <w:tcPr>
            <w:tcW w:w="100" w:type="dxa"/>
            <w:vAlign w:val="bottom"/>
          </w:tcPr>
          <w:p>
            <w:pPr>
              <w:spacing w:after="0"/>
              <w:rPr>
                <w:sz w:val="18"/>
                <w:szCs w:val="18"/>
                <w:color w:val="auto"/>
              </w:rPr>
            </w:pPr>
          </w:p>
        </w:tc>
        <w:tc>
          <w:tcPr>
            <w:tcW w:w="19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3"/>
              </w:rPr>
              <w:t>are FILO Loans (the</w:t>
            </w:r>
          </w:p>
        </w:tc>
        <w:tc>
          <w:tcPr>
            <w:tcW w:w="0" w:type="dxa"/>
            <w:vAlign w:val="bottom"/>
          </w:tcPr>
          <w:p>
            <w:pPr>
              <w:spacing w:after="0"/>
              <w:rPr>
                <w:sz w:val="1"/>
                <w:szCs w:val="1"/>
                <w:color w:val="auto"/>
              </w:rPr>
            </w:pPr>
          </w:p>
        </w:tc>
      </w:tr>
      <w:tr>
        <w:trPr>
          <w:trHeight w:val="194"/>
        </w:trPr>
        <w:tc>
          <w:tcPr>
            <w:tcW w:w="84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gridSpan w:val="5"/>
          </w:tcPr>
          <w:p>
            <w:pPr>
              <w:jc w:val="center"/>
              <w:ind w:right="20"/>
              <w:spacing w:after="0" w:line="194" w:lineRule="exact"/>
              <w:rPr>
                <w:sz w:val="20"/>
                <w:szCs w:val="20"/>
                <w:color w:val="auto"/>
              </w:rPr>
            </w:pPr>
            <w:r>
              <w:rPr>
                <w:rFonts w:ascii="Arial" w:cs="Arial" w:eastAsia="Arial" w:hAnsi="Arial"/>
                <w:sz w:val="18"/>
                <w:szCs w:val="18"/>
                <w:b w:val="1"/>
                <w:bCs w:val="1"/>
                <w:color w:val="auto"/>
                <w:w w:val="90"/>
              </w:rPr>
              <w:t>"Revolving Loan Base</w:t>
            </w:r>
          </w:p>
        </w:tc>
        <w:tc>
          <w:tcPr>
            <w:tcW w:w="2040" w:type="dxa"/>
            <w:vAlign w:val="bottom"/>
            <w:tcBorders>
              <w:right w:val="single" w:sz="8" w:color="auto"/>
            </w:tcBorders>
            <w:gridSpan w:val="5"/>
          </w:tcPr>
          <w:p>
            <w:pPr>
              <w:jc w:val="center"/>
              <w:ind w:right="20"/>
              <w:spacing w:after="0" w:line="194" w:lineRule="exact"/>
              <w:rPr>
                <w:sz w:val="20"/>
                <w:szCs w:val="20"/>
                <w:color w:val="auto"/>
              </w:rPr>
            </w:pPr>
            <w:r>
              <w:rPr>
                <w:rFonts w:ascii="Arial" w:cs="Arial" w:eastAsia="Arial" w:hAnsi="Arial"/>
                <w:sz w:val="18"/>
                <w:szCs w:val="18"/>
                <w:b w:val="1"/>
                <w:bCs w:val="1"/>
                <w:color w:val="auto"/>
                <w:w w:val="95"/>
              </w:rPr>
              <w:t>"Revolving Loan LIBOR</w:t>
            </w:r>
          </w:p>
        </w:tc>
        <w:tc>
          <w:tcPr>
            <w:tcW w:w="2040" w:type="dxa"/>
            <w:vAlign w:val="bottom"/>
            <w:tcBorders>
              <w:right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94"/>
              </w:rPr>
              <w:t>"FILO Loan Base Rate</w:t>
            </w:r>
          </w:p>
        </w:tc>
        <w:tc>
          <w:tcPr>
            <w:tcW w:w="2040" w:type="dxa"/>
            <w:vAlign w:val="bottom"/>
            <w:tcBorders>
              <w:right w:val="single" w:sz="8" w:color="auto"/>
            </w:tcBorders>
            <w:gridSpan w:val="4"/>
          </w:tcPr>
          <w:p>
            <w:pPr>
              <w:jc w:val="center"/>
              <w:ind w:right="20"/>
              <w:spacing w:after="0" w:line="194" w:lineRule="exact"/>
              <w:rPr>
                <w:sz w:val="20"/>
                <w:szCs w:val="20"/>
                <w:color w:val="auto"/>
              </w:rPr>
            </w:pPr>
            <w:r>
              <w:rPr>
                <w:rFonts w:ascii="Arial" w:cs="Arial" w:eastAsia="Arial" w:hAnsi="Arial"/>
                <w:sz w:val="18"/>
                <w:szCs w:val="18"/>
                <w:b w:val="1"/>
                <w:bCs w:val="1"/>
                <w:color w:val="auto"/>
                <w:w w:val="99"/>
              </w:rPr>
              <w:t>"FILO Loan LIBOR Rate</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Level</w:t>
            </w:r>
          </w:p>
        </w:tc>
        <w:tc>
          <w:tcPr>
            <w:tcW w:w="2400" w:type="dxa"/>
            <w:vAlign w:val="bottom"/>
            <w:tcBorders>
              <w:right w:val="single" w:sz="8" w:color="auto"/>
            </w:tcBorders>
            <w:gridSpan w:val="5"/>
          </w:tcPr>
          <w:p>
            <w:pPr>
              <w:jc w:val="center"/>
              <w:ind w:right="20"/>
              <w:spacing w:after="0" w:line="196" w:lineRule="exact"/>
              <w:rPr>
                <w:sz w:val="20"/>
                <w:szCs w:val="20"/>
                <w:color w:val="auto"/>
              </w:rPr>
            </w:pPr>
            <w:r>
              <w:rPr>
                <w:rFonts w:ascii="Arial" w:cs="Arial" w:eastAsia="Arial" w:hAnsi="Arial"/>
                <w:sz w:val="18"/>
                <w:szCs w:val="18"/>
                <w:b w:val="1"/>
                <w:bCs w:val="1"/>
                <w:color w:val="auto"/>
                <w:w w:val="88"/>
              </w:rPr>
              <w:t>Average Excess Availability</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6"/>
              </w:rPr>
              <w:t>Rate Margin")</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96"/>
              </w:rPr>
              <w:t>Rate Margin")</w:t>
            </w:r>
          </w:p>
        </w:tc>
        <w:tc>
          <w:tcPr>
            <w:tcW w:w="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540"/>
              <w:spacing w:after="0" w:line="196" w:lineRule="exact"/>
              <w:rPr>
                <w:sz w:val="20"/>
                <w:szCs w:val="20"/>
                <w:color w:val="auto"/>
              </w:rPr>
            </w:pPr>
            <w:r>
              <w:rPr>
                <w:rFonts w:ascii="Arial" w:cs="Arial" w:eastAsia="Arial" w:hAnsi="Arial"/>
                <w:sz w:val="18"/>
                <w:szCs w:val="18"/>
                <w:b w:val="1"/>
                <w:bCs w:val="1"/>
                <w:color w:val="auto"/>
              </w:rPr>
              <w:t>Margin")</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top w:val="single" w:sz="8" w:color="auto"/>
              <w:right w:val="single" w:sz="8" w:color="auto"/>
            </w:tcBorders>
            <w:gridSpan w:val="3"/>
          </w:tcPr>
          <w:p>
            <w:pPr>
              <w:jc w:val="center"/>
              <w:ind w:right="120"/>
              <w:spacing w:after="0" w:line="196" w:lineRule="exact"/>
              <w:rPr>
                <w:sz w:val="20"/>
                <w:szCs w:val="20"/>
                <w:color w:val="auto"/>
              </w:rPr>
            </w:pPr>
            <w:r>
              <w:rPr>
                <w:rFonts w:ascii="Arial" w:cs="Arial" w:eastAsia="Arial" w:hAnsi="Arial"/>
                <w:sz w:val="18"/>
                <w:szCs w:val="18"/>
                <w:b w:val="1"/>
                <w:bCs w:val="1"/>
                <w:color w:val="auto"/>
              </w:rPr>
              <w:t>Margin")</w:t>
            </w:r>
          </w:p>
        </w:tc>
        <w:tc>
          <w:tcPr>
            <w:tcW w:w="0" w:type="dxa"/>
            <w:vAlign w:val="bottom"/>
          </w:tcPr>
          <w:p>
            <w:pPr>
              <w:spacing w:after="0"/>
              <w:rPr>
                <w:sz w:val="1"/>
                <w:szCs w:val="1"/>
                <w:color w:val="auto"/>
              </w:rPr>
            </w:pPr>
          </w:p>
        </w:tc>
      </w:tr>
      <w:tr>
        <w:trPr>
          <w:trHeight w:val="75"/>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I</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8"/>
                <w:szCs w:val="18"/>
                <w:color w:val="auto"/>
                <w:w w:val="75"/>
              </w:rPr>
              <w:t>&gt;</w:t>
            </w:r>
          </w:p>
        </w:tc>
        <w:tc>
          <w:tcPr>
            <w:tcW w:w="20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66.6% of the Maximum</w:t>
            </w:r>
          </w:p>
        </w:tc>
        <w:tc>
          <w:tcPr>
            <w:tcW w:w="206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18"/>
                <w:szCs w:val="18"/>
                <w:color w:val="auto"/>
                <w:w w:val="88"/>
              </w:rPr>
              <w:t>0.75 percentage points</w:t>
            </w:r>
          </w:p>
        </w:tc>
        <w:tc>
          <w:tcPr>
            <w:tcW w:w="140" w:type="dxa"/>
            <w:vAlign w:val="bottom"/>
          </w:tcPr>
          <w:p>
            <w:pPr>
              <w:spacing w:after="0"/>
              <w:rPr>
                <w:sz w:val="14"/>
                <w:szCs w:val="14"/>
                <w:color w:val="auto"/>
              </w:rPr>
            </w:pPr>
          </w:p>
        </w:tc>
        <w:tc>
          <w:tcPr>
            <w:tcW w:w="190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8"/>
                <w:szCs w:val="18"/>
                <w:color w:val="auto"/>
                <w:w w:val="88"/>
              </w:rPr>
              <w:t>1.75 percentage points</w:t>
            </w:r>
          </w:p>
        </w:tc>
        <w:tc>
          <w:tcPr>
            <w:tcW w:w="20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88"/>
              </w:rPr>
              <w:t>2.50 percentage points</w:t>
            </w:r>
          </w:p>
        </w:tc>
        <w:tc>
          <w:tcPr>
            <w:tcW w:w="100" w:type="dxa"/>
            <w:vAlign w:val="bottom"/>
          </w:tcPr>
          <w:p>
            <w:pPr>
              <w:spacing w:after="0"/>
              <w:rPr>
                <w:sz w:val="14"/>
                <w:szCs w:val="14"/>
                <w:color w:val="auto"/>
              </w:rPr>
            </w:pPr>
          </w:p>
        </w:tc>
        <w:tc>
          <w:tcPr>
            <w:tcW w:w="194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8"/>
                <w:szCs w:val="18"/>
                <w:color w:val="auto"/>
                <w:w w:val="88"/>
              </w:rPr>
              <w:t>3.50 percentage points</w:t>
            </w:r>
          </w:p>
        </w:tc>
        <w:tc>
          <w:tcPr>
            <w:tcW w:w="0" w:type="dxa"/>
            <w:vAlign w:val="bottom"/>
          </w:tcPr>
          <w:p>
            <w:pPr>
              <w:spacing w:after="0"/>
              <w:rPr>
                <w:sz w:val="1"/>
                <w:szCs w:val="1"/>
                <w:color w:val="auto"/>
              </w:rPr>
            </w:pPr>
          </w:p>
        </w:tc>
      </w:tr>
      <w:tr>
        <w:trPr>
          <w:trHeight w:val="21"/>
        </w:trPr>
        <w:tc>
          <w:tcPr>
            <w:tcW w:w="840" w:type="dxa"/>
            <w:vAlign w:val="bottom"/>
            <w:tcBorders>
              <w:left w:val="single" w:sz="8" w:color="auto"/>
              <w:right w:val="single" w:sz="8" w:color="auto"/>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right w:val="single" w:sz="8" w:color="auto"/>
            </w:tcBorders>
            <w:gridSpan w:val="3"/>
            <w:vMerge w:val="continue"/>
          </w:tcPr>
          <w:p>
            <w:pPr>
              <w:spacing w:after="0" w:line="20" w:lineRule="exact"/>
              <w:rPr>
                <w:sz w:val="1"/>
                <w:szCs w:val="1"/>
                <w:color w:val="auto"/>
              </w:rPr>
            </w:pPr>
          </w:p>
        </w:tc>
        <w:tc>
          <w:tcPr>
            <w:tcW w:w="2060" w:type="dxa"/>
            <w:vAlign w:val="bottom"/>
            <w:tcBorders>
              <w:right w:val="single" w:sz="8" w:color="auto"/>
            </w:tcBorders>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auto"/>
            </w:tcBorders>
            <w:gridSpan w:val="4"/>
            <w:vMerge w:val="continue"/>
          </w:tcPr>
          <w:p>
            <w:pPr>
              <w:spacing w:after="0" w:line="20" w:lineRule="exact"/>
              <w:rPr>
                <w:sz w:val="1"/>
                <w:szCs w:val="1"/>
                <w:color w:val="auto"/>
              </w:rPr>
            </w:pPr>
          </w:p>
        </w:tc>
        <w:tc>
          <w:tcPr>
            <w:tcW w:w="2040" w:type="dxa"/>
            <w:vAlign w:val="bottom"/>
            <w:tcBorders>
              <w:right w:val="single" w:sz="8" w:color="auto"/>
            </w:tcBorders>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5"/>
              </w:rPr>
              <w:t>Facility Amount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II</w:t>
            </w:r>
          </w:p>
        </w:tc>
        <w:tc>
          <w:tcPr>
            <w:tcW w:w="26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3"/>
              </w:rPr>
              <w:t>&lt; 66.6% of the Maximum</w:t>
            </w:r>
          </w:p>
        </w:tc>
        <w:tc>
          <w:tcPr>
            <w:tcW w:w="206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1.00 percentage points</w:t>
            </w:r>
          </w:p>
        </w:tc>
        <w:tc>
          <w:tcPr>
            <w:tcW w:w="140" w:type="dxa"/>
            <w:vAlign w:val="bottom"/>
          </w:tcPr>
          <w:p>
            <w:pPr>
              <w:spacing w:after="0"/>
              <w:rPr>
                <w:sz w:val="18"/>
                <w:szCs w:val="18"/>
                <w:color w:val="auto"/>
              </w:rPr>
            </w:pPr>
          </w:p>
        </w:tc>
        <w:tc>
          <w:tcPr>
            <w:tcW w:w="190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88"/>
              </w:rPr>
              <w:t>2.00 percentage points</w:t>
            </w:r>
          </w:p>
        </w:tc>
        <w:tc>
          <w:tcPr>
            <w:tcW w:w="20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8"/>
              </w:rPr>
              <w:t>2.50 percentage points</w:t>
            </w:r>
          </w:p>
        </w:tc>
        <w:tc>
          <w:tcPr>
            <w:tcW w:w="100" w:type="dxa"/>
            <w:vAlign w:val="bottom"/>
          </w:tcPr>
          <w:p>
            <w:pPr>
              <w:spacing w:after="0"/>
              <w:rPr>
                <w:sz w:val="18"/>
                <w:szCs w:val="18"/>
                <w:color w:val="auto"/>
              </w:rPr>
            </w:pPr>
          </w:p>
        </w:tc>
        <w:tc>
          <w:tcPr>
            <w:tcW w:w="19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8"/>
              </w:rPr>
              <w:t>3.50 percentage points</w:t>
            </w: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2400" w:type="dxa"/>
            <w:vAlign w:val="bottom"/>
            <w:tcBorders>
              <w:right w:val="single" w:sz="8" w:color="auto"/>
            </w:tcBorders>
            <w:gridSpan w:val="5"/>
          </w:tcPr>
          <w:p>
            <w:pPr>
              <w:jc w:val="center"/>
              <w:ind w:right="20"/>
              <w:spacing w:after="0" w:line="176" w:lineRule="exact"/>
              <w:rPr>
                <w:sz w:val="20"/>
                <w:szCs w:val="20"/>
                <w:color w:val="auto"/>
              </w:rPr>
            </w:pPr>
            <w:r>
              <w:rPr>
                <w:rFonts w:ascii="Arial" w:cs="Arial" w:eastAsia="Arial" w:hAnsi="Arial"/>
                <w:sz w:val="18"/>
                <w:szCs w:val="18"/>
                <w:color w:val="auto"/>
                <w:w w:val="92"/>
              </w:rPr>
              <w:t>Credit Amount and &gt; 33.3%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left w:val="single" w:sz="8" w:color="auto"/>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Borders>
              <w:left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8"/>
                <w:szCs w:val="18"/>
                <w:color w:val="auto"/>
                <w:w w:val="95"/>
              </w:rPr>
              <w:t>of the Maximum Facility</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3"/>
              </w:rPr>
              <w:t>Amount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III</w:t>
            </w:r>
          </w:p>
        </w:tc>
        <w:tc>
          <w:tcPr>
            <w:tcW w:w="26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3"/>
              </w:rPr>
              <w:t>&lt; 33.3% of the Maximum</w:t>
            </w:r>
          </w:p>
        </w:tc>
        <w:tc>
          <w:tcPr>
            <w:tcW w:w="206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1.25 percentage points</w:t>
            </w:r>
          </w:p>
        </w:tc>
        <w:tc>
          <w:tcPr>
            <w:tcW w:w="140" w:type="dxa"/>
            <w:vAlign w:val="bottom"/>
          </w:tcPr>
          <w:p>
            <w:pPr>
              <w:spacing w:after="0"/>
              <w:rPr>
                <w:sz w:val="18"/>
                <w:szCs w:val="18"/>
                <w:color w:val="auto"/>
              </w:rPr>
            </w:pPr>
          </w:p>
        </w:tc>
        <w:tc>
          <w:tcPr>
            <w:tcW w:w="190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88"/>
              </w:rPr>
              <w:t>2.25 percentage points</w:t>
            </w:r>
          </w:p>
        </w:tc>
        <w:tc>
          <w:tcPr>
            <w:tcW w:w="20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8"/>
              </w:rPr>
              <w:t>2.50 percentage points</w:t>
            </w:r>
          </w:p>
        </w:tc>
        <w:tc>
          <w:tcPr>
            <w:tcW w:w="100" w:type="dxa"/>
            <w:vAlign w:val="bottom"/>
          </w:tcPr>
          <w:p>
            <w:pPr>
              <w:spacing w:after="0"/>
              <w:rPr>
                <w:sz w:val="18"/>
                <w:szCs w:val="18"/>
                <w:color w:val="auto"/>
              </w:rPr>
            </w:pPr>
          </w:p>
        </w:tc>
        <w:tc>
          <w:tcPr>
            <w:tcW w:w="19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8"/>
              </w:rPr>
              <w:t>3.50 percentage points</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5"/>
              </w:rPr>
              <w:t>Facility Amount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Applicable Margin shall be re-determined as of the first day of each Fiscal Quarter.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1" w:name="page212"/>
    <w:bookmarkEnd w:id="211"/>
    <w:p>
      <w:pPr>
        <w:jc w:val="both"/>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Unused Line Fee Percentage</w:t>
      </w:r>
      <w:r>
        <w:rPr>
          <w:rFonts w:ascii="Arial" w:cs="Arial" w:eastAsia="Arial" w:hAnsi="Arial"/>
          <w:sz w:val="18"/>
          <w:szCs w:val="18"/>
          <w:color w:val="auto"/>
        </w:rPr>
        <w:t xml:space="preserve">" means, as of any date of determination, the applicable percentage set forth in the following table that corresponds to the Average Facility Usage of Borrowers for the most recently completed month as determined by Agent in its Permitted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period from the Closing Date through and including December 31, 2019, the Applicable Unused Line Fee Percentage shall be set at the rate in the row styled "Level II":</w:t>
      </w:r>
    </w:p>
    <w:p>
      <w:pPr>
        <w:spacing w:after="0" w:line="181"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1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2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Average Facility Usage</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Applicable Unused Line Fee Percentage</w:t>
            </w:r>
          </w:p>
        </w:tc>
      </w:tr>
      <w:tr>
        <w:trPr>
          <w:trHeight w:val="54"/>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6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22"/>
                <w:szCs w:val="22"/>
                <w:color w:val="auto"/>
              </w:rPr>
            </w:pPr>
          </w:p>
        </w:tc>
        <w:tc>
          <w:tcPr>
            <w:tcW w:w="3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&gt; 50% of the Maximum Facility Amount</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0.375 percentage points</w:t>
            </w:r>
          </w:p>
        </w:tc>
      </w:tr>
      <w:tr>
        <w:trPr>
          <w:trHeight w:val="54"/>
        </w:trPr>
        <w:tc>
          <w:tcPr>
            <w:tcW w:w="15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23"/>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20" w:type="dxa"/>
            <w:vAlign w:val="bottom"/>
          </w:tcPr>
          <w:p>
            <w:pPr>
              <w:spacing w:after="0"/>
              <w:rPr>
                <w:sz w:val="19"/>
                <w:szCs w:val="19"/>
                <w:color w:val="auto"/>
              </w:rPr>
            </w:pPr>
          </w:p>
        </w:tc>
        <w:tc>
          <w:tcPr>
            <w:tcW w:w="3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&lt; 50% of the Maximum Facility Amount</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0.50 percentage points</w:t>
            </w:r>
          </w:p>
        </w:tc>
      </w:tr>
      <w:tr>
        <w:trPr>
          <w:trHeight w:val="75"/>
        </w:trPr>
        <w:tc>
          <w:tcPr>
            <w:tcW w:w="1540" w:type="dxa"/>
            <w:vAlign w:val="bottom"/>
            <w:tcBorders>
              <w:left w:val="single" w:sz="8" w:color="auto"/>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Applicable Unused Line Fee Percentage shall be re-determined on the first date of each month by Agent.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Application Event</w:t>
      </w:r>
      <w:r>
        <w:rPr>
          <w:rFonts w:ascii="Arial" w:cs="Arial" w:eastAsia="Arial" w:hAnsi="Arial"/>
          <w:sz w:val="16"/>
          <w:szCs w:val="16"/>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Arial" w:cs="Arial" w:eastAsia="Arial" w:hAnsi="Arial"/>
          <w:sz w:val="16"/>
          <w:szCs w:val="16"/>
          <w:u w:val="single" w:color="auto"/>
          <w:color w:val="auto"/>
        </w:rPr>
        <w:t>Section 2.4(b)</w:t>
      </w:r>
    </w:p>
    <w:p>
      <w:pPr>
        <w:ind w:left="320" w:hanging="312"/>
        <w:spacing w:after="0"/>
        <w:tabs>
          <w:tab w:leader="none" w:pos="320" w:val="left"/>
        </w:tabs>
        <w:numPr>
          <w:ilvl w:val="0"/>
          <w:numId w:val="243"/>
        </w:numPr>
        <w:rPr>
          <w:rFonts w:ascii="Arial" w:cs="Arial" w:eastAsia="Arial" w:hAnsi="Arial"/>
          <w:sz w:val="18"/>
          <w:szCs w:val="18"/>
          <w:u w:val="single" w:color="auto"/>
          <w:color w:val="auto"/>
        </w:rPr>
      </w:pPr>
      <w:r>
        <w:rPr>
          <w:rFonts w:ascii="Arial" w:cs="Arial" w:eastAsia="Arial" w:hAnsi="Arial"/>
          <w:sz w:val="18"/>
          <w:szCs w:val="18"/>
          <w:color w:val="auto"/>
        </w:rPr>
        <w:t>of this Agreement.</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 Certificate</w:t>
      </w:r>
      <w:r>
        <w:rPr>
          <w:rFonts w:ascii="Arial" w:cs="Arial" w:eastAsia="Arial" w:hAnsi="Arial"/>
          <w:sz w:val="17"/>
          <w:szCs w:val="17"/>
          <w:color w:val="auto"/>
        </w:rPr>
        <w:t>" means a certificate executed by an assignee under an Assignment and Acceptance, substantially in the form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Agreement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Receivables Amount</w:t>
      </w:r>
      <w:r>
        <w:rPr>
          <w:rFonts w:ascii="Arial" w:cs="Arial" w:eastAsia="Arial" w:hAnsi="Arial"/>
          <w:sz w:val="17"/>
          <w:szCs w:val="17"/>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xml:space="preserve">" means any one of the individuals identified as an officer of a Borrower on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Excess Availability</w:t>
      </w:r>
      <w:r>
        <w:rPr>
          <w:rFonts w:ascii="Arial" w:cs="Arial" w:eastAsia="Arial" w:hAnsi="Arial"/>
          <w:sz w:val="18"/>
          <w:szCs w:val="18"/>
          <w:color w:val="auto"/>
        </w:rPr>
        <w:t xml:space="preserve">" means, with respect to any period,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aggregate amount of Excess Availability for each day in such period (as calculated by Agent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2" w:name="page213"/>
    <w:bookmarkEnd w:id="212"/>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Facility Usage</w:t>
      </w:r>
      <w:r>
        <w:rPr>
          <w:rFonts w:ascii="Arial" w:cs="Arial" w:eastAsia="Arial" w:hAnsi="Arial"/>
          <w:sz w:val="18"/>
          <w:szCs w:val="18"/>
          <w:color w:val="auto"/>
        </w:rPr>
        <w:t xml:space="preserve">" means, with respect to any period,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aggregate amount of Facility Usage for each day in such period (as calculated by Agent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FILO Usage</w:t>
      </w:r>
      <w:r>
        <w:rPr>
          <w:rFonts w:ascii="Arial" w:cs="Arial" w:eastAsia="Arial" w:hAnsi="Arial"/>
          <w:sz w:val="18"/>
          <w:szCs w:val="18"/>
          <w:color w:val="auto"/>
        </w:rPr>
        <w:t xml:space="preserve">" means, with respect to any period,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aggregate amount of FILO Usage for each day in such period (as calculated by Agent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Revolver Usage</w:t>
      </w:r>
      <w:r>
        <w:rPr>
          <w:rFonts w:ascii="Arial" w:cs="Arial" w:eastAsia="Arial" w:hAnsi="Arial"/>
          <w:sz w:val="18"/>
          <w:szCs w:val="18"/>
          <w:color w:val="auto"/>
        </w:rPr>
        <w:t xml:space="preserve">" means, with respect to any period,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aggregate amount of Revolver Usage for each day in such period (as calculated by Agent as of the end of each respective day)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the number of days in such period.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w:t>
      </w:r>
    </w:p>
    <w:p>
      <w:pPr>
        <w:spacing w:after="0" w:line="225" w:lineRule="exact"/>
        <w:rPr>
          <w:sz w:val="20"/>
          <w:szCs w:val="20"/>
          <w:color w:val="auto"/>
        </w:rPr>
      </w:pPr>
    </w:p>
    <w:p>
      <w:pPr>
        <w:ind w:firstLine="1305"/>
        <w:spacing w:after="0" w:line="277" w:lineRule="auto"/>
        <w:tabs>
          <w:tab w:leader="none" w:pos="188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3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w:t>
      </w:r>
      <w:r>
        <w:rPr>
          <w:rFonts w:ascii="Arial" w:cs="Arial" w:eastAsia="Arial" w:hAnsi="Arial"/>
          <w:sz w:val="18"/>
          <w:szCs w:val="18"/>
          <w:color w:val="auto"/>
        </w:rPr>
        <w:t>" means any one or more of the following financial products or accommodations extended to any Loan Party or any of its Restricted Subsidiaries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Agreements</w:t>
      </w:r>
      <w:r>
        <w:rPr>
          <w:rFonts w:ascii="Arial" w:cs="Arial" w:eastAsia="Arial" w:hAnsi="Arial"/>
          <w:sz w:val="18"/>
          <w:szCs w:val="18"/>
          <w:color w:val="auto"/>
        </w:rPr>
        <w:t>" means those agreements entered into from time to time by any Loan Party or any of its Restricted Subsidiaries with a Bank Product Provider in connection with the obtaining of any of the Bank Products.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operational risk or processing risk with respect to the then existing Bank Product Obligations (other than Hedge Obligations).</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 Obligations</w:t>
      </w:r>
      <w:r>
        <w:rPr>
          <w:rFonts w:ascii="Arial" w:cs="Arial" w:eastAsia="Arial" w:hAnsi="Arial"/>
          <w:sz w:val="16"/>
          <w:szCs w:val="16"/>
          <w:color w:val="auto"/>
        </w:rPr>
        <w:t>" means (a) all obligations, liabilities, reimbursement obligations, fees, or expenses owing by each Loan Party and its Restricted Subsidiaries to any Bank Product Provider pursuant to or evidenced by a Bank Product Agreement and irrespective of whether for the payment of money, whether direct or indirect, absolute or contingent, due or to become due, now existing or hereafter arising, (b) all Hedge Obligations, and</w:t>
      </w:r>
    </w:p>
    <w:p>
      <w:pPr>
        <w:jc w:val="both"/>
        <w:ind w:firstLine="8"/>
        <w:spacing w:after="0" w:line="255" w:lineRule="auto"/>
        <w:tabs>
          <w:tab w:leader="none" w:pos="2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Restricted Subsidiaries.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3" w:name="page214"/>
    <w:bookmarkEnd w:id="213"/>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Provider</w:t>
      </w:r>
      <w:r>
        <w:rPr>
          <w:rFonts w:ascii="Arial" w:cs="Arial" w:eastAsia="Arial" w:hAnsi="Arial"/>
          <w:sz w:val="17"/>
          <w:szCs w:val="17"/>
          <w:color w:val="auto"/>
        </w:rPr>
        <w:t xml:space="preserve">" means any Lender or any of its Affiliates, including each of the foregoing in its capacity, if applicable, as a Hedge Provider;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Person (other than Wells Fargo or its Affiliates) shall constitute a Bank Product Provider with respect to a Bank Product (including with respect to Existing Hedge Agreements) unless and until Agent receives a Bank Product Provider Agreement from such Person (a) on or prior to the Closing Date (or such later date as Agent shall agree to in writing in its sole discretion) with respect to Bank Products provided on or prior to the Closing Date, or (b) on or prior to the date that is 10 days after the provision of such Bank Product to a Loan Party or its Restricted Subsidiaries (or such later date as Agent shall agree to in writing in its sole discretion) with respect to Bank Products provided after the Closing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at any time, a Lender ceases to be a Lender under this Agreement (prior to the payment in full of the Obligations), then, from and after the date on which it so ceases to be a Lender 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8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 Provider Agreement</w:t>
      </w:r>
      <w:r>
        <w:rPr>
          <w:rFonts w:ascii="Arial" w:cs="Arial" w:eastAsia="Arial" w:hAnsi="Arial"/>
          <w:sz w:val="17"/>
          <w:szCs w:val="17"/>
          <w:color w:val="auto"/>
        </w:rPr>
        <w:t xml:space="preserve">" means an agreement in substantially the form attached hereto as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Agreement, in form and substance reasonably satisfactory to Agent, duly executed by the applicable Bank Product Provider, the applicable Loan Parties, and Agent.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Reserves</w:t>
      </w:r>
      <w:r>
        <w:rPr>
          <w:rFonts w:ascii="Arial" w:cs="Arial" w:eastAsia="Arial" w:hAnsi="Arial"/>
          <w:sz w:val="18"/>
          <w:szCs w:val="18"/>
          <w:color w:val="auto"/>
        </w:rPr>
        <w:t>" means, as of any date of determination, those reserves that Agent deems necessary or appropriate to establish (based upon the Bank Product Providers' determination of the liabilities and obligations of each Loan Party and its Restricted Subsidiaries in respect of Bank Product Obligations) in its Permitted Discretion in respect of Bank Products then provided or outstanding.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(11 U.S.C. § 101 et seq.) as in effect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Southern District of Texas, Houston Division.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Barclays</w:t>
      </w:r>
      <w:r>
        <w:rPr>
          <w:rFonts w:ascii="Arial" w:cs="Arial" w:eastAsia="Arial" w:hAnsi="Arial"/>
          <w:sz w:val="18"/>
          <w:szCs w:val="18"/>
          <w:color w:val="auto"/>
        </w:rPr>
        <w:t>" means Barclays Bank PLC.</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w:t>
      </w:r>
      <w:r>
        <w:rPr>
          <w:rFonts w:ascii="Arial" w:cs="Arial" w:eastAsia="Arial" w:hAnsi="Arial"/>
          <w:sz w:val="17"/>
          <w:szCs w:val="17"/>
          <w:i w:val="1"/>
          <w:iCs w:val="1"/>
          <w:color w:val="auto"/>
        </w:rPr>
        <w:t>the greatest of</w:t>
      </w:r>
      <w:r>
        <w:rPr>
          <w:rFonts w:ascii="Arial" w:cs="Arial" w:eastAsia="Arial" w:hAnsi="Arial"/>
          <w:sz w:val="17"/>
          <w:szCs w:val="17"/>
          <w:color w:val="auto"/>
        </w:rPr>
        <w:t xml:space="preserve"> (a) the Federal Funds Rate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½%, (b) the LIBOR Rate (which rate shall be calculated based upon an Interest Period of one month and shall be determined on a daily basis),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one percentage point, and (c) the rate of interest announced, from time to time, within Wells Fargo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(and, if any such announced rate is below zero, then the rate determined pursuant to this clause (c) shall be deemed to be zero).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each portion of the Revolving Loans or the FILO Loans that bears interest at a rate determined by reference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Rate.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Margin</w:t>
      </w:r>
      <w:r>
        <w:rPr>
          <w:rFonts w:ascii="Arial" w:cs="Arial" w:eastAsia="Arial" w:hAnsi="Arial"/>
          <w:sz w:val="18"/>
          <w:szCs w:val="18"/>
          <w:color w:val="auto"/>
        </w:rPr>
        <w:t>" means the Revolving Loan Base Rate Margin or the FILO Loan Base Rate Margin,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BB Controlled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alternate benchmark rate (which may include Term SOFR) that has been selected by Agent and Administrative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LIBOR Rate for United States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zero, the Benchmark Replacement shall be deemed to be zero for the purposes of this Agreement.</w:t>
      </w:r>
    </w:p>
    <w:p>
      <w:pPr>
        <w:spacing w:after="0" w:line="19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LIBOR Rate with an Unadjusted Benchmark Replacement for each applicable Interest Period, the spread adjustment, or method for calculating or determining such spread adjustment, (which may be a positive or negative value or zero) that has been selected by Agent and Administrative Borrower giving due consideration to (i) any selection or recommendation of a spread adjustment, or method for calculating or determining such spread adjustment, for the replacement of the LIBOR Rate with the applicable Unadjusted Benchmark Replacement by the Relevant Governmental Body or (ii) any evolving or then-prevailing market convention for determining a spread adjustment, or method for calculating or determining such spread adjustment, for the replacement of the LIBOR Rate with the applicable Unadjusted Benchmark Replacement for United States dollar-denominated syndicated credit facilities at such time.</w:t>
      </w:r>
    </w:p>
    <w:p>
      <w:pPr>
        <w:spacing w:after="0" w:line="17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Agent, in consultation with Administrative Borrower, decides may be appropriate to reflect the adoption and implementation of such Benchmark Replacement and to permit the administration thereof by Agent in a manner substantially consistent with market practice (or, if Agent, in consultation with Administrative Borrower, decides that adoption of any portion of such market practice is not administratively feasible or if Agent reasonably determines that no market practice for the administration of the Benchmark Replacement exists, in such other manner of administration as Agent, in consultation with Administrative Borrower, decides is reasonably necessary in connection with the administration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5" w:name="page216"/>
    <w:bookmarkEnd w:id="21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earlier to occur of the following events with respect to the LIBOR Rate:</w:t>
      </w:r>
    </w:p>
    <w:p>
      <w:pPr>
        <w:spacing w:after="0" w:line="225" w:lineRule="exact"/>
        <w:rPr>
          <w:sz w:val="20"/>
          <w:szCs w:val="20"/>
          <w:color w:val="auto"/>
        </w:rPr>
      </w:pPr>
    </w:p>
    <w:p>
      <w:pPr>
        <w:jc w:val="both"/>
        <w:ind w:firstLine="1305"/>
        <w:spacing w:after="0" w:line="264" w:lineRule="auto"/>
        <w:tabs>
          <w:tab w:leader="none" w:pos="193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clause (a) or (b) of the definition of "Benchmark Transition Event," the later of (i) the date of the public statement or publication of information referenced therein and (ii) the date on which the administrator of the LIBOR Rate permanently or indefinitely ceases to provide the LIBOR Rate; or</w:t>
      </w:r>
    </w:p>
    <w:p>
      <w:pPr>
        <w:spacing w:after="0" w:line="181" w:lineRule="exact"/>
        <w:rPr>
          <w:rFonts w:ascii="Arial" w:cs="Arial" w:eastAsia="Arial" w:hAnsi="Arial"/>
          <w:sz w:val="18"/>
          <w:szCs w:val="18"/>
          <w:color w:val="auto"/>
        </w:rPr>
      </w:pPr>
    </w:p>
    <w:p>
      <w:pPr>
        <w:ind w:right="20" w:firstLine="1305"/>
        <w:spacing w:after="0" w:line="277" w:lineRule="auto"/>
        <w:tabs>
          <w:tab w:leader="none" w:pos="207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clause (c) of the definition of "Benchmark Transition Event," the date of the public statement or publication of information referenced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LIBOR Rate:</w:t>
      </w:r>
    </w:p>
    <w:p>
      <w:pPr>
        <w:spacing w:after="0" w:line="225" w:lineRule="exact"/>
        <w:rPr>
          <w:sz w:val="20"/>
          <w:szCs w:val="20"/>
          <w:color w:val="auto"/>
        </w:rPr>
      </w:pPr>
    </w:p>
    <w:p>
      <w:pPr>
        <w:jc w:val="both"/>
        <w:ind w:firstLine="1305"/>
        <w:spacing w:after="0" w:line="264" w:lineRule="auto"/>
        <w:tabs>
          <w:tab w:leader="none" w:pos="20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the LIBOR Rate announcing that such administrator has ceased or will cease to provide the LIBOR Rate,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LIBOR Rate;</w:t>
      </w:r>
    </w:p>
    <w:p>
      <w:pPr>
        <w:spacing w:after="0" w:line="181" w:lineRule="exact"/>
        <w:rPr>
          <w:rFonts w:ascii="Arial" w:cs="Arial" w:eastAsia="Arial" w:hAnsi="Arial"/>
          <w:sz w:val="18"/>
          <w:szCs w:val="18"/>
          <w:color w:val="auto"/>
        </w:rPr>
      </w:pPr>
    </w:p>
    <w:p>
      <w:pPr>
        <w:jc w:val="both"/>
        <w:ind w:firstLine="1305"/>
        <w:spacing w:after="0" w:line="297" w:lineRule="auto"/>
        <w:tabs>
          <w:tab w:leader="none" w:pos="195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a public statement or publication of information by the regulatory supervisor for the administrator of the LIBOR Rate, the Federal Reserve System of the United States (or any successor), an insolvency official with jurisdiction over the administrator for the LIBOR Rate, a resolution authority with jurisdiction over the administrator for the LIBOR Rate or a court or an entity with similar insolvency or resolution authority over the administrator for the LIBOR Rate, which states that the administrator of the LIBOR Rate has ceased or will cease to provide the LIBOR Rate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the LIBOR Rate; or</w:t>
      </w:r>
    </w:p>
    <w:p>
      <w:pPr>
        <w:spacing w:after="0" w:line="158" w:lineRule="exact"/>
        <w:rPr>
          <w:rFonts w:ascii="Arial" w:cs="Arial" w:eastAsia="Arial" w:hAnsi="Arial"/>
          <w:sz w:val="16"/>
          <w:szCs w:val="16"/>
          <w:color w:val="auto"/>
        </w:rPr>
      </w:pPr>
    </w:p>
    <w:p>
      <w:pPr>
        <w:ind w:firstLine="1305"/>
        <w:spacing w:after="0" w:line="277" w:lineRule="auto"/>
        <w:tabs>
          <w:tab w:leader="none" w:pos="19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LIBOR Rate announcing that the LIBOR Rate is no longer representative.</w:t>
      </w:r>
    </w:p>
    <w:p>
      <w:pPr>
        <w:spacing w:after="0" w:line="17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Start Date</w:t>
      </w:r>
      <w:r>
        <w:rPr>
          <w:rFonts w:ascii="Arial" w:cs="Arial" w:eastAsia="Arial" w:hAnsi="Arial"/>
          <w:sz w:val="16"/>
          <w:szCs w:val="16"/>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Agent or the Required Lenders, as applicable, by notice to Administrative Borrower, Agent (in the case of such notice by the Required Lenders) and the Lenders.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if a Benchmark Transition Event and its related Benchmark Replacement Date have occurred with respect to the LIBOR Rate and solely to the extent that the LIBOR Rate has not been replaced with a Benchmark Replacement, the period (x) beginning at the time that such Benchmark Replacement Date has occurred if, at such time, no Benchmark Replacement has replaced the LIBOR Rate for all purposes hereunder in accordance with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and (y) ending at the time that a Benchmark Replacement has replaced the LIBOR Rate for all purposes hereunder pursuant to </w:t>
      </w:r>
      <w:r>
        <w:rPr>
          <w:rFonts w:ascii="Arial" w:cs="Arial" w:eastAsia="Arial" w:hAnsi="Arial"/>
          <w:sz w:val="18"/>
          <w:szCs w:val="18"/>
          <w:u w:val="single" w:color="auto"/>
          <w:color w:val="auto"/>
        </w:rPr>
        <w:t>Section 2.12(d)(iii)</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as required by the Beneficial Ownership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Regulations.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 "defined benefit plan" (as defined in Section 3(35) of ERISA) for which any Loan Party or any of its Subsidiaries or ERISA Affiliates has been an "employer" (as defined in Section 3(5) of ERISA) within the past six years.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Person means an "affiliate" (as such term is defined under, and interpreted in accordance with, the United States Code, 12 U.S.C. 1841(k)) of such Person.</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Blocked Account Control Agreement</w:t>
      </w:r>
      <w:r>
        <w:rPr>
          <w:rFonts w:ascii="Arial" w:cs="Arial" w:eastAsia="Arial" w:hAnsi="Arial"/>
          <w:sz w:val="16"/>
          <w:szCs w:val="16"/>
          <w:color w:val="auto"/>
        </w:rPr>
        <w:t>" means any provision reasonably acceptable to Agent which provides for a block on the Collection Accounts contained in any Collateral Document executed by any Borrowing Base Loan Party and governed by the laws of England and Wales.</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as to any Person, the board of directors (or comparable managers) of such Person, or any committee thereof duly authorized to act on behalf of the board of directors (or comparable managers).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have the respective meanings specified therefor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Group</w:t>
      </w:r>
      <w:r>
        <w:rPr>
          <w:rFonts w:ascii="Arial" w:cs="Arial" w:eastAsia="Arial" w:hAnsi="Arial"/>
          <w:sz w:val="17"/>
          <w:szCs w:val="17"/>
          <w:color w:val="auto"/>
        </w:rPr>
        <w:t>" means the Joint Borrower Group and/or the German Borrower and/or the Swiss Borrower, as the context requires.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Revolving Loans or FILO Loans made on the same day by the Revolving Lenders or the FILO Lenders, as applicable (or Agent on behalf thereof), or by Swing Lender in the case of a Swing Loan, or by Agent in the case of an Extraordinary Advance.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means collectively the Joint Borrowing Base, the German Borrowing Base, the Swiss Borrowing Base and the FILO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Borrowing Base.</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to this Agreement, which form of Borrowing Base Certificate may be amended, restated, supplemented or otherwise modified from time to time (including without limitation changes to the format thereof), as approved by Agent in Agent's sole discretion.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7" w:name="page218"/>
    <w:bookmarkEnd w:id="217"/>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Loan Parties</w:t>
      </w:r>
      <w:r>
        <w:rPr>
          <w:rFonts w:ascii="Arial" w:cs="Arial" w:eastAsia="Arial" w:hAnsi="Arial"/>
          <w:sz w:val="18"/>
          <w:szCs w:val="18"/>
          <w:color w:val="auto"/>
        </w:rPr>
        <w:t>" means, collectively, the Domestic Borrowing Base Loan Parties, the Canadian Borrowing Base Loan Parties, the BVI Borrowing Base Loan Parties, the UK Borrowing Base Loan Parties, the German Borrower, the Norwegian Borrowing Base Loan Parties and the Swiss Borrower.</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banks are authorized or required to close in the state of New York, except that, if a determination of a Business Day shall relate to a LIBOR Rate Loan, the term "Business Day" also shall exclude any day on which banks are closed for dealings in Dollar deposits in the London interbank market.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BVI/LP Controlled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BVI Borrowing Base Loan Parties</w:t>
      </w:r>
      <w:r>
        <w:rPr>
          <w:rFonts w:ascii="Arial" w:cs="Arial" w:eastAsia="Arial" w:hAnsi="Arial"/>
          <w:sz w:val="18"/>
          <w:szCs w:val="18"/>
          <w:color w:val="auto"/>
        </w:rPr>
        <w:t>" means Weatherford Oil Tool Middle East Limited, a company incorporated under the laws of the British Virgin Islands with company number 69558, Weatherford Colombia, Ltd., a company incorporated under the laws of the British Virgin Islands with company number 112540, together with any other Borrowing Base Loan Party formed or organized under the laws of the British Virgin Islands following the completion of a field examination and appraisal with respect to the applicable assets of such Person and the consent of Agent in its Permitted Discretion to the designation of such Person as a BVI Borrowing Base Loan Party.</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BVI Security Documents</w:t>
      </w:r>
      <w:r>
        <w:rPr>
          <w:rFonts w:ascii="Arial" w:cs="Arial" w:eastAsia="Arial" w:hAnsi="Arial"/>
          <w:sz w:val="18"/>
          <w:szCs w:val="18"/>
          <w:color w:val="auto"/>
        </w:rPr>
        <w:t xml:space="preserve">" means the British Virgin Islands law governed security agreements listed in </w:t>
      </w:r>
      <w:r>
        <w:rPr>
          <w:rFonts w:ascii="Arial" w:cs="Arial" w:eastAsia="Arial" w:hAnsi="Arial"/>
          <w:sz w:val="18"/>
          <w:szCs w:val="18"/>
          <w:u w:val="single" w:color="auto"/>
          <w:color w:val="auto"/>
        </w:rPr>
        <w:t>Schedule S-1</w:t>
      </w:r>
      <w:r>
        <w:rPr>
          <w:rFonts w:ascii="Arial" w:cs="Arial" w:eastAsia="Arial" w:hAnsi="Arial"/>
          <w:sz w:val="18"/>
          <w:szCs w:val="18"/>
          <w:color w:val="auto"/>
        </w:rPr>
        <w:t xml:space="preserve"> to this Agreement required to be executed and delivered on the Closing Date.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Anti-Money Laundering &amp; Anti-Terrorism Legislation</w:t>
      </w:r>
      <w:r>
        <w:rPr>
          <w:rFonts w:ascii="Arial" w:cs="Arial" w:eastAsia="Arial" w:hAnsi="Arial"/>
          <w:sz w:val="18"/>
          <w:szCs w:val="18"/>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Borrowing Base Loan Parties</w:t>
      </w:r>
      <w:r>
        <w:rPr>
          <w:rFonts w:ascii="Arial" w:cs="Arial" w:eastAsia="Arial" w:hAnsi="Arial"/>
          <w:sz w:val="17"/>
          <w:szCs w:val="17"/>
          <w:color w:val="auto"/>
        </w:rPr>
        <w:t>" means Weatherford Canada Ltd., an Alberta corporation duly incorporated and existing under the Laws of the Province of Alberta, Canada, together with any other Borrowing Base Loan Party formed or organized under the laws of Canada, or any province or territory thereof, following the completion of a field examination and appraisal with respect to the applicable assets of such Person and the consent of Agent in its Permitted Discretion to the designation of such Person as a Canadian Borrowing Base Loan Party.</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Plan</w:t>
      </w:r>
      <w:r>
        <w:rPr>
          <w:rFonts w:ascii="Arial" w:cs="Arial" w:eastAsia="Arial" w:hAnsi="Arial"/>
          <w:sz w:val="18"/>
          <w:szCs w:val="18"/>
          <w:color w:val="auto"/>
        </w:rPr>
        <w:t xml:space="preserve">" means any pension plan registered under the Income Tax Act (Canada), the </w:t>
      </w:r>
      <w:r>
        <w:rPr>
          <w:rFonts w:ascii="Arial" w:cs="Arial" w:eastAsia="Arial" w:hAnsi="Arial"/>
          <w:sz w:val="18"/>
          <w:szCs w:val="18"/>
          <w:i w:val="1"/>
          <w:iCs w:val="1"/>
          <w:color w:val="auto"/>
        </w:rPr>
        <w:t>Pension Benefits Act</w:t>
      </w:r>
      <w:r>
        <w:rPr>
          <w:rFonts w:ascii="Arial" w:cs="Arial" w:eastAsia="Arial" w:hAnsi="Arial"/>
          <w:sz w:val="18"/>
          <w:szCs w:val="18"/>
          <w:color w:val="auto"/>
        </w:rPr>
        <w:t xml:space="preserve"> (Ontario) or any other applicable pension standards legislation which contains a "defined benefit provision" as defined in subsection 147.1(1) of the Income Tax Act (Canada).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8" w:name="page219"/>
    <w:bookmarkEnd w:id="21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Parties</w:t>
      </w:r>
      <w:r>
        <w:rPr>
          <w:rFonts w:ascii="Arial" w:cs="Arial" w:eastAsia="Arial" w:hAnsi="Arial"/>
          <w:sz w:val="18"/>
          <w:szCs w:val="18"/>
          <w:color w:val="auto"/>
        </w:rPr>
        <w:t>" means the Loan Parties organized under the laws of Canada or any province or territory thereof.</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Agreement</w:t>
      </w:r>
      <w:r>
        <w:rPr>
          <w:rFonts w:ascii="Arial" w:cs="Arial" w:eastAsia="Arial" w:hAnsi="Arial"/>
          <w:sz w:val="18"/>
          <w:szCs w:val="18"/>
          <w:color w:val="auto"/>
        </w:rPr>
        <w:t>" means that certain Canadian Security Agreement governed by the laws of the Province of Alberta, dated as of the date hereof, by and among the Canadian Loan Parties from time to time party thereto and Agent.</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expenditures made during such period in connection with the replacement, substitution, or restoration of assets or properties pursuant to this Agreement, (b)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and (c) expenditures made during such period to consummate one or more Permitted Acquisitions.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w:t>
      </w:r>
      <w:r>
        <w:rPr>
          <w:rFonts w:ascii="Arial" w:cs="Arial" w:eastAsia="Arial" w:hAnsi="Arial"/>
          <w:sz w:val="16"/>
          <w:szCs w:val="16"/>
          <w:color w:val="auto"/>
        </w:rPr>
        <w:t>" means that portion of the obligations under a Capital Lease that is required to be capitalized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GAAP.</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Dominion Trigger Event</w:t>
      </w:r>
      <w:r>
        <w:rPr>
          <w:rFonts w:ascii="Arial" w:cs="Arial" w:eastAsia="Arial" w:hAnsi="Arial"/>
          <w:sz w:val="18"/>
          <w:szCs w:val="18"/>
          <w:color w:val="auto"/>
        </w:rPr>
        <w:t xml:space="preserve">" means if at any time (a) a Specified Event of Default exists or (b) Excess Availability is less than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greater of </w:t>
      </w:r>
      <w:r>
        <w:rPr>
          <w:rFonts w:ascii="Arial" w:cs="Arial" w:eastAsia="Arial" w:hAnsi="Arial"/>
          <w:sz w:val="18"/>
          <w:szCs w:val="18"/>
          <w:color w:val="auto"/>
        </w:rPr>
        <w:t>(i) 15% of the Line Cap and (ii) $50,625,000 for a period of 5 consecutive Business Days.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Dominion Period</w:t>
      </w:r>
      <w:r>
        <w:rPr>
          <w:rFonts w:ascii="Arial" w:cs="Arial" w:eastAsia="Arial" w:hAnsi="Arial"/>
          <w:sz w:val="18"/>
          <w:szCs w:val="18"/>
          <w:color w:val="auto"/>
        </w:rPr>
        <w:t xml:space="preserve">" means the period commencing on the occurrence of a Cash Dominion Trigger Event and continuing until the date when (a) no Specified Event of Default shall exist and be continuing, and (b) Excess Availability exceeds </w:t>
      </w:r>
      <w:r>
        <w:rPr>
          <w:rFonts w:ascii="Arial" w:cs="Arial" w:eastAsia="Arial" w:hAnsi="Arial"/>
          <w:sz w:val="18"/>
          <w:szCs w:val="18"/>
          <w:i w:val="1"/>
          <w:iCs w:val="1"/>
          <w:color w:val="auto"/>
        </w:rPr>
        <w:t>the greater of</w:t>
      </w:r>
      <w:r>
        <w:rPr>
          <w:rFonts w:ascii="Arial" w:cs="Arial" w:eastAsia="Arial" w:hAnsi="Arial"/>
          <w:sz w:val="18"/>
          <w:szCs w:val="18"/>
          <w:color w:val="auto"/>
        </w:rPr>
        <w:t xml:space="preserve"> (i) 15% of the Line Cap and (ii) $50,625,000 for at least thirty 30 consecutive days.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Domestic Cash Equivalents; and (b) Foreign Cash Equivalents.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any cash management or related services including treasury, depository, return items, overdraft, controlled disbursement, merchant store value cards, e-payables services, electronic funds transfer, interstate depository network, cash pooling, intra-day lines, automatic clearing house transfer (including the Automated Clearing House processing of electronic funds transfers through the direct Federal Reserve Fedline system) and other cash management, treasury or depository arrangements.</w:t>
      </w:r>
    </w:p>
    <w:p>
      <w:pPr>
        <w:spacing w:after="0" w:line="18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6"/>
          <w:szCs w:val="16"/>
          <w:u w:val="single" w:color="auto"/>
          <w:color w:val="auto"/>
        </w:rPr>
        <w:t>Change in Law</w:t>
      </w:r>
      <w:r>
        <w:rPr>
          <w:rFonts w:ascii="Arial" w:cs="Arial" w:eastAsia="Arial" w:hAnsi="Arial"/>
          <w:sz w:val="16"/>
          <w:szCs w:val="16"/>
          <w:color w:val="auto"/>
        </w:rPr>
        <w:t>," regardless of the date enacted, adopted or issued.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9" w:name="page220"/>
    <w:bookmarkEnd w:id="21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that:</w:t>
      </w:r>
    </w:p>
    <w:p>
      <w:pPr>
        <w:spacing w:after="0" w:line="225" w:lineRule="exact"/>
        <w:rPr>
          <w:sz w:val="20"/>
          <w:szCs w:val="20"/>
          <w:color w:val="auto"/>
        </w:rPr>
      </w:pPr>
    </w:p>
    <w:p>
      <w:pPr>
        <w:jc w:val="both"/>
        <w:ind w:firstLine="1305"/>
        <w:spacing w:after="0" w:line="259" w:lineRule="auto"/>
        <w:tabs>
          <w:tab w:leader="none" w:pos="20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Person or two or more Persons acting in concert (other than Permitted Holders), shall have acquired beneficial ownership, directly or indirectly, of Equity Interests of Weatherford Parent Company (or other securities convertible into such Equity Interests) representing 30%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during any period of 12 consecutive months commencing on or after the Closing Date, the occurrence of a change in the composition of the Board of Directors of Weatherford Parent Company such that a majority of the members of such Board of Directors are not Continuing Directors, or</w:t>
      </w:r>
    </w:p>
    <w:p>
      <w:pPr>
        <w:spacing w:after="0" w:line="181" w:lineRule="exact"/>
        <w:rPr>
          <w:rFonts w:ascii="Arial" w:cs="Arial" w:eastAsia="Arial" w:hAnsi="Arial"/>
          <w:sz w:val="18"/>
          <w:szCs w:val="18"/>
          <w:color w:val="auto"/>
        </w:rPr>
      </w:pPr>
    </w:p>
    <w:p>
      <w:pPr>
        <w:ind w:firstLine="1305"/>
        <w:spacing w:after="0" w:line="277" w:lineRule="auto"/>
        <w:tabs>
          <w:tab w:leader="none" w:pos="196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occurrence of any "Change of Control" as defined in, or analogous concept set forth in, the L/C Facility Credit Agreement or the Unsecured Notes Indenture.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means the chapter 11 cases of Borrowers referred to as In re Weatherford International plc, et al., Case No. 19-33694 (DRJ), which was pending in the Bankruptcy Court.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making of the initial Loans (or other extension of credit) under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Letters of Credit</w:t>
      </w:r>
      <w:r>
        <w:rPr>
          <w:rFonts w:ascii="Arial" w:cs="Arial" w:eastAsia="Arial" w:hAnsi="Arial"/>
          <w:sz w:val="18"/>
          <w:szCs w:val="18"/>
          <w:color w:val="auto"/>
        </w:rPr>
        <w:t xml:space="preserve">" means the Letters of Credit described on </w:t>
      </w:r>
      <w:r>
        <w:rPr>
          <w:rFonts w:ascii="Arial" w:cs="Arial" w:eastAsia="Arial" w:hAnsi="Arial"/>
          <w:sz w:val="18"/>
          <w:szCs w:val="18"/>
          <w:u w:val="single" w:color="auto"/>
          <w:color w:val="auto"/>
        </w:rPr>
        <w:t>Schedule C-2</w:t>
      </w:r>
      <w:r>
        <w:rPr>
          <w:rFonts w:ascii="Arial" w:cs="Arial" w:eastAsia="Arial" w:hAnsi="Arial"/>
          <w:sz w:val="18"/>
          <w:szCs w:val="18"/>
          <w:color w:val="auto"/>
        </w:rPr>
        <w:t xml:space="preserve"> and to be issued on the Closing Date by the applicable Issuing Banks referenced on such schedule.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assets and interests in assets and proceeds thereof now owned or hereafter acquired by any Loan Party or its Restricted Subsidiaries in or upon which a Lien is granted by such Person in favor of Agent or the Lenders under any of the Loan Documents. For the avoidance of doubt, Collateral shall not include Excluded Assets.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means a landlord waiver, bailee letter, or acknowledgement agreement of any lessor, warehouseman, processor, consignee, or other Person in possession of, having a Lien upon, or having rights or interests in any Loan Party's or its Restricted Subsidiaries' books and records, Equipment, or Inventory, in each case, in form and substance reasonably satisfactory to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0" w:name="page221"/>
    <w:bookmarkEnd w:id="220"/>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Person and delivered to Agent that are intended to create, perfect or evidence Liens to secure the Obligations.</w:t>
      </w:r>
    </w:p>
    <w:p>
      <w:pPr>
        <w:spacing w:after="0" w:line="193"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 Account</w:t>
      </w:r>
      <w:r>
        <w:rPr>
          <w:rFonts w:ascii="Arial" w:cs="Arial" w:eastAsia="Arial" w:hAnsi="Arial"/>
          <w:sz w:val="16"/>
          <w:szCs w:val="16"/>
          <w:color w:val="auto"/>
        </w:rPr>
        <w:t>" means with respect to the UK Borrowing Base Loan Parties, each deposit account maintained by such UK Borrowing Base Loan Parties into which all cash, checks or other similar payments relating to or constituting payments made in respect of Accounts will be deposited.</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cash, checks, notes, instruments, and other items of payment (including insurance proceeds, cash proceeds of asset sales, rental proceeds and tax refunds).</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its Revolver Commitment or its FILO Commitment, as the context requires, and, with respect to all Lenders, their Revolver Commitments or their FILO Commitments, as the context requires, in each case as such Dollar amounts are set forth beside such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to this Agreement delivered by a Principal Financial Officer of Parent to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17.9(a)</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1" w:name="page222"/>
    <w:bookmarkEnd w:id="221"/>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of Parent and its Restricted Subsidiaries for such period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(a) the following expenses or charges (without duplication) and to the extent deducted from revenues in determining consolidated net income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 consolidated Interest Expense (as reduced by the Interest Income Reduction (as defined below), the "</w:t>
      </w:r>
      <w:r>
        <w:rPr>
          <w:rFonts w:ascii="Arial" w:cs="Arial" w:eastAsia="Arial" w:hAnsi="Arial"/>
          <w:sz w:val="16"/>
          <w:szCs w:val="16"/>
          <w:u w:val="single" w:color="auto"/>
          <w:color w:val="auto"/>
        </w:rPr>
        <w:t>Interest Expense Add-Back</w:t>
      </w:r>
      <w:r>
        <w:rPr>
          <w:rFonts w:ascii="Arial" w:cs="Arial" w:eastAsia="Arial" w:hAnsi="Arial"/>
          <w:sz w:val="16"/>
          <w:szCs w:val="16"/>
          <w:color w:val="auto"/>
        </w:rPr>
        <w:t>"), (ii) expense for income taxes (as reduced by the Income Tax Benefit Reduction (as defined below), the "</w:t>
      </w:r>
      <w:r>
        <w:rPr>
          <w:rFonts w:ascii="Arial" w:cs="Arial" w:eastAsia="Arial" w:hAnsi="Arial"/>
          <w:sz w:val="16"/>
          <w:szCs w:val="16"/>
          <w:u w:val="single" w:color="auto"/>
          <w:color w:val="auto"/>
        </w:rPr>
        <w:t>Income Tax Add-Back</w:t>
      </w:r>
      <w:r>
        <w:rPr>
          <w:rFonts w:ascii="Arial" w:cs="Arial" w:eastAsia="Arial" w:hAnsi="Arial"/>
          <w:sz w:val="16"/>
          <w:szCs w:val="16"/>
          <w:color w:val="auto"/>
        </w:rPr>
        <w:t>"), (iii) depreciation, (iv) amortization,</w:t>
      </w:r>
    </w:p>
    <w:p>
      <w:pPr>
        <w:spacing w:after="0" w:line="2" w:lineRule="exact"/>
        <w:rPr>
          <w:sz w:val="20"/>
          <w:szCs w:val="20"/>
          <w:color w:val="auto"/>
        </w:rPr>
      </w:pPr>
    </w:p>
    <w:p>
      <w:pPr>
        <w:ind w:left="280" w:hanging="272"/>
        <w:spacing w:after="0"/>
        <w:tabs>
          <w:tab w:leader="none" w:pos="2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professional fees incurred and exit bankruptcy fees incurred within 12 months after the Closing Date in an aggregate amount not to exceed $50,000,000,</w:t>
      </w:r>
    </w:p>
    <w:p>
      <w:pPr>
        <w:spacing w:after="0" w:line="32" w:lineRule="exact"/>
        <w:rPr>
          <w:rFonts w:ascii="Arial" w:cs="Arial" w:eastAsia="Arial" w:hAnsi="Arial"/>
          <w:sz w:val="16"/>
          <w:szCs w:val="16"/>
          <w:color w:val="auto"/>
        </w:rPr>
      </w:pPr>
    </w:p>
    <w:p>
      <w:pPr>
        <w:jc w:val="both"/>
        <w:ind w:firstLine="8"/>
        <w:spacing w:after="0" w:line="283" w:lineRule="auto"/>
        <w:tabs>
          <w:tab w:leader="none" w:pos="34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cash restructuring costs incurred and paid during the fourth quarter prior to the Closing Date associated with the transformation, severance and restructuring costs program in an aggregate amount not to exceed $30,000,000, (vii) cash restructuring costs incurred during the fourth Fiscal Quarter of 2019 (but not paid prior to the Closing Date) associated with the transformation, severance and restructuring costs program in an aggregate amount not to exceed $50,000,000, (viii) from and after the Testing Period ending on March 31, 2020, 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bankruptcy, reorganization, litigation, settlement and judgment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addbacks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shall not exceed (x) $100,000,000 during any Testing Period ending on or prior to December 31, 2020, and (y) </w:t>
      </w:r>
      <w:r>
        <w:rPr>
          <w:rFonts w:ascii="Arial" w:cs="Arial" w:eastAsia="Arial" w:hAnsi="Arial"/>
          <w:sz w:val="16"/>
          <w:szCs w:val="16"/>
          <w:i w:val="1"/>
          <w:iCs w:val="1"/>
          <w:color w:val="auto"/>
        </w:rPr>
        <w:t>the greater of</w:t>
      </w:r>
      <w:r>
        <w:rPr>
          <w:rFonts w:ascii="Arial" w:cs="Arial" w:eastAsia="Arial" w:hAnsi="Arial"/>
          <w:sz w:val="16"/>
          <w:szCs w:val="16"/>
          <w:color w:val="auto"/>
        </w:rPr>
        <w:t xml:space="preserve"> (1) $25,000,000 and (2) 10% of Consolidated Adjusted EBITDA for any Testing Period thereafter (calculated prior to giving effect to this clause (viii)), it being understood that any such addback used in determining the EBITDA Plug Numbers (as defined below) shall be permitted and shall not count against such limitations, (ix) any non-cash losses or charges under Hedge Agreements resulting from the application of FASB ASC 815, (x) non-cash compensation expenses or costs related to any management equity plan or stock option plan or any other management or employee benefit plan or agreement, (xi) fees, expenses, premiums and similar charges incurred in connection with the L/C Facility Credit Agreement, this Agreement and the Transactions, and (xii) all other non-cash charges, expenses or losses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(b) the following items of income or gains (without duplication) to the extent included in consolidated net income for such period, (i) interest income (the "</w:t>
      </w:r>
      <w:r>
        <w:rPr>
          <w:rFonts w:ascii="Arial" w:cs="Arial" w:eastAsia="Arial" w:hAnsi="Arial"/>
          <w:sz w:val="16"/>
          <w:szCs w:val="16"/>
          <w:u w:val="single" w:color="auto"/>
          <w:color w:val="auto"/>
        </w:rPr>
        <w:t>Interest Income Reduction</w:t>
      </w:r>
      <w:r>
        <w:rPr>
          <w:rFonts w:ascii="Arial" w:cs="Arial" w:eastAsia="Arial" w:hAnsi="Arial"/>
          <w:sz w:val="16"/>
          <w:szCs w:val="16"/>
          <w:color w:val="auto"/>
        </w:rPr>
        <w:t>"), (ii) income tax benefits (to the extent not netted from tax expense) (the "</w:t>
      </w:r>
      <w:r>
        <w:rPr>
          <w:rFonts w:ascii="Arial" w:cs="Arial" w:eastAsia="Arial" w:hAnsi="Arial"/>
          <w:sz w:val="16"/>
          <w:szCs w:val="16"/>
          <w:u w:val="single" w:color="auto"/>
          <w:color w:val="auto"/>
        </w:rPr>
        <w:t>Income Tax Benefit Reduction</w:t>
      </w:r>
      <w:r>
        <w:rPr>
          <w:rFonts w:ascii="Arial" w:cs="Arial" w:eastAsia="Arial" w:hAnsi="Arial"/>
          <w:sz w:val="16"/>
          <w:szCs w:val="16"/>
          <w:color w:val="auto"/>
        </w:rPr>
        <w:t xml:space="preserve">"), (iii) any cash payments made during such period in respect of non-cash items described in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above subsequent to the Fiscal Quarter in which such non-cash expenses or losses were incurred, (iv) any non-cash gains under Hedge Agreements resulting from the application of FASB ASC 815 and (v) all other non-cash income or gains, all calculated in accordance with GAAP on a consolidated basis.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notwithstanding the above, (a) Consolidated Adjusted EBITDA for the Fiscal Quarter ended December 31, 2018, shall be deemed to be $210,000,000, (b) Consolidated Adjusted EBITDA for the Fiscal Quarter ended March 31, 2019, shall be deemed to be $120,000,000, (c) Consolidated Adjusted EBITDA for the Fiscal Quarter ended June 30, 2019, shall be deemed to be $124,000,000, (d) Consolidated Adjusted EBITDA for the Fiscal Quarter ended September 30, 2019, shall be deemed to be $172,000,000, and (d) Consolidated Adjusted EBITDA for the Fiscal Quarter ended December 31, 2019, shall be calculated in a manner consistent with the calculation methodology used in determining the amounts set forth in the preceding clauses (a) through (d) (collectively, the "</w:t>
      </w:r>
      <w:r>
        <w:rPr>
          <w:rFonts w:ascii="Arial" w:cs="Arial" w:eastAsia="Arial" w:hAnsi="Arial"/>
          <w:sz w:val="18"/>
          <w:szCs w:val="18"/>
          <w:u w:val="single" w:color="auto"/>
          <w:color w:val="auto"/>
        </w:rPr>
        <w:t>EBITDA Plug Numbers</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2" w:name="page223"/>
    <w:bookmarkEnd w:id="222"/>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w:t>
      </w:r>
      <w:r>
        <w:rPr>
          <w:rFonts w:ascii="Arial" w:cs="Arial" w:eastAsia="Arial" w:hAnsi="Arial"/>
          <w:sz w:val="17"/>
          <w:szCs w:val="17"/>
          <w:color w:val="auto"/>
        </w:rPr>
        <w:t>" means (a) any member of the Board of Directors who was a director (or comparable manager) of Parent on the Closing Date, and (b) any individual who becomes a member of the Board of Directors after the Closing Date if such individual was approved, appointed or nominated for election to the Board of Directors by either the Permitted Holders or a majority of the Continuing Directors.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set forth in Article 8 or, if applicable, in Section 9-104, 9-105, 9-106 or 9-107 of Article 9 of the Code or Section 16 of the UETA,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Account Bank</w:t>
      </w:r>
      <w:r>
        <w:rPr>
          <w:rFonts w:ascii="Arial" w:cs="Arial" w:eastAsia="Arial" w:hAnsi="Arial"/>
          <w:sz w:val="17"/>
          <w:szCs w:val="17"/>
          <w:color w:val="auto"/>
        </w:rPr>
        <w:t xml:space="preserve">" means each bank specified as a Controlled Account Bank in </w:t>
      </w:r>
      <w:r>
        <w:rPr>
          <w:rFonts w:ascii="Arial" w:cs="Arial" w:eastAsia="Arial" w:hAnsi="Arial"/>
          <w:sz w:val="17"/>
          <w:szCs w:val="17"/>
          <w:u w:val="single" w:color="auto"/>
          <w:color w:val="auto"/>
        </w:rPr>
        <w:t>Schedule 5.19(a)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5.19(b)</w:t>
      </w:r>
      <w:r>
        <w:rPr>
          <w:rFonts w:ascii="Arial" w:cs="Arial" w:eastAsia="Arial" w:hAnsi="Arial"/>
          <w:sz w:val="17"/>
          <w:szCs w:val="17"/>
          <w:color w:val="auto"/>
        </w:rPr>
        <w:t xml:space="preserve">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in form and substance reasonably satisfactory to Agent, executed and delivered by a Loan Party, Agent, and the applicable securities intermediary (with respect to a Securities Account) or bank (with respect to a Deposit Account), or an equivalent agreement under any applicable foreign jurisdiction.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has the meaning specified therefor in the Domestic Security Agreement.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Testing Period</w:t>
      </w:r>
      <w:r>
        <w:rPr>
          <w:rFonts w:ascii="Arial" w:cs="Arial" w:eastAsia="Arial" w:hAnsi="Arial"/>
          <w:sz w:val="18"/>
          <w:szCs w:val="18"/>
          <w:color w:val="auto"/>
        </w:rPr>
        <w:t xml:space="preserve">" means a period (a) commencing on the last day of the Fiscal Quarter of Parent most recently ended prior to a Covenant Trigger Event for which Parent is required to deliver to Agent quarterly or annual financial statements pursuant to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and (b) continuing through and including the first day after such Covenant Trigger Event that Excess Availability has equaled or exceeded </w:t>
      </w:r>
      <w:r>
        <w:rPr>
          <w:rFonts w:ascii="Arial" w:cs="Arial" w:eastAsia="Arial" w:hAnsi="Arial"/>
          <w:sz w:val="18"/>
          <w:szCs w:val="18"/>
          <w:i w:val="1"/>
          <w:iCs w:val="1"/>
          <w:color w:val="auto"/>
        </w:rPr>
        <w:t>the greater of</w:t>
      </w:r>
      <w:r>
        <w:rPr>
          <w:rFonts w:ascii="Arial" w:cs="Arial" w:eastAsia="Arial" w:hAnsi="Arial"/>
          <w:sz w:val="18"/>
          <w:szCs w:val="18"/>
          <w:color w:val="auto"/>
        </w:rPr>
        <w:t xml:space="preserve"> (i) 15% of the Line Cap, and (ii) $50,625,000 for 30 consecutive days.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Covenant Trigger Event</w:t>
      </w:r>
      <w:r>
        <w:rPr>
          <w:rFonts w:ascii="Arial" w:cs="Arial" w:eastAsia="Arial" w:hAnsi="Arial"/>
          <w:sz w:val="16"/>
          <w:szCs w:val="16"/>
          <w:color w:val="auto"/>
        </w:rPr>
        <w:t xml:space="preserve">" means if at any time Excess Availability is less than </w:t>
      </w:r>
      <w:r>
        <w:rPr>
          <w:rFonts w:ascii="Arial" w:cs="Arial" w:eastAsia="Arial" w:hAnsi="Arial"/>
          <w:sz w:val="16"/>
          <w:szCs w:val="16"/>
          <w:i w:val="1"/>
          <w:iCs w:val="1"/>
          <w:color w:val="auto"/>
        </w:rPr>
        <w:t>the greater of</w:t>
      </w:r>
      <w:r>
        <w:rPr>
          <w:rFonts w:ascii="Arial" w:cs="Arial" w:eastAsia="Arial" w:hAnsi="Arial"/>
          <w:sz w:val="16"/>
          <w:szCs w:val="16"/>
          <w:color w:val="auto"/>
        </w:rPr>
        <w:t xml:space="preserve"> (i) 15% of the Line Cap, and (ii) $50,625,000.</w:t>
      </w:r>
    </w:p>
    <w:p>
      <w:pPr>
        <w:spacing w:after="0" w:line="24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(a) a "covered entity" as that term is defined in, and interpreted in accordance with, the United States Code of Federal Regulations, 12 C.F.R. § 252.82(b); (b) a "covered bank" as that term is defined in, and interpreted in accordance with, the United States Code of Federal Regulations, 12 C.F.R. § 47.3(b); or (c) a "covered FSI" as that term is defined in, and interpreted in accordance with, the United States Code of Federal Regulations, 12 C.F.R. § 382.2(b).</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17.15</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DBNY</w:t>
      </w:r>
      <w:r>
        <w:rPr>
          <w:rFonts w:ascii="Arial" w:cs="Arial" w:eastAsia="Arial" w:hAnsi="Arial"/>
          <w:sz w:val="18"/>
          <w:szCs w:val="18"/>
          <w:color w:val="auto"/>
        </w:rPr>
        <w:t>" means Deutsche Bank AG New York Branch.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 event, condition, or default that, with the giving of notice, the passage of time, or both, would be an Event of Default.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3" w:name="page224"/>
    <w:bookmarkEnd w:id="223"/>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the United States Code of Federal Regulations, 12 C.F.R. §§ 252.81, 47.2 or 382.1, as applicable.</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or Event of Default, shall be specifically identified in such writing) has not been satisfied, or (ii) pay to Agent, Issuing Bank, or any other Lender any other amount required to be paid by it hereunder (including in respect of its participation in Letters of Credit) within two Business Days of the date when due,</w:t>
      </w:r>
    </w:p>
    <w:p>
      <w:pPr>
        <w:spacing w:after="0" w:line="2" w:lineRule="exact"/>
        <w:rPr>
          <w:sz w:val="20"/>
          <w:szCs w:val="20"/>
          <w:color w:val="auto"/>
        </w:rPr>
      </w:pPr>
    </w:p>
    <w:p>
      <w:pPr>
        <w:jc w:val="both"/>
        <w:ind w:firstLine="8"/>
        <w:spacing w:after="0" w:line="281" w:lineRule="auto"/>
        <w:tabs>
          <w:tab w:leader="none" w:pos="25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has notified any Borrower, Agent or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Lender shall cease to be a Defaulting Lender pursuant to this clause (c) upon receipt of such written confirmation by Agent and Administrative Borrower), or (d) has, or has a direct or indirect parent company that has, (i) become the subject of any Insolvency Proceeding,</w:t>
      </w:r>
    </w:p>
    <w:p>
      <w:pPr>
        <w:spacing w:after="0" w:line="4" w:lineRule="exact"/>
        <w:rPr>
          <w:rFonts w:ascii="Arial" w:cs="Arial" w:eastAsia="Arial" w:hAnsi="Arial"/>
          <w:sz w:val="16"/>
          <w:szCs w:val="16"/>
          <w:color w:val="auto"/>
        </w:rPr>
      </w:pPr>
    </w:p>
    <w:p>
      <w:pPr>
        <w:jc w:val="both"/>
        <w:ind w:firstLine="8"/>
        <w:spacing w:after="0" w:line="268" w:lineRule="auto"/>
        <w:tabs>
          <w:tab w:leader="none" w:pos="30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upon delivery of written notice of such determination to Administrative Borrower, Issuing Bank, and each Lender.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 Rate</w:t>
      </w:r>
      <w:r>
        <w:rPr>
          <w:rFonts w:ascii="Arial" w:cs="Arial" w:eastAsia="Arial" w:hAnsi="Arial"/>
          <w:sz w:val="17"/>
          <w:szCs w:val="17"/>
          <w:color w:val="auto"/>
        </w:rPr>
        <w:t>" means (a) for the first three days from and after the date the relevant payment is due, the Base Rate, and</w:t>
      </w:r>
    </w:p>
    <w:p>
      <w:pPr>
        <w:spacing w:after="0" w:line="35" w:lineRule="exact"/>
        <w:rPr>
          <w:sz w:val="20"/>
          <w:szCs w:val="20"/>
          <w:color w:val="auto"/>
        </w:rPr>
      </w:pPr>
    </w:p>
    <w:p>
      <w:pPr>
        <w:ind w:firstLine="8"/>
        <w:spacing w:after="0" w:line="261" w:lineRule="auto"/>
        <w:tabs>
          <w:tab w:leader="none" w:pos="25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thereafter, the interest rate then applicable to Revolving Loans or FILO Loans, as applicable, that are Base Rate Loans (inclusive of the Base Rate Margin applicable thereto).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w:t>
      </w:r>
      <w:r>
        <w:rPr>
          <w:rFonts w:ascii="Arial" w:cs="Arial" w:eastAsia="Arial" w:hAnsi="Arial"/>
          <w:sz w:val="16"/>
          <w:szCs w:val="16"/>
          <w:color w:val="auto"/>
        </w:rPr>
        <w:t>" means any deposit account (as that term is defined in the Code or under the applicable laws of any applicable foreign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jurisdiction).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4" w:name="page225"/>
    <w:bookmarkEnd w:id="224"/>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means an agreement, in form and substance reasonably satisfactory to Agent, among any Loan Party, a banking institution holding such Loan Party's funds, Agent and the L/C Facility Agent with respect to collection and Control of all deposits and balances held in a Deposit Account maintained by such Loan Party with such banking institution.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Account</w:t>
      </w:r>
      <w:r>
        <w:rPr>
          <w:rFonts w:ascii="Arial" w:cs="Arial" w:eastAsia="Arial" w:hAnsi="Arial"/>
          <w:sz w:val="18"/>
          <w:szCs w:val="18"/>
          <w:color w:val="auto"/>
        </w:rPr>
        <w:t>" means the Joint Designated Account and/or the German Designated Account and/or the Swiss Designated Account, as the context requires.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Account Bank</w:t>
      </w:r>
      <w:r>
        <w:rPr>
          <w:rFonts w:ascii="Arial" w:cs="Arial" w:eastAsia="Arial" w:hAnsi="Arial"/>
          <w:sz w:val="18"/>
          <w:szCs w:val="18"/>
          <w:color w:val="auto"/>
        </w:rPr>
        <w:t xml:space="preserve">" means each bank specified as a Designated Account Bank in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this Agreement (or such other bank that is designated as such, in writing, by the applicable Borrower Group to Agent).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w:t>
      </w:r>
      <w:r>
        <w:rPr>
          <w:rFonts w:ascii="Arial" w:cs="Arial" w:eastAsia="Arial" w:hAnsi="Arial"/>
          <w:sz w:val="18"/>
          <w:szCs w:val="18"/>
          <w:color w:val="auto"/>
        </w:rPr>
        <w:t>" means, as of any date of determination, a percentage, based upon the experience of the immediately prior 12 months, that is the result of dividing the Dollar amount of (a) bad debt write-downs, discounts, advertising allowances, credits, or other dilutive items with respect to the Applicable Borrowing Base Loan Parties' Accounts during such period, by (b) such Applicable Borrowing Base Loan Parties' billings with respect to Accounts during such period.</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Dilution Reserve</w:t>
      </w:r>
      <w:r>
        <w:rPr>
          <w:rFonts w:ascii="Arial" w:cs="Arial" w:eastAsia="Arial" w:hAnsi="Arial"/>
          <w:sz w:val="17"/>
          <w:szCs w:val="17"/>
          <w:color w:val="auto"/>
        </w:rPr>
        <w:t>" means, as of any date of determination, an amount sufficient to reduce the advance rate against an Applicable Borrowing Base Loan Parties' Eligible Accounts by the extent to which Dilution is in excess of 5% or, solely with respect to any Dilution Reserve taken on the FILO Borrowing Base in respect of Eligible Investment Grade Accounts, the extent to which Dilution is in excess of zero.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Dispose</w:t>
      </w:r>
      <w:r>
        <w:rPr>
          <w:rFonts w:ascii="Arial" w:cs="Arial" w:eastAsia="Arial" w:hAnsi="Arial"/>
          <w:sz w:val="17"/>
          <w:szCs w:val="17"/>
          <w:color w:val="auto"/>
        </w:rPr>
        <w:t>" means to sell, lease, assign, exchange, convey or otherwise transfer (excluding the granting of a Lien on) any property.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has a meaning correlative thereto.</w:t>
      </w:r>
    </w:p>
    <w:p>
      <w:pPr>
        <w:spacing w:after="0" w:line="21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xml:space="preserve">" means any Equity Interests that, by their terms (or by the terms of any security into which they are convertible or for which they are exchangeable), or upon the happening of any event or condition (a) matures or are mandatorily redeemable for any consideration other than other Equity Interests (which would not constitute Disqualified Equity Interests), pursuant to a sinking fund obligation or otherwise, or (b) are convertible or exchangeable for Indebtedness or redeemable for any consideration other than other Equity Interests (which would not constitute Disqualified Equity Interests) at the option of the holder thereof, in whole or in part, in each case (determined as of the date of issuance), on or prior to the date that is 91 days after the latest to occur of (i) the Maturity Date and (ii) the L/C Facility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Equity Interests that would not constitute Disqualified Equity Interests but for provisions thereof giving holders thereof (or the holders of any security into which such Equity Interests are convertible or for which such Equity Interests are exchangeable) the right to require the issuer thereof to redeem such Equity Interests upon the occurrence of any Change of Control or any Disposition occurring prior to the date that is 91 days after the latest to occur of (i) the Maturity Date and (ii) the L/C Facility Maturity Date at the time such Equity Interests are issued shall not constitute Disqualified Equity Interests if such Equity Interests provide that the issuer thereof will not redeem any such Equity Interests pursuant to such provisions prior to payment in full of the Obligations.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5" w:name="page226"/>
    <w:bookmarkEnd w:id="22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Borrowing Base Loan Parties</w:t>
      </w:r>
      <w:r>
        <w:rPr>
          <w:rFonts w:ascii="Arial" w:cs="Arial" w:eastAsia="Arial" w:hAnsi="Arial"/>
          <w:sz w:val="18"/>
          <w:szCs w:val="18"/>
          <w:color w:val="auto"/>
        </w:rPr>
        <w:t xml:space="preserve">" means those Loan Parties listed on </w:t>
      </w:r>
      <w:r>
        <w:rPr>
          <w:rFonts w:ascii="Arial" w:cs="Arial" w:eastAsia="Arial" w:hAnsi="Arial"/>
          <w:sz w:val="18"/>
          <w:szCs w:val="18"/>
          <w:u w:val="single" w:color="auto"/>
          <w:color w:val="auto"/>
        </w:rPr>
        <w:t>Schedule D-2</w:t>
      </w:r>
      <w:r>
        <w:rPr>
          <w:rFonts w:ascii="Arial" w:cs="Arial" w:eastAsia="Arial" w:hAnsi="Arial"/>
          <w:sz w:val="18"/>
          <w:szCs w:val="18"/>
          <w:color w:val="auto"/>
        </w:rPr>
        <w:t>, together with any other Borrowing Base Loan Party formed or organized under the laws of the United States of America, any state thereof, or the District of Columbia, following the completion of a field examination and appraisal with respect to the applicable assets of such Person and the consent of Agent in its Permitted Discretion to the designation of such Person as a Domestic Borrowing Base Loan Party.</w:t>
      </w:r>
    </w:p>
    <w:p>
      <w:pPr>
        <w:spacing w:after="0" w:line="18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Cash Equivalents</w:t>
      </w:r>
      <w:r>
        <w:rPr>
          <w:rFonts w:ascii="Arial" w:cs="Arial" w:eastAsia="Arial" w:hAnsi="Arial"/>
          <w:sz w:val="17"/>
          <w:szCs w:val="17"/>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Arial" w:cs="Arial" w:eastAsia="Arial" w:hAnsi="Arial"/>
          <w:sz w:val="17"/>
          <w:szCs w:val="17"/>
          <w:u w:val="single" w:color="auto"/>
          <w:color w:val="auto"/>
        </w:rPr>
        <w:t>S&amp;P</w:t>
      </w:r>
      <w:r>
        <w:rPr>
          <w:rFonts w:ascii="Arial" w:cs="Arial" w:eastAsia="Arial" w:hAnsi="Arial"/>
          <w:sz w:val="17"/>
          <w:szCs w:val="17"/>
          <w:color w:val="auto"/>
        </w:rPr>
        <w:t>") or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recognized securities dealer having combined capital and surplus and undivided profits of not less than $500,000,000, having a term of not more than 30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Loan Parties</w:t>
      </w:r>
      <w:r>
        <w:rPr>
          <w:rFonts w:ascii="Arial" w:cs="Arial" w:eastAsia="Arial" w:hAnsi="Arial"/>
          <w:sz w:val="16"/>
          <w:szCs w:val="16"/>
          <w:color w:val="auto"/>
        </w:rPr>
        <w:t>" means the Loan Parties organized or formed in the United States, any state thereof or the District of Columbia.</w:t>
      </w:r>
    </w:p>
    <w:p>
      <w:pPr>
        <w:spacing w:after="0" w:line="2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Security Agreement</w:t>
      </w:r>
      <w:r>
        <w:rPr>
          <w:rFonts w:ascii="Arial" w:cs="Arial" w:eastAsia="Arial" w:hAnsi="Arial"/>
          <w:sz w:val="18"/>
          <w:szCs w:val="18"/>
          <w:color w:val="auto"/>
        </w:rPr>
        <w:t>" means that certain U.S. Security Agreement, dated as of the date hereof, by and among the Domestic Loan Parties, each of the other Loan Parties signatory thereto and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any Loan Party that is not a Foreign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6" w:name="page227"/>
    <w:bookmarkEnd w:id="226"/>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Document</w:t>
      </w:r>
      <w:r>
        <w:rPr>
          <w:rFonts w:ascii="Arial" w:cs="Arial" w:eastAsia="Arial" w:hAnsi="Arial"/>
          <w:sz w:val="18"/>
          <w:szCs w:val="18"/>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firstLine="1305"/>
        <w:spacing w:after="0" w:line="259" w:lineRule="auto"/>
        <w:tabs>
          <w:tab w:leader="none" w:pos="194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(i) a determination by Agent or (ii) a notification by the Required Lenders to Agent (with a copy to Administrative Borrower) that the Required Lenders have determined that United States dollar-denominated syndicated credit facilities being executed at such time, or that include language similar to that contained in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are being executed or amended, as applicable, to incorporate or adopt a new benchmark interest rate to replace the LIBOR Rate, and</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96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the election by Agent or (ii) the election by the Required Lenders to declare that an Early Opt-in Election has occurred and the provision, as applicable, by Agent of written notice of such election to Administrative Borrower and the Lenders or by the Required Lenders of written notice of such election to Agent.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Earn-Outs</w:t>
      </w:r>
      <w:r>
        <w:rPr>
          <w:rFonts w:ascii="Arial" w:cs="Arial" w:eastAsia="Arial" w:hAnsi="Arial"/>
          <w:sz w:val="18"/>
          <w:szCs w:val="18"/>
          <w:color w:val="auto"/>
        </w:rPr>
        <w:t>" means unsecured liabilities of a Loan Party or Restricted Subsidiary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xml:space="preserve">" means those billed Accounts created by a Borrowing Base Loan Party in the ordinary course of its business, that arise out of such Borrowing Base Loan Party's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criteria may be revised from time to time by Agent in Agent's Permitted Discretion to address the results of any information with respect to the Borrowing Base Loan Parties' business or assets of which Agent becomes aware after the Closing Date, including any field examination performed by (or on behalf of) Agent from time to time after the Closing Date. In determining the amount to be included, Eligible Accounts shall be calculated net of customer deposits, unapplied cash, taxes, finance charges, service charges, discounts, credits, allowances, and rebates. Eligible Accounts shall not include the following: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7" w:name="page228"/>
    <w:bookmarkEnd w:id="227"/>
    <w:p>
      <w:pPr>
        <w:ind w:left="1960" w:hanging="655"/>
        <w:spacing w:after="0"/>
        <w:tabs>
          <w:tab w:leader="none" w:pos="1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Accounts that the Account Debtor has failed to pay within 120 days of original invoice date or 60 days of due date,</w:t>
      </w:r>
    </w:p>
    <w:p>
      <w:pPr>
        <w:spacing w:after="0" w:line="225" w:lineRule="exact"/>
        <w:rPr>
          <w:rFonts w:ascii="Arial" w:cs="Arial" w:eastAsia="Arial" w:hAnsi="Arial"/>
          <w:sz w:val="18"/>
          <w:szCs w:val="18"/>
          <w:color w:val="auto"/>
        </w:rPr>
      </w:pPr>
    </w:p>
    <w:p>
      <w:pPr>
        <w:ind w:firstLine="1305"/>
        <w:spacing w:after="0" w:line="277" w:lineRule="auto"/>
        <w:tabs>
          <w:tab w:leader="none" w:pos="197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Accounts owed by an Account Debtor (or its Affiliates) where 50% or more of all Accounts owed by that Account Debtor (or its Affiliates) are deemed ineligible under clause (a) above,</w:t>
      </w:r>
    </w:p>
    <w:p>
      <w:pPr>
        <w:spacing w:after="0" w:line="170" w:lineRule="exact"/>
        <w:rPr>
          <w:rFonts w:ascii="Arial" w:cs="Arial" w:eastAsia="Arial" w:hAnsi="Arial"/>
          <w:sz w:val="18"/>
          <w:szCs w:val="18"/>
          <w:color w:val="auto"/>
        </w:rPr>
      </w:pPr>
    </w:p>
    <w:p>
      <w:pPr>
        <w:ind w:firstLine="1305"/>
        <w:spacing w:after="0" w:line="277" w:lineRule="auto"/>
        <w:tabs>
          <w:tab w:leader="none" w:pos="198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an Affiliate of any Borrowing Base Loan Party or an employee or agent of any Borrowing Base Loan Party or any Affiliate of any Borrowing Base Loan Party,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Accounts (i) arising in a transaction wherein goods are placed on consignment or are sold pursuant to a guaranteed sale, a sale or return, a sale on approval, a bill and hold, or any other terms by reason of which the payment by the Account Debtor may be conditional, or (ii) with respect to which the payment terms are "C.O.D.", cash on delivery or other similar terms,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Accounts that are not payable in Dollars or one of the foreign currencies set forth on </w:t>
      </w:r>
      <w:r>
        <w:rPr>
          <w:rFonts w:ascii="Arial" w:cs="Arial" w:eastAsia="Arial" w:hAnsi="Arial"/>
          <w:sz w:val="18"/>
          <w:szCs w:val="18"/>
          <w:u w:val="single" w:color="auto"/>
          <w:color w:val="auto"/>
        </w:rPr>
        <w:t>Schedule E-4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06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Accounts (v) of any Borrowing Base Loan Party (other than the BVI Borrowing Base Loan Parties), with respect to which the Account Debtor either (i) does not maintain its chief executive office in the United States, Canada, Italy, France, Australia, New Zealand, Sweden, Spain, Finland, the United Kingdom, Germany, Norway, Switzerland, Portugal, the Netherlands, Denmark, Luxembourg, Austria, Belgium, or Ireland, or (ii) is not organized under the laws of the United States, Canada, Italy, France, Australia, New Zealand, Sweden, Spain, Finland, the United Kingdom, Germany, Norway, Switzerland, Portugal, the Netherlands, Denmark, Luxembourg, Austria, Belgium, or Ireland, or any state or province thereof, (w) Accounts of any Borrowing Base Loan Party (other than the BVI Borrowing Base Loan Parties), with respect to which the Account Debtor is the government of any foreign country or sovereign state, or of any state, province, municipality, or other political subdivision thereof, or of any department, agency, public corporation, or other instrumentality thereof, unless in the case of either of the foregoing clauses (v) or (w), (A) the Account is supported by an irrevocable letter of credit reasonably satisfactory to Agent (as to form, substance, and issuer or domestic confirming bank) that has been delivered to Agent and, if requested by Agent, is directly drawable by Agent, or (B) the Account is covered by credit insurance in form, substance, and amount, and by an insurer, reasonably satisfactory to Agent, (x) of the BVI Borrowing Base Loan Parties with respect to which the Account Debtor maintains its chief executive office or is organized under the laws of an Ineligible Jurisdiction, (y) Accounts of the BVI Borrowing Base Loan Parties, with respect to which the Account Debtor is the government of any foreign country or sovereign state formed in an Ineligible Jurisdiction, or of any state, province, municipality, or other political subdivision thereof, or of any department, agency, public corporation, or other instrumentality thereof, and (z) Accounts which are payable by the applicable Account Debtor to any Specified Ineligible Deposit Account, or Accounts for which the proceeds thereof are otherwise deposited in any Specified Ineligible Deposit Account,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8" w:name="page229"/>
    <w:bookmarkEnd w:id="228"/>
    <w:p>
      <w:pPr>
        <w:jc w:val="both"/>
        <w:ind w:left="-20" w:firstLine="1305"/>
        <w:spacing w:after="0" w:line="279" w:lineRule="auto"/>
        <w:tabs>
          <w:tab w:leader="none" w:pos="202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Accounts with respect to which the Account Debtor is the United States or Canada (including the province of Alberta), or any department, agency or instrumentality of the United States or Canada (including the province of Alberta) (exclusive, however, of Accounts with respect to which the Borrowing Base Loan Parties have complied, to the reasonable satisfaction of Agent, with the Assignment of Claims Act, 31 USC §3727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w:t>
      </w:r>
      <w:r>
        <w:rPr>
          <w:rFonts w:ascii="Arial" w:cs="Arial" w:eastAsia="Arial" w:hAnsi="Arial"/>
          <w:sz w:val="17"/>
          <w:szCs w:val="17"/>
          <w:i w:val="1"/>
          <w:iCs w:val="1"/>
          <w:color w:val="auto"/>
        </w:rPr>
        <w:t>Financial Administration Act</w:t>
      </w:r>
      <w:r>
        <w:rPr>
          <w:rFonts w:ascii="Arial" w:cs="Arial" w:eastAsia="Arial" w:hAnsi="Arial"/>
          <w:sz w:val="17"/>
          <w:szCs w:val="17"/>
          <w:color w:val="auto"/>
        </w:rPr>
        <w:t xml:space="preserve"> (Canada), the </w:t>
      </w:r>
      <w:r>
        <w:rPr>
          <w:rFonts w:ascii="Arial" w:cs="Arial" w:eastAsia="Arial" w:hAnsi="Arial"/>
          <w:sz w:val="17"/>
          <w:szCs w:val="17"/>
          <w:i w:val="1"/>
          <w:iCs w:val="1"/>
          <w:color w:val="auto"/>
        </w:rPr>
        <w:t>Financial Administration Act</w:t>
      </w:r>
      <w:r>
        <w:rPr>
          <w:rFonts w:ascii="Arial" w:cs="Arial" w:eastAsia="Arial" w:hAnsi="Arial"/>
          <w:sz w:val="17"/>
          <w:szCs w:val="17"/>
          <w:color w:val="auto"/>
        </w:rPr>
        <w:t xml:space="preserve"> (Alberta) or any other similar law),</w:t>
      </w:r>
    </w:p>
    <w:p>
      <w:pPr>
        <w:spacing w:after="0" w:line="171" w:lineRule="exact"/>
        <w:rPr>
          <w:rFonts w:ascii="Arial" w:cs="Arial" w:eastAsia="Arial" w:hAnsi="Arial"/>
          <w:sz w:val="17"/>
          <w:szCs w:val="17"/>
          <w:color w:val="auto"/>
        </w:rPr>
      </w:pPr>
    </w:p>
    <w:p>
      <w:pPr>
        <w:jc w:val="both"/>
        <w:ind w:left="-20" w:firstLine="1305"/>
        <w:spacing w:after="0" w:line="259" w:lineRule="auto"/>
        <w:tabs>
          <w:tab w:leader="none" w:pos="204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 creditor of Parent or any Subsidiary, has or has asserted a right of recoupment or setoff, has disputed its obligation to pay all or any portion of the Account, or has received a surety bond or letter of credit (including, but not limited to, a letter of credit issued under the L/C Facility Credit Agreement) issued for the account of Parent or any Subsidiary, to the extent of such claim, right of recoupment or setoff, or dispute,</w:t>
      </w:r>
    </w:p>
    <w:p>
      <w:pPr>
        <w:spacing w:after="0" w:line="186" w:lineRule="exact"/>
        <w:rPr>
          <w:rFonts w:ascii="Arial" w:cs="Arial" w:eastAsia="Arial" w:hAnsi="Arial"/>
          <w:sz w:val="18"/>
          <w:szCs w:val="18"/>
          <w:color w:val="auto"/>
        </w:rPr>
      </w:pPr>
    </w:p>
    <w:p>
      <w:pPr>
        <w:jc w:val="both"/>
        <w:ind w:left="-20" w:firstLine="1305"/>
        <w:spacing w:after="0" w:line="297" w:lineRule="auto"/>
        <w:tabs>
          <w:tab w:leader="none" w:pos="207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Accounts with respect to an Account Debtor whose Eligible Accounts owing to the Borrowing Base Loan Parties exceed 10% (such percentage, as applied to a particular Account Debtor, being subject to reduction by Agent in its Permitted Discretion if the creditworthiness of such Account Debtor deteriorates) of all Eligible Accounts, to the extent of the obligations owing by such Account Debtor in excess of such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spacing w:after="0" w:line="158" w:lineRule="exact"/>
        <w:rPr>
          <w:rFonts w:ascii="Arial" w:cs="Arial" w:eastAsia="Arial" w:hAnsi="Arial"/>
          <w:sz w:val="16"/>
          <w:szCs w:val="16"/>
          <w:color w:val="auto"/>
        </w:rPr>
      </w:pPr>
    </w:p>
    <w:p>
      <w:pPr>
        <w:jc w:val="both"/>
        <w:ind w:left="-20" w:firstLine="1305"/>
        <w:spacing w:after="0" w:line="264" w:lineRule="auto"/>
        <w:tabs>
          <w:tab w:leader="none" w:pos="215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subject to an Insolvency Proceeding, is not Solvent, has gone out of business, or as to which any Borrowing Base Loan Party has received notice of an imminent Insolvency Proceeding or a material impairment of the financial condition of such Account Debtor,</w:t>
      </w:r>
    </w:p>
    <w:p>
      <w:pPr>
        <w:spacing w:after="0" w:line="181" w:lineRule="exact"/>
        <w:rPr>
          <w:rFonts w:ascii="Arial" w:cs="Arial" w:eastAsia="Arial" w:hAnsi="Arial"/>
          <w:sz w:val="18"/>
          <w:szCs w:val="18"/>
          <w:color w:val="auto"/>
        </w:rPr>
      </w:pPr>
    </w:p>
    <w:p>
      <w:pPr>
        <w:ind w:left="-20" w:right="20" w:firstLine="1305"/>
        <w:spacing w:after="0" w:line="277" w:lineRule="auto"/>
        <w:tabs>
          <w:tab w:leader="none" w:pos="195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Accounts, the collection of which, Agent, in its Permitted Discretion, believes to be doubtful, including by reason of the Account Debtor's financial condition,</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196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 Accounts that are not subject to a valid and perfected (or any analogous concept to the extent perfection does not apply in the relevant jurisdiction) first priority Agent's Lien (or, solely with respect to Accounts of a UK Borrowing Base Loan Party, a valid and perfected floating charge in favor of Agent), or (ii) with respect to Accounts of the German Borrower, the Norwegian Borrowing Base Loan Parties or the Swiss Borrower, Accounts that are subject to a restriction on assignment under the governing law of such Accounts (excluding Accounts governed by the laws of the United States and Canada), or (iii) with respect to Accounts of the BVI Borrowing Base Loan Parties, the UK Borrowing Base Loan Parties, the German Borrower, the Norwegian Borrowing Base Loan Parties and the Swiss Borrower which are subject to the laws of the Federal Republic of Germany, Accounts which are subject to extended retention of title arrangements,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29" w:name="page230"/>
    <w:bookmarkEnd w:id="229"/>
    <w:p>
      <w:pPr>
        <w:ind w:firstLine="1305"/>
        <w:spacing w:after="0" w:line="277" w:lineRule="auto"/>
        <w:tabs>
          <w:tab w:leader="none" w:pos="194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 Sanctioned Person or Sanctioned Entity,</w:t>
      </w:r>
    </w:p>
    <w:p>
      <w:pPr>
        <w:spacing w:after="0" w:line="225" w:lineRule="exact"/>
        <w:rPr>
          <w:rFonts w:ascii="Arial" w:cs="Arial" w:eastAsia="Arial" w:hAnsi="Arial"/>
          <w:sz w:val="18"/>
          <w:szCs w:val="18"/>
          <w:color w:val="auto"/>
        </w:rPr>
      </w:pPr>
    </w:p>
    <w:p>
      <w:pPr>
        <w:ind w:right="20" w:firstLine="1305"/>
        <w:spacing w:after="0" w:line="342" w:lineRule="auto"/>
        <w:tabs>
          <w:tab w:leader="none" w:pos="196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Accounts (i) that represent the right to receive progress payments or other advance billings that are due prior to the completion of performance by the Applicable Borrowing Base Loan Party of the subject contract for goods or services, or (ii) that represent credit card sales, or</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92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Accounts owned by a target acquired in connection with a Permitted Acquisition or Permitted Investment, or Accounts owned by a Person that becomes a Borrowing Base Loan Party under the provisions of this Agreement, until the completion of a field examination with respect to such Accounts, in each case, satisfactory to Agent in its Permitted Discretion.</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Finished Goods Inventory</w:t>
      </w:r>
      <w:r>
        <w:rPr>
          <w:rFonts w:ascii="Arial" w:cs="Arial" w:eastAsia="Arial" w:hAnsi="Arial"/>
          <w:sz w:val="18"/>
          <w:szCs w:val="18"/>
          <w:color w:val="auto"/>
        </w:rPr>
        <w:t>" means Inventory that qualifies as Eligible Inventory and consists of first quality finished goods held for sale in the ordinary course of the Applicable Borrowing Base Loan Parties' business.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Jurisdiction</w:t>
      </w:r>
      <w:r>
        <w:rPr>
          <w:rFonts w:ascii="Arial" w:cs="Arial" w:eastAsia="Arial" w:hAnsi="Arial"/>
          <w:sz w:val="18"/>
          <w:szCs w:val="18"/>
          <w:color w:val="auto"/>
        </w:rPr>
        <w:t>" means (a) each Excluded Jurisdiction other than (i) any Excluded Jurisdiction that is an Ineligible Jurisdiction, and</w:t>
      </w:r>
    </w:p>
    <w:p>
      <w:pPr>
        <w:spacing w:after="0" w:line="23" w:lineRule="exact"/>
        <w:rPr>
          <w:sz w:val="20"/>
          <w:szCs w:val="20"/>
          <w:color w:val="auto"/>
        </w:rPr>
      </w:pPr>
    </w:p>
    <w:p>
      <w:pPr>
        <w:jc w:val="both"/>
        <w:ind w:firstLine="8"/>
        <w:spacing w:after="0" w:line="255" w:lineRule="auto"/>
        <w:tabs>
          <w:tab w:leader="none" w:pos="26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Iran, or any other country that is a Sanctioned Entity or otherwise subject to Sanctions, and (b) the countries of Argentina, Brazil, Colombia (subject to the Specified Colombia Bank Account Reserve) and South Africa; </w:t>
      </w:r>
      <w:r>
        <w:rPr>
          <w:rFonts w:ascii="Arial" w:cs="Arial" w:eastAsia="Arial" w:hAnsi="Arial"/>
          <w:sz w:val="18"/>
          <w:szCs w:val="18"/>
          <w:u w:val="single" w:color="auto"/>
          <w:color w:val="auto"/>
        </w:rPr>
        <w:t>provided</w:t>
      </w:r>
      <w:r>
        <w:rPr>
          <w:rFonts w:ascii="Arial" w:cs="Arial" w:eastAsia="Arial" w:hAnsi="Arial"/>
          <w:sz w:val="18"/>
          <w:szCs w:val="18"/>
          <w:color w:val="auto"/>
        </w:rPr>
        <w:t>, that Agent and the Administrative Borrower, by mutual written agreement, may re-categorize any country between the definitions of "Eligible Jurisdiction" and "Ineligible Jurisdiction".</w:t>
      </w:r>
    </w:p>
    <w:p>
      <w:pPr>
        <w:spacing w:after="0" w:line="19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xml:space="preserve">" means Inventory of a Borrowing Base Loan Party, that complies with each of the representations and warranties respecting Eligible Inventory made in the Loan Documents, and that is not excluded as ineligible by virtue of one or more of the excluding criteria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criteria may be revised from time to time by Agent in Agent's Permitted Discretion to address the results of any information with respect to the Borrowing Base Loan Parties' business or assets of which Agent becomes aware after the Closing Date, including any field examination or appraisal performed or received by Agent from time to time after the Closing Date. In determining the amount to be so included, Inventory shall be valued at the lower of cost or market on a basis consistent with the Borrowing Base Loan Parties' historical accounting practices. An item of Inventory shall not be included in Eligible Inventory if:</w:t>
      </w:r>
    </w:p>
    <w:p>
      <w:pPr>
        <w:spacing w:after="0" w:line="189" w:lineRule="exact"/>
        <w:rPr>
          <w:sz w:val="20"/>
          <w:szCs w:val="20"/>
          <w:color w:val="auto"/>
        </w:rPr>
      </w:pPr>
    </w:p>
    <w:p>
      <w:pPr>
        <w:ind w:left="1900" w:hanging="595"/>
        <w:spacing w:after="0"/>
        <w:tabs>
          <w:tab w:leader="none" w:pos="1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Borrowing Base Loan Party does not have good, valid, and marketable title thereto,</w:t>
      </w:r>
    </w:p>
    <w:p>
      <w:pPr>
        <w:spacing w:after="0" w:line="225" w:lineRule="exact"/>
        <w:rPr>
          <w:rFonts w:ascii="Arial" w:cs="Arial" w:eastAsia="Arial" w:hAnsi="Arial"/>
          <w:sz w:val="18"/>
          <w:szCs w:val="18"/>
          <w:color w:val="auto"/>
        </w:rPr>
      </w:pPr>
    </w:p>
    <w:p>
      <w:pPr>
        <w:ind w:right="20" w:firstLine="1305"/>
        <w:spacing w:after="0" w:line="277" w:lineRule="auto"/>
        <w:tabs>
          <w:tab w:leader="none" w:pos="193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Borrowing Base Loan Party does not have actual and exclusive possession thereof (either directly or through a bailee or agent of a Borrowing Base Loan Party),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it is not located at one of the locations in the continental United States, Canada, the United Kingdom, Germany or Norway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may be amended from time to time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(or in-transit from one location within such country to another such location within such country),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0" w:name="page231"/>
    <w:bookmarkEnd w:id="230"/>
    <w:p>
      <w:pPr>
        <w:ind w:left="1960" w:hanging="655"/>
        <w:spacing w:after="0"/>
        <w:tabs>
          <w:tab w:leader="none" w:pos="19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it is stored at locations holding less than $500,000 of the aggregate value of such Borrowing Base Loan Party's Inventory,</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20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it is in-transit to or from a location of a Borrowing Base Loan Party (other than in-transit from one location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4.25</w:t>
      </w:r>
      <w:r>
        <w:rPr>
          <w:rFonts w:ascii="Arial" w:cs="Arial" w:eastAsia="Arial" w:hAnsi="Arial"/>
          <w:sz w:val="18"/>
          <w:szCs w:val="18"/>
          <w:color w:val="auto"/>
        </w:rPr>
        <w:t xml:space="preserve"> to this Agreement to another location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may be amended from time to time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20" w:firstLine="1305"/>
        <w:spacing w:after="0" w:line="312" w:lineRule="auto"/>
        <w:tabs>
          <w:tab w:leader="none" w:pos="209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it is located on real property leased by a Borrowing Base Loan Party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 (ii) Agent has established a Landlord Reserve with respect to such location,</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it is the subject of a bill of lading or other document of title,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19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it is not subject to a valid and perfected (or any analogous concept to the extent perfection does not apply in the relevant jurisdiction) first priority Agent's Lien (or, solely with respect to Inventory of a UK Borrowing Base Loan Party, a valid and perfected floating charge in favor of Agent) under the laws of the jurisdiction of such Inventory's location,</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it consists of goods returned or rejected by a Borrowing Base Loan Party's customers,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7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it consists of goods that are obsolete, slow moving, spoiled or are otherwise past the stated expiration, "sell-by" or "use by" date applicable thereto, restrictive or custom items or otherwise is manufactured in accordance with customer-specific requirements, work-in-process, raw materials, or goods that constitute spare parts, packaging and shipping materials, supplies used or consumed in the Borrowing Base Loan Parties' business, bill and hold goods, defective goods, "seconds," or Inventory acquired on consignment,</w:t>
      </w:r>
    </w:p>
    <w:p>
      <w:pPr>
        <w:spacing w:after="0" w:line="186" w:lineRule="exact"/>
        <w:rPr>
          <w:rFonts w:ascii="Arial" w:cs="Arial" w:eastAsia="Arial" w:hAnsi="Arial"/>
          <w:sz w:val="18"/>
          <w:szCs w:val="18"/>
          <w:color w:val="auto"/>
        </w:rPr>
      </w:pPr>
    </w:p>
    <w:p>
      <w:pPr>
        <w:ind w:firstLine="1305"/>
        <w:spacing w:after="0" w:line="277" w:lineRule="auto"/>
        <w:tabs>
          <w:tab w:leader="none" w:pos="201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it is subject to third party intellectual property, licensing or other proprietary rights, unless Agent is reasonably satisfied that such Inventory can be freely sold by Agent on and after the occurrence of an Event of a Default despite such third party rights, 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it was acquired in connection with a Permitted Acquisition or Permitted Investment, or such Inventory is owned by a Person that becomes a Borrowing Base Loan Party under provisions of this Agreement, until the completion of an Acceptable Appraisal of such Inventory and the completion of a field examination with respect to such Inventory that is satisfactory to Agent in its Permitted Discretion.</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 Grade Account</w:t>
      </w:r>
      <w:r>
        <w:rPr>
          <w:rFonts w:ascii="Arial" w:cs="Arial" w:eastAsia="Arial" w:hAnsi="Arial"/>
          <w:sz w:val="18"/>
          <w:szCs w:val="18"/>
          <w:color w:val="auto"/>
        </w:rPr>
        <w:t>" means, at any time, any Eligible Account if the Account Debtor in respect of such Eligible Account has a corporate credit rating of BBB- or higher by S&amp;P or Baa3 or higher by Moody's.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1" w:name="page232"/>
    <w:bookmarkEnd w:id="231"/>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Rental Tools</w:t>
      </w:r>
      <w:r>
        <w:rPr>
          <w:rFonts w:ascii="Arial" w:cs="Arial" w:eastAsia="Arial" w:hAnsi="Arial"/>
          <w:sz w:val="17"/>
          <w:szCs w:val="17"/>
          <w:color w:val="auto"/>
        </w:rPr>
        <w:t xml:space="preserve">" means Rental Tools of Domestic Borrowing Base Loan Parties and Canadian Borrowing Base Loan Parties that comply with each of the representations and warranties respecting Eligible Rental Tools made in the Loan Documents, and that is not excluded as ineligible by virtue of one or more of the excluding criteria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such criteria may be revised from time to time by Agent in Agent's Permitted Discretion to address the results of any information with respect to the Domestic Borrowing Base Loan Parties' or Canadian Borrowing Base Loan Parties business or assets of which Agent becomes aware after the Closing Date, including any field examination or appraisal performed or received by Agent from time to time after the Closing Date. In determining the amount to be so included, Rental Tools shall be valued at the lower of cost or market on a basis consistent with the Domestic Borrowing Base Loan Parties' and Canadian Borrowing Base Loan Parties', as applicable, historical accounting practices. An item of Rental Tool shall not be included in Eligible Rental Tools if:</w:t>
      </w:r>
    </w:p>
    <w:p>
      <w:pPr>
        <w:spacing w:after="0" w:line="179" w:lineRule="exact"/>
        <w:rPr>
          <w:sz w:val="20"/>
          <w:szCs w:val="20"/>
          <w:color w:val="auto"/>
        </w:rPr>
      </w:pPr>
    </w:p>
    <w:p>
      <w:pPr>
        <w:ind w:left="2020" w:hanging="715"/>
        <w:spacing w:after="0"/>
        <w:tabs>
          <w:tab w:leader="none" w:pos="202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 Domestic Borrowing Base Loan Party or Canadian Borrowing Base Loan Party does not have good, valid, and marketable title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it is not located at one of the locations in the continental United States or Canada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may be amended from time to time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(or in-transit from one location within such country to another such location within such country),</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1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is located on real property leased by a Domestic Borrowing Base Loan Party or a Canadian Borrowing Base Loan Party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 (ii) Agent has established a Landlord Reserve with respect to such location, or it is located at a customer location,</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24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it is not subject to a valid and perfected (or any analogous concept to the extent perfection does not apply in the relevant jurisdiction) first priority Agent's Lien perfected under the laws of the jurisdiction of its location (subject to Permitted Liens having priority under applicable law for which Reserves have been established pursuant to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it consists of goods rejected by a Domestic Borrowing Base Loan Party's or a Canadian Borrowing Base Loan Party's customers,</w:t>
      </w:r>
    </w:p>
    <w:p>
      <w:pPr>
        <w:spacing w:after="0" w:line="248" w:lineRule="exact"/>
        <w:rPr>
          <w:rFonts w:ascii="Arial" w:cs="Arial" w:eastAsia="Arial" w:hAnsi="Arial"/>
          <w:sz w:val="16"/>
          <w:szCs w:val="16"/>
          <w:color w:val="auto"/>
        </w:rPr>
      </w:pPr>
    </w:p>
    <w:p>
      <w:pPr>
        <w:jc w:val="both"/>
        <w:ind w:firstLine="1305"/>
        <w:spacing w:after="0" w:line="312" w:lineRule="auto"/>
        <w:tabs>
          <w:tab w:leader="none" w:pos="206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it consists of goods that are obsolete, damaged, under repair, held for repair or in an inoperable condition, restrictive or custom items, goods that constitute spare parts, packaging and shipping materials, supplies used or consumed in a customer's or a Domestic Borrowing Base Loan Party's or a Canadian Borrowing Base Loan Party's business, bill and hold goods, defective goods, "seconds," or Rental Tools acquired on consignment,</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02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is subject to any agreement which restricts the ability of a Domestic Borrowing Base Loan Party or Canadian Borrowing Base Loan Party, as applicable, to use, sell, rent, transport or dispose of such Rental Tool or which restricts Agent's ability to take possession of, sell or otherwise dispose of such Rental Tool,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2" w:name="page233"/>
    <w:bookmarkEnd w:id="232"/>
    <w:p>
      <w:pPr>
        <w:ind w:left="1960" w:hanging="655"/>
        <w:spacing w:after="0"/>
        <w:tabs>
          <w:tab w:leader="none" w:pos="1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unless Agent otherwise agrees, it consists of fixtures,</w:t>
      </w:r>
    </w:p>
    <w:p>
      <w:pPr>
        <w:spacing w:after="0" w:line="225" w:lineRule="exact"/>
        <w:rPr>
          <w:rFonts w:ascii="Arial" w:cs="Arial" w:eastAsia="Arial" w:hAnsi="Arial"/>
          <w:sz w:val="18"/>
          <w:szCs w:val="18"/>
          <w:color w:val="auto"/>
        </w:rPr>
      </w:pPr>
    </w:p>
    <w:p>
      <w:pPr>
        <w:ind w:firstLine="1305"/>
        <w:spacing w:after="0" w:line="277" w:lineRule="auto"/>
        <w:tabs>
          <w:tab w:leader="none" w:pos="209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is subject to third party trademark, licensing or other proprietary rights, unless Agent is reasonably satisfied that such Rental Tool can be freely sold by Agent on and after the occurrence of an Event of a Default despite such third party rights, or</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96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it was acquired in connection with a Permitted Acquisition or Permitted Investment, or such Rental Tool is owned by a Person that becomes a Domestic Borrowing Base Loan Party or a Canadian Borrowing Base Loan Party, until the completion of an Acceptable Appraisal of such Rental Tools and completion of a field examination with respect to such Rental Tools that is satisfactory to Agent in its Permitted Discretion.</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Transferee</w:t>
      </w:r>
      <w:r>
        <w:rPr>
          <w:rFonts w:ascii="Arial" w:cs="Arial" w:eastAsia="Arial" w:hAnsi="Arial"/>
          <w:sz w:val="18"/>
          <w:szCs w:val="18"/>
          <w:color w:val="auto"/>
        </w:rPr>
        <w:t xml:space="preserve">" means (a) any Lender (other than a Defaulting Lender), any Affiliate of any Lender and any Related Fund of any Lender; (b) (i) a commercial bank organized under the laws of the United States or Canada or any state or province thereof, and having total assets in excess of $1,000,000,000; (ii) a savings and loan association or savings bank organized under the laws of the United States or Canada or any state or province thereof, and having total assets in excess of $1,000,000,000; (iii) a commercial bank organized under the laws of any other country or a political subdivision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(A) (x) such bank is acting through a branch or agency located in the United States or Canada, or (y) such bank is organized under the laws of a country that is a member of the Organization for Economic Cooperation and Development or a political subdivision of such country, and (B) such bank has total assets in excess of $1,000,000,000;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$1,000,000,000; and (d) during the continuation of an Event of Default, any other Person approved by Agent.</w:t>
      </w:r>
    </w:p>
    <w:p>
      <w:pPr>
        <w:spacing w:after="0" w:line="19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Unbilled Accounts</w:t>
      </w:r>
      <w:r>
        <w:rPr>
          <w:rFonts w:ascii="Arial" w:cs="Arial" w:eastAsia="Arial" w:hAnsi="Arial"/>
          <w:sz w:val="18"/>
          <w:szCs w:val="18"/>
          <w:color w:val="auto"/>
        </w:rPr>
        <w:t>" means, at any time, the Accounts of a Joint Borrowing Base Loan Party which would be Eligible Accounts except that such Accounts are for goods which have been shipped or services which have been rendered (but in either case have not yet been billed) to an Account Debtor, so long as the period following the date of shipment of such goods or the rendering of such services and prior to the date of the issuance of the bill for such goods or services is less than 30 days.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Work-in-Process Inventory</w:t>
      </w:r>
      <w:r>
        <w:rPr>
          <w:rFonts w:ascii="Arial" w:cs="Arial" w:eastAsia="Arial" w:hAnsi="Arial"/>
          <w:sz w:val="18"/>
          <w:szCs w:val="18"/>
          <w:color w:val="auto"/>
        </w:rPr>
        <w:t xml:space="preserve">" means Inventory that qualifies as Eligible Inventory and consists of goods that are first quality work-in-process; </w:t>
      </w:r>
      <w:r>
        <w:rPr>
          <w:rFonts w:ascii="Arial" w:cs="Arial" w:eastAsia="Arial" w:hAnsi="Arial"/>
          <w:sz w:val="18"/>
          <w:szCs w:val="18"/>
          <w:u w:val="single" w:color="auto"/>
          <w:color w:val="auto"/>
        </w:rPr>
        <w:t>provided</w:t>
      </w:r>
      <w:r>
        <w:rPr>
          <w:rFonts w:ascii="Arial" w:cs="Arial" w:eastAsia="Arial" w:hAnsi="Arial"/>
          <w:sz w:val="18"/>
          <w:szCs w:val="18"/>
          <w:color w:val="auto"/>
        </w:rPr>
        <w:t>, that anything to the contrary contained herein notwithstanding, the value of such Inventory shall not include the value of any labor or other services rendered to product such Inventory.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any employee benefit plan within the meaning of Section 3(3) of ERISA, whether or not subject to ERISA,</w:t>
      </w:r>
    </w:p>
    <w:p>
      <w:pPr>
        <w:spacing w:after="0" w:line="46" w:lineRule="exact"/>
        <w:rPr>
          <w:sz w:val="20"/>
          <w:szCs w:val="20"/>
          <w:color w:val="auto"/>
        </w:rPr>
      </w:pPr>
    </w:p>
    <w:p>
      <w:pPr>
        <w:ind w:firstLine="8"/>
        <w:spacing w:after="0" w:line="261" w:lineRule="auto"/>
        <w:tabs>
          <w:tab w:leader="none" w:pos="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that is or within the preceding six (6) years has been sponsored, maintained or contributed to by any Loan Party or ERISA Affiliate or (b) to which any Loan Party or ERISA Affiliate has, or has had at any time within the preceding six (6) years, any liability, contingent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3" w:name="page234"/>
    <w:bookmarkEnd w:id="2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English Loan Parties</w:t>
      </w:r>
      <w:r>
        <w:rPr>
          <w:rFonts w:ascii="Arial" w:cs="Arial" w:eastAsia="Arial" w:hAnsi="Arial"/>
          <w:sz w:val="18"/>
          <w:szCs w:val="18"/>
          <w:color w:val="auto"/>
        </w:rPr>
        <w:t>" means the Loan Parties incorporated in England and Wales.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English Security Documents</w:t>
      </w:r>
      <w:r>
        <w:rPr>
          <w:rFonts w:ascii="Arial" w:cs="Arial" w:eastAsia="Arial" w:hAnsi="Arial"/>
          <w:sz w:val="18"/>
          <w:szCs w:val="18"/>
          <w:color w:val="auto"/>
        </w:rPr>
        <w:t xml:space="preserve">" means the English law governed security agreements listed in </w:t>
      </w:r>
      <w:r>
        <w:rPr>
          <w:rFonts w:ascii="Arial" w:cs="Arial" w:eastAsia="Arial" w:hAnsi="Arial"/>
          <w:sz w:val="18"/>
          <w:szCs w:val="18"/>
          <w:u w:val="single" w:color="auto"/>
          <w:color w:val="auto"/>
        </w:rPr>
        <w:t>Schedule S-1</w:t>
      </w:r>
      <w:r>
        <w:rPr>
          <w:rFonts w:ascii="Arial" w:cs="Arial" w:eastAsia="Arial" w:hAnsi="Arial"/>
          <w:sz w:val="18"/>
          <w:szCs w:val="18"/>
          <w:color w:val="auto"/>
        </w:rPr>
        <w:t xml:space="preserve"> to this Agreement required to be executed and delivered on the Closing Date.</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Subsidiary of any Borrower, or any of their predecessors in interest, (b) from adjoining properties or businesses, or (c) from or onto any facilities which received Hazardous Materials generated by any Borrower, any Subsidiary of any Borrower, or any of their predecessors in interest.</w:t>
      </w:r>
    </w:p>
    <w:p>
      <w:pPr>
        <w:spacing w:after="0" w:line="17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any Loan Party or its Subsidiaries, relating to the environment, employee health and safety (to the extent relating to exposure to Hazardous Materials), or the management, release, or threatened release of Hazardous Materials.</w:t>
      </w:r>
    </w:p>
    <w:p>
      <w:pPr>
        <w:spacing w:after="0" w:line="18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Liabilities</w:t>
      </w:r>
      <w:r>
        <w:rPr>
          <w:rFonts w:ascii="Arial" w:cs="Arial" w:eastAsia="Arial" w:hAnsi="Arial"/>
          <w:sz w:val="16"/>
          <w:szCs w:val="16"/>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ind w:left="1300" w:right="780" w:hanging="1292"/>
        <w:spacing w:after="0" w:line="521" w:lineRule="auto"/>
        <w:tabs>
          <w:tab w:leader="none" w:pos="24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any contract, agreement or other consensual arrangement pursuant to which liability is assumed or imposed with respect to any of the foregoing. "</w:t>
      </w:r>
      <w:r>
        <w:rPr>
          <w:rFonts w:ascii="Arial" w:cs="Arial" w:eastAsia="Arial" w:hAnsi="Arial"/>
          <w:sz w:val="17"/>
          <w:szCs w:val="17"/>
          <w:u w:val="single" w:color="auto"/>
          <w:color w:val="auto"/>
        </w:rPr>
        <w:t>Environmental Lien</w:t>
      </w:r>
      <w:r>
        <w:rPr>
          <w:rFonts w:ascii="Arial" w:cs="Arial" w:eastAsia="Arial" w:hAnsi="Arial"/>
          <w:sz w:val="17"/>
          <w:szCs w:val="17"/>
          <w:color w:val="auto"/>
        </w:rPr>
        <w:t>" means any Lien in favor of any Governmental Authority for Environmental Liabilities.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equipment (as that term is defined in the Code).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4" w:name="page235"/>
    <w:bookmarkEnd w:id="234"/>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any Person subject to ERISA whose employees are treated as employed by the same employer as the employees of any Loan Party or its Subsidiaries under IRC Section 414(b), (b) any trade or business subject to ERISA whose employees are treated as employed by the same employer as the employees of any Loan Party or its Subsidiaries under IRC Section 414(c), (c) solely for purposes of Section 302 of ERISA and Section 412 of the IRC, any organization subject to ERISA that is a member of an affiliated service group of which any Loan Party or any of its Subsidiaries is a member under IRC Section 414(m), or (d) solely for purposes of Section 302 of ERISA and Section 412 of the IRC, any Person subject to ERISA that is a party to an arrangement with any Loan Party or any of its Subsidiaries and whose employees are aggregated with the employees of such Loan Party or its Subsidiaries under IRC Section 414(o).</w:t>
      </w:r>
    </w:p>
    <w:p>
      <w:pPr>
        <w:spacing w:after="0" w:line="18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16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European Union as constituted by the Treaty on European Union as adopted as lawful</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by certain member states under legislation of the European Union for European Monetary Union.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Availability</w:t>
      </w:r>
      <w:r>
        <w:rPr>
          <w:rFonts w:ascii="Arial" w:cs="Arial" w:eastAsia="Arial" w:hAnsi="Arial"/>
          <w:sz w:val="18"/>
          <w:szCs w:val="18"/>
          <w:color w:val="auto"/>
        </w:rPr>
        <w:t xml:space="preserve">" means, as of any date of determination, the amount equal to the Line Cap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(a) the aggregate outstanding amount of Revolving Loans,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(b) unreimbursed drawings under Letters of Credit and the undrawn amount of all outstanding Letters of Credit and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(c) the aggregate outstanding amount of FILO Loans.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in effect from time to time.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and refers to the nominal rate of exchange (vis-à-vis Dollars) for a currency other than Dollars published in the Wall Street Journal (Western Edition) on the date of determination (which shall be a Business Day on which the Wall Street Journal (Western Edition) is published), expressed as the number of units of such other currency per one Dollar.</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xml:space="preserve">" means (a) any deposit account of a Loan Party, including the funds on deposit therein, that is used solely for payroll funding and other employee wage and benefit payments (including flexible spending accounts), tax payments, escrow or trust purposes, or any other fiduciary purpose, (b) any deposit account of a Loan Party, including the funds on deposit therein, that has been pledged to secure Indebtedness or other obligations, in each case to the extent such cash collateral is expressly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 and is exclusively used for such purpose, (c) any Specified Eligible Deposit Account, (d) any Specified Ineligible Deposit Account, and (e) other Deposit Accounts of the Loan Parties to the extent that the aggregate cash or Cash Equivalent balance of all such other Deposit Accounts described in this clause (e) does not at any time exceed $10,000,000 (this clause (e), defined as the "</w:t>
      </w:r>
      <w:r>
        <w:rPr>
          <w:rFonts w:ascii="Arial" w:cs="Arial" w:eastAsia="Arial" w:hAnsi="Arial"/>
          <w:sz w:val="18"/>
          <w:szCs w:val="18"/>
          <w:u w:val="single" w:color="auto"/>
          <w:color w:val="auto"/>
        </w:rPr>
        <w:t>Global Cash Account Carve-Out</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5" w:name="page236"/>
    <w:bookmarkEnd w:id="235"/>
    <w:p>
      <w:pPr>
        <w:jc w:val="both"/>
        <w:ind w:firstLine="1297"/>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means, collectively, (a) any Equity Interests in any Foreign Subsidiary, joint venture or non-wholly owned Foreign Subsidiary of a Loan Party that, in each case, is not organized in a Specified Jurisdiction; (b) any contract, instrument, lease, licenses,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asset will only constitute an Excluded Asset under this clause (b) to the extent such violation or breach, termination (or right of termination) or default would not be rendered ineffective pursuant to Sections 9-406, 9-407, 9-408 or 9-409 of the Code (or any successor provision or provisions) of any relevant jurisdiction or any other applicable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clause (b); (c) any property, to the extent the granting of a Lien therein is prohibited by any applicable law (including laws and other governmental regulations governing insurance companies) or would require governmental or third-party (other than the Loan Parties or their Subsidiaries) consent, approval, license or authorization not obtained (other than to the extent that such prohibition would be rendered ineffective pursuant to Sections 9-406, 9-407, 9-408, 9-409 or other applicable provisions of the Code of any relevant jurisdiction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governmental or third-party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Code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 Loan Party); (j) any leasehold interests in real property; (k) any asset or property, the granting of a security interest in which would result in material adverse tax consequences to any Loan Party as reasonably determined by the Administrative Borrower and consented to in writing by Agent, such consent not to be unreasonably withheld or delayed; (l) any interests in partnerships, joint ventures and non-wholly-owned Subsidiaries which cannot be pledged without the consent of one or more third parties other than any Loan Party or any Subsidiary thereof (after giving effect to Sections 9-406, 9-407, 9-408 or 9-409 of the Code (or any successor provision or provisions) of any relevant jurisdiction or any other applicable law) (until any required consent or waiver shall have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third-party consent or waiver, as applicable, such assets shall automatically constitute Collateral (but only to the extent such assets do not otherwise constitute Excluded Assets hereunder);</w:t>
      </w:r>
    </w:p>
    <w:p>
      <w:pPr>
        <w:spacing w:after="0" w:line="11" w:lineRule="exact"/>
        <w:rPr>
          <w:sz w:val="20"/>
          <w:szCs w:val="20"/>
          <w:color w:val="auto"/>
        </w:rPr>
      </w:pPr>
    </w:p>
    <w:p>
      <w:pPr>
        <w:jc w:val="both"/>
        <w:ind w:firstLine="8"/>
        <w:spacing w:after="0" w:line="253" w:lineRule="auto"/>
        <w:tabs>
          <w:tab w:leader="none" w:pos="3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Excluded Accounts; (n) those assets as to which Agent agrees in writing (in consultation with the Administrative Borrower) that the cost of obtaining such a security interest or perfection thereof are excessive in relation to the benefit to the Lender Group and the Bank Product Providers of the security to be afforded thereby and (o) any Real Property that has a net book value of less than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exclusions shall not apply to any asset or property of any Borrower and its Subsidiaries on which a Lien has been granted in favor of the L/C Facility Agent to secure the L/C Facility Obligations.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6" w:name="page237"/>
    <w:bookmarkEnd w:id="23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Jurisdictions</w:t>
      </w:r>
      <w:r>
        <w:rPr>
          <w:rFonts w:ascii="Arial" w:cs="Arial" w:eastAsia="Arial" w:hAnsi="Arial"/>
          <w:sz w:val="18"/>
          <w:szCs w:val="18"/>
          <w:color w:val="auto"/>
        </w:rPr>
        <w:t xml:space="preserve">" means the countries or other jurisdictions identified on </w:t>
      </w:r>
      <w:r>
        <w:rPr>
          <w:rFonts w:ascii="Arial" w:cs="Arial" w:eastAsia="Arial" w:hAnsi="Arial"/>
          <w:sz w:val="18"/>
          <w:szCs w:val="18"/>
          <w:u w:val="single" w:color="auto"/>
          <w:color w:val="auto"/>
        </w:rPr>
        <w:t>Schedule E-1</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7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subsection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Agent, such Lender, such Issuing Bank or any other such recipient is located or otherwise conducting business activity or a Borrower is resident for income tax purposes as of the dated of this Agreement, (c) in the case of a Lender (other than an assignee pursuant to an assignment requested by a Borrower under Section </w:t>
      </w:r>
      <w:r>
        <w:rPr>
          <w:rFonts w:ascii="Arial" w:cs="Arial" w:eastAsia="Arial" w:hAnsi="Arial"/>
          <w:sz w:val="16"/>
          <w:szCs w:val="16"/>
          <w:u w:val="single" w:color="auto"/>
          <w:color w:val="auto"/>
        </w:rPr>
        <w:t>14.2</w:t>
      </w:r>
      <w:r>
        <w:rPr>
          <w:rFonts w:ascii="Arial" w:cs="Arial" w:eastAsia="Arial" w:hAnsi="Arial"/>
          <w:sz w:val="16"/>
          <w:szCs w:val="16"/>
          <w:color w:val="auto"/>
        </w:rPr>
        <w:t xml:space="preserve"> or otherwise at the request of a Loan Party),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16.1(a))</w:t>
      </w:r>
      <w:r>
        <w:rPr>
          <w:rFonts w:ascii="Arial" w:cs="Arial" w:eastAsia="Arial" w:hAnsi="Arial"/>
          <w:sz w:val="16"/>
          <w:szCs w:val="16"/>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 Loan Party was responsible immediately prior to the Lender’s change in jurisdiction and/or tax residency, (e) any United States, Irish, Swiss, German or Bermuda withholding tax attributable to such Lender’s failure to comply with </w:t>
      </w:r>
      <w:r>
        <w:rPr>
          <w:rFonts w:ascii="Arial" w:cs="Arial" w:eastAsia="Arial" w:hAnsi="Arial"/>
          <w:sz w:val="16"/>
          <w:szCs w:val="16"/>
          <w:u w:val="single" w:color="auto"/>
          <w:color w:val="auto"/>
        </w:rPr>
        <w:t>Section 16.2</w:t>
      </w:r>
      <w:r>
        <w:rPr>
          <w:rFonts w:ascii="Arial" w:cs="Arial" w:eastAsia="Arial" w:hAnsi="Arial"/>
          <w:sz w:val="16"/>
          <w:szCs w:val="16"/>
          <w:color w:val="auto"/>
        </w:rPr>
        <w:t>, (f) any United States federal withholding Taxes imposed by FATCA, (g) any Taxes assessed on a Lender under the laws of Germany solely due to the fact that the Loans are secured (directly or indirectly) by real estate located in Germany (</w:t>
      </w:r>
      <w:r>
        <w:rPr>
          <w:rFonts w:ascii="Arial" w:cs="Arial" w:eastAsia="Arial" w:hAnsi="Arial"/>
          <w:sz w:val="16"/>
          <w:szCs w:val="16"/>
          <w:i w:val="1"/>
          <w:iCs w:val="1"/>
          <w:color w:val="auto"/>
        </w:rPr>
        <w:t>inländischer Grundbesitz</w:t>
      </w:r>
      <w:r>
        <w:rPr>
          <w:rFonts w:ascii="Arial" w:cs="Arial" w:eastAsia="Arial" w:hAnsi="Arial"/>
          <w:sz w:val="16"/>
          <w:szCs w:val="16"/>
          <w:color w:val="auto"/>
        </w:rPr>
        <w:t>) or by German rights subject to the civil code provisions relating to real estate (</w:t>
      </w:r>
      <w:r>
        <w:rPr>
          <w:rFonts w:ascii="Arial" w:cs="Arial" w:eastAsia="Arial" w:hAnsi="Arial"/>
          <w:sz w:val="16"/>
          <w:szCs w:val="16"/>
          <w:i w:val="1"/>
          <w:iCs w:val="1"/>
          <w:color w:val="auto"/>
        </w:rPr>
        <w:t>inländische Rechte, die den Vorschriften des bürgerlichen Rechts über Grundstücke unterliegen</w:t>
      </w:r>
      <w:r>
        <w:rPr>
          <w:rFonts w:ascii="Arial" w:cs="Arial" w:eastAsia="Arial" w:hAnsi="Arial"/>
          <w:sz w:val="16"/>
          <w:szCs w:val="16"/>
          <w:color w:val="auto"/>
        </w:rPr>
        <w:t>) or ships which are registered in a German ship register and (h) any German withholding tax for which the relevant obligor is required by the relevant German tax office to make a Tax deduction on account of German Tax pursuant to Section 50a paragraph 7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or a comparable replacement regulation except that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7" w:name="page238"/>
    <w:bookmarkEnd w:id="237"/>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Facilities</w:t>
      </w:r>
      <w:r>
        <w:rPr>
          <w:rFonts w:ascii="Arial" w:cs="Arial" w:eastAsia="Arial" w:hAnsi="Arial"/>
          <w:sz w:val="17"/>
          <w:szCs w:val="17"/>
          <w:color w:val="auto"/>
        </w:rPr>
        <w:t>" means, collectively, (a) that certain Senior Secured Superpriority Debtor-in-Possession Credit Agreement, dated as of July 3, 2019 (as amended, restated, supplemented or otherwise modified prior to the date hereof), among WIL-Bermuda, Parent, WIL-Delaware, the financial institutions from time to time party thereto as lenders, the financial institutions from time to time party thereto as issuing banks and Citibank, N.A., as the administrative agent and the collateral agent and (b) that certain Amended and Restated Credit Agreement, dated as of May 9, 2016 (as amended, restated, supplemented or otherwise modified prior to the date hereof), among Parent, WIL-Bermuda, WOFS Assurance Limited, a Bermuda exempted company, the financial institutions from time to time party thereto as lenders, the financial institutions from time to time party thereto as issuing banks and JPMorgan Chase Bank, N.A., as the administrative agent.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Hedge Agreements</w:t>
      </w:r>
      <w:r>
        <w:rPr>
          <w:rFonts w:ascii="Arial" w:cs="Arial" w:eastAsia="Arial" w:hAnsi="Arial"/>
          <w:sz w:val="18"/>
          <w:szCs w:val="18"/>
          <w:color w:val="auto"/>
        </w:rPr>
        <w:t xml:space="preserve">" means those Hedge Agreements described on </w:t>
      </w:r>
      <w:r>
        <w:rPr>
          <w:rFonts w:ascii="Arial" w:cs="Arial" w:eastAsia="Arial" w:hAnsi="Arial"/>
          <w:sz w:val="18"/>
          <w:szCs w:val="18"/>
          <w:u w:val="single" w:color="auto"/>
          <w:color w:val="auto"/>
        </w:rPr>
        <w:t>Schedule E-2</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described on </w:t>
      </w:r>
      <w:r>
        <w:rPr>
          <w:rFonts w:ascii="Arial" w:cs="Arial" w:eastAsia="Arial" w:hAnsi="Arial"/>
          <w:sz w:val="18"/>
          <w:szCs w:val="18"/>
          <w:u w:val="single" w:color="auto"/>
          <w:color w:val="auto"/>
        </w:rPr>
        <w:t>Schedule E-3</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2.3(d)(iii)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Availability Amount</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FILO Availability Amount and (b) the Revolver Availability Amount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Loan</w:t>
      </w:r>
      <w:r>
        <w:rPr>
          <w:rFonts w:ascii="Arial" w:cs="Arial" w:eastAsia="Arial" w:hAnsi="Arial"/>
          <w:sz w:val="18"/>
          <w:szCs w:val="18"/>
          <w:color w:val="auto"/>
        </w:rPr>
        <w:t>" means any Revolving Loan or FILO Loan made (or to be made)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Loan Exposure</w:t>
      </w:r>
      <w:r>
        <w:rPr>
          <w:rFonts w:ascii="Arial" w:cs="Arial" w:eastAsia="Arial" w:hAnsi="Arial"/>
          <w:sz w:val="18"/>
          <w:szCs w:val="18"/>
          <w:color w:val="auto"/>
        </w:rPr>
        <w:t xml:space="preserve">" means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Revolving Loan Exposure and the FILO Loan Exposure.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8" w:name="page239"/>
    <w:bookmarkEnd w:id="238"/>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Facility Loans (inclusive of Swing Loans and Extraordinary Advances)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Letter of Credit Usage at such time.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and any fiscal or regulatory legislation or rules adopted pursuant to any Intergovernmental Agreement, as defined in Treasury Regulation Section 1.1471-1(b)(67), treaty or convention among Governmental Authorities and implementing such sections of the IRC.</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period, a fluctuating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the Agent Fee Letter and the Joint Fee Letter.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Availability Amount</w:t>
      </w:r>
      <w:r>
        <w:rPr>
          <w:rFonts w:ascii="Arial" w:cs="Arial" w:eastAsia="Arial" w:hAnsi="Arial"/>
          <w:sz w:val="18"/>
          <w:szCs w:val="18"/>
          <w:color w:val="auto"/>
        </w:rPr>
        <w:t xml:space="preserve">" means the FILO Subline Amount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FILO Usage.</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Borrowing Base</w:t>
      </w:r>
      <w:r>
        <w:rPr>
          <w:rFonts w:ascii="Arial" w:cs="Arial" w:eastAsia="Arial" w:hAnsi="Arial"/>
          <w:sz w:val="18"/>
          <w:szCs w:val="18"/>
          <w:color w:val="auto"/>
        </w:rPr>
        <w:t xml:space="preserve">" means an amount equal to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Joint FILO Borrowing Base, the German FILO Borrowing Base and the Swiss FILO Borrowing Base.</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FILO Commitment</w:t>
      </w:r>
      <w:r>
        <w:rPr>
          <w:rFonts w:ascii="Arial" w:cs="Arial" w:eastAsia="Arial" w:hAnsi="Arial"/>
          <w:sz w:val="17"/>
          <w:szCs w:val="17"/>
          <w:color w:val="auto"/>
        </w:rPr>
        <w:t xml:space="preserve">" means, with respect to each Lender, its FILO Commitment, and, with respect to all Lenders, their FILO Commitments, in each case as such Dollar amounts are set forth beside such Lender's name under the applicable heading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Lender</w:t>
      </w:r>
      <w:r>
        <w:rPr>
          <w:rFonts w:ascii="Arial" w:cs="Arial" w:eastAsia="Arial" w:hAnsi="Arial"/>
          <w:sz w:val="18"/>
          <w:szCs w:val="18"/>
          <w:color w:val="auto"/>
        </w:rPr>
        <w:t>" means a Lender that has FILO Loan Exposure or FILO Letter of Credit Exposure.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Letter of Credit Exposure</w:t>
      </w:r>
      <w:r>
        <w:rPr>
          <w:rFonts w:ascii="Arial" w:cs="Arial" w:eastAsia="Arial" w:hAnsi="Arial"/>
          <w:sz w:val="18"/>
          <w:szCs w:val="18"/>
          <w:color w:val="auto"/>
        </w:rPr>
        <w:t xml:space="preserve">" means, as of any date of determination with respect to any Lender, such Lender's participation in FILO Letter of Credit Usage pursuant to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on such date.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Letter of Credit Usage</w:t>
      </w:r>
      <w:r>
        <w:rPr>
          <w:rFonts w:ascii="Arial" w:cs="Arial" w:eastAsia="Arial" w:hAnsi="Arial"/>
          <w:sz w:val="18"/>
          <w:szCs w:val="18"/>
          <w:color w:val="auto"/>
        </w:rPr>
        <w:t xml:space="preserve">" means, at any time, all Letter of Credit Usage outstanding at such time, in an aggregate amount not to exceed </w:t>
      </w:r>
      <w:r>
        <w:rPr>
          <w:rFonts w:ascii="Arial" w:cs="Arial" w:eastAsia="Arial" w:hAnsi="Arial"/>
          <w:sz w:val="18"/>
          <w:szCs w:val="18"/>
          <w:i w:val="1"/>
          <w:iCs w:val="1"/>
          <w:color w:val="auto"/>
        </w:rPr>
        <w:t xml:space="preserve">the difference between </w:t>
      </w:r>
      <w:r>
        <w:rPr>
          <w:rFonts w:ascii="Arial" w:cs="Arial" w:eastAsia="Arial" w:hAnsi="Arial"/>
          <w:sz w:val="18"/>
          <w:szCs w:val="18"/>
          <w:color w:val="auto"/>
        </w:rPr>
        <w:t>the FILO Subline Amount at such time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outstanding FILO Loans at such time;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amount is</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 the FILO Letter of Credit Usage shall be $0.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39" w:name="page240"/>
    <w:bookmarkEnd w:id="23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Loan Base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Loan Exposure</w:t>
      </w:r>
      <w:r>
        <w:rPr>
          <w:rFonts w:ascii="Arial" w:cs="Arial" w:eastAsia="Arial" w:hAnsi="Arial"/>
          <w:sz w:val="18"/>
          <w:szCs w:val="18"/>
          <w:color w:val="auto"/>
        </w:rPr>
        <w:t>" means, with respect to any Lender, as of any date of determination (a) prior to the termination of the FILO Commitments, the amount of such Lender's FILO Commitment, and (b) after the termination of the FILO Commitments, the aggregate outstanding principal amount of the FILO Loans of such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Loan LIBOR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Loans</w:t>
      </w:r>
      <w:r>
        <w:rPr>
          <w:rFonts w:ascii="Arial" w:cs="Arial" w:eastAsia="Arial" w:hAnsi="Arial"/>
          <w:sz w:val="18"/>
          <w:szCs w:val="18"/>
          <w:color w:val="auto"/>
        </w:rPr>
        <w:t>" means Joint FILO Loans and/or German FILO Loans and/or Swiss FILO Loans (in each case including related Extraordinary Advances), as the context requires.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Specified Percentage</w:t>
      </w:r>
      <w:r>
        <w:rPr>
          <w:rFonts w:ascii="Arial" w:cs="Arial" w:eastAsia="Arial" w:hAnsi="Arial"/>
          <w:sz w:val="18"/>
          <w:szCs w:val="18"/>
          <w:color w:val="auto"/>
        </w:rPr>
        <w:t xml:space="preserve">" means initially 10%; </w:t>
      </w:r>
      <w:r>
        <w:rPr>
          <w:rFonts w:ascii="Arial" w:cs="Arial" w:eastAsia="Arial" w:hAnsi="Arial"/>
          <w:sz w:val="18"/>
          <w:szCs w:val="18"/>
          <w:u w:val="single" w:color="auto"/>
          <w:color w:val="auto"/>
        </w:rPr>
        <w:t>provided</w:t>
      </w:r>
      <w:r>
        <w:rPr>
          <w:rFonts w:ascii="Arial" w:cs="Arial" w:eastAsia="Arial" w:hAnsi="Arial"/>
          <w:sz w:val="18"/>
          <w:szCs w:val="18"/>
          <w:color w:val="auto"/>
        </w:rPr>
        <w:t>, that the Specified Percentage shall be permanently reduced by 0.005 on the last day of each Fiscal Quarter, commencing with the last day of the first full fiscal quarter after the Closing Date.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Subline Amount</w:t>
      </w:r>
      <w:r>
        <w:rPr>
          <w:rFonts w:ascii="Arial" w:cs="Arial" w:eastAsia="Arial" w:hAnsi="Arial"/>
          <w:sz w:val="18"/>
          <w:szCs w:val="18"/>
          <w:color w:val="auto"/>
        </w:rPr>
        <w:t xml:space="preserve">" means, as of any date of determination, an amount equal to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(i) the Maximum FILO Amount and (ii) the FILO Borrowing Base at such time.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FILO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FILO Loans,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FILO Letter of Credit Usage.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Parent, ending on the last day of each March, June, September and December.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Parent, ending on December 31 of each year.</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fiscal period and with respect to Parent and its Restricted Subsidiaries determined on a consolidated basis in accordance with GAAP, the sum, without duplication, of (a) the Interest Expense Add-Back (other than interest paid-in-kind and amortization of financing fees) during such period, (b) scheduled principal payments in respect of Indebtedness that are required to be paid during such period, and (c) the Income Tax Add-Back during such period. For purposes hereof, the components of Fixed Charges set forth above for any fiscal period prior to December 31, 2020 shall be calculated on an Annualized Basis.</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with respect to any fiscal period and with respect to Parent determined on a consolidated basis in accordance with GAAP, the ratio of (a) Consolidated Adjusted EBITDA for such period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Unfinanced Capital Expenditures made (to the extent not already incurred in a prior period) or incurred during such period, to (b) Fixed Charges for such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0" w:name="page241"/>
    <w:bookmarkEnd w:id="240"/>
    <w:p>
      <w:pPr>
        <w:jc w:val="both"/>
        <w:ind w:firstLine="1297"/>
        <w:spacing w:after="0" w:line="259" w:lineRule="auto"/>
        <w:rPr>
          <w:sz w:val="20"/>
          <w:szCs w:val="20"/>
          <w:color w:val="auto"/>
        </w:rPr>
      </w:pPr>
      <w:r>
        <w:rPr>
          <w:rFonts w:ascii="Arial" w:cs="Arial" w:eastAsia="Arial" w:hAnsi="Arial"/>
          <w:sz w:val="18"/>
          <w:szCs w:val="18"/>
          <w:color w:val="auto"/>
        </w:rPr>
        <w:t xml:space="preserve">For the purposes of calculating Fixed Charge Coverage Ratio for any Testing Period, if at any time during such Testing Period (and after the Closing Date), any Loan Party or any of its Subsidiaries shall have made a Permitted Acquisition, Fixed Charges and Unfinanced Capital Expenditures for such Testing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or in such other manner acceptable to Agent as if any such Permitted Acquisition occurred on the first day of such Testing Period.</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Flow of Funds Agreement</w:t>
      </w:r>
      <w:r>
        <w:rPr>
          <w:rFonts w:ascii="Arial" w:cs="Arial" w:eastAsia="Arial" w:hAnsi="Arial"/>
          <w:sz w:val="18"/>
          <w:szCs w:val="18"/>
          <w:color w:val="auto"/>
        </w:rPr>
        <w:t>" means a flow of funds agreement, dated as of even date with this Agreement, in form and substance reasonably satisfactory to Agent, executed and delivered by Borrowers and Agent.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Cash Dominion Reserve</w:t>
      </w:r>
      <w:r>
        <w:rPr>
          <w:rFonts w:ascii="Arial" w:cs="Arial" w:eastAsia="Arial" w:hAnsi="Arial"/>
          <w:sz w:val="18"/>
          <w:szCs w:val="18"/>
          <w:color w:val="auto"/>
        </w:rPr>
        <w:t xml:space="preserve">" means, as of any date of determination, those reserves that Agent deems necessary or appropriate, in its Permitted Discretion and subject to </w:t>
      </w:r>
      <w:r>
        <w:rPr>
          <w:rFonts w:ascii="Arial" w:cs="Arial" w:eastAsia="Arial" w:hAnsi="Arial"/>
          <w:sz w:val="18"/>
          <w:szCs w:val="18"/>
          <w:u w:val="single" w:color="auto"/>
          <w:color w:val="auto"/>
        </w:rPr>
        <w:t>Section 2.1(e)</w:t>
      </w:r>
      <w:r>
        <w:rPr>
          <w:rFonts w:ascii="Arial" w:cs="Arial" w:eastAsia="Arial" w:hAnsi="Arial"/>
          <w:sz w:val="18"/>
          <w:szCs w:val="18"/>
          <w:color w:val="auto"/>
        </w:rPr>
        <w:t>, to establish and maintain, in respect of (and in an amount not to exceed) the Required Excess Amount. Agent shall update the Foreign Cash Dominion Reserve promptly upon (but in no event later than one Business Day after) receipt of each applicable Foreign Jurisdiction Cash Certificate.</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Cash Equivalents</w:t>
      </w:r>
      <w:r>
        <w:rPr>
          <w:rFonts w:ascii="Arial" w:cs="Arial" w:eastAsia="Arial" w:hAnsi="Arial"/>
          <w:sz w:val="17"/>
          <w:szCs w:val="17"/>
          <w:color w:val="auto"/>
        </w:rPr>
        <w:t>" means (a) certificates of deposit, bankers' acceptances, or time deposits maturing within one year from the date of acquisition thereof, in each case payable in an Agreed Currency and issued by any bank organized under the laws of any Specified State and having at the date of acquisition thereof combined capital and surplus and undivided profits of not less than $500,000,000 (calculated at the then applicable Exchange Rate), (b) Deposit Accounts maintained with any bank that satisfies the criteria described in clause (a) above, and (c) Investments in money market funds substantially all of whose assets are invested in the types of assets described in clauses (a) through (b) above.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any Lender or Participant that is not a United States person within the meaning of IRC section 7701(a)(30).</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benefit plan or arrangement (a) maintained or contributed to by any Loan Party or any Restricted Subsidiary thereof that is not subject to the laws of the United States; or (b) mandated by a government other than the United States for employees of any Loan Party or any Restricted Subsidiary thereof, other than a Canadian Defined Benefit Plan.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any Loan Party that is not a Domestic Subsidiary.</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means, with respect to Parent and its Restricted Subsidiaries as of any date, the sum, without duplication, of (a) all Indebtedness of the type described in clauses (a), (b), (d) and (g)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 Restricted Subsidiary), other than any such Guarantee that is Subordinated.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1" w:name="page242"/>
    <w:bookmarkEnd w:id="24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which a Borrowing occurs.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2.12(b)(ii)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as in effect from time to time in the United States, consistently applied.</w:t>
      </w:r>
    </w:p>
    <w:p>
      <w:pPr>
        <w:spacing w:after="0" w:line="23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Availability Amount</w:t>
      </w:r>
      <w:r>
        <w:rPr>
          <w:rFonts w:ascii="Arial" w:cs="Arial" w:eastAsia="Arial" w:hAnsi="Arial"/>
          <w:sz w:val="18"/>
          <w:szCs w:val="18"/>
          <w:color w:val="auto"/>
        </w:rPr>
        <w:t xml:space="preserve">" means, as of any date of determination, an amount equal to (a)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(i) the German Sublimit and (ii) the German Borrowing Base at such time,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(b) the then outstanding German Usage;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German Availability Amount shall be further reduced by Joint Usage and/or Swiss Usage, as applicable, to the extent reasonably necessary to preserve the limitations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Agreement.</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Borrower</w:t>
      </w:r>
      <w:r>
        <w:rPr>
          <w:rFonts w:ascii="Arial" w:cs="Arial" w:eastAsia="Arial" w:hAnsi="Arial"/>
          <w:sz w:val="18"/>
          <w:szCs w:val="18"/>
          <w:color w:val="auto"/>
        </w:rPr>
        <w:t xml:space="preserve">" means, following satisfaction of the conditions set forth in </w:t>
      </w:r>
      <w:r>
        <w:rPr>
          <w:rFonts w:ascii="Arial" w:cs="Arial" w:eastAsia="Arial" w:hAnsi="Arial"/>
          <w:sz w:val="18"/>
          <w:szCs w:val="18"/>
          <w:u w:val="single" w:color="auto"/>
          <w:color w:val="auto"/>
        </w:rPr>
        <w:t>Schedule 3.1(a)</w:t>
      </w:r>
      <w:r>
        <w:rPr>
          <w:rFonts w:ascii="Arial" w:cs="Arial" w:eastAsia="Arial" w:hAnsi="Arial"/>
          <w:sz w:val="18"/>
          <w:szCs w:val="18"/>
          <w:color w:val="auto"/>
        </w:rPr>
        <w:t xml:space="preserve"> to this Agreement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Weatherford Oil Tool GmbH, a German private limited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Borrowing Base</w:t>
      </w:r>
      <w:r>
        <w:rPr>
          <w:rFonts w:ascii="Arial" w:cs="Arial" w:eastAsia="Arial" w:hAnsi="Arial"/>
          <w:sz w:val="18"/>
          <w:szCs w:val="18"/>
          <w:color w:val="auto"/>
        </w:rPr>
        <w:t>" means, as of any date of determination, the result of:</w:t>
      </w:r>
    </w:p>
    <w:p>
      <w:pPr>
        <w:spacing w:after="0" w:line="225" w:lineRule="exact"/>
        <w:rPr>
          <w:sz w:val="20"/>
          <w:szCs w:val="20"/>
          <w:color w:val="auto"/>
        </w:rPr>
      </w:pPr>
    </w:p>
    <w:p>
      <w:pPr>
        <w:ind w:firstLine="1305"/>
        <w:spacing w:after="0" w:line="277" w:lineRule="auto"/>
        <w:tabs>
          <w:tab w:leader="none" w:pos="238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90% of the Eligible Investment Grade Accounts of the German Borrower,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ind w:firstLine="1305"/>
        <w:spacing w:after="0" w:line="277" w:lineRule="auto"/>
        <w:tabs>
          <w:tab w:leader="none" w:pos="22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85% of the Eligible Accounts (excluding any Eligible Account included in the German Borrowing Base pursuant to clause (a) above) of the German Borrower,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ind w:firstLine="1953"/>
        <w:spacing w:after="0" w:line="277" w:lineRule="auto"/>
        <w:tabs>
          <w:tab w:leader="none" w:pos="289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80% of the amount of the Eligible Unbilled Accounts of the German Borrower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and</w:t>
      </w:r>
    </w:p>
    <w:p>
      <w:pPr>
        <w:spacing w:after="0" w:line="170" w:lineRule="exact"/>
        <w:rPr>
          <w:rFonts w:ascii="Arial" w:cs="Arial" w:eastAsia="Arial" w:hAnsi="Arial"/>
          <w:sz w:val="18"/>
          <w:szCs w:val="18"/>
          <w:color w:val="auto"/>
        </w:rPr>
      </w:pPr>
    </w:p>
    <w:p>
      <w:pPr>
        <w:ind w:left="3060" w:hanging="1107"/>
        <w:spacing w:after="0"/>
        <w:tabs>
          <w:tab w:leader="none" w:pos="30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amount equal to 10% of the German Borrowing Base (calculated without giving effect to this clause (c)(ii)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clause (d)(ii) below), </w:t>
      </w:r>
      <w:r>
        <w:rPr>
          <w:rFonts w:ascii="Arial" w:cs="Arial" w:eastAsia="Arial" w:hAnsi="Arial"/>
          <w:sz w:val="18"/>
          <w:szCs w:val="18"/>
          <w:i w:val="1"/>
          <w:iCs w:val="1"/>
          <w:u w:val="single" w:color="auto"/>
          <w:color w:val="auto"/>
        </w:rPr>
        <w:t>plus</w:t>
      </w:r>
    </w:p>
    <w:p>
      <w:pPr>
        <w:spacing w:after="0" w:line="210" w:lineRule="exact"/>
        <w:rPr>
          <w:rFonts w:ascii="Arial" w:cs="Arial" w:eastAsia="Arial" w:hAnsi="Arial"/>
          <w:sz w:val="17"/>
          <w:szCs w:val="17"/>
          <w:color w:val="auto"/>
        </w:rPr>
      </w:pPr>
    </w:p>
    <w:p>
      <w:pPr>
        <w:ind w:left="2180" w:hanging="875"/>
        <w:spacing w:after="0"/>
        <w:tabs>
          <w:tab w:leader="none" w:pos="218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jc w:val="both"/>
        <w:ind w:firstLine="1953"/>
        <w:spacing w:after="0" w:line="293" w:lineRule="auto"/>
        <w:tabs>
          <w:tab w:leader="none" w:pos="3082" w:val="left"/>
        </w:tabs>
        <w:numPr>
          <w:ilvl w:val="1"/>
          <w:numId w:val="267"/>
        </w:numPr>
        <w:rPr>
          <w:rFonts w:ascii="Arial" w:cs="Arial" w:eastAsia="Arial" w:hAnsi="Arial"/>
          <w:sz w:val="16"/>
          <w:szCs w:val="16"/>
          <w:color w:val="auto"/>
        </w:rPr>
      </w:pPr>
      <w:r>
        <w:rPr>
          <w:rFonts w:ascii="Arial" w:cs="Arial" w:eastAsia="Arial" w:hAnsi="Arial"/>
          <w:sz w:val="16"/>
          <w:szCs w:val="16"/>
          <w:i w:val="1"/>
          <w:iCs w:val="1"/>
          <w:color w:val="auto"/>
        </w:rPr>
        <w:t xml:space="preserve">the lesser of </w:t>
      </w:r>
      <w:r>
        <w:rPr>
          <w:rFonts w:ascii="Arial" w:cs="Arial" w:eastAsia="Arial" w:hAnsi="Arial"/>
          <w:sz w:val="16"/>
          <w:szCs w:val="16"/>
          <w:color w:val="auto"/>
        </w:rPr>
        <w:t>(A) the product of 70%</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multiplied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(calculated at the lower of cost or market on a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the German Borrower's historical accounting practices) of Eligible Finished Goods Inventory and Eligible Work-in-Process Inventory at such time, and (B) the product of 85%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Net Recovery Percentage identified in the most recent Acceptable Appraisal of Inventory,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value (calculated at the lower of cost or market on a basis consistent with the German Borrower's historical accounting practices) of Eligible Finished Goods Inventory and Eligible Work-in-Process Inventory (such determination may be made as to different categories of Eligible Finished Goods Inventory and Eligible Work-in-Process Inventory based upon the Net Recovery Percentage applicable to such categories) at such time,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2" w:name="page243"/>
    <w:bookmarkEnd w:id="242"/>
    <w:p>
      <w:pPr>
        <w:ind w:left="3080" w:hanging="1127"/>
        <w:spacing w:after="0"/>
        <w:tabs>
          <w:tab w:leader="none" w:pos="308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amount equal to 25% of the German Borrowing Base (calculated without giving effect to this clause (d)(ii)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clause (c)(ii) above), </w:t>
      </w:r>
      <w:r>
        <w:rPr>
          <w:rFonts w:ascii="Arial" w:cs="Arial" w:eastAsia="Arial" w:hAnsi="Arial"/>
          <w:sz w:val="18"/>
          <w:szCs w:val="18"/>
          <w:i w:val="1"/>
          <w:iCs w:val="1"/>
          <w:u w:val="single" w:color="auto"/>
          <w:color w:val="auto"/>
        </w:rPr>
        <w:t>minus</w:t>
      </w:r>
    </w:p>
    <w:p>
      <w:pPr>
        <w:spacing w:after="0" w:line="210" w:lineRule="exact"/>
        <w:rPr>
          <w:rFonts w:ascii="Arial" w:cs="Arial" w:eastAsia="Arial" w:hAnsi="Arial"/>
          <w:sz w:val="16"/>
          <w:szCs w:val="16"/>
          <w:color w:val="auto"/>
        </w:rPr>
      </w:pPr>
    </w:p>
    <w:p>
      <w:pPr>
        <w:ind w:left="2180" w:hanging="875"/>
        <w:spacing w:after="0"/>
        <w:tabs>
          <w:tab w:leader="none" w:pos="21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aggregate amount of the Reserves, if any, established by Agent from time to time under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of this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Commitment</w:t>
      </w:r>
      <w:r>
        <w:rPr>
          <w:rFonts w:ascii="Arial" w:cs="Arial" w:eastAsia="Arial" w:hAnsi="Arial"/>
          <w:sz w:val="18"/>
          <w:szCs w:val="18"/>
          <w:color w:val="auto"/>
        </w:rPr>
        <w:t>" means the German Revolver Commitment or the German FILO Commitment, as the context requires.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Designated Account</w:t>
      </w:r>
      <w:r>
        <w:rPr>
          <w:rFonts w:ascii="Arial" w:cs="Arial" w:eastAsia="Arial" w:hAnsi="Arial"/>
          <w:sz w:val="18"/>
          <w:szCs w:val="18"/>
          <w:color w:val="auto"/>
        </w:rPr>
        <w:t xml:space="preserve">" means the Deposit Account of the German Borrower identified on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this Agreement (or such other Deposit Account of the German Borrower located at Designated Account Bank that has been designated as such, in writing, by the German Borrower to Agent).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FILO Borrowing Base</w:t>
      </w:r>
      <w:r>
        <w:rPr>
          <w:rFonts w:ascii="Arial" w:cs="Arial" w:eastAsia="Arial" w:hAnsi="Arial"/>
          <w:sz w:val="18"/>
          <w:szCs w:val="18"/>
          <w:color w:val="auto"/>
        </w:rPr>
        <w:t xml:space="preserve">" means an amount equal to the FILO Specified Percentage </w:t>
      </w:r>
      <w:r>
        <w:rPr>
          <w:rFonts w:ascii="Arial" w:cs="Arial" w:eastAsia="Arial" w:hAnsi="Arial"/>
          <w:sz w:val="18"/>
          <w:szCs w:val="18"/>
          <w:i w:val="1"/>
          <w:iCs w:val="1"/>
          <w:u w:val="single" w:color="auto"/>
          <w:color w:val="auto"/>
        </w:rPr>
        <w:t>multiplied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value of each of the asset categories in clauses (a), (b), (c) and (d) of the definition of German Borrowing Base.</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FILO Commitment</w:t>
      </w:r>
      <w:r>
        <w:rPr>
          <w:rFonts w:ascii="Arial" w:cs="Arial" w:eastAsia="Arial" w:hAnsi="Arial"/>
          <w:sz w:val="17"/>
          <w:szCs w:val="17"/>
          <w:color w:val="auto"/>
        </w:rPr>
        <w:t xml:space="preserve">" means, with respect to each Lender, its FILO Commitment, and, with respect to all Lenders, their FILO Commitments, in each case as such Dollar amounts are set forth beside such Lender's name under the applicable heading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 and as such amounts may be decreased by the amount of reductions in the FILO Commitments made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hereof.</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FILO Lender</w:t>
      </w:r>
      <w:r>
        <w:rPr>
          <w:rFonts w:ascii="Arial" w:cs="Arial" w:eastAsia="Arial" w:hAnsi="Arial"/>
          <w:sz w:val="18"/>
          <w:szCs w:val="18"/>
          <w:color w:val="auto"/>
        </w:rPr>
        <w:t>" means a Lender that has a German FILO Commitment, an outstanding German FILO Loan or participations in respect of German Letter of Credit Usage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FILO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FILO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German FILO Loans,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German Letter of Credit Usage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Lender</w:t>
      </w:r>
      <w:r>
        <w:rPr>
          <w:rFonts w:ascii="Arial" w:cs="Arial" w:eastAsia="Arial" w:hAnsi="Arial"/>
          <w:sz w:val="16"/>
          <w:szCs w:val="16"/>
          <w:color w:val="auto"/>
        </w:rPr>
        <w:t>" means a Lender with a German Commitment or holding outstanding German Usage or participations in respect thereof.</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Letter of Credit</w:t>
      </w:r>
      <w:r>
        <w:rPr>
          <w:rFonts w:ascii="Arial" w:cs="Arial" w:eastAsia="Arial" w:hAnsi="Arial"/>
          <w:sz w:val="16"/>
          <w:szCs w:val="16"/>
          <w:color w:val="auto"/>
        </w:rPr>
        <w:t>" means a letter of credit issued for the account of the German Borrower pursuant to the terms of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Issuing Bank.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3" w:name="page244"/>
    <w:bookmarkEnd w:id="243"/>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Letter of Credit Usage</w:t>
      </w:r>
      <w:r>
        <w:rPr>
          <w:rFonts w:ascii="Arial" w:cs="Arial" w:eastAsia="Arial" w:hAnsi="Arial"/>
          <w:sz w:val="16"/>
          <w:szCs w:val="16"/>
          <w:color w:val="auto"/>
        </w:rPr>
        <w:t>" means, as of any date of determination, the aggregate undrawn amount of all outstanding German Letters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Credit.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Loans</w:t>
      </w:r>
      <w:r>
        <w:rPr>
          <w:rFonts w:ascii="Arial" w:cs="Arial" w:eastAsia="Arial" w:hAnsi="Arial"/>
          <w:sz w:val="18"/>
          <w:szCs w:val="18"/>
          <w:color w:val="auto"/>
        </w:rPr>
        <w:t>" means German FILO Loans and German Revolving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Obligations</w:t>
      </w:r>
      <w:r>
        <w:rPr>
          <w:rFonts w:ascii="Arial" w:cs="Arial" w:eastAsia="Arial" w:hAnsi="Arial"/>
          <w:sz w:val="18"/>
          <w:szCs w:val="18"/>
          <w:color w:val="auto"/>
        </w:rPr>
        <w:t>" means the collective Obligations of the German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Revolver Commitment</w:t>
      </w:r>
      <w:r>
        <w:rPr>
          <w:rFonts w:ascii="Arial" w:cs="Arial" w:eastAsia="Arial" w:hAnsi="Arial"/>
          <w:sz w:val="18"/>
          <w:szCs w:val="18"/>
          <w:color w:val="auto"/>
        </w:rPr>
        <w:t xml:space="preserve">" means, with respect to each Lender, its Revolver Commitment, and, with respect to all Lenders, the aggregate amount of all Revolver Commitments of all German Lenders, in each case as such Dollar amounts are set forth beside such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and as such amounts may be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hereof.</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Revolver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German Revolving Loans (inclusive of German Swing Loans and German Protective Advances),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German Letter of Credit Usage not predicated on the FILO Subline Amount.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Revolving Lender</w:t>
      </w:r>
      <w:r>
        <w:rPr>
          <w:rFonts w:ascii="Arial" w:cs="Arial" w:eastAsia="Arial" w:hAnsi="Arial"/>
          <w:sz w:val="18"/>
          <w:szCs w:val="18"/>
          <w:color w:val="auto"/>
        </w:rPr>
        <w:t>" means a Lender that has a German Revolver Commitment, an outstanding German Revolving Loan or participations in respect of German Letter of Credit Usage not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Sublimit</w:t>
      </w:r>
      <w:r>
        <w:rPr>
          <w:rFonts w:ascii="Arial" w:cs="Arial" w:eastAsia="Arial" w:hAnsi="Arial"/>
          <w:sz w:val="18"/>
          <w:szCs w:val="18"/>
          <w:color w:val="auto"/>
        </w:rPr>
        <w:t>" means $10,000,000.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German Swing Loan</w:t>
      </w:r>
      <w:r>
        <w:rPr>
          <w:rFonts w:ascii="Arial" w:cs="Arial" w:eastAsia="Arial" w:hAnsi="Arial"/>
          <w:sz w:val="18"/>
          <w:szCs w:val="18"/>
          <w:color w:val="auto"/>
        </w:rPr>
        <w:t>" and "</w:t>
      </w:r>
      <w:r>
        <w:rPr>
          <w:rFonts w:ascii="Arial" w:cs="Arial" w:eastAsia="Arial" w:hAnsi="Arial"/>
          <w:sz w:val="18"/>
          <w:szCs w:val="18"/>
          <w:u w:val="single" w:color="auto"/>
          <w:color w:val="auto"/>
        </w:rPr>
        <w:t>German Swing Loans</w:t>
      </w:r>
      <w:r>
        <w:rPr>
          <w:rFonts w:ascii="Arial" w:cs="Arial" w:eastAsia="Arial" w:hAnsi="Arial"/>
          <w:sz w:val="18"/>
          <w:szCs w:val="18"/>
          <w:color w:val="auto"/>
        </w:rPr>
        <w:t xml:space="preserve">" have the meanings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Usage</w:t>
      </w:r>
      <w:r>
        <w:rPr>
          <w:rFonts w:ascii="Arial" w:cs="Arial" w:eastAsia="Arial" w:hAnsi="Arial"/>
          <w:sz w:val="16"/>
          <w:szCs w:val="16"/>
          <w:color w:val="auto"/>
        </w:rPr>
        <w:t xml:space="preserve">" means, as of any date of determination,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German FILO Usage,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German Revolver Usage.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Cash Account Carve Out</w:t>
      </w:r>
      <w:r>
        <w:rPr>
          <w:rFonts w:ascii="Arial" w:cs="Arial" w:eastAsia="Arial" w:hAnsi="Arial"/>
          <w:sz w:val="18"/>
          <w:szCs w:val="18"/>
          <w:color w:val="auto"/>
        </w:rPr>
        <w:t>" has the meaning specified therefor in the definition of Excluded Account.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with respect to any Person, the certificate or articles of incorporation, deed of incorporation, articles of association, by-laws, or other organizational documents (including foreign equivalents) of such Person.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4" w:name="page245"/>
    <w:bookmarkEnd w:id="244"/>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7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(a) each Person that guaranties all or a portion of the Obligations, including Parent and any Person that is a "Guarantor" under the Domestic Guaranty Agreement, and (b) each other Person that becomes a guarantor after the Closing Date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this Agreement. The Guarantors as of the Closing Date are set forth on </w:t>
      </w:r>
      <w:r>
        <w:rPr>
          <w:rFonts w:ascii="Arial" w:cs="Arial" w:eastAsia="Arial" w:hAnsi="Arial"/>
          <w:sz w:val="18"/>
          <w:szCs w:val="18"/>
          <w:u w:val="single" w:color="auto"/>
          <w:color w:val="auto"/>
        </w:rPr>
        <w:t>Schedule G-1</w:t>
      </w:r>
      <w:r>
        <w:rPr>
          <w:rFonts w:ascii="Arial" w:cs="Arial" w:eastAsia="Arial" w:hAnsi="Arial"/>
          <w:sz w:val="18"/>
          <w:szCs w:val="18"/>
          <w:color w:val="auto"/>
        </w:rPr>
        <w:t xml:space="preserve"> to this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Agreements</w:t>
      </w:r>
      <w:r>
        <w:rPr>
          <w:rFonts w:ascii="Arial" w:cs="Arial" w:eastAsia="Arial" w:hAnsi="Arial"/>
          <w:sz w:val="18"/>
          <w:szCs w:val="18"/>
          <w:color w:val="auto"/>
        </w:rPr>
        <w:t>" means, collectively, (a) the Affiliate Guaranty and (b) any other guaranty agreement in form and substance reasonably satisfactory to Agent in favor of Agent, for the benefit of the Lender Group and the Bank Product Providers, in any such case, pursuant to which any Person guarantees the Obligations.</w:t>
      </w:r>
    </w:p>
    <w:p>
      <w:pPr>
        <w:spacing w:after="0" w:line="18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w:t>
      </w:r>
    </w:p>
    <w:p>
      <w:pPr>
        <w:jc w:val="both"/>
        <w:ind w:firstLine="8"/>
        <w:spacing w:after="0" w:line="281" w:lineRule="auto"/>
        <w:tabs>
          <w:tab w:leader="none" w:pos="25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oil, petroleum, or petroleum derived substances, natural gas, natural gas liquids, synthetic gas, drilling fluids, produced waters, and other wastes associated with the exploration, development, or production of crude oil, natural gas, or geothermal resources, (c) explosives or any radioactive materials, and</w:t>
      </w:r>
    </w:p>
    <w:p>
      <w:pPr>
        <w:spacing w:after="0" w:line="1" w:lineRule="exact"/>
        <w:rPr>
          <w:rFonts w:ascii="Arial" w:cs="Arial" w:eastAsia="Arial" w:hAnsi="Arial"/>
          <w:sz w:val="16"/>
          <w:szCs w:val="16"/>
          <w:color w:val="auto"/>
        </w:rPr>
      </w:pPr>
    </w:p>
    <w:p>
      <w:pPr>
        <w:ind w:firstLine="8"/>
        <w:spacing w:after="0" w:line="261" w:lineRule="auto"/>
        <w:tabs>
          <w:tab w:leader="none" w:pos="25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asbestos in any form or electrical equipment that contains any oil or dielectric fluid containing levels of polychlorinated biphenyls in excess of 50 parts per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5" w:name="page246"/>
    <w:bookmarkEnd w:id="245"/>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"swap agreement" as that term is defined in Section 101(53B)(A) of the Bankruptcy Code. Notwithstanding anything to the contrary set forth herein, Angolan Bond Investments shall be deemed to be Hedge Agreements.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Obligations</w:t>
      </w:r>
      <w:r>
        <w:rPr>
          <w:rFonts w:ascii="Arial" w:cs="Arial" w:eastAsia="Arial" w:hAnsi="Arial"/>
          <w:sz w:val="17"/>
          <w:szCs w:val="17"/>
          <w:color w:val="auto"/>
        </w:rPr>
        <w:t>" means any and all obligations or liabilities, whether absolute or contingent, due or to become due, now existing or hereafter arising, of each Loan Party and its Restricted Subsidiaries arising under, owing pursuant to, or existing in respect of Hedge Agreements entered into with one or more of the Hedge Providers, including, without limitation, obligations or liabilities in respect of Existing Hedge Agreements.</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Provider</w:t>
      </w:r>
      <w:r>
        <w:rPr>
          <w:rFonts w:ascii="Arial" w:cs="Arial" w:eastAsia="Arial" w:hAnsi="Arial"/>
          <w:sz w:val="18"/>
          <w:szCs w:val="18"/>
          <w:color w:val="auto"/>
        </w:rPr>
        <w:t xml:space="preserve">" means any Bank Product Provider that is a party to a Hedge Agreement with a Loan Party or its Restricted Subsidiaries or otherwise provides Bank Products under clause (f) of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a Lender ceases to be a Lender under this Agreement (prior to the payment in full of the Obligations),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Hostile Acquisition</w:t>
      </w:r>
      <w:r>
        <w:rPr>
          <w:rFonts w:ascii="Arial" w:cs="Arial" w:eastAsia="Arial" w:hAnsi="Arial"/>
          <w:sz w:val="16"/>
          <w:szCs w:val="16"/>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Add-Back</w:t>
      </w:r>
      <w:r>
        <w:rPr>
          <w:rFonts w:ascii="Arial" w:cs="Arial" w:eastAsia="Arial" w:hAnsi="Arial"/>
          <w:sz w:val="18"/>
          <w:szCs w:val="18"/>
          <w:color w:val="auto"/>
        </w:rPr>
        <w:t>" has the meaning set forth in the defined term for Consolidated Adjusted EBITDA.</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Event</w:t>
      </w:r>
      <w:r>
        <w:rPr>
          <w:rFonts w:ascii="Arial" w:cs="Arial" w:eastAsia="Arial" w:hAnsi="Arial"/>
          <w:sz w:val="18"/>
          <w:szCs w:val="18"/>
          <w:color w:val="auto"/>
        </w:rPr>
        <w:t xml:space="preserve">" means if at any time (a) a Specified Event of Default exists or (b) Excess Availability is less than </w:t>
      </w:r>
      <w:r>
        <w:rPr>
          <w:rFonts w:ascii="Arial" w:cs="Arial" w:eastAsia="Arial" w:hAnsi="Arial"/>
          <w:sz w:val="18"/>
          <w:szCs w:val="18"/>
          <w:i w:val="1"/>
          <w:iCs w:val="1"/>
          <w:color w:val="auto"/>
        </w:rPr>
        <w:t>the greater of</w:t>
      </w:r>
      <w:r>
        <w:rPr>
          <w:rFonts w:ascii="Arial" w:cs="Arial" w:eastAsia="Arial" w:hAnsi="Arial"/>
          <w:sz w:val="18"/>
          <w:szCs w:val="18"/>
          <w:color w:val="auto"/>
        </w:rPr>
        <w:t xml:space="preserve"> (i) 20% of the Line Cap and (ii) $67,500,000 for a period of 5 consecutive Business Days.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Period</w:t>
      </w:r>
      <w:r>
        <w:rPr>
          <w:rFonts w:ascii="Arial" w:cs="Arial" w:eastAsia="Arial" w:hAnsi="Arial"/>
          <w:sz w:val="18"/>
          <w:szCs w:val="18"/>
          <w:color w:val="auto"/>
        </w:rPr>
        <w:t>" means the period commencing after the continuance of an Increased Reporting Event and continuing until the date when no Increased Reporting Event has occurred for 30 consecutive days.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Equity Interests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6" w:name="page247"/>
    <w:bookmarkEnd w:id="24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any Taxes, other than Excluded Taxes, imposed on or with respect to any payment made by or on account of any obligation of any Loan Party under any Loan Document, and (b) to the extent not otherwise described in the foregoing clause (a), Other Taxes.</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Jurisdiction</w:t>
      </w:r>
      <w:r>
        <w:rPr>
          <w:rFonts w:ascii="Arial" w:cs="Arial" w:eastAsia="Arial" w:hAnsi="Arial"/>
          <w:sz w:val="18"/>
          <w:szCs w:val="18"/>
          <w:color w:val="auto"/>
        </w:rPr>
        <w:t xml:space="preserve">" means the countries of Albania, Angola, Congo, Egypt, Gabon, and Nigeria;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Agent and the Administrative Borrower, by mutual written agreement, may re-categorize any country between the definitions of "Ineligible Jurisdiction" and "Eligible Jurisdiction".</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Laws</w:t>
      </w:r>
      <w:r>
        <w:rPr>
          <w:rFonts w:ascii="Arial" w:cs="Arial" w:eastAsia="Arial" w:hAnsi="Arial"/>
          <w:sz w:val="18"/>
          <w:szCs w:val="18"/>
          <w:color w:val="auto"/>
        </w:rPr>
        <w:t xml:space="preserve">" means (i) the Bankruptcy Code, (ii)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xml:space="preserve"> (Canada), (iii) the </w:t>
      </w:r>
      <w:r>
        <w:rPr>
          <w:rFonts w:ascii="Arial" w:cs="Arial" w:eastAsia="Arial" w:hAnsi="Arial"/>
          <w:sz w:val="18"/>
          <w:szCs w:val="18"/>
          <w:i w:val="1"/>
          <w:iCs w:val="1"/>
          <w:color w:val="auto"/>
        </w:rPr>
        <w:t>Companies' Creditors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Act </w:t>
      </w:r>
      <w:r>
        <w:rPr>
          <w:rFonts w:ascii="Arial" w:cs="Arial" w:eastAsia="Arial" w:hAnsi="Arial"/>
          <w:sz w:val="18"/>
          <w:szCs w:val="18"/>
          <w:color w:val="auto"/>
        </w:rPr>
        <w:t>(Canada), (iv) the</w:t>
      </w:r>
      <w:r>
        <w:rPr>
          <w:rFonts w:ascii="Arial" w:cs="Arial" w:eastAsia="Arial" w:hAnsi="Arial"/>
          <w:sz w:val="18"/>
          <w:szCs w:val="18"/>
          <w:i w:val="1"/>
          <w:iCs w:val="1"/>
          <w:color w:val="auto"/>
        </w:rPr>
        <w:t xml:space="preserve"> Winding-Up and Restructuring Act </w:t>
      </w:r>
      <w:r>
        <w:rPr>
          <w:rFonts w:ascii="Arial" w:cs="Arial" w:eastAsia="Arial" w:hAnsi="Arial"/>
          <w:sz w:val="18"/>
          <w:szCs w:val="18"/>
          <w:color w:val="auto"/>
        </w:rPr>
        <w:t>(Canada), (v) the</w:t>
      </w:r>
      <w:r>
        <w:rPr>
          <w:rFonts w:ascii="Arial" w:cs="Arial" w:eastAsia="Arial" w:hAnsi="Arial"/>
          <w:sz w:val="18"/>
          <w:szCs w:val="18"/>
          <w:i w:val="1"/>
          <w:iCs w:val="1"/>
          <w:color w:val="auto"/>
        </w:rPr>
        <w:t xml:space="preserve"> Canada Business Corporations Act </w:t>
      </w:r>
      <w:r>
        <w:rPr>
          <w:rFonts w:ascii="Arial" w:cs="Arial" w:eastAsia="Arial" w:hAnsi="Arial"/>
          <w:sz w:val="18"/>
          <w:szCs w:val="18"/>
          <w:color w:val="auto"/>
        </w:rPr>
        <w:t>(Canada) where such statute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a Person to propose an arrangement, (vi) the German Insolvency Act (</w:t>
      </w:r>
      <w:r>
        <w:rPr>
          <w:rFonts w:ascii="Arial" w:cs="Arial" w:eastAsia="Arial" w:hAnsi="Arial"/>
          <w:sz w:val="18"/>
          <w:szCs w:val="18"/>
          <w:i w:val="1"/>
          <w:iCs w:val="1"/>
          <w:color w:val="auto"/>
        </w:rPr>
        <w:t>Insolvenzordnung</w:t>
      </w:r>
      <w:r>
        <w:rPr>
          <w:rFonts w:ascii="Arial" w:cs="Arial" w:eastAsia="Arial" w:hAnsi="Arial"/>
          <w:sz w:val="18"/>
          <w:szCs w:val="18"/>
          <w:color w:val="auto"/>
        </w:rPr>
        <w:t>), (vii)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w:t>
      </w:r>
      <w:r>
        <w:rPr>
          <w:rFonts w:ascii="Arial" w:cs="Arial" w:eastAsia="Arial" w:hAnsi="Arial"/>
          <w:sz w:val="18"/>
          <w:szCs w:val="18"/>
          <w:i w:val="1"/>
          <w:iCs w:val="1"/>
          <w:color w:val="auto"/>
        </w:rPr>
        <w:t>Anordnung von Sicherungsmaßnahmen</w:t>
      </w:r>
      <w:r>
        <w:rPr>
          <w:rFonts w:ascii="Arial" w:cs="Arial" w:eastAsia="Arial" w:hAnsi="Arial"/>
          <w:sz w:val="18"/>
          <w:szCs w:val="18"/>
          <w:color w:val="auto"/>
        </w:rPr>
        <w:t>)), and/or (viii) any similar legislation in a relevant jurisdiction, in each case as applicable and as in effect from time to time.</w:t>
      </w:r>
    </w:p>
    <w:p>
      <w:pPr>
        <w:spacing w:after="0" w:line="18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Arial" w:cs="Arial" w:eastAsia="Arial" w:hAnsi="Arial"/>
          <w:sz w:val="17"/>
          <w:szCs w:val="17"/>
          <w:i w:val="1"/>
          <w:iCs w:val="1"/>
          <w:color w:val="auto"/>
        </w:rPr>
        <w:t>Invorderingswet 1990</w:t>
      </w:r>
      <w:r>
        <w:rPr>
          <w:rFonts w:ascii="Arial" w:cs="Arial" w:eastAsia="Arial" w:hAnsi="Arial"/>
          <w:sz w:val="17"/>
          <w:szCs w:val="17"/>
          <w:color w:val="auto"/>
        </w:rPr>
        <w:t>) or Section 60 of the Social Insurance Financing Act of the Netherlands (</w:t>
      </w:r>
      <w:r>
        <w:rPr>
          <w:rFonts w:ascii="Arial" w:cs="Arial" w:eastAsia="Arial" w:hAnsi="Arial"/>
          <w:sz w:val="17"/>
          <w:szCs w:val="17"/>
          <w:i w:val="1"/>
          <w:iCs w:val="1"/>
          <w:color w:val="auto"/>
        </w:rPr>
        <w:t>Wet Financiering Sociale Verzekeringen</w:t>
      </w:r>
      <w:r>
        <w:rPr>
          <w:rFonts w:ascii="Arial" w:cs="Arial" w:eastAsia="Arial" w:hAnsi="Arial"/>
          <w:sz w:val="17"/>
          <w:szCs w:val="17"/>
          <w:color w:val="auto"/>
        </w:rPr>
        <w:t>) in conjunction with Section 36 of the Tax Collection Act of the Netherlands (</w:t>
      </w:r>
      <w:r>
        <w:rPr>
          <w:rFonts w:ascii="Arial" w:cs="Arial" w:eastAsia="Arial" w:hAnsi="Arial"/>
          <w:sz w:val="17"/>
          <w:szCs w:val="17"/>
          <w:i w:val="1"/>
          <w:iCs w:val="1"/>
          <w:color w:val="auto"/>
        </w:rPr>
        <w:t>Invorderingswet 1990</w:t>
      </w:r>
      <w:r>
        <w:rPr>
          <w:rFonts w:ascii="Arial" w:cs="Arial" w:eastAsia="Arial" w:hAnsi="Arial"/>
          <w:sz w:val="17"/>
          <w:szCs w:val="17"/>
          <w:color w:val="auto"/>
        </w:rPr>
        <w:t>) .</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7" w:name="page248"/>
    <w:bookmarkEnd w:id="247"/>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Regulation</w:t>
      </w:r>
      <w:r>
        <w:rPr>
          <w:rFonts w:ascii="Arial" w:cs="Arial" w:eastAsia="Arial" w:hAnsi="Arial"/>
          <w:sz w:val="18"/>
          <w:szCs w:val="18"/>
          <w:color w:val="auto"/>
        </w:rPr>
        <w:t>" means Regulation (EU) 2015/848 of the European Parliament and of the Council of 20 May 2015 on insolvency proceedings (recast).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Domestic Security Agreement.</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means an intercompany subordination agreement, dated as of even date with this Agreement, executed and delivered by each Loan Party, the Subsidiaries party thereto and Agent, the form and substance of which is reasonably satisfactory to Agent.</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that certain Intercreditor Agreement, dated as of even date with this Agreement, among Agent, the L/C Facility Agent and each Loan Party.</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the aggregate of the interest expense of Parent for such period, determined on a consolidated basis in accordance with GAAP.</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 Add-Back</w:t>
      </w:r>
      <w:r>
        <w:rPr>
          <w:rFonts w:ascii="Arial" w:cs="Arial" w:eastAsia="Arial" w:hAnsi="Arial"/>
          <w:sz w:val="18"/>
          <w:szCs w:val="18"/>
          <w:color w:val="auto"/>
        </w:rPr>
        <w:t>" has the meaning set forth in the defined term for Consolidated Adjusted EBITDA.</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each LIBOR Rate Loan, a period commencing on the date of the making of such LIBOR Rate Loan (or the continuation of a LIBOR Rate Loan or the conversion of a Base Rate Loan to a LIBOR Rate Loan) and ending 1 week, 1 month, 3 months or 6 months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that (a) interest shall accrue at the applicable rate based upon the LIBOR Rate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month, 3 months or 6 months after the date on which the Interest Period began, as applicable, and (d) Borrowers may not elect an Interest Period which will end after the Maturity Date.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inventory (as that term is defined in the Code).</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 Reserves</w:t>
      </w:r>
      <w:r>
        <w:rPr>
          <w:rFonts w:ascii="Arial" w:cs="Arial" w:eastAsia="Arial" w:hAnsi="Arial"/>
          <w:sz w:val="16"/>
          <w:szCs w:val="16"/>
          <w:color w:val="auto"/>
        </w:rPr>
        <w:t xml:space="preserve">" means, as of any date of determination, (a) Landlord Reserves in respect of Inventory, and (b) those reserves that Agent deems necessary or appropriate, in its Permitted Discretion and subject to </w:t>
      </w:r>
      <w:r>
        <w:rPr>
          <w:rFonts w:ascii="Arial" w:cs="Arial" w:eastAsia="Arial" w:hAnsi="Arial"/>
          <w:sz w:val="16"/>
          <w:szCs w:val="16"/>
          <w:u w:val="single" w:color="auto"/>
          <w:color w:val="auto"/>
        </w:rPr>
        <w:t>Section 2.1(e)</w:t>
      </w:r>
      <w:r>
        <w:rPr>
          <w:rFonts w:ascii="Arial" w:cs="Arial" w:eastAsia="Arial" w:hAnsi="Arial"/>
          <w:sz w:val="16"/>
          <w:szCs w:val="16"/>
          <w:color w:val="auto"/>
        </w:rPr>
        <w:t>, to establish and maintain (including reserves for slow moving Inventory and Inventory shrinkage) with respect to Eligible Inventory or the Maximum Facility Amount, including based on the results of appraisals.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8" w:name="page249"/>
    <w:bookmarkEnd w:id="248"/>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any direct or indirect (a) purchase or other acquisition (including pursuant to any merger or consolidation with any Person) of any Equity Interests, evidences of Indebtedness or other securities of any other Person, (b) loan or advance made by such Person to any other Person, (c) Guarantee, assumption or other incurrence of liability by such Person of or for any Indebtedness of any other Person,</w:t>
      </w:r>
    </w:p>
    <w:p>
      <w:pPr>
        <w:ind w:right="20" w:firstLine="8"/>
        <w:spacing w:after="0" w:line="261" w:lineRule="auto"/>
        <w:tabs>
          <w:tab w:leader="none" w:pos="28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Internal Revenue Code of 1986, as in effect from time to time.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(International Chamber of Commerce Publication No. 590) and any version or revision thereof accepted by an Issuing Bank for use.</w:t>
      </w:r>
    </w:p>
    <w:p>
      <w:pPr>
        <w:spacing w:after="0" w:line="170"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w:t>
      </w:r>
      <w:r>
        <w:rPr>
          <w:rFonts w:ascii="Arial" w:cs="Arial" w:eastAsia="Arial" w:hAnsi="Arial"/>
          <w:sz w:val="17"/>
          <w:szCs w:val="17"/>
          <w:color w:val="auto"/>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spacing w:after="0" w:line="14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Wells Fargo, DBNY, Barclays or any other Lender that, at the request of Borrowers, agrees, in such Lender's sole discretion, to become an Issuing Bank for the purpose of issuing Letters of Credit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this Agreement, and Issuing Bank shall be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be required to issue Letters of Credit in an aggregate amount at any time outstanding which shall exceed such Issuing Bank's Commitment without its consent.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 Runners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Availability Amount</w:t>
      </w:r>
      <w:r>
        <w:rPr>
          <w:rFonts w:ascii="Arial" w:cs="Arial" w:eastAsia="Arial" w:hAnsi="Arial"/>
          <w:sz w:val="18"/>
          <w:szCs w:val="18"/>
          <w:color w:val="auto"/>
        </w:rPr>
        <w:t xml:space="preserve">" means, as of any date of determination, an amount equal to the Line Cap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(i) then outstanding Joint Usage, (ii) then outstanding German Usage, and (iii) then outstanding Swiss Usage.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Borrower Group</w:t>
      </w:r>
      <w:r>
        <w:rPr>
          <w:rFonts w:ascii="Arial" w:cs="Arial" w:eastAsia="Arial" w:hAnsi="Arial"/>
          <w:sz w:val="18"/>
          <w:szCs w:val="18"/>
          <w:color w:val="auto"/>
        </w:rPr>
        <w:t>" means any Borrower other than the German Borrower and the Swiss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Borrowing Base</w:t>
      </w:r>
      <w:r>
        <w:rPr>
          <w:rFonts w:ascii="Arial" w:cs="Arial" w:eastAsia="Arial" w:hAnsi="Arial"/>
          <w:sz w:val="18"/>
          <w:szCs w:val="18"/>
          <w:color w:val="auto"/>
        </w:rPr>
        <w:t>" means, as of any date of determination, the result of:</w:t>
      </w:r>
    </w:p>
    <w:p>
      <w:pPr>
        <w:spacing w:after="0" w:line="225" w:lineRule="exact"/>
        <w:rPr>
          <w:sz w:val="20"/>
          <w:szCs w:val="20"/>
          <w:color w:val="auto"/>
        </w:rPr>
      </w:pPr>
    </w:p>
    <w:p>
      <w:pPr>
        <w:ind w:right="20" w:firstLine="1305"/>
        <w:spacing w:after="0" w:line="277" w:lineRule="auto"/>
        <w:tabs>
          <w:tab w:leader="none" w:pos="223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90% of the Eligible Investment Grade Accounts of the Joint Borrowing Base Loan Parties other than the BVI Borrowing Base Loan Parties,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20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85% of the Eligible Accounts (excluding any Eligible Account included in the Borrowing Base pursuant to clause (a) above) of the Joint Borrowing Base Loan Parties other than the BVI Borrowing Base Loan Parties,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w:t>
      </w:r>
      <w:r>
        <w:rPr>
          <w:rFonts w:ascii="Arial" w:cs="Arial" w:eastAsia="Arial" w:hAnsi="Arial"/>
          <w:sz w:val="18"/>
          <w:szCs w:val="18"/>
          <w:i w:val="1"/>
          <w:iCs w:val="1"/>
          <w:u w:val="single" w:color="auto"/>
          <w:color w:val="auto"/>
        </w:rPr>
        <w:t>plus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9" w:name="page250"/>
    <w:bookmarkEnd w:id="249"/>
    <w:p>
      <w:pPr>
        <w:ind w:left="2180" w:hanging="875"/>
        <w:spacing w:after="0"/>
        <w:tabs>
          <w:tab w:leader="none" w:pos="218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ind w:right="20" w:firstLine="1953"/>
        <w:spacing w:after="0" w:line="277" w:lineRule="auto"/>
        <w:tabs>
          <w:tab w:leader="none" w:pos="300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80% of the amount of the Eligible Unbilled Accounts of the Joint Borrowing Base Loan Parties other than the BVI Borrowing Base Loan Parties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and</w:t>
      </w:r>
    </w:p>
    <w:p>
      <w:pPr>
        <w:spacing w:after="0" w:line="170" w:lineRule="exact"/>
        <w:rPr>
          <w:rFonts w:ascii="Arial" w:cs="Arial" w:eastAsia="Arial" w:hAnsi="Arial"/>
          <w:sz w:val="18"/>
          <w:szCs w:val="18"/>
          <w:color w:val="auto"/>
        </w:rPr>
      </w:pPr>
    </w:p>
    <w:p>
      <w:pPr>
        <w:ind w:left="2940" w:hanging="987"/>
        <w:spacing w:after="0"/>
        <w:tabs>
          <w:tab w:leader="none" w:pos="294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amount equal to 10% of the Joint Borrowing Base (calculated without giving effect to this clause (c)(ii) or clause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(e)(ii) or clause (f)(ii) below), </w:t>
      </w:r>
      <w:r>
        <w:rPr>
          <w:rFonts w:ascii="Arial" w:cs="Arial" w:eastAsia="Arial" w:hAnsi="Arial"/>
          <w:sz w:val="18"/>
          <w:szCs w:val="18"/>
          <w:i w:val="1"/>
          <w:iCs w:val="1"/>
          <w:u w:val="single" w:color="auto"/>
          <w:color w:val="auto"/>
        </w:rPr>
        <w:t>plus</w:t>
      </w:r>
    </w:p>
    <w:p>
      <w:pPr>
        <w:spacing w:after="0" w:line="210" w:lineRule="exact"/>
        <w:rPr>
          <w:rFonts w:ascii="Arial" w:cs="Arial" w:eastAsia="Arial" w:hAnsi="Arial"/>
          <w:sz w:val="16"/>
          <w:szCs w:val="16"/>
          <w:color w:val="auto"/>
        </w:rPr>
      </w:pPr>
    </w:p>
    <w:p>
      <w:pPr>
        <w:ind w:left="2180" w:hanging="875"/>
        <w:spacing w:after="0"/>
        <w:tabs>
          <w:tab w:leader="none" w:pos="218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the least of</w:t>
      </w:r>
    </w:p>
    <w:p>
      <w:pPr>
        <w:spacing w:after="0" w:line="225" w:lineRule="exact"/>
        <w:rPr>
          <w:rFonts w:ascii="Arial" w:cs="Arial" w:eastAsia="Arial" w:hAnsi="Arial"/>
          <w:sz w:val="18"/>
          <w:szCs w:val="18"/>
          <w:color w:val="auto"/>
        </w:rPr>
      </w:pPr>
    </w:p>
    <w:p>
      <w:pPr>
        <w:ind w:firstLine="1953"/>
        <w:spacing w:after="0" w:line="277" w:lineRule="auto"/>
        <w:tabs>
          <w:tab w:leader="none" w:pos="289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75% of the amount of the Eligible Accounts of the BVI Borrowing Base Loan Parties, aged less than 60 days past due </w:t>
      </w:r>
      <w:r>
        <w:rPr>
          <w:rFonts w:ascii="Arial" w:cs="Arial" w:eastAsia="Arial" w:hAnsi="Arial"/>
          <w:sz w:val="18"/>
          <w:szCs w:val="18"/>
          <w:i w:val="1"/>
          <w:iCs w:val="1"/>
          <w:u w:val="single" w:color="auto"/>
          <w:color w:val="auto"/>
        </w:rPr>
        <w:t>less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if any, of the Dilution Reserve applicable to such Accounts,</w:t>
      </w:r>
    </w:p>
    <w:p>
      <w:pPr>
        <w:spacing w:after="0" w:line="170" w:lineRule="exact"/>
        <w:rPr>
          <w:rFonts w:ascii="Arial" w:cs="Arial" w:eastAsia="Arial" w:hAnsi="Arial"/>
          <w:sz w:val="18"/>
          <w:szCs w:val="18"/>
          <w:color w:val="auto"/>
        </w:rPr>
      </w:pPr>
    </w:p>
    <w:p>
      <w:pPr>
        <w:ind w:left="2900" w:hanging="947"/>
        <w:spacing w:after="0"/>
        <w:tabs>
          <w:tab w:leader="none" w:pos="2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$40,000,000, and</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the amount equal to last 30 days of collections of the BVI Borrowing Base Loan Parties, </w:t>
      </w:r>
      <w:r>
        <w:rPr>
          <w:rFonts w:ascii="Arial" w:cs="Arial" w:eastAsia="Arial" w:hAnsi="Arial"/>
          <w:sz w:val="18"/>
          <w:szCs w:val="18"/>
          <w:i w:val="1"/>
          <w:iCs w:val="1"/>
          <w:u w:val="single" w:color="auto"/>
          <w:color w:val="auto"/>
        </w:rPr>
        <w:t>plus</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jc w:val="both"/>
        <w:ind w:firstLine="1953"/>
        <w:spacing w:after="0" w:line="272" w:lineRule="auto"/>
        <w:tabs>
          <w:tab w:leader="none" w:pos="3082" w:val="left"/>
        </w:tabs>
        <w:numPr>
          <w:ilvl w:val="1"/>
          <w:numId w:val="274"/>
        </w:numPr>
        <w:rPr>
          <w:rFonts w:ascii="Arial" w:cs="Arial" w:eastAsia="Arial" w:hAnsi="Arial"/>
          <w:sz w:val="17"/>
          <w:szCs w:val="17"/>
          <w:color w:val="auto"/>
        </w:rPr>
      </w:pPr>
      <w:r>
        <w:rPr>
          <w:rFonts w:ascii="Arial" w:cs="Arial" w:eastAsia="Arial" w:hAnsi="Arial"/>
          <w:sz w:val="17"/>
          <w:szCs w:val="17"/>
          <w:i w:val="1"/>
          <w:iCs w:val="1"/>
          <w:color w:val="auto"/>
        </w:rPr>
        <w:t xml:space="preserve">the lesser of </w:t>
      </w:r>
      <w:r>
        <w:rPr>
          <w:rFonts w:ascii="Arial" w:cs="Arial" w:eastAsia="Arial" w:hAnsi="Arial"/>
          <w:sz w:val="17"/>
          <w:szCs w:val="17"/>
          <w:color w:val="auto"/>
        </w:rPr>
        <w:t>(A) the product of 70%</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multiplied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value (calculated at the lower of cost or market on a basis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consistent with the Joint Borrowing Base Loan Parties' (other than the BVI Borrowing Base Loan Parties) historical accounting practices) of Eligible Finished Goods Inventory and Eligible Work-in-Process Inventory at such time, and (B) the product of 85% </w:t>
      </w:r>
      <w:r>
        <w:rPr>
          <w:rFonts w:ascii="Arial" w:cs="Arial" w:eastAsia="Arial" w:hAnsi="Arial"/>
          <w:sz w:val="17"/>
          <w:szCs w:val="17"/>
          <w:i w:val="1"/>
          <w:iCs w:val="1"/>
          <w:u w:val="single" w:color="auto"/>
          <w:color w:val="auto"/>
        </w:rPr>
        <w:t>multiplied by</w:t>
      </w:r>
      <w:r>
        <w:rPr>
          <w:rFonts w:ascii="Arial" w:cs="Arial" w:eastAsia="Arial" w:hAnsi="Arial"/>
          <w:sz w:val="17"/>
          <w:szCs w:val="17"/>
          <w:color w:val="auto"/>
        </w:rPr>
        <w:t xml:space="preserve"> the Net Recovery Percentage identified in the most recent Acceptable Appraisal of Inventory, </w:t>
      </w:r>
      <w:r>
        <w:rPr>
          <w:rFonts w:ascii="Arial" w:cs="Arial" w:eastAsia="Arial" w:hAnsi="Arial"/>
          <w:sz w:val="17"/>
          <w:szCs w:val="17"/>
          <w:i w:val="1"/>
          <w:iCs w:val="1"/>
          <w:u w:val="single" w:color="auto"/>
          <w:color w:val="auto"/>
        </w:rPr>
        <w:t>multiplied by</w:t>
      </w:r>
      <w:r>
        <w:rPr>
          <w:rFonts w:ascii="Arial" w:cs="Arial" w:eastAsia="Arial" w:hAnsi="Arial"/>
          <w:sz w:val="17"/>
          <w:szCs w:val="17"/>
          <w:color w:val="auto"/>
        </w:rPr>
        <w:t xml:space="preserve"> the value (calculated at the lower of cost or market on a basis consistent with the Joint Borrowing Base Loan Parties' (other than the BVI Borrowing Base Loan Parties) historical accounting practices) of Eligible Finished Goods Inventory and Eligible Work-in-Process Inventory (such determination may be made as to different categories of Eligible Finished Goods Inventory and Eligible Work-in-Process Inventory based upon the Net Recovery Percentage applicable to such categories) at such time, and</w:t>
      </w:r>
    </w:p>
    <w:p>
      <w:pPr>
        <w:spacing w:after="0" w:line="177" w:lineRule="exact"/>
        <w:rPr>
          <w:rFonts w:ascii="Arial" w:cs="Arial" w:eastAsia="Arial" w:hAnsi="Arial"/>
          <w:sz w:val="17"/>
          <w:szCs w:val="17"/>
          <w:color w:val="auto"/>
        </w:rPr>
      </w:pPr>
    </w:p>
    <w:p>
      <w:pPr>
        <w:ind w:firstLine="1953"/>
        <w:spacing w:after="0" w:line="277" w:lineRule="auto"/>
        <w:tabs>
          <w:tab w:leader="none" w:pos="29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the amount equal to 25% of the Joint Borrowing Base (calculated without giving effect to this clause (e)(ii) or clause (c)(ii) above or clause (f)(ii) below),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ind w:left="2200" w:hanging="895"/>
        <w:spacing w:after="0"/>
        <w:tabs>
          <w:tab w:leader="none" w:pos="220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jc w:val="both"/>
        <w:ind w:firstLine="1953"/>
        <w:spacing w:after="0" w:line="293" w:lineRule="auto"/>
        <w:tabs>
          <w:tab w:leader="none" w:pos="3082" w:val="left"/>
        </w:tabs>
        <w:numPr>
          <w:ilvl w:val="1"/>
          <w:numId w:val="274"/>
        </w:numPr>
        <w:rPr>
          <w:rFonts w:ascii="Arial" w:cs="Arial" w:eastAsia="Arial" w:hAnsi="Arial"/>
          <w:sz w:val="16"/>
          <w:szCs w:val="16"/>
          <w:color w:val="auto"/>
        </w:rPr>
      </w:pPr>
      <w:r>
        <w:rPr>
          <w:rFonts w:ascii="Arial" w:cs="Arial" w:eastAsia="Arial" w:hAnsi="Arial"/>
          <w:sz w:val="16"/>
          <w:szCs w:val="16"/>
          <w:i w:val="1"/>
          <w:iCs w:val="1"/>
          <w:color w:val="auto"/>
        </w:rPr>
        <w:t xml:space="preserve">the lesser of </w:t>
      </w:r>
      <w:r>
        <w:rPr>
          <w:rFonts w:ascii="Arial" w:cs="Arial" w:eastAsia="Arial" w:hAnsi="Arial"/>
          <w:sz w:val="16"/>
          <w:szCs w:val="16"/>
          <w:color w:val="auto"/>
        </w:rPr>
        <w:t>(A) the product of 65%</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multiplied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(calculated at the lower of cost or market on a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the Domestic Borrowing Base Loan Parties' and the Canadian Borrowing Base Loan Parties', as applicable, historical accounting practices) of Eligible Rental Tools at such time, and (B) the product of 85%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Net Recovery Percentage identified in the most recent Acceptable Appraisal of Rental Tools,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value (calculated at the lower of cost or market on a basis consistent with the Domestic Borrowing Base Loan Parties' and the Canadian Borrowing Base Loan Parties', as applicable, historical accounting practices) of Eligible Rental Tools (such determination may be made as to different categories of Eligible Rental Tools based upon the Net Recovery Percentage applicable to such categories) at such time,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0" w:name="page251"/>
    <w:bookmarkEnd w:id="250"/>
    <w:p>
      <w:pPr>
        <w:jc w:val="both"/>
        <w:ind w:firstLine="1953"/>
        <w:spacing w:after="0" w:line="259" w:lineRule="auto"/>
        <w:tabs>
          <w:tab w:leader="none" w:pos="291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the amount equal to 25% of the Joint Borrowing Base;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percentage set forth in this clause (f)(ii) shall be adjusted downward by 1% on the last day of each fiscal month after the Closing Date (commencing with the first fiscal month after the Closing Date), for fifteen such fiscal month end periods, until such percentage is equal to 10% (such percentage in any event calculated without giving effect to this clause (f)(ii) or clauses (c)(ii) and (e)(ii) above), </w:t>
      </w:r>
      <w:r>
        <w:rPr>
          <w:rFonts w:ascii="Arial" w:cs="Arial" w:eastAsia="Arial" w:hAnsi="Arial"/>
          <w:sz w:val="18"/>
          <w:szCs w:val="18"/>
          <w:i w:val="1"/>
          <w:iCs w:val="1"/>
          <w:u w:val="single" w:color="auto"/>
          <w:color w:val="auto"/>
        </w:rPr>
        <w:t>plus</w:t>
      </w:r>
    </w:p>
    <w:p>
      <w:pPr>
        <w:spacing w:after="0" w:line="186" w:lineRule="exact"/>
        <w:rPr>
          <w:rFonts w:ascii="Arial" w:cs="Arial" w:eastAsia="Arial" w:hAnsi="Arial"/>
          <w:sz w:val="18"/>
          <w:szCs w:val="18"/>
          <w:color w:val="auto"/>
        </w:rPr>
      </w:pPr>
    </w:p>
    <w:p>
      <w:pPr>
        <w:ind w:left="2180" w:hanging="875"/>
        <w:spacing w:after="0"/>
        <w:tabs>
          <w:tab w:leader="none" w:pos="2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at the option of Administrative Borrower, </w:t>
      </w: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jc w:val="both"/>
        <w:ind w:firstLine="1953"/>
        <w:spacing w:after="0" w:line="276" w:lineRule="auto"/>
        <w:tabs>
          <w:tab w:leader="none" w:pos="2847" w:val="left"/>
        </w:tabs>
        <w:numPr>
          <w:ilvl w:val="1"/>
          <w:numId w:val="276"/>
        </w:numPr>
        <w:rPr>
          <w:rFonts w:ascii="Arial" w:cs="Arial" w:eastAsia="Arial" w:hAnsi="Arial"/>
          <w:sz w:val="17"/>
          <w:szCs w:val="17"/>
          <w:color w:val="auto"/>
        </w:rPr>
      </w:pPr>
      <w:r>
        <w:rPr>
          <w:rFonts w:ascii="Arial" w:cs="Arial" w:eastAsia="Arial" w:hAnsi="Arial"/>
          <w:sz w:val="17"/>
          <w:szCs w:val="17"/>
          <w:color w:val="auto"/>
        </w:rPr>
        <w:t>100% of unrestricted cash of the Loan Parties held in one or more segregated restricted deposit accounts maintained in the United States with Agent, and in which Agent has a first priority perfected security interest and which is subject to a Control Agreement, which shall also provide that no Loan Party can withdraw funds from such deposit account (x) without providing prior written notice thereof to Agent together with an updated calculation of the amount of cash to be included in the Borrowing Base pursuant to this clause (g) after giving effect thereto or, (y) after the occurrence and during the continuance of a Default or Event of Default, without the consent of Agent, and</w:t>
      </w:r>
    </w:p>
    <w:p>
      <w:pPr>
        <w:spacing w:after="0" w:line="173" w:lineRule="exact"/>
        <w:rPr>
          <w:sz w:val="20"/>
          <w:szCs w:val="20"/>
          <w:color w:val="auto"/>
        </w:rPr>
      </w:pPr>
    </w:p>
    <w:p>
      <w:pPr>
        <w:ind w:left="2900" w:hanging="947"/>
        <w:spacing w:after="0"/>
        <w:tabs>
          <w:tab w:leader="none" w:pos="29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$50,000,000, </w:t>
      </w:r>
      <w:r>
        <w:rPr>
          <w:rFonts w:ascii="Arial" w:cs="Arial" w:eastAsia="Arial" w:hAnsi="Arial"/>
          <w:sz w:val="18"/>
          <w:szCs w:val="18"/>
          <w:i w:val="1"/>
          <w:iCs w:val="1"/>
          <w:u w:val="single" w:color="auto"/>
          <w:color w:val="auto"/>
        </w:rPr>
        <w:t>minus</w:t>
      </w:r>
    </w:p>
    <w:p>
      <w:pPr>
        <w:spacing w:after="0" w:line="225" w:lineRule="exact"/>
        <w:rPr>
          <w:rFonts w:ascii="Arial" w:cs="Arial" w:eastAsia="Arial" w:hAnsi="Arial"/>
          <w:sz w:val="18"/>
          <w:szCs w:val="18"/>
          <w:color w:val="auto"/>
        </w:rPr>
      </w:pPr>
    </w:p>
    <w:p>
      <w:pPr>
        <w:ind w:right="220" w:firstLine="1305"/>
        <w:spacing w:after="0" w:line="530" w:lineRule="auto"/>
        <w:tabs>
          <w:tab w:leader="none" w:pos="2181"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the aggregate amount of the Reserves, if any, established by Agent from time to time under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Norwegian Borrowing Base Loan Parties' contribution to the Joint Borrowing Base shall not exceed $30,000,000.</w:t>
      </w:r>
    </w:p>
    <w:p>
      <w:pPr>
        <w:ind w:left="1300" w:right="320"/>
        <w:spacing w:after="0" w:line="530"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Borrowing Base Loan Parties</w:t>
      </w:r>
      <w:r>
        <w:rPr>
          <w:rFonts w:ascii="Arial" w:cs="Arial" w:eastAsia="Arial" w:hAnsi="Arial"/>
          <w:sz w:val="17"/>
          <w:szCs w:val="17"/>
          <w:color w:val="auto"/>
        </w:rPr>
        <w:t>" means the Borrowing Base Loan Parties other than the German Borrower and the Swiss Borrower. "</w:t>
      </w:r>
      <w:r>
        <w:rPr>
          <w:rFonts w:ascii="Arial" w:cs="Arial" w:eastAsia="Arial" w:hAnsi="Arial"/>
          <w:sz w:val="17"/>
          <w:szCs w:val="17"/>
          <w:u w:val="single" w:color="auto"/>
          <w:color w:val="auto"/>
        </w:rPr>
        <w:t>Joint Commitment</w:t>
      </w:r>
      <w:r>
        <w:rPr>
          <w:rFonts w:ascii="Arial" w:cs="Arial" w:eastAsia="Arial" w:hAnsi="Arial"/>
          <w:sz w:val="17"/>
          <w:szCs w:val="17"/>
          <w:color w:val="auto"/>
        </w:rPr>
        <w:t>" means the Joint Revolver Commitment or the Joint FILO Commitment, as the context requires.</w:t>
      </w:r>
    </w:p>
    <w:p>
      <w:pPr>
        <w:spacing w:after="0" w:line="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Designated Account</w:t>
      </w:r>
      <w:r>
        <w:rPr>
          <w:rFonts w:ascii="Arial" w:cs="Arial" w:eastAsia="Arial" w:hAnsi="Arial"/>
          <w:sz w:val="17"/>
          <w:szCs w:val="17"/>
          <w:color w:val="auto"/>
        </w:rPr>
        <w:t xml:space="preserve">" means the Deposit Account of WIL-Bermuda and Administrative Borrower, as applicable, identified on </w:t>
      </w:r>
      <w:r>
        <w:rPr>
          <w:rFonts w:ascii="Arial" w:cs="Arial" w:eastAsia="Arial" w:hAnsi="Arial"/>
          <w:sz w:val="17"/>
          <w:szCs w:val="17"/>
          <w:u w:val="single" w:color="auto"/>
          <w:color w:val="auto"/>
        </w:rPr>
        <w:t>Schedule D-1</w:t>
      </w:r>
      <w:r>
        <w:rPr>
          <w:rFonts w:ascii="Arial" w:cs="Arial" w:eastAsia="Arial" w:hAnsi="Arial"/>
          <w:sz w:val="17"/>
          <w:szCs w:val="17"/>
          <w:color w:val="auto"/>
        </w:rPr>
        <w:t xml:space="preserve"> to this Agreement (or such other Deposit Account of WIL-Bermuda or Administrative Borrower, as applicable, located at Designated Account Bank that has been designated as such, in writing, by WIL-Bermuda or the Administrative Borrower, as applicable, to Agent).</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Fee Letter</w:t>
      </w:r>
      <w:r>
        <w:rPr>
          <w:rFonts w:ascii="Arial" w:cs="Arial" w:eastAsia="Arial" w:hAnsi="Arial"/>
          <w:sz w:val="18"/>
          <w:szCs w:val="18"/>
          <w:color w:val="auto"/>
        </w:rPr>
        <w:t>" means that certain fee letter, dated as of November 11, 2019, among Borrowers, the Joint Lead Arrangers and DBNY, in form and substance reasonably satisfactory to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1" w:name="page252"/>
    <w:bookmarkEnd w:id="251"/>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FILO Borrowing Base</w:t>
      </w:r>
      <w:r>
        <w:rPr>
          <w:rFonts w:ascii="Arial" w:cs="Arial" w:eastAsia="Arial" w:hAnsi="Arial"/>
          <w:sz w:val="18"/>
          <w:szCs w:val="18"/>
          <w:color w:val="auto"/>
        </w:rPr>
        <w:t xml:space="preserve">" means an amount equal to the FILO Specified Percentage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value of each of the asset categories in clauses (a), (b), (c), (d), (e) and (f) of the definition of Joint Borrowing Base.</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FILO Commitment</w:t>
      </w:r>
      <w:r>
        <w:rPr>
          <w:rFonts w:ascii="Arial" w:cs="Arial" w:eastAsia="Arial" w:hAnsi="Arial"/>
          <w:sz w:val="16"/>
          <w:szCs w:val="16"/>
          <w:color w:val="auto"/>
        </w:rPr>
        <w:t xml:space="preserve">" means, with respect to each Lender, its FILO Commitment, and, with respect to all Lenders, the aggregate FILO Commitments of all Lenders, in each case as such Dollar amounts are set forth beside such Lender's name under the applicable heading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of this Agreement, and as such amounts may be decreased by the amount of reductions in the FILO Commitments made in accordance with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hereof.</w:t>
      </w:r>
    </w:p>
    <w:p>
      <w:pPr>
        <w:spacing w:after="0" w:line="15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FILO Lender</w:t>
      </w:r>
      <w:r>
        <w:rPr>
          <w:rFonts w:ascii="Arial" w:cs="Arial" w:eastAsia="Arial" w:hAnsi="Arial"/>
          <w:sz w:val="18"/>
          <w:szCs w:val="18"/>
          <w:color w:val="auto"/>
        </w:rPr>
        <w:t>" means a Lender that has a Joint FILO Commitment, an outstanding Joint FILO Loan or participations in respect of Joint Letter of Credit Usage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FILO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FILO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Joint FILO Loans,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Joint Letter of Credit Usage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Lender</w:t>
      </w:r>
      <w:r>
        <w:rPr>
          <w:rFonts w:ascii="Arial" w:cs="Arial" w:eastAsia="Arial" w:hAnsi="Arial"/>
          <w:sz w:val="17"/>
          <w:szCs w:val="17"/>
          <w:color w:val="auto"/>
        </w:rPr>
        <w:t>" means a Lender with a Joint Commitment or holding outstanding Joint Usage or participations in respect thereof.</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Letter of Credit</w:t>
      </w:r>
      <w:r>
        <w:rPr>
          <w:rFonts w:ascii="Arial" w:cs="Arial" w:eastAsia="Arial" w:hAnsi="Arial"/>
          <w:sz w:val="18"/>
          <w:szCs w:val="18"/>
          <w:color w:val="auto"/>
        </w:rPr>
        <w:t>" means a letter of credit issued for the account of a member of the Joint Borrower Group pursuant to the terms of this Agreement by Issuing Bank.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Letter of Credit Usage</w:t>
      </w:r>
      <w:r>
        <w:rPr>
          <w:rFonts w:ascii="Arial" w:cs="Arial" w:eastAsia="Arial" w:hAnsi="Arial"/>
          <w:sz w:val="16"/>
          <w:szCs w:val="16"/>
          <w:color w:val="auto"/>
        </w:rPr>
        <w:t>" means, as of any date of determination, the aggregate undrawn amount of all outstanding Joint Letters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Loans</w:t>
      </w:r>
      <w:r>
        <w:rPr>
          <w:rFonts w:ascii="Arial" w:cs="Arial" w:eastAsia="Arial" w:hAnsi="Arial"/>
          <w:sz w:val="18"/>
          <w:szCs w:val="18"/>
          <w:color w:val="auto"/>
        </w:rPr>
        <w:t>" means Joint FILO Loans and Joint Revolving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Obligations</w:t>
      </w:r>
      <w:r>
        <w:rPr>
          <w:rFonts w:ascii="Arial" w:cs="Arial" w:eastAsia="Arial" w:hAnsi="Arial"/>
          <w:sz w:val="18"/>
          <w:szCs w:val="18"/>
          <w:color w:val="auto"/>
        </w:rPr>
        <w:t>" means the collective Obligations of the Joint Borrower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Revolver Commitment</w:t>
      </w:r>
      <w:r>
        <w:rPr>
          <w:rFonts w:ascii="Arial" w:cs="Arial" w:eastAsia="Arial" w:hAnsi="Arial"/>
          <w:sz w:val="18"/>
          <w:szCs w:val="18"/>
          <w:color w:val="auto"/>
        </w:rPr>
        <w:t xml:space="preserve">" means, with respect to each Lender, its Revolver Commitment, and, with respect to all Lenders, the aggregate Revolver Commitments of all Joint Lenders, in each case as such Dollar amounts are set forth beside such Joint Revolving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and as such amounts may be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2" w:name="page253"/>
    <w:bookmarkEnd w:id="252"/>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Revolver Usage</w:t>
      </w:r>
      <w:r>
        <w:rPr>
          <w:rFonts w:ascii="Arial" w:cs="Arial" w:eastAsia="Arial" w:hAnsi="Arial"/>
          <w:sz w:val="16"/>
          <w:szCs w:val="16"/>
          <w:color w:val="auto"/>
        </w:rPr>
        <w:t xml:space="preserve">" means, as of any date of determination,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amount of outstanding Joint Revolving Loans (inclusive of Joint Swing Loans and Joint Protective Advances),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amount of the Joint Letter of Credit Usage not predicated on the FILO Subline Amount.</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Revolving Lender</w:t>
      </w:r>
      <w:r>
        <w:rPr>
          <w:rFonts w:ascii="Arial" w:cs="Arial" w:eastAsia="Arial" w:hAnsi="Arial"/>
          <w:sz w:val="18"/>
          <w:szCs w:val="18"/>
          <w:color w:val="auto"/>
        </w:rPr>
        <w:t>" means a Lender that has a Joint Revolver Commitment, an outstanding Joint Revolving Loan or participations in respect of Joint Letter of Credit Usage not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Swing Loan</w:t>
      </w:r>
      <w:r>
        <w:rPr>
          <w:rFonts w:ascii="Arial" w:cs="Arial" w:eastAsia="Arial" w:hAnsi="Arial"/>
          <w:sz w:val="18"/>
          <w:szCs w:val="18"/>
          <w:color w:val="auto"/>
        </w:rPr>
        <w:t>" and "</w:t>
      </w:r>
      <w:r>
        <w:rPr>
          <w:rFonts w:ascii="Arial" w:cs="Arial" w:eastAsia="Arial" w:hAnsi="Arial"/>
          <w:sz w:val="18"/>
          <w:szCs w:val="18"/>
          <w:u w:val="single" w:color="auto"/>
          <w:color w:val="auto"/>
        </w:rPr>
        <w:t>Joint Swing Loans</w:t>
      </w:r>
      <w:r>
        <w:rPr>
          <w:rFonts w:ascii="Arial" w:cs="Arial" w:eastAsia="Arial" w:hAnsi="Arial"/>
          <w:sz w:val="18"/>
          <w:szCs w:val="18"/>
          <w:color w:val="auto"/>
        </w:rPr>
        <w:t xml:space="preserve">" have the meanings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Joint FILO Usage,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Joint Revolver Usage.</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 Reserve</w:t>
      </w:r>
      <w:r>
        <w:rPr>
          <w:rFonts w:ascii="Arial" w:cs="Arial" w:eastAsia="Arial" w:hAnsi="Arial"/>
          <w:sz w:val="17"/>
          <w:szCs w:val="17"/>
          <w:color w:val="auto"/>
        </w:rPr>
        <w:t>" means, as to each location at which a Borrowing Base Loan Party has Inventory, Rental Tools or books and records located and as to which a Collateral Access Agreement has not been received by Agent, a reserve in an amount equal to 3 months' rent, occupancy costs including insurance and utilities, storage charges, fees or other amounts under the lease or other applicable agreement relative to such location or, if greater and Agent so elects, the number of months' rent, storage charges, fess or other amounts for which the landlord, bailee, warehouseman or other property owner will have, under applicable law, a Lien in the Inventory or Rental Tools of such Borrowing Base Loan Party to secure the payment of such amounts under the lease or other applicable agreement relative to such location.</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w:t>
      </w:r>
      <w:r>
        <w:rPr>
          <w:rFonts w:ascii="Arial" w:cs="Arial" w:eastAsia="Arial" w:hAnsi="Arial"/>
          <w:sz w:val="18"/>
          <w:szCs w:val="18"/>
          <w:color w:val="auto"/>
        </w:rPr>
        <w:t>" means the stand-alone letter of credit facility provided for pursuant to the L/C Facility Credit Agreement and the other L/C Facility Loan Documents.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 Agent</w:t>
      </w:r>
      <w:r>
        <w:rPr>
          <w:rFonts w:ascii="Arial" w:cs="Arial" w:eastAsia="Arial" w:hAnsi="Arial"/>
          <w:sz w:val="18"/>
          <w:szCs w:val="18"/>
          <w:color w:val="auto"/>
        </w:rPr>
        <w:t>" means Deutsche Bank Trust Company Americas, in its capacity as administrative agent.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 Credit Agreement</w:t>
      </w:r>
      <w:r>
        <w:rPr>
          <w:rFonts w:ascii="Arial" w:cs="Arial" w:eastAsia="Arial" w:hAnsi="Arial"/>
          <w:sz w:val="18"/>
          <w:szCs w:val="18"/>
          <w:color w:val="auto"/>
        </w:rPr>
        <w:t>" means that certain LC Credit Agreement, dated as of the date hereof, by and among Parent, WIL-Bermuda, WIL-Delaware, the lenders from time to time party thereto and the L/C Facility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 Loan Documents</w:t>
      </w:r>
      <w:r>
        <w:rPr>
          <w:rFonts w:ascii="Arial" w:cs="Arial" w:eastAsia="Arial" w:hAnsi="Arial"/>
          <w:sz w:val="18"/>
          <w:szCs w:val="18"/>
          <w:color w:val="auto"/>
        </w:rPr>
        <w:t>" means the "Loan Documents" as defined in the L/C Facility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 Maturity Date</w:t>
      </w:r>
      <w:r>
        <w:rPr>
          <w:rFonts w:ascii="Arial" w:cs="Arial" w:eastAsia="Arial" w:hAnsi="Arial"/>
          <w:sz w:val="18"/>
          <w:szCs w:val="18"/>
          <w:color w:val="auto"/>
        </w:rPr>
        <w:t>" means the "Maturity Date" as defined in the L/C Facility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3" w:name="page254"/>
    <w:bookmarkEnd w:id="25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 Obligations</w:t>
      </w:r>
      <w:r>
        <w:rPr>
          <w:rFonts w:ascii="Arial" w:cs="Arial" w:eastAsia="Arial" w:hAnsi="Arial"/>
          <w:sz w:val="18"/>
          <w:szCs w:val="18"/>
          <w:color w:val="auto"/>
        </w:rPr>
        <w:t>" means the "Secured Obligations" as defined in the L/C Facility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 Priority Collateral</w:t>
      </w:r>
      <w:r>
        <w:rPr>
          <w:rFonts w:ascii="Arial" w:cs="Arial" w:eastAsia="Arial" w:hAnsi="Arial"/>
          <w:sz w:val="18"/>
          <w:szCs w:val="18"/>
          <w:color w:val="auto"/>
        </w:rPr>
        <w:t>" means "LC Priority Collateral" as such term is defined in the Intercreditor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Secured Parties</w:t>
      </w:r>
      <w:r>
        <w:rPr>
          <w:rFonts w:ascii="Arial" w:cs="Arial" w:eastAsia="Arial" w:hAnsi="Arial"/>
          <w:sz w:val="18"/>
          <w:szCs w:val="18"/>
          <w:color w:val="auto"/>
        </w:rPr>
        <w:t>" means the "Secured Parties" as defined in the L/C Facility Credit Agreement.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has the meaning set forth in the preamble to this Agreement, shall include each Issuing Bank and the Swing Lender, and shall also include any other Person made a party to this Agreement pursuant to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of this Agreement and "Lenders" means each of the Lenders or any one or more of them. Unless and until an Event of Default has occurred and is continuing, (i) all Lenders shall be U.S. Qualifying Lenders and (ii) there shall be no more than ten Lenders and participants that enter into a sub-participation that are not Swiss Qualifying Lenders.</w:t>
      </w:r>
    </w:p>
    <w:p>
      <w:pPr>
        <w:spacing w:after="0" w:line="154"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w:t>
      </w:r>
      <w:r>
        <w:rPr>
          <w:rFonts w:ascii="Arial" w:cs="Arial" w:eastAsia="Arial" w:hAnsi="Arial"/>
          <w:sz w:val="16"/>
          <w:szCs w:val="16"/>
          <w:color w:val="auto"/>
        </w:rPr>
        <w:t>" means each of the Lenders (including each Issuing Bank and the Swing Lender) and Agent, together with any sub-agent, collateral agent, or similar agent appointed pursuant to Section 15.2 of this Agreement or the Intercreditor Agreement, or any one or more of them.</w:t>
      </w:r>
    </w:p>
    <w:p>
      <w:pPr>
        <w:spacing w:after="0" w:line="124"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 Expenses</w:t>
      </w:r>
      <w:r>
        <w:rPr>
          <w:rFonts w:ascii="Arial" w:cs="Arial" w:eastAsia="Arial" w:hAnsi="Arial"/>
          <w:sz w:val="16"/>
          <w:szCs w:val="16"/>
          <w:color w:val="auto"/>
        </w:rPr>
        <w:t xml:space="preserve">" means all (a) reasonable and documented out-of-pocket costs or expenses (including Taxes and insurance premiums) required to be paid by any Loan Party or its Subsidiaries under any of the Loan Documents that are paid, advanced, or incurred by the Lender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Taxes shall be considered a Lender Group Expense solely to the extent such Taxes are Indemnified Taxes, VAT (as provided in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for which a Loan Party is responsible under this Loan Document)) or Other Taxes, (b) reasonable and documented out-of-pocket fees or charges paid or 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reasonable and documented out-of-pocket customary fees and charges imposed or incurred by Agent in connection with any background checks or OFAC/PEP searches related to any Loan Party or its Subsidiaries, (d) customary fees and charges incurred by Agent (as adjusted from time to time) with respect to the disbursement of funds (or the receipt of funds) to or for the account of any Borrower (whether by wire transfer or otherwise), together with any reasonable and documented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 expenses of Agent related to any field examinations, appraisals, or valuation to the extent of the fees and charges (and up to the amount of any limitation) provided in </w:t>
      </w:r>
      <w:r>
        <w:rPr>
          <w:rFonts w:ascii="Arial" w:cs="Arial" w:eastAsia="Arial" w:hAnsi="Arial"/>
          <w:sz w:val="16"/>
          <w:szCs w:val="16"/>
          <w:u w:val="single" w:color="auto"/>
          <w:color w:val="auto"/>
        </w:rPr>
        <w:t>Section 5.7(c)</w:t>
      </w:r>
      <w:r>
        <w:rPr>
          <w:rFonts w:ascii="Arial" w:cs="Arial" w:eastAsia="Arial" w:hAnsi="Arial"/>
          <w:sz w:val="16"/>
          <w:szCs w:val="16"/>
          <w:color w:val="auto"/>
        </w:rPr>
        <w:t xml:space="preserve"> of this Agreement, (h) reasonable and documented out-of-pocket costs and expenses incurred by Agent and Lenders (including reasonable and documented out-of-pocket attorneys' fees and expenses which shall include one counsel to Agent and one counsel to the Lenders taken as a whole, and, to the extent necessary, one local counsel in each applicable jurisdiction for Agent and one such counsel for all the Lenders taken as a whole, and one additional local counsel in the event of any actual or perceived conflict of interest among the Lenders (and, if necessary, one local counsel in each relevant jurisdiction) for each group of Lenders that is subject to such conflict, in each case))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reasonable and documented out-of-pocket costs and expenses (including reasonable and documented out-of-pocket attorneys' fees (as limited in clause (h) above) and due diligence expenses) incurred by Agent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reasonable and documented costs and expenses (including reasonable and documented out-of-pocket attorneys (as limited in clause (h) above), accountants, consultants, and other advisors fees and expenses) incurred by Agent and each Lender in terminating, enforcing (including attorneys (as limited in clause (h) above),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4" w:name="page255"/>
    <w:bookmarkEnd w:id="25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 Representatives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means, with respect to any Lender, such Lender, together with such Lender's Affiliates, officers, directors, employees, attorneys, and agents.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(as that term is defined in the Code) issued by any Issuing Bank.</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Collateralization</w:t>
      </w:r>
      <w:r>
        <w:rPr>
          <w:rFonts w:ascii="Arial" w:cs="Arial" w:eastAsia="Arial" w:hAnsi="Arial"/>
          <w:sz w:val="16"/>
          <w:szCs w:val="16"/>
          <w:color w:val="auto"/>
        </w:rPr>
        <w:t xml:space="preserve">" means either (a) providing cash collateral (pursuant to documentation reasonably satisfactory to Agent (including that Agent has a first priority perfected Lien in such cash collateral), including provisions that specify that the Letter of Credit Fees and all commissions, fees, charges and expenses provided for in </w:t>
      </w:r>
      <w:r>
        <w:rPr>
          <w:rFonts w:ascii="Arial" w:cs="Arial" w:eastAsia="Arial" w:hAnsi="Arial"/>
          <w:sz w:val="16"/>
          <w:szCs w:val="16"/>
          <w:u w:val="single" w:color="auto"/>
          <w:color w:val="auto"/>
        </w:rPr>
        <w:t>Section 2.11(k)</w:t>
      </w:r>
      <w:r>
        <w:rPr>
          <w:rFonts w:ascii="Arial" w:cs="Arial" w:eastAsia="Arial" w:hAnsi="Arial"/>
          <w:sz w:val="16"/>
          <w:szCs w:val="16"/>
          <w:color w:val="auto"/>
        </w:rPr>
        <w:t xml:space="preserve"> of this Agreement (including any fronting fees) will continue to accrue while the Letters of Credit are outstanding) to be held by Agent for the benefit of the Lenders in an amount equal to 103% (or, with respect to Letters of Credit denominated in an Alternative Currency, 105%) of the then existing Letter of Credit Usage, (b) delivering to Agent documentation executed by all beneficiaries under the Letters of Credit, in form and substance reasonably satisfactory to Agent and the applicable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103% (or, with respect to Letters of Credit denominated in an Alternative Currency,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 Such Letter of Credit Collateralization shall be on terms reasonably acceptable to the applicable Issuing Bank.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5" w:name="page256"/>
    <w:bookmarkEnd w:id="25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Disbursement</w:t>
      </w:r>
      <w:r>
        <w:rPr>
          <w:rFonts w:ascii="Arial" w:cs="Arial" w:eastAsia="Arial" w:hAnsi="Arial"/>
          <w:sz w:val="18"/>
          <w:szCs w:val="18"/>
          <w:color w:val="auto"/>
        </w:rPr>
        <w:t>" means a payment made by Issuing Bank pursuant to a Letter of Credit.</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xml:space="preserve">" means, as of any date of determination with respect to any Lender, such Lender's participation in the Letter of Credit Usage pursuant to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on such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Indemnified Costs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$350,000,000.</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Usage</w:t>
      </w:r>
      <w:r>
        <w:rPr>
          <w:rFonts w:ascii="Arial" w:cs="Arial" w:eastAsia="Arial" w:hAnsi="Arial"/>
          <w:sz w:val="16"/>
          <w:szCs w:val="16"/>
          <w:color w:val="auto"/>
        </w:rPr>
        <w:t xml:space="preserve">" means, as of any date of determination,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aggregate undrawn amount of all outstanding Letters of Credit (determined, in the case of Letters of Credit denominated in an Alternative Currency, by reference to the Spot Rate on such date of determination), </w:t>
      </w:r>
      <w:r>
        <w:rPr>
          <w:rFonts w:ascii="Arial" w:cs="Arial" w:eastAsia="Arial" w:hAnsi="Arial"/>
          <w:sz w:val="16"/>
          <w:szCs w:val="16"/>
          <w:i w:val="1"/>
          <w:iCs w:val="1"/>
          <w:u w:val="single" w:color="auto"/>
          <w:color w:val="auto"/>
        </w:rPr>
        <w:t>plus</w:t>
      </w:r>
    </w:p>
    <w:p>
      <w:pPr>
        <w:ind w:firstLine="8"/>
        <w:spacing w:after="0" w:line="261" w:lineRule="auto"/>
        <w:tabs>
          <w:tab w:leader="none" w:pos="25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aggregate amount of outstanding reimbursement obligations with respect to Letters of Credit which remain unreimbursed or which have not been paid through a Facility Loan.</w:t>
      </w:r>
    </w:p>
    <w:p>
      <w:pPr>
        <w:spacing w:after="0" w:line="18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means, as of any date of determination and on a consolidated basis, the result of (a) the amount equal to (i) Parent's Funded Indebtedness as of such date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(ii) Unrestricted Cash, to (b) Parent's Consolidated Adjusted EBITDA for the 4 fiscal quarter period ended as of such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Deadline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2.12(b)(i)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Notice</w:t>
      </w:r>
      <w:r>
        <w:rPr>
          <w:rFonts w:ascii="Arial" w:cs="Arial" w:eastAsia="Arial" w:hAnsi="Arial"/>
          <w:sz w:val="18"/>
          <w:szCs w:val="18"/>
          <w:color w:val="auto"/>
        </w:rPr>
        <w:t xml:space="preserve">" means a written notice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Option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Rate</w:t>
      </w:r>
      <w:r>
        <w:rPr>
          <w:rFonts w:ascii="Arial" w:cs="Arial" w:eastAsia="Arial" w:hAnsi="Arial"/>
          <w:sz w:val="17"/>
          <w:szCs w:val="17"/>
          <w:color w:val="auto"/>
        </w:rPr>
        <w:t xml:space="preserve">" means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as published by ICE Benchmark Administration Limited (or any successor page or other commercially available source as Agent may designate from time to time) as of 11:00 a.m., London time, two Business Days prior to the commencement of the requested Interest Period, for a term, and in an amount, comparable to the Interest Period and the amount of the LIBOR Rate Loan requested (whether as an initial LIBOR Rate Loan or as a continuation of a LIBOR Rate Loan or as a conversion of a Base Rate Loan to a LIBOR Rate Loan) by Borrowers in accordance with this Agreement (and, if any such published rate is below zero, then the LIBOR Rate shall be deemed to be zero). Each determination of the LIBOR Rate shall be made by Agent and shall be conclusive in the absence of manifest error.</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 Loan</w:t>
      </w:r>
      <w:r>
        <w:rPr>
          <w:rFonts w:ascii="Arial" w:cs="Arial" w:eastAsia="Arial" w:hAnsi="Arial"/>
          <w:sz w:val="16"/>
          <w:szCs w:val="16"/>
          <w:color w:val="auto"/>
        </w:rPr>
        <w:t>" means each portion of the Revolving Loans or the FILO Loans that bears interest at a rate determined by reference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LIBOR Rate.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Margin</w:t>
      </w:r>
      <w:r>
        <w:rPr>
          <w:rFonts w:ascii="Arial" w:cs="Arial" w:eastAsia="Arial" w:hAnsi="Arial"/>
          <w:sz w:val="18"/>
          <w:szCs w:val="18"/>
          <w:color w:val="auto"/>
        </w:rPr>
        <w:t>" means the Revolving Loan LIBOR Rate Margin or the FILO Loan LIBOR Rate Margin, as applicable.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8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Line Cap</w:t>
      </w:r>
      <w:r>
        <w:rPr>
          <w:rFonts w:ascii="Arial" w:cs="Arial" w:eastAsia="Arial" w:hAnsi="Arial"/>
          <w:sz w:val="16"/>
          <w:szCs w:val="16"/>
          <w:color w:val="auto"/>
        </w:rPr>
        <w:t xml:space="preserve">" means, as of any date of determination,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(i) the Maximum Revolver Amount and (ii) the Aggregate Borrowing Base,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(i) the Maximum FILO Amount and (ii) the FILO Borrowing Base, in each case, as of such date of determination.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Revolving Loan, Swing Loan, Extraordinary Advance, or FILO Loan made (or to be made)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Collateral Documents, the Control Agreements (including the Deposit Account Control Agreements), the Copyright Security Agreement, any Borrowing Base Certificate, the Fee Letters, the Guaranty Agreements, the Intercompany Subordination Agreement, the Intercreditor Agreement, any Issuer Documents, the Letters of Credit, the Mortgages (if any), any negative pledge agreement entered into in connection with any Real Property, the Patent Security Agreement, the Trademark Security Agreement, any note or notes executed by Borrowers in connection with this Agreement and payable to any member of the Lender Group, and any other instrument or agreement entered into, now or in the future, by any Loan Party or any of its Subsidiaries and any member of the Lender Group in connection with this Agreement (but specifically excluding Bank Product Agreements).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any Borrower or any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7" w:name="page258"/>
    <w:bookmarkEnd w:id="257"/>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Loan Parties to collectively perform their payment or other material obligations hereunder or under the other Loan Documents or (ii) the ability of Agent or the Lenders to realize the material benefits intended to be provided by the Loan Parties under the Loan Documents.</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Real Property located in the United States of America, Canada or the United Kingdom owned by any Loan Party with a net book value in excess of $10,000,000 and that is not an Excluded Asset.</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Specified Subsidiary</w:t>
      </w:r>
      <w:r>
        <w:rPr>
          <w:rFonts w:ascii="Arial" w:cs="Arial" w:eastAsia="Arial" w:hAnsi="Arial"/>
          <w:sz w:val="17"/>
          <w:szCs w:val="17"/>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Agreement (i) had assets representing more than 2.5% of the Total Specified Asset Value as of such date or (ii) generated more than 2.5% of Consolidated Adjusted EBITDA of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7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 (ii) has gross revenues in excess of 5% of the consolidated gross revenues of Parent and its consolidated Restricted Subsidiaries based, in each case, on the most recent audited consolidated financial statements of Parent. Notwithstanding the foregoing, each Borrower shall be deemed to be a Material Subsidiary.</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June 13, 2024.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Facility Amount</w:t>
      </w:r>
      <w:r>
        <w:rPr>
          <w:rFonts w:ascii="Arial" w:cs="Arial" w:eastAsia="Arial" w:hAnsi="Arial"/>
          <w:sz w:val="18"/>
          <w:szCs w:val="18"/>
          <w:color w:val="auto"/>
        </w:rPr>
        <w:t xml:space="preserve">" means the Maximum FILO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Maximum Revolver Amount.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FILO Amount</w:t>
      </w:r>
      <w:r>
        <w:rPr>
          <w:rFonts w:ascii="Arial" w:cs="Arial" w:eastAsia="Arial" w:hAnsi="Arial"/>
          <w:sz w:val="18"/>
          <w:szCs w:val="18"/>
          <w:color w:val="auto"/>
        </w:rPr>
        <w:t xml:space="preserve">" means $50,000,000, decreased by the amount of reductions in the FILO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Revolver Amount</w:t>
      </w:r>
      <w:r>
        <w:rPr>
          <w:rFonts w:ascii="Arial" w:cs="Arial" w:eastAsia="Arial" w:hAnsi="Arial"/>
          <w:sz w:val="18"/>
          <w:szCs w:val="18"/>
          <w:color w:val="auto"/>
        </w:rPr>
        <w:t xml:space="preserve">" means $400,000,000,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has the meaning specified therefor in the definition of Domestic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8" w:name="page259"/>
    <w:bookmarkEnd w:id="258"/>
    <w:p>
      <w:pPr>
        <w:jc w:val="both"/>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Instruments</w:t>
      </w:r>
      <w:r>
        <w:rPr>
          <w:rFonts w:ascii="Arial" w:cs="Arial" w:eastAsia="Arial" w:hAnsi="Arial"/>
          <w:sz w:val="18"/>
          <w:szCs w:val="18"/>
          <w:color w:val="auto"/>
        </w:rPr>
        <w:t>" means such title reports, title insurance policies (with endorsements), evidence of zoning compliance, property insurance, flood certifications and flood insurance (and, if applicable FEMA form acknowledgements of insurance), opinions of counsel, surveys, appraisals, environmental assessments and reports, mortgage tax affidavits and declarations and other similar information and related certifications as are reasonably requested by, and in form and substance reasonably acceptable to, Agent from time to time.</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Mortgages</w:t>
      </w:r>
      <w:r>
        <w:rPr>
          <w:rFonts w:ascii="Arial" w:cs="Arial" w:eastAsia="Arial" w:hAnsi="Arial"/>
          <w:sz w:val="17"/>
          <w:szCs w:val="17"/>
          <w:color w:val="auto"/>
        </w:rPr>
        <w:t>" means, individually and collectively, one or more mortgages, deeds of trust, or deeds to secure debt, executed and delivered by a Loan Party in favor of Agent, in form and substance reasonably satisfactory to Agent, that encumber the Real Property Collateral.</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multiemployer plan within the meaning of Section 3(37) or 4001(a)(3) of ERISA with respect to which any Loan Party or ERISA Affiliate has an obligation to contribute or has any liability, contingent or otherwise or could be assessed withdrawal liability assuming a complete withdrawal from any such multiemployer plan.</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Recovery Percentage</w:t>
      </w:r>
      <w:r>
        <w:rPr>
          <w:rFonts w:ascii="Arial" w:cs="Arial" w:eastAsia="Arial" w:hAnsi="Arial"/>
          <w:sz w:val="18"/>
          <w:szCs w:val="18"/>
          <w:color w:val="auto"/>
        </w:rPr>
        <w:t>" means, as of any date of determination, the percentage of the book value of the Applicable Borrowing Base Loan Parties' Inventory or Rental Tools, as applicable, that is estimated to be recoverable in an orderly liquidation of such Inventory or Rental Tools, net of all associated costs and expenses of such liquidation, such percentage to be determined as to each category of Inventory or Rental Tools, as applicable, and to be as specified in the most recent Acceptable Appraisal of Inventory or Rental Tools.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 has the meaning therefor in the definition of Redomestication.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each Lender other than a Defaulting Lender.</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Norwegian Borrowing Base Loan Parties</w:t>
      </w:r>
      <w:r>
        <w:rPr>
          <w:rFonts w:ascii="Arial" w:cs="Arial" w:eastAsia="Arial" w:hAnsi="Arial"/>
          <w:sz w:val="18"/>
          <w:szCs w:val="18"/>
          <w:color w:val="auto"/>
        </w:rPr>
        <w:t xml:space="preserve">" means, from and after the satisfaction of each of the conditions subsequent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3.6(a)</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this Agreement, Weatherford Norge AS, a Norwegian private limited company, together with any other Borrowing Base Loan Party formed or organized under the laws of Norway following the completion of a field examination and appraisal with respect to the applicable assets of such Person, the payment of an applicable guaranty fee to such Person, and the consent of Agent in its Permitted Discretion to the designation of such Person as a Norwegian Borrowing Base Loan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9" w:name="page260"/>
    <w:bookmarkEnd w:id="259"/>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Notification Event</w:t>
      </w:r>
      <w:r>
        <w:rPr>
          <w:rFonts w:ascii="Arial" w:cs="Arial" w:eastAsia="Arial" w:hAnsi="Arial"/>
          <w:sz w:val="16"/>
          <w:szCs w:val="16"/>
          <w:color w:val="auto"/>
        </w:rPr>
        <w:t xml:space="preserve">" means (a) the occurrence of a "reportable event" described in Section 4043 of ERISA for which the 30-day notice requirement has not been waived by applicable regulations issued by the PBGC, (b) the withdrawal of any Loan Party or ERISA Affiliate from a Pension Plan during a plan year in which it was a "substantial employer" as defined in Section 4001(a)(2) of ERISA, (c) 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or any Pension Plan or Multiemployer Plan administrator, (e) any other event or condition that would constitute grounds under Section 4042(a) of ERISA for the termination of, or the appointment of a trustee to administer, any Pension Plan, (f) the imposition of a Lien pursuant to the IRC or ERISA in connection with any Employee Benefit Plan or the existence of any facts or circumstances that could reasonably be expected to result in the imposition of a Lien, (g) the partial or complete withdrawal of any Loan Party or ERISA Affiliate from a Multiemployer Plan (other than any withdrawal that would not constitute an Event of Default under </w:t>
      </w:r>
      <w:r>
        <w:rPr>
          <w:rFonts w:ascii="Arial" w:cs="Arial" w:eastAsia="Arial" w:hAnsi="Arial"/>
          <w:sz w:val="16"/>
          <w:szCs w:val="16"/>
          <w:u w:val="single" w:color="auto"/>
          <w:color w:val="auto"/>
        </w:rPr>
        <w:t>Section 8.12</w:t>
      </w:r>
      <w:r>
        <w:rPr>
          <w:rFonts w:ascii="Arial" w:cs="Arial" w:eastAsia="Arial" w:hAnsi="Arial"/>
          <w:sz w:val="16"/>
          <w:szCs w:val="16"/>
          <w:color w:val="auto"/>
        </w:rPr>
        <w:t>), (h) any event or condition that results in the insolvency of a Multiemployer Plan under Sections of ERISA,</w:t>
      </w:r>
    </w:p>
    <w:p>
      <w:pPr>
        <w:spacing w:after="0" w:line="6" w:lineRule="exact"/>
        <w:rPr>
          <w:sz w:val="20"/>
          <w:szCs w:val="20"/>
          <w:color w:val="auto"/>
        </w:rPr>
      </w:pPr>
    </w:p>
    <w:p>
      <w:pPr>
        <w:jc w:val="both"/>
        <w:ind w:firstLine="8"/>
        <w:spacing w:after="0" w:line="267" w:lineRule="auto"/>
        <w:tabs>
          <w:tab w:leader="none" w:pos="24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any event or condition that results in the termination of a Multiemployer Plan under Section 4041A of ERISA or the institution by the PBGC of proceedings to terminate or to appoint a trustee to administer a Multiemployer Plan under ERISA, (j) any Pension Plan being in "at risk status" within the meaning of IRC Section 430(i), (k) any Multiemployer Plan being in "endangered status" or "critical status" within the meaning of IRC Section 432(b) or the determination that any Multiemployer Plan is or is expected to be insolvent within the meaning of Title IV of ERISA, (l) with respect to any Pension Plan, any Loan Party or ERISA Affiliate incurring a substantial cessation of operations within the meaning of ERISA Section 4062(e), (m) the failure of any Pension Plan or Multiemployer Plan to meet the minimum funding standards within the meaning of the IRC or ERISA (including Section 412 of the IRC or Section 302 of ERISA), in each case, whether or not waived, (n) the filing of an application for a waiver of the minimum funding standards within the meaning of the IRC or ERISA (including Section 412 of the IRC or Section 302 of ERISA) with respect to any Pension Plan or Multiemployer Plan, (o) the failure to make by its due date a required payment or contribution with respect to any Pension Plan or Multiemployer Plan, (p) any event that results in or could reasonably be expected to result in a liability by a Loan Party pursuant to Title I of ERISA or the excise tax provisions of the IRC relating to Employee Benefit Plans or any event that results in or could reasonably be expected to result in a liability to any Loan Party or ERISA Affiliate pursuant to Title IV of ERISA or Section 401(a)(29) of the IRC, or (q) any of the foregoing is reasonably likely to occur in the following 30 days.</w:t>
      </w:r>
    </w:p>
    <w:p>
      <w:pPr>
        <w:spacing w:after="0" w:line="18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 all loans (including the FILO Loans and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obligations), fees (including the fees provided for in the Fee Letters),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Loan Party is required to pay or reimburse by the Loan Documents or by law or otherwise in connection with the Loan Documents, and (b) all Bank Product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to the contrary contained in the foregoing notwithstanding, the Obligations shall exclude any Excluded Swap Obligation. Without limiting the generality of the foregoing, the Obligations of Borrowers under the Loan Documents include the obligation to pay (i) the principal of the Revolving Loans and the FILO Loans, (ii) interest accrued on the Revolving Loans and the FILO Loans, (iii) the amount necessary to reimburse Issuing Bank for amounts paid or payable pursuant to Letters of Credit, (iv) Letter of Credit commissions, fees (including fronting fees) and charges, (v) Lender Group Expenses, (vi) fees payable under this Agreement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13.1(e)</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(i) Bermuda, Germany, Switzerland, the United States or any other jurisdiction in which any Borrower or Guarantor is organized, is resident for tax purposes or has Collateral that supports the Obligations hereunder or any other jurisdiction in which WIL-Bermuda is resident for tax purposes with respect to a Foreign Lender, or (ii) Bermuda, or any other jurisdiction in which any Borrower is organized or is resident for tax purposes or any other jurisdiction (other than the United States) in which WIL-Bermuda is resident for tax purposes with respect to a Lender which is not a Foreign Lender.</w:t>
      </w:r>
    </w:p>
    <w:p>
      <w:pPr>
        <w:spacing w:after="0" w:line="17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Overadvance</w:t>
      </w:r>
      <w:r>
        <w:rPr>
          <w:rFonts w:ascii="Arial" w:cs="Arial" w:eastAsia="Arial" w:hAnsi="Arial"/>
          <w:sz w:val="16"/>
          <w:szCs w:val="16"/>
          <w:color w:val="auto"/>
        </w:rPr>
        <w:t xml:space="preserve">" means, as of any date of determination, that (a) the Revolver Usage exceeds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Aggregate Borrowing Base and the Maximum Revolver Amount, (b) the FILO Usage exceeds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FILO Borrowing Base and the Maximum FILO Amount (and such excess it not then able to be reallocated as Revolver Usage), (c) the Joint Usage exceeds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(i)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the Joint Borrowing Base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Joint FILO Borrowing Base and (ii) the Maximum Facility Amount, (d) the Joint Revolver Usage exceeds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Joint Borrowing Base and the Maximum Revolver Amount, (e) the Joint FILO Usage exceeds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Joint FILO Borrowing Base and Maximum FILO Amount (and such excess it not then able to be reallocated as Joint Revolver Usage), (f) the German Revolver Usage exceeds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German Borrowing Base and the German Sublimit,</w:t>
      </w:r>
    </w:p>
    <w:p>
      <w:pPr>
        <w:spacing w:after="0" w:line="5" w:lineRule="exact"/>
        <w:rPr>
          <w:sz w:val="20"/>
          <w:szCs w:val="20"/>
          <w:color w:val="auto"/>
        </w:rPr>
      </w:pPr>
    </w:p>
    <w:p>
      <w:pPr>
        <w:jc w:val="both"/>
        <w:ind w:firstLine="8"/>
        <w:spacing w:after="0" w:line="254" w:lineRule="auto"/>
        <w:tabs>
          <w:tab w:leader="none" w:pos="2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the German FILO Usage exceeds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the German FILO Borrowing Base and the German Sublimit (and such excess it not then able to be reallocated as German Revolver Usage), (h) the Swiss Revolver Usage </w:t>
      </w:r>
      <w:r>
        <w:rPr>
          <w:rFonts w:ascii="Arial" w:cs="Arial" w:eastAsia="Arial" w:hAnsi="Arial"/>
          <w:sz w:val="18"/>
          <w:szCs w:val="18"/>
          <w:i w:val="1"/>
          <w:iCs w:val="1"/>
          <w:color w:val="auto"/>
        </w:rPr>
        <w:t>exceeds the lesser of</w:t>
      </w:r>
      <w:r>
        <w:rPr>
          <w:rFonts w:ascii="Arial" w:cs="Arial" w:eastAsia="Arial" w:hAnsi="Arial"/>
          <w:sz w:val="18"/>
          <w:szCs w:val="18"/>
          <w:color w:val="auto"/>
        </w:rPr>
        <w:t xml:space="preserve"> the Swiss Borrowing Base and the Swiss Sublimit, and/or (i) the Swiss FILO Usage exceeds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the Swiss FILO Borrowing Base and the Swiss Sublimit (and such excess it not then able to be reallocated as Swiss Revolver Usage).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has the meaning specified therefor in Section 13(b) of the Affiliate Guaranty.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means Weatherford International plc, an Irish public limited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Redomestication occurs subsequent to the Closing Date and Parent is not the Surviving Person resulting from such Redomestication, the term “Parent” shall refer to the Surviving Person resulting from such Redomestication.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13.1(e)</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Certificate</w:t>
      </w:r>
      <w:r>
        <w:rPr>
          <w:rFonts w:ascii="Arial" w:cs="Arial" w:eastAsia="Arial" w:hAnsi="Arial"/>
          <w:sz w:val="18"/>
          <w:szCs w:val="18"/>
          <w:color w:val="auto"/>
        </w:rPr>
        <w:t xml:space="preserve">" means a certificate executed by a Participant substantially in the form of </w:t>
      </w:r>
      <w:r>
        <w:rPr>
          <w:rFonts w:ascii="Arial" w:cs="Arial" w:eastAsia="Arial" w:hAnsi="Arial"/>
          <w:sz w:val="18"/>
          <w:szCs w:val="18"/>
          <w:u w:val="single" w:color="auto"/>
          <w:color w:val="auto"/>
        </w:rPr>
        <w:t>Exhibit P-2</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has the meaning specified therefor in the Domestic Security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Conditions</w:t>
      </w:r>
      <w:r>
        <w:rPr>
          <w:rFonts w:ascii="Arial" w:cs="Arial" w:eastAsia="Arial" w:hAnsi="Arial"/>
          <w:sz w:val="17"/>
          <w:szCs w:val="17"/>
          <w:color w:val="auto"/>
        </w:rPr>
        <w:t>" means, at the time of determination with respect to a proposed payment to fund a Specified Transaction, that:</w:t>
      </w:r>
    </w:p>
    <w:p>
      <w:pPr>
        <w:spacing w:after="0" w:line="237" w:lineRule="exact"/>
        <w:rPr>
          <w:sz w:val="20"/>
          <w:szCs w:val="20"/>
          <w:color w:val="auto"/>
        </w:rPr>
      </w:pPr>
    </w:p>
    <w:p>
      <w:pPr>
        <w:ind w:left="2180" w:hanging="875"/>
        <w:spacing w:after="0"/>
        <w:tabs>
          <w:tab w:leader="none" w:pos="218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no Default or Event of Default then exists or would arise as a result of the consummation of such Specified Transaction,</w:t>
      </w:r>
    </w:p>
    <w:p>
      <w:pPr>
        <w:spacing w:after="0" w:line="236" w:lineRule="exact"/>
        <w:rPr>
          <w:rFonts w:ascii="Arial" w:cs="Arial" w:eastAsia="Arial" w:hAnsi="Arial"/>
          <w:sz w:val="17"/>
          <w:szCs w:val="17"/>
          <w:color w:val="auto"/>
        </w:rPr>
      </w:pPr>
    </w:p>
    <w:p>
      <w:pPr>
        <w:ind w:left="2180" w:hanging="875"/>
        <w:spacing w:after="0"/>
        <w:tabs>
          <w:tab w:leader="none" w:pos="21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2"/>
          <w:numId w:val="282"/>
        </w:numPr>
        <w:rPr>
          <w:rFonts w:ascii="Arial" w:cs="Arial" w:eastAsia="Arial" w:hAnsi="Arial"/>
          <w:sz w:val="16"/>
          <w:szCs w:val="16"/>
          <w:color w:val="auto"/>
        </w:rPr>
      </w:pPr>
      <w:r>
        <w:rPr>
          <w:rFonts w:ascii="Arial" w:cs="Arial" w:eastAsia="Arial" w:hAnsi="Arial"/>
          <w:sz w:val="16"/>
          <w:szCs w:val="16"/>
          <w:color w:val="auto"/>
        </w:rPr>
        <w:t>Excess Availability (exclusive of any availability created pursuant to clause (g) of the definition of Joint Borrowing Base),</w:t>
      </w:r>
    </w:p>
    <w:p>
      <w:pPr>
        <w:spacing w:after="0" w:line="46" w:lineRule="exact"/>
        <w:rPr>
          <w:rFonts w:ascii="Arial" w:cs="Arial" w:eastAsia="Arial" w:hAnsi="Arial"/>
          <w:sz w:val="16"/>
          <w:szCs w:val="16"/>
          <w:color w:val="auto"/>
        </w:rPr>
      </w:pPr>
    </w:p>
    <w:p>
      <w:pPr>
        <w:jc w:val="both"/>
        <w:ind w:firstLine="8"/>
        <w:spacing w:after="0" w:line="254" w:lineRule="auto"/>
        <w:tabs>
          <w:tab w:leader="none" w:pos="29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at all times during the 30 consecutive days immediately preceding the date of such proposed payment and the consummation of such Specified Transaction,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if such proposed payment was made, and the Specified Transaction was consummated, on the first day of such period, and (y) immediately after giving effect to such proposed payment and Specified Transaction, in each case, is not less than </w:t>
      </w:r>
      <w:r>
        <w:rPr>
          <w:rFonts w:ascii="Arial" w:cs="Arial" w:eastAsia="Arial" w:hAnsi="Arial"/>
          <w:sz w:val="18"/>
          <w:szCs w:val="18"/>
          <w:i w:val="1"/>
          <w:iCs w:val="1"/>
          <w:color w:val="auto"/>
        </w:rPr>
        <w:t>the greater of</w:t>
      </w:r>
      <w:r>
        <w:rPr>
          <w:rFonts w:ascii="Arial" w:cs="Arial" w:eastAsia="Arial" w:hAnsi="Arial"/>
          <w:sz w:val="18"/>
          <w:szCs w:val="18"/>
          <w:color w:val="auto"/>
        </w:rPr>
        <w:t xml:space="preserve"> (A) 25% of the Line Cap and (B) $84,375,000,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2" w:name="page263"/>
    <w:bookmarkEnd w:id="262"/>
    <w:p>
      <w:pPr>
        <w:jc w:val="both"/>
        <w:ind w:firstLine="1953"/>
        <w:spacing w:after="0" w:line="269" w:lineRule="auto"/>
        <w:tabs>
          <w:tab w:leader="none" w:pos="2543"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both (A) the Fixed Charge Coverage Ratio of the Loan Parties and their Subsidiaries is equal to or greater than 1.00:1.00 for the 4 fiscal quarter period most recently ended for which financial statements are required to have been delivered to Agent pursuant to </w:t>
      </w:r>
      <w:r>
        <w:rPr>
          <w:rFonts w:ascii="Arial" w:cs="Arial" w:eastAsia="Arial" w:hAnsi="Arial"/>
          <w:sz w:val="17"/>
          <w:szCs w:val="17"/>
          <w:u w:val="single" w:color="auto"/>
          <w:color w:val="auto"/>
        </w:rPr>
        <w:t>Schedule 5.1</w:t>
      </w:r>
      <w:r>
        <w:rPr>
          <w:rFonts w:ascii="Arial" w:cs="Arial" w:eastAsia="Arial" w:hAnsi="Arial"/>
          <w:sz w:val="17"/>
          <w:szCs w:val="17"/>
          <w:color w:val="auto"/>
        </w:rPr>
        <w:t xml:space="preserve"> to this Agreement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proposed payment was made on the last day of such 4 fiscal quarter period and, except with respect to the consideration paid for a Permitted Acquisition or other payment made for an Investment, constitutes a Fixed Charge (it being understood that such proposed payment, except with respect to the consideration paid for a Permitted Acquisition or other payment made for an Investment, shall also be a Fixed Charge made on the last day of such 4 fiscal quarter period for purposes of calculating the Fixed Charge Coverage Ratio under this clause (ii) for any subsequent proposed payment to fund a Specific Transaction)), and (B) Excess Availability (exclusive of any availability created pursuant to clause (g) of the definition of Joint Borrowing Base), (x) at all times during the 30 consecutive days immediately preceding the date of such proposed payment and the consummation of such Specified Transaction,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proposed payment was made, and the Specified Transaction was consummated, on the first day of such period, and (y) immediately after giving effect to such proposed payment and Specified Transaction, in each case, is not less than </w:t>
      </w:r>
      <w:r>
        <w:rPr>
          <w:rFonts w:ascii="Arial" w:cs="Arial" w:eastAsia="Arial" w:hAnsi="Arial"/>
          <w:sz w:val="17"/>
          <w:szCs w:val="17"/>
          <w:i w:val="1"/>
          <w:iCs w:val="1"/>
          <w:color w:val="auto"/>
        </w:rPr>
        <w:t>the greater of</w:t>
      </w:r>
      <w:r>
        <w:rPr>
          <w:rFonts w:ascii="Arial" w:cs="Arial" w:eastAsia="Arial" w:hAnsi="Arial"/>
          <w:sz w:val="17"/>
          <w:szCs w:val="17"/>
          <w:color w:val="auto"/>
        </w:rPr>
        <w:t xml:space="preserve"> (A) 20% of the Line Cap and (B) $67,500,000, and</w:t>
      </w:r>
    </w:p>
    <w:p>
      <w:pPr>
        <w:spacing w:after="0" w:line="182" w:lineRule="exact"/>
        <w:rPr>
          <w:rFonts w:ascii="Arial" w:cs="Arial" w:eastAsia="Arial" w:hAnsi="Arial"/>
          <w:sz w:val="17"/>
          <w:szCs w:val="17"/>
          <w:color w:val="auto"/>
        </w:rPr>
      </w:pPr>
    </w:p>
    <w:p>
      <w:pPr>
        <w:ind w:left="2180" w:hanging="875"/>
        <w:spacing w:after="0"/>
        <w:tabs>
          <w:tab w:leader="none" w:pos="21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Administrative Borrower has delivered a certificate to Agent certifying that all conditions described in clauses (a) and (b) above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been satisfied.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the provisions of Title IV or Section 302 of ERISA or Sections 412 or 430 of the IRC sponsored, maintained, or contributed to by any Loan Party or ERISA Affiliate or to which any Loan Party or ERISA Affiliate has any liability, contingent or otherwise.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P-1</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(other than a Hostile Acquisition) by Parent or a Restricted Subsidiary if (a) at the time of and immediately after giving effect thereto, (i) Parent and its Restricted Subsidiaries are in compliance with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 (ii) the Payment Conditions are satisfied, (b) all actions required to be taken with respect to such acquired or newly formed Subsidiary under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have been taken or will be taken within the time periods set forth therein, (c) if such Acquisition involves a merger, consolidation or amalgamation of Parent or a Restricted Subsidiary with any other Person, such Acquisition is permitted under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(d) in the case of any Acquisition made by Restricted Subsidiaries that are not Wholly-Owned Subsidiaries and Restricted Subsidiaries that are not Loan Parties, the aggregate consideration paid in respect of such Acquisition, when taken together with the aggregate consideration paid in respect of all other Acquisitions consummated by such Persons since the Closing Date, does not exceed at any date of determination, an amount equal to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(i) $200,000,000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the amount of net cash proceeds from issuances of Equity Interests (other than Disqualified Equity Interests) by Parent to the extent such issuance is substantially contemporaneous with the closing of such Acquisition and such net cash proceeds are used to pay consideration in respect of such Acquisition.</w:t>
      </w:r>
    </w:p>
    <w:p>
      <w:pPr>
        <w:spacing w:after="0" w:line="16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Customer Notes Disposition</w:t>
      </w:r>
      <w:r>
        <w:rPr>
          <w:rFonts w:ascii="Arial" w:cs="Arial" w:eastAsia="Arial" w:hAnsi="Arial"/>
          <w:sz w:val="16"/>
          <w:szCs w:val="16"/>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3" w:name="page264"/>
    <w:bookmarkEnd w:id="263"/>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the exercise of good faith and reasonable credit judgment (from the perspective of a secured asset-based lender).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without duplication:</w:t>
      </w:r>
    </w:p>
    <w:p>
      <w:pPr>
        <w:spacing w:after="0" w:line="225" w:lineRule="exact"/>
        <w:rPr>
          <w:sz w:val="20"/>
          <w:szCs w:val="20"/>
          <w:color w:val="auto"/>
        </w:rPr>
      </w:pPr>
    </w:p>
    <w:p>
      <w:pPr>
        <w:jc w:val="both"/>
        <w:ind w:firstLine="1305"/>
        <w:spacing w:after="0" w:line="273" w:lineRule="auto"/>
        <w:tabs>
          <w:tab w:leader="none" w:pos="229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Liens for Taxes or unpaid utilities (i) not yet delinquent or which can thereafter be paid without penalty, (ii) which are being contested in good faith by appropriate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Taxes referenced in this clause (ii),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 so long as, in the case of this clause (iii), such Liens do not have priority over Agent's Liens on the Revolver Facility Priority Collateral unless Agent has taken a reserve (or has elected to not take a reserve at a time that Borrowers have sufficient Excess Availability therefor) for the amount of the Tax or unpaid utility;</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22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not overdue for a period of more than sixty (60) days or which are being contested in good faith by appropriate proceedings and for which adequate reserves have been made to the extent required by GAAP;</w:t>
      </w:r>
    </w:p>
    <w:p>
      <w:pPr>
        <w:spacing w:after="0" w:line="181" w:lineRule="exact"/>
        <w:rPr>
          <w:rFonts w:ascii="Arial" w:cs="Arial" w:eastAsia="Arial" w:hAnsi="Arial"/>
          <w:sz w:val="18"/>
          <w:szCs w:val="18"/>
          <w:color w:val="auto"/>
        </w:rPr>
      </w:pPr>
    </w:p>
    <w:p>
      <w:pPr>
        <w:ind w:right="20" w:firstLine="1305"/>
        <w:spacing w:after="0" w:line="277" w:lineRule="auto"/>
        <w:tabs>
          <w:tab w:leader="none" w:pos="267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pledges or deposits made in compliance with, or deemed trusts arising in connection with, workers' compensation, unemployment insurance, old age benefits, pension, employment or other social security laws or regulations;</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37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17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225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incurred or assumed by such entity in contemplation of such entity's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jc w:val="both"/>
        <w:ind w:firstLine="1305"/>
        <w:spacing w:after="0" w:line="273" w:lineRule="auto"/>
        <w:tabs>
          <w:tab w:leader="none" w:pos="219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Parent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permitted by </w:t>
      </w:r>
      <w:r>
        <w:rPr>
          <w:rFonts w:ascii="Arial" w:cs="Arial" w:eastAsia="Arial" w:hAnsi="Arial"/>
          <w:sz w:val="17"/>
          <w:szCs w:val="17"/>
          <w:u w:val="single" w:color="auto"/>
          <w:color w:val="auto"/>
        </w:rPr>
        <w:t>Section 6.1(m)</w:t>
      </w:r>
      <w:r>
        <w:rPr>
          <w:rFonts w:ascii="Arial" w:cs="Arial" w:eastAsia="Arial" w:hAnsi="Arial"/>
          <w:sz w:val="17"/>
          <w:szCs w:val="17"/>
          <w:color w:val="auto"/>
        </w:rPr>
        <w:t>, (ii) such Liens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2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incurred under this sub-clause (i)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sub-clause (i);</w:t>
      </w:r>
    </w:p>
    <w:p>
      <w:pPr>
        <w:spacing w:after="0" w:line="188" w:lineRule="exact"/>
        <w:rPr>
          <w:rFonts w:ascii="Arial" w:cs="Arial" w:eastAsia="Arial" w:hAnsi="Arial"/>
          <w:sz w:val="18"/>
          <w:szCs w:val="18"/>
          <w:color w:val="auto"/>
        </w:rPr>
      </w:pPr>
    </w:p>
    <w:p>
      <w:pPr>
        <w:ind w:left="2300" w:hanging="995"/>
        <w:spacing w:after="0"/>
        <w:tabs>
          <w:tab w:leader="none" w:pos="23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leases or subleases granted to others not interfering in any material respect with the business of Parent or any of its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2240" w:hanging="935"/>
        <w:spacing w:after="0"/>
        <w:tabs>
          <w:tab w:leader="none" w:pos="22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to secure obligations arising from statutory or regulatory requirements;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2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in favor of collecting or payor banks having a right of setoff, revocation, refund or chargeback with respect to money or instruments of Parent or any of its Restricted Subsidiaries on deposit with or in possession of such bank subject to, in the case of bank accounts pledged under a Security Agreement governed by Dutch law, a Bank Consent Letter (as defined therein), and any netting or set-off arrangement entered into by any Loan Party in the ordinary course of its banking arrangements for the purpose of netting debit and credit balances and any Lien arising under the general terms and conditions of banks or Sparkassen (</w:t>
      </w:r>
      <w:r>
        <w:rPr>
          <w:rFonts w:ascii="Arial" w:cs="Arial" w:eastAsia="Arial" w:hAnsi="Arial"/>
          <w:sz w:val="18"/>
          <w:szCs w:val="18"/>
          <w:i w:val="1"/>
          <w:iCs w:val="1"/>
          <w:color w:val="auto"/>
        </w:rPr>
        <w:t>Allgemeine Geschäftsbedingungen der Banken oder Sparkassen</w:t>
      </w:r>
      <w:r>
        <w:rPr>
          <w:rFonts w:ascii="Arial" w:cs="Arial" w:eastAsia="Arial" w:hAnsi="Arial"/>
          <w:sz w:val="18"/>
          <w:szCs w:val="18"/>
          <w:color w:val="auto"/>
        </w:rPr>
        <w:t>) with whom any Loan Party maintains a banking relationship in the ordinary course of business;</w:t>
      </w:r>
    </w:p>
    <w:p>
      <w:pPr>
        <w:spacing w:after="0" w:line="193" w:lineRule="exact"/>
        <w:rPr>
          <w:rFonts w:ascii="Arial" w:cs="Arial" w:eastAsia="Arial" w:hAnsi="Arial"/>
          <w:sz w:val="18"/>
          <w:szCs w:val="18"/>
          <w:color w:val="auto"/>
        </w:rPr>
      </w:pPr>
    </w:p>
    <w:p>
      <w:pPr>
        <w:ind w:left="2140" w:hanging="835"/>
        <w:spacing w:after="0"/>
        <w:tabs>
          <w:tab w:leader="none" w:pos="21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rights under retention of title arrangements in favor of suppliers incurred in the ordinary course of business;</w:t>
      </w:r>
    </w:p>
    <w:p>
      <w:pPr>
        <w:spacing w:after="0" w:line="225" w:lineRule="exact"/>
        <w:rPr>
          <w:rFonts w:ascii="Arial" w:cs="Arial" w:eastAsia="Arial" w:hAnsi="Arial"/>
          <w:sz w:val="18"/>
          <w:szCs w:val="18"/>
          <w:color w:val="auto"/>
        </w:rPr>
      </w:pPr>
    </w:p>
    <w:p>
      <w:pPr>
        <w:ind w:right="20" w:firstLine="1305"/>
        <w:spacing w:after="0" w:line="277" w:lineRule="auto"/>
        <w:tabs>
          <w:tab w:leader="none" w:pos="218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jc w:val="both"/>
        <w:ind w:firstLine="1305"/>
        <w:spacing w:after="0" w:line="259" w:lineRule="auto"/>
        <w:tabs>
          <w:tab w:leader="none" w:pos="24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 (ii) such Lien does not extend to any additional assets (other than improvements and accessions to, and replacements of, the assets originally subject to such Lien); and</w:t>
      </w:r>
    </w:p>
    <w:p>
      <w:pPr>
        <w:spacing w:after="0" w:line="186" w:lineRule="exact"/>
        <w:rPr>
          <w:rFonts w:ascii="Arial" w:cs="Arial" w:eastAsia="Arial" w:hAnsi="Arial"/>
          <w:sz w:val="18"/>
          <w:szCs w:val="18"/>
          <w:color w:val="auto"/>
        </w:rPr>
      </w:pPr>
    </w:p>
    <w:p>
      <w:pPr>
        <w:ind w:firstLine="1305"/>
        <w:spacing w:after="0" w:line="342" w:lineRule="auto"/>
        <w:tabs>
          <w:tab w:leader="none" w:pos="224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Lien created or subsisting to secure any obligations incurred in order to comply with the requirements of section 8a of the German Part-Time Retirement Act (</w:t>
      </w:r>
      <w:r>
        <w:rPr>
          <w:rFonts w:ascii="Arial" w:cs="Arial" w:eastAsia="Arial" w:hAnsi="Arial"/>
          <w:sz w:val="16"/>
          <w:szCs w:val="16"/>
          <w:i w:val="1"/>
          <w:iCs w:val="1"/>
          <w:color w:val="auto"/>
        </w:rPr>
        <w:t>Altersteilzeitgesetz</w:t>
      </w:r>
      <w:r>
        <w:rPr>
          <w:rFonts w:ascii="Arial" w:cs="Arial" w:eastAsia="Arial" w:hAnsi="Arial"/>
          <w:sz w:val="16"/>
          <w:szCs w:val="16"/>
          <w:color w:val="auto"/>
        </w:rPr>
        <w:t>) and/or section 7e of the Fourth Book of the German Social Security Code (</w:t>
      </w:r>
      <w:r>
        <w:rPr>
          <w:rFonts w:ascii="Arial" w:cs="Arial" w:eastAsia="Arial" w:hAnsi="Arial"/>
          <w:sz w:val="16"/>
          <w:szCs w:val="16"/>
          <w:i w:val="1"/>
          <w:iCs w:val="1"/>
          <w:color w:val="auto"/>
        </w:rPr>
        <w:t>Sozialgesetzbuch IV</w:t>
      </w:r>
      <w:r>
        <w:rPr>
          <w:rFonts w:ascii="Arial" w:cs="Arial" w:eastAsia="Arial" w:hAnsi="Arial"/>
          <w:sz w:val="16"/>
          <w:szCs w:val="16"/>
          <w:color w:val="auto"/>
        </w:rPr>
        <w:t>).</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Existing Indebtedness</w:t>
      </w:r>
      <w:r>
        <w:rPr>
          <w:rFonts w:ascii="Arial" w:cs="Arial" w:eastAsia="Arial" w:hAnsi="Arial"/>
          <w:sz w:val="18"/>
          <w:szCs w:val="18"/>
          <w:color w:val="auto"/>
        </w:rPr>
        <w:t xml:space="preserve">" means the Indebtedness of Parent and its Restricted Subsidiaries existing as of the Closing Date and identified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to this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Customers</w:t>
      </w:r>
      <w:r>
        <w:rPr>
          <w:rFonts w:ascii="Arial" w:cs="Arial" w:eastAsia="Arial" w:hAnsi="Arial"/>
          <w:sz w:val="18"/>
          <w:szCs w:val="18"/>
          <w:color w:val="auto"/>
        </w:rPr>
        <w:t>" means the Persons identified to Agent in writing on or prior to the Closing Date, as such Persons may be updated from time to time by Parent with the approval of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Transaction Documents</w:t>
      </w:r>
      <w:r>
        <w:rPr>
          <w:rFonts w:ascii="Arial" w:cs="Arial" w:eastAsia="Arial" w:hAnsi="Arial"/>
          <w:sz w:val="18"/>
          <w:szCs w:val="18"/>
          <w:color w:val="auto"/>
        </w:rPr>
        <w:t>" means each of the documents and agreements entered into in connection with any Permitted Factoring Transaction.</w:t>
      </w:r>
    </w:p>
    <w:p>
      <w:pPr>
        <w:spacing w:after="0" w:line="17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Factoring Transactions</w:t>
      </w:r>
      <w:r>
        <w:rPr>
          <w:rFonts w:ascii="Arial" w:cs="Arial" w:eastAsia="Arial" w:hAnsi="Arial"/>
          <w:sz w:val="16"/>
          <w:szCs w:val="16"/>
          <w:color w:val="auto"/>
        </w:rPr>
        <w:t xml:space="preserve">" means receivables purchase facilities and factoring transactions entered into by Parent and or any Restricted Subsidiary with respect to Receivables originated by Parent or such Restricted Subsidiary in the ordinary course of business and owing by one or more Permitted Factoring Customers, which receivables purchase facilities and factoring transaction give rise to Attributable Receivables Amounts that are non-recourse to Parent and its Restricted Subsidiaries other than limited recourse customary for receivables purchase facilities and factoring transactions of the same kind;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face amount of all receivables sold or transferred pursuant to Permitted Factoring Transactions shall not exceed $100,000,000 during any Fiscal Quarter (or $25,000,000 during any Fiscal Quarter in the case of such sales or transfers by Borrowing Base Loan Parties), (ii) such Receivables are segregated in Deposit Accounts that are separate and distinct from collection accounts receiving the proceeds of Accounts constituting Revolving Loan Priority Collateral, and Borrower and its Restricted Subsidiaries shall not otherwise comingle proceeds of Accounts received in connection with a Permitted Factoring Transaction with any Revolving Loan Priority Collateral, (iii) at the time of each sale, the Payment Conditions are satisfied, and</w:t>
      </w:r>
    </w:p>
    <w:p>
      <w:pPr>
        <w:spacing w:after="0" w:line="7" w:lineRule="exact"/>
        <w:rPr>
          <w:sz w:val="20"/>
          <w:szCs w:val="20"/>
          <w:color w:val="auto"/>
        </w:rPr>
      </w:pPr>
    </w:p>
    <w:p>
      <w:pPr>
        <w:jc w:val="both"/>
        <w:ind w:firstLine="8"/>
        <w:spacing w:after="0" w:line="268" w:lineRule="auto"/>
        <w:tabs>
          <w:tab w:leader="none" w:pos="31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in the case of any sale or transfer of Receivables in excess of a net book value of $20,000,000 (taken together with any other sale or other transfer of assets of the type included in the Borrowing Base in connection with Permitted Factoring Transactions, movement of assets of the type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5.14</w:t>
      </w:r>
      <w:r>
        <w:rPr>
          <w:rFonts w:ascii="Arial" w:cs="Arial" w:eastAsia="Arial" w:hAnsi="Arial"/>
          <w:sz w:val="17"/>
          <w:szCs w:val="17"/>
          <w:color w:val="auto"/>
        </w:rPr>
        <w:t xml:space="preserve">, Indebtedness of the type described in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Disposition of the types described in the last paragraph of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Investment of the type described in </w:t>
      </w:r>
      <w:r>
        <w:rPr>
          <w:rFonts w:ascii="Arial" w:cs="Arial" w:eastAsia="Arial" w:hAnsi="Arial"/>
          <w:sz w:val="17"/>
          <w:szCs w:val="17"/>
          <w:u w:val="single" w:color="auto"/>
          <w:color w:val="auto"/>
        </w:rPr>
        <w:t>Section 6.6(n)</w:t>
      </w:r>
      <w:r>
        <w:rPr>
          <w:rFonts w:ascii="Arial" w:cs="Arial" w:eastAsia="Arial" w:hAnsi="Arial"/>
          <w:sz w:val="17"/>
          <w:szCs w:val="17"/>
          <w:color w:val="auto"/>
        </w:rPr>
        <w:t xml:space="preserve"> and Restricted Payment of the type described in </w:t>
      </w:r>
      <w:r>
        <w:rPr>
          <w:rFonts w:ascii="Arial" w:cs="Arial" w:eastAsia="Arial" w:hAnsi="Arial"/>
          <w:sz w:val="17"/>
          <w:szCs w:val="17"/>
          <w:u w:val="single" w:color="auto"/>
          <w:color w:val="auto"/>
        </w:rPr>
        <w:t>Section 6.8(k)</w:t>
      </w:r>
      <w:r>
        <w:rPr>
          <w:rFonts w:ascii="Arial" w:cs="Arial" w:eastAsia="Arial" w:hAnsi="Arial"/>
          <w:sz w:val="17"/>
          <w:szCs w:val="17"/>
          <w:color w:val="auto"/>
        </w:rPr>
        <w:t>, in each case made during such month or, if applicable, since the date of the most recently delivered Borrowing Base Certificate during such month) made by a Borrowing Base Loan Party of assets of the type included in a Borrowing Base, the Administrative Borrower shall deliver an updated Borrowing Base Certificate to Agent within three Business Days after the consummation of such sale or transfer reflecting the removal of such assets from the Borrowing Base (or other applicable adjustment, if any), and such sale or transfer shall be permitted only to the extent no Overadvance results therefrom.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Capital Research and Management Company and its affiliates, on behalf of certain managed funds and accounts, and Franklin Advisers, Inc., as investment manager on behalf of certain funds and accounts.</w:t>
      </w:r>
    </w:p>
    <w:p>
      <w:pPr>
        <w:spacing w:after="0" w:line="17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Intercompany Specified Transactions</w:t>
      </w:r>
      <w:r>
        <w:rPr>
          <w:rFonts w:ascii="Arial" w:cs="Arial" w:eastAsia="Arial" w:hAnsi="Arial"/>
          <w:sz w:val="17"/>
          <w:szCs w:val="17"/>
          <w:color w:val="auto"/>
        </w:rPr>
        <w:t>" means capital contributions, other Investments, asset Dispositions or Restricted Payments made by Parent or a Restricted Subsidiary to or in a Restricted Subsidiary that is not a Loan Party or a Loan Party that is not Wholly-Owned (i) made in the ordinary course of business in order to comply with foreign requirements of law and accounting standards and practices with respect to minimum levels of retained earnings or other similar legal requirements, (ii) made in the ordinary course of business and in accordance with historical practices thereof prior to the commencement of the Chapter 11 Cases in connection with submitting RFPs, RFQs or other similar customer bids, (iii) made in the ordinary course of business and in accordance with historical practices thereof prior to the commencement of the Chapter 11 Cases in connection with tax optimization strategies, and (iv) made in the ordinary course of business and in accordance with historical practices thereof prior to the commencement of the Chapter 11 Cases in connection with funding operating losses of the recipient thereof.</w:t>
      </w:r>
    </w:p>
    <w:p>
      <w:pPr>
        <w:spacing w:after="0" w:line="17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Intercompany Treasury Management Transactions</w:t>
      </w:r>
      <w:r>
        <w:rPr>
          <w:rFonts w:ascii="Arial" w:cs="Arial" w:eastAsia="Arial" w:hAnsi="Arial"/>
          <w:sz w:val="16"/>
          <w:szCs w:val="16"/>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 prior to the commencement of the Chapter 11 Cases.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Investments permitted by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Liens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Protest</w:t>
      </w:r>
      <w:r>
        <w:rPr>
          <w:rFonts w:ascii="Arial" w:cs="Arial" w:eastAsia="Arial" w:hAnsi="Arial"/>
          <w:sz w:val="17"/>
          <w:szCs w:val="17"/>
          <w:color w:val="auto"/>
        </w:rPr>
        <w:t xml:space="preserve">" means the right of any Loan Party or any of its Subsidiaries to protest any Lien (other than any Lien that secures the Obligations), Taxes (other than payroll Taxes or Taxes that are the subject of a United States federal tax lien), or rental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Agent is reasonably satisfied that, while any such protest is pending, there will be no impairment of the enforceability, validity, or (unless Agent has taken a reserve (or has elected to not take a reserve at a time that Borrowers have sufficient Excess Availability therefor) for the amount of the Tax or rental payment) priority of any of Agent's Liens on the Resolver Facility Priority Collateral.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7" w:name="page268"/>
    <w:bookmarkEnd w:id="267"/>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means Indebtedness (for purposes of this definition, "</w:t>
      </w:r>
      <w:r>
        <w:rPr>
          <w:rFonts w:ascii="Arial" w:cs="Arial" w:eastAsia="Arial" w:hAnsi="Arial"/>
          <w:sz w:val="17"/>
          <w:szCs w:val="17"/>
          <w:u w:val="single" w:color="auto"/>
          <w:color w:val="auto"/>
        </w:rPr>
        <w:t>New Indebtedness</w:t>
      </w:r>
      <w:r>
        <w:rPr>
          <w:rFonts w:ascii="Arial" w:cs="Arial" w:eastAsia="Arial" w:hAnsi="Arial"/>
          <w:sz w:val="17"/>
          <w:szCs w:val="17"/>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7"/>
          <w:szCs w:val="17"/>
          <w:u w:val="single" w:color="auto"/>
          <w:color w:val="auto"/>
        </w:rPr>
        <w:t>Refinanced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(or accreted value, in the case of Indebtedness issued with original issue discount) of the New Indebtedness (including undrawn or available committed amounts) does not exceed </w:t>
      </w:r>
      <w:r>
        <w:rPr>
          <w:rFonts w:ascii="Arial" w:cs="Arial" w:eastAsia="Arial" w:hAnsi="Arial"/>
          <w:sz w:val="17"/>
          <w:szCs w:val="17"/>
          <w:i w:val="1"/>
          <w:iCs w:val="1"/>
          <w:color w:val="auto"/>
        </w:rPr>
        <w:t>the sum</w:t>
      </w:r>
      <w:r>
        <w:rPr>
          <w:rFonts w:ascii="Arial" w:cs="Arial" w:eastAsia="Arial" w:hAnsi="Arial"/>
          <w:sz w:val="17"/>
          <w:szCs w:val="17"/>
          <w:color w:val="auto"/>
        </w:rPr>
        <w:t xml:space="preserve"> of (i) the aggregate principal amount (or accreted value, in the case of Indebtedness issued with original issue discount) then outstanding of the Refinanced Indebtedness (including undrawn or available committed amounts)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to be the issuer or guarantor, as applicable, under a new issuance of such Indebtedness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Refinanced Indebtedness is of the type described in </w:t>
      </w:r>
      <w:r>
        <w:rPr>
          <w:rFonts w:ascii="Arial" w:cs="Arial" w:eastAsia="Arial" w:hAnsi="Arial"/>
          <w:sz w:val="17"/>
          <w:szCs w:val="17"/>
          <w:u w:val="single" w:color="auto"/>
          <w:color w:val="auto"/>
        </w:rPr>
        <w:t>Section 6.1(b)</w:t>
      </w:r>
      <w:r>
        <w:rPr>
          <w:rFonts w:ascii="Arial" w:cs="Arial" w:eastAsia="Arial" w:hAnsi="Arial"/>
          <w:sz w:val="17"/>
          <w:szCs w:val="17"/>
          <w:color w:val="auto"/>
        </w:rPr>
        <w:t>, the New Indebtedness may be Guaranteed by any Loan Party;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Effective Date</w:t>
      </w:r>
      <w:r>
        <w:rPr>
          <w:rFonts w:ascii="Arial" w:cs="Arial" w:eastAsia="Arial" w:hAnsi="Arial"/>
          <w:sz w:val="18"/>
          <w:szCs w:val="18"/>
          <w:color w:val="auto"/>
        </w:rPr>
        <w:t>" means the "Effective Date" as defined in the Plan of Reorganization.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means the Second Amended Joint Prepackaged Plan of Reorganization for Weatherford International plc and its Affiliate Debtors Under Chapter 11 of the Bankruptcy Code (as amended, supplemented or otherwise modified from time to time), as was approved by the Bankruptcy Court in accordance with section 1129 of the Bankruptcy Code.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Subsidiary</w:t>
      </w:r>
      <w:r>
        <w:rPr>
          <w:rFonts w:ascii="Arial" w:cs="Arial" w:eastAsia="Arial" w:hAnsi="Arial"/>
          <w:sz w:val="16"/>
          <w:szCs w:val="16"/>
          <w:color w:val="auto"/>
        </w:rPr>
        <w:t>" means a direct Subsidiary of a Loan Party that is organized in a Specified Jurisdiction and is not itself a Loan Party.</w:t>
      </w:r>
    </w:p>
    <w:p>
      <w:pPr>
        <w:spacing w:after="0" w:line="24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PPSA</w:t>
      </w:r>
      <w:r>
        <w:rPr>
          <w:rFonts w:ascii="Arial" w:cs="Arial" w:eastAsia="Arial" w:hAnsi="Arial"/>
          <w:sz w:val="16"/>
          <w:szCs w:val="16"/>
          <w:color w:val="auto"/>
        </w:rPr>
        <w:t>" means the Personal Property Security Act (Alberta) or any other applicable Canadian federal or provincial statute pertaining to the granting, perfecting, priority or ranking of security interests, liens, hypothecs on personal property, and any successor statutes, together with any regulations thereunder, in each case as in effect from time to time. References to sections of the PPSA shall be construed to also refer to any successor sections.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Officer</w:t>
      </w:r>
      <w:r>
        <w:rPr>
          <w:rFonts w:ascii="Arial" w:cs="Arial" w:eastAsia="Arial" w:hAnsi="Arial"/>
          <w:sz w:val="18"/>
          <w:szCs w:val="18"/>
          <w:color w:val="auto"/>
        </w:rPr>
        <w:t>" means, with respect to any Loan Party, the chief financial officer, the treasurer, the assistant treasurer or the principal accounting officer of such Loan Party.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8" w:name="page269"/>
    <w:bookmarkEnd w:id="268"/>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as of any date of determination:</w:t>
      </w:r>
    </w:p>
    <w:p>
      <w:pPr>
        <w:spacing w:after="0" w:line="225" w:lineRule="exact"/>
        <w:rPr>
          <w:sz w:val="20"/>
          <w:szCs w:val="20"/>
          <w:color w:val="auto"/>
        </w:rPr>
      </w:pPr>
    </w:p>
    <w:p>
      <w:pPr>
        <w:jc w:val="both"/>
        <w:ind w:firstLine="1305"/>
        <w:spacing w:after="0" w:line="259" w:lineRule="auto"/>
        <w:tabs>
          <w:tab w:leader="none" w:pos="233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229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with respect to a Lender's obligation to participate in Revolving Letters of Credit, with respect to such Lender's obligation to reimburse Issuing Bank, and with respect to such Lender's right to receive payments of Letter of Credit Fees with respect to Revolving Letters of Credit, and with respect to all other computations and other matters related to Revolving Letters of Credit, the percentage obtained by dividing (i) the Revolving Loan Exposure of such Lender, by (ii) the aggregate Revolving Loan Exposure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Revolving Loans have been repaid in full and all Revolver Commitments have been terminated, but Revolving Letters of Credit remain outstanding, Pro Rata Share under this clause shall be the percentage obtained by dividing (A) the Revolving Letter of Credit Exposure of such Lender, by (B) the Revolving Letter of Credit Exposure of all Lenders,</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224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respect to a Lender's obligation to make all or a portion of the FILO Loans, with respect to such Lender's right to receive payments of interest, fees, and principal with respect to the FILO Loans, and with respect to all other computations and other matters related to the FILO Commitments or the FILO Loans, the percentage obtained by dividing (i) the FILO Loan Exposure of such Lender, by (ii) the aggregate FILO Loan Exposure of all Lenders,</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245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with respect to a Lender's obligation to participate in FILO Letters of Credit, with respect to such Lender's obligation to reimburse Issuing Bank, and with respect to such Lender's right to receive payments of Letter of Credit Fees with respect to FILO Letters of Credit, and with respect to all other computations and other matters related to FILO Letters of Credit, the percentage obtained by dividing (i) the FILO Loan Exposure of such Lender, by (ii) the aggregate FILO Loan Exposure of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if all of the FILO Loans have been repaid in full and all FILO Commitments have been terminated, but FILO Letters of Credit remain outstanding, Pro Rata Share under this clause shall be the percentage obtained by dividing (A) the FILO Letter of Credit Exposure of such Lender, by (B) the FILO Letter of Credit Exposure of all Lenders,</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233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with respect to all other matters and for all other matters as to a particular Revolving Lender (including the indemnification obligations arising under </w:t>
      </w:r>
      <w:r>
        <w:rPr>
          <w:rFonts w:ascii="Arial" w:cs="Arial" w:eastAsia="Arial" w:hAnsi="Arial"/>
          <w:sz w:val="18"/>
          <w:szCs w:val="18"/>
          <w:u w:val="single" w:color="auto"/>
          <w:color w:val="auto"/>
        </w:rPr>
        <w:t>Section 15.7</w:t>
      </w:r>
      <w:r>
        <w:rPr>
          <w:rFonts w:ascii="Arial" w:cs="Arial" w:eastAsia="Arial" w:hAnsi="Arial"/>
          <w:sz w:val="18"/>
          <w:szCs w:val="18"/>
          <w:color w:val="auto"/>
        </w:rPr>
        <w:t xml:space="preserve"> 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all of the Revolving Loans have been repaid in full and all Revolving Commitments have been terminated, Pro Rata Share under this clause shall be the percentage obtained by dividing (A) the Revolving Letter of Credit Exposure of such Lender, by (B) the Revolving Letter of Credit Exposure of all Lenders,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jc w:val="both"/>
        <w:ind w:firstLine="1305"/>
        <w:spacing w:after="0" w:line="297" w:lineRule="auto"/>
        <w:tabs>
          <w:tab w:leader="none" w:pos="251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and for all other matters as to a particular FILO Lender (including the indemnification obligations arising under </w:t>
      </w:r>
      <w:r>
        <w:rPr>
          <w:rFonts w:ascii="Arial" w:cs="Arial" w:eastAsia="Arial" w:hAnsi="Arial"/>
          <w:sz w:val="16"/>
          <w:szCs w:val="16"/>
          <w:u w:val="single" w:color="auto"/>
          <w:color w:val="auto"/>
        </w:rPr>
        <w:t>Section 15.7</w:t>
      </w:r>
      <w:r>
        <w:rPr>
          <w:rFonts w:ascii="Arial" w:cs="Arial" w:eastAsia="Arial" w:hAnsi="Arial"/>
          <w:sz w:val="16"/>
          <w:szCs w:val="16"/>
          <w:color w:val="auto"/>
        </w:rPr>
        <w:t xml:space="preserve"> of this Agreement), the percentage obtained by dividing (i) the FILO Loan Exposure of such Lender, by (ii) the aggregate FILO Loan Exposure of all Lenders, in any such case as the applicable percentage may be adjusted by assignments permitted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FILO Loans have been repaid in full and all FILO Commitments have been terminated, Pro Rata Share under this clause shall be the percentage obtained by dividing (A) the FILO Letter of Credit Exposure of such Lender, by (B) the FILO Letter of Credit Exposure of all Lenders.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Protective Advances</w:t>
      </w:r>
      <w:r>
        <w:rPr>
          <w:rFonts w:ascii="Arial" w:cs="Arial" w:eastAsia="Arial" w:hAnsi="Arial"/>
          <w:sz w:val="16"/>
          <w:szCs w:val="16"/>
          <w:color w:val="auto"/>
        </w:rPr>
        <w:t>" means Joint Protective Advances and/or German Protective Advances and/or Swiss Protective Advances,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context requires.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17.9(c)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17.15</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Cash</w:t>
      </w:r>
      <w:r>
        <w:rPr>
          <w:rFonts w:ascii="Arial" w:cs="Arial" w:eastAsia="Arial" w:hAnsi="Arial"/>
          <w:sz w:val="18"/>
          <w:szCs w:val="18"/>
          <w:color w:val="auto"/>
        </w:rPr>
        <w:t>" means, as of any date of determination, the amount of unrestricted cash and Cash Equivalents of the Loan Parties and their Subsidiaries that is in Deposit Accounts or in Securities Accounts, or any combination thereof, and is maintained by a branch office of the bank or securities intermediary located within the United States, England, Canada, Norway, United Arab Emirates or Germany.</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and refers to any Equity Interests issued by Parent (and not by one or more of its Subsidiaries) that is not a Disqualified Equity Interest.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any estates or interests in real property now owned or hereafter acquired by any Loan Party or one of its Subsidiaries and the improvements thereto.</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means (a) the Real Property identified on </w:t>
      </w:r>
      <w:r>
        <w:rPr>
          <w:rFonts w:ascii="Arial" w:cs="Arial" w:eastAsia="Arial" w:hAnsi="Arial"/>
          <w:sz w:val="18"/>
          <w:szCs w:val="18"/>
          <w:u w:val="single" w:color="auto"/>
          <w:color w:val="auto"/>
        </w:rPr>
        <w:t>Schedule R-1</w:t>
      </w:r>
      <w:r>
        <w:rPr>
          <w:rFonts w:ascii="Arial" w:cs="Arial" w:eastAsia="Arial" w:hAnsi="Arial"/>
          <w:sz w:val="18"/>
          <w:szCs w:val="18"/>
          <w:color w:val="auto"/>
        </w:rPr>
        <w:t xml:space="preserve"> to this Agreement, and (b) any Material Real Property hereafter acquired by any Loan Party.</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 Reserves</w:t>
      </w:r>
      <w:r>
        <w:rPr>
          <w:rFonts w:ascii="Arial" w:cs="Arial" w:eastAsia="Arial" w:hAnsi="Arial"/>
          <w:sz w:val="18"/>
          <w:szCs w:val="18"/>
          <w:color w:val="auto"/>
        </w:rPr>
        <w:t xml:space="preserve">" means, as of any date of determination, those reserves that Agent deems necessary or appropriate, in its Permitted Discretion and subject to </w:t>
      </w:r>
      <w:r>
        <w:rPr>
          <w:rFonts w:ascii="Arial" w:cs="Arial" w:eastAsia="Arial" w:hAnsi="Arial"/>
          <w:sz w:val="18"/>
          <w:szCs w:val="18"/>
          <w:u w:val="single" w:color="auto"/>
          <w:color w:val="auto"/>
        </w:rPr>
        <w:t>Section 2.1(e)</w:t>
      </w:r>
      <w:r>
        <w:rPr>
          <w:rFonts w:ascii="Arial" w:cs="Arial" w:eastAsia="Arial" w:hAnsi="Arial"/>
          <w:sz w:val="18"/>
          <w:szCs w:val="18"/>
          <w:color w:val="auto"/>
        </w:rPr>
        <w:t>, to establish and maintain (including Landlord Reserves for books and records locations and reserves for rebates, discounts, warranty claims, and returns) with respect to the Eligible Accounts or the Maximum Facility Amount.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0" w:name="page271"/>
    <w:bookmarkEnd w:id="270"/>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w:t>
      </w:r>
      <w:r>
        <w:rPr>
          <w:rFonts w:ascii="Arial" w:cs="Arial" w:eastAsia="Arial" w:hAnsi="Arial"/>
          <w:sz w:val="16"/>
          <w:szCs w:val="16"/>
          <w:color w:val="auto"/>
        </w:rPr>
        <w:t>" means information that is inscribed on a tangible medium or that is stored in an electronic or other medium and is retrievable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perceivable form.</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means, with respect to any Indebtedness, the redemption, purchase, defeasance, prepayment or other acquisition or retirement for value of such Indebtedness. The term "</w:t>
      </w:r>
      <w:r>
        <w:rPr>
          <w:rFonts w:ascii="Arial" w:cs="Arial" w:eastAsia="Arial" w:hAnsi="Arial"/>
          <w:sz w:val="18"/>
          <w:szCs w:val="18"/>
          <w:u w:val="single" w:color="auto"/>
          <w:color w:val="auto"/>
        </w:rPr>
        <w:t>Redeem</w:t>
      </w:r>
      <w:r>
        <w:rPr>
          <w:rFonts w:ascii="Arial" w:cs="Arial" w:eastAsia="Arial" w:hAnsi="Arial"/>
          <w:sz w:val="18"/>
          <w:szCs w:val="18"/>
          <w:color w:val="auto"/>
        </w:rPr>
        <w:t>" has a meaning correlative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Redomestication"</w:t>
      </w:r>
      <w:r>
        <w:rPr>
          <w:rFonts w:ascii="Arial" w:cs="Arial" w:eastAsia="Arial" w:hAnsi="Arial"/>
          <w:sz w:val="18"/>
          <w:szCs w:val="18"/>
          <w:color w:val="auto"/>
        </w:rPr>
        <w:t xml:space="preserve"> means:</w:t>
      </w:r>
    </w:p>
    <w:p>
      <w:pPr>
        <w:spacing w:after="0" w:line="225" w:lineRule="exact"/>
        <w:rPr>
          <w:sz w:val="20"/>
          <w:szCs w:val="20"/>
          <w:color w:val="auto"/>
        </w:rPr>
      </w:pPr>
    </w:p>
    <w:p>
      <w:pPr>
        <w:jc w:val="both"/>
        <w:ind w:firstLine="1305"/>
        <w:spacing w:after="0" w:line="276" w:lineRule="auto"/>
        <w:tabs>
          <w:tab w:leader="none" w:pos="187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84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81" w:lineRule="exact"/>
        <w:rPr>
          <w:rFonts w:ascii="Arial" w:cs="Arial" w:eastAsia="Arial" w:hAnsi="Arial"/>
          <w:sz w:val="18"/>
          <w:szCs w:val="18"/>
          <w:color w:val="auto"/>
        </w:rPr>
      </w:pPr>
    </w:p>
    <w:p>
      <w:pPr>
        <w:ind w:firstLine="1305"/>
        <w:spacing w:after="0" w:line="277" w:lineRule="auto"/>
        <w:tabs>
          <w:tab w:leader="none" w:pos="190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jc w:val="both"/>
        <w:ind w:firstLine="1305"/>
        <w:spacing w:after="0" w:line="264" w:lineRule="auto"/>
        <w:tabs>
          <w:tab w:leader="none" w:pos="183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1" w:name="page272"/>
    <w:bookmarkEnd w:id="271"/>
    <w:p>
      <w:pPr>
        <w:ind w:firstLine="1305"/>
        <w:spacing w:after="0" w:line="277" w:lineRule="auto"/>
        <w:tabs>
          <w:tab w:leader="none" w:pos="195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Weatherford Parent,</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(in any such case the "</w:t>
      </w:r>
      <w:r>
        <w:rPr>
          <w:rFonts w:ascii="Arial" w:cs="Arial" w:eastAsia="Arial" w:hAnsi="Arial"/>
          <w:sz w:val="17"/>
          <w:szCs w:val="17"/>
          <w:u w:val="single" w:color="auto"/>
          <w:color w:val="auto"/>
        </w:rPr>
        <w:t>Surviving Person</w:t>
      </w:r>
      <w:r>
        <w:rPr>
          <w:rFonts w:ascii="Arial" w:cs="Arial" w:eastAsia="Arial" w:hAnsi="Arial"/>
          <w:sz w:val="17"/>
          <w:szCs w:val="17"/>
          <w:color w:val="auto"/>
        </w:rPr>
        <w:t xml:space="preserve">") is a corporation or other entity, validly incorporated or formed and existing in good standing (to the extent the concept of good standing is applicable) (1) under the laws of the State of Delaware or another State of the United States, Canada, Ireland, England, Wales, Scotland, Northern Ireland or The Kingdom of the Netherlands, or (2) with the consent of all of the Lenders (such consent not to be unreasonably withheld (but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class of Equity Interests of the Surviving Person issued and outstanding immediately following such action, and giving effect thereto, shall be beneficially owned by substantially the same Persons, in substantially the same percentages, as was the Equity Interests of the entity constituting the Weatherford Parent Company immediately prior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 Change of Control result from any of the actions specified in clauses (a) through (c) above) and (II) the Surviving Person shall have delivered to Agent:</w:t>
      </w:r>
    </w:p>
    <w:p>
      <w:pPr>
        <w:spacing w:after="0" w:line="178" w:lineRule="exact"/>
        <w:rPr>
          <w:sz w:val="20"/>
          <w:szCs w:val="20"/>
          <w:color w:val="auto"/>
        </w:rPr>
      </w:pPr>
    </w:p>
    <w:p>
      <w:pPr>
        <w:ind w:left="1780" w:hanging="475"/>
        <w:spacing w:after="0"/>
        <w:tabs>
          <w:tab w:leader="none" w:pos="17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certificate to the effect that, both before and after giving effect to such transaction, no Default or Event of Default exists;</w:t>
      </w:r>
    </w:p>
    <w:p>
      <w:pPr>
        <w:spacing w:after="0" w:line="225" w:lineRule="exact"/>
        <w:rPr>
          <w:rFonts w:ascii="Arial" w:cs="Arial" w:eastAsia="Arial" w:hAnsi="Arial"/>
          <w:sz w:val="18"/>
          <w:szCs w:val="18"/>
          <w:color w:val="auto"/>
        </w:rPr>
      </w:pPr>
    </w:p>
    <w:p>
      <w:pPr>
        <w:ind w:firstLine="1305"/>
        <w:spacing w:after="0" w:line="277" w:lineRule="auto"/>
        <w:tabs>
          <w:tab w:leader="none" w:pos="189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 opinion, reasonably satisfactory in form, scope and substance to Agent, of counsel reasonably satisfactory to Agent, addressing such matters in connection with the Redomestication as Agent or any Lender may reasonably request;</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if applicable, the documents required by </w:t>
      </w:r>
      <w:r>
        <w:rPr>
          <w:rFonts w:ascii="Arial" w:cs="Arial" w:eastAsia="Arial" w:hAnsi="Arial"/>
          <w:sz w:val="18"/>
          <w:szCs w:val="18"/>
          <w:u w:val="single" w:color="auto"/>
          <w:color w:val="auto"/>
        </w:rPr>
        <w:t>Section 6.2(b)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9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the Surviving Person is the New Weatherford Parent, (A) an instrument whereby such Person unconditionally guarantees the Obligations for the benefit of the Lender Group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13.1(h)</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13.1(h)</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72" w:name="page273"/>
    <w:bookmarkEnd w:id="272"/>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Rental Tool Reserves</w:t>
      </w:r>
      <w:r>
        <w:rPr>
          <w:rFonts w:ascii="Arial" w:cs="Arial" w:eastAsia="Arial" w:hAnsi="Arial"/>
          <w:sz w:val="18"/>
          <w:szCs w:val="18"/>
          <w:color w:val="auto"/>
        </w:rPr>
        <w:t xml:space="preserve">" means, as of any date of determination, those reserves that Agent deems necessary or appropriate, in its Permitted Discretion and subject to </w:t>
      </w:r>
      <w:r>
        <w:rPr>
          <w:rFonts w:ascii="Arial" w:cs="Arial" w:eastAsia="Arial" w:hAnsi="Arial"/>
          <w:sz w:val="18"/>
          <w:szCs w:val="18"/>
          <w:u w:val="single" w:color="auto"/>
          <w:color w:val="auto"/>
        </w:rPr>
        <w:t>Section 2.1(e)</w:t>
      </w:r>
      <w:r>
        <w:rPr>
          <w:rFonts w:ascii="Arial" w:cs="Arial" w:eastAsia="Arial" w:hAnsi="Arial"/>
          <w:sz w:val="18"/>
          <w:szCs w:val="18"/>
          <w:color w:val="auto"/>
        </w:rPr>
        <w:t>, to establish and maintain (including Landlord Reserves) with respect to the Eligible Rental Tools or the Maximum Facility Amount.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Rental Tools</w:t>
      </w:r>
      <w:r>
        <w:rPr>
          <w:rFonts w:ascii="Arial" w:cs="Arial" w:eastAsia="Arial" w:hAnsi="Arial"/>
          <w:sz w:val="18"/>
          <w:szCs w:val="18"/>
          <w:color w:val="auto"/>
        </w:rPr>
        <w:t>" means unfinanced drilling, fracking, well maintenance and other similar rental tools, including, without limitation, artificial lift equipment, cementation production, drilling services, drilling tools, intervention services, line hanger, pressure drilling, open and case hole, pressure pumping, production automation, sand control, testing, tubular running services, well services, and wireline, in each case constituting Inventory or Equipment of a Domestic Borrowing Base Loan Party or a Canadian Borrowing Base Loan Party, that is held in the ordinary course of business for rental to another Person that is not an Affiliate of any Loan Party.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15.16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Availability</w:t>
      </w:r>
      <w:r>
        <w:rPr>
          <w:rFonts w:ascii="Arial" w:cs="Arial" w:eastAsia="Arial" w:hAnsi="Arial"/>
          <w:sz w:val="18"/>
          <w:szCs w:val="18"/>
          <w:color w:val="auto"/>
        </w:rPr>
        <w:t xml:space="preserve">" means that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Excess Availability,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Qualified Cash exceeds $350,000,000.</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or holding more than 50% of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aggregate Revolving Loan Exposure of all Lenders,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aggregate FILO Loan Exposure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Revolving Loan Exposure and the FILO Loan Exposure of any Defaulting Lender shall be disregarded in the determination of the Required Lenders, and (ii) at any time there are two or more Lenders (who are not Affiliates of one another or Defaulting Lenders), "Required Lenders" must include at least two Lenders (who are not Affiliates of one another).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Rescission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3" w:name="page274"/>
    <w:bookmarkEnd w:id="273"/>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xml:space="preserve">" means, as of any date of determination, Inventory Reserves, Rental Tool Reserves, Receivables Reserves, Bank Product Reserves, Specified Colombia Bank Account Reserves, Foreign Cash Dominion Reserves and those other reserves that Agent deems necessary or appropriate, in its Permitted Discretion and subject to </w:t>
      </w:r>
      <w:r>
        <w:rPr>
          <w:rFonts w:ascii="Arial" w:cs="Arial" w:eastAsia="Arial" w:hAnsi="Arial"/>
          <w:sz w:val="16"/>
          <w:szCs w:val="16"/>
          <w:u w:val="single" w:color="auto"/>
          <w:color w:val="auto"/>
        </w:rPr>
        <w:t>Section 2.1(e)</w:t>
      </w:r>
      <w:r>
        <w:rPr>
          <w:rFonts w:ascii="Arial" w:cs="Arial" w:eastAsia="Arial" w:hAnsi="Arial"/>
          <w:sz w:val="16"/>
          <w:szCs w:val="16"/>
          <w:color w:val="auto"/>
        </w:rPr>
        <w:t>, to establish and maintain (including reserves with respect to (a) sums that any Loan Party or its Restricted Subsidiaries are required to pay under any Section of this Agreement or any other Loan Document (such as taxes, assessments, insurance premiums, or, in the case of leased assets, rents or other amounts payable under such leases) and has failed to pay, (b) amounts owing by any Loan Party or its Restricted Subsidiaries to any Person to the extent secured by a Lien on, or trust over, any of the Collateral (other than a Permitted Lien), which Lien or trust, in the Permitted Discretion of Agent likely would have a priority superior to Agent's Liens (such as Liens or trusts in favor of landlords, warehousemen, carriers, mechanics, materialmen, laborers, or suppliers (including retention of title claims), or Liens or trusts for ad valorem, excise, sales, or other taxes where given priority under applicable law) in and to such item of the Collateral, (c) amounts that could become due to any unsecured creditors in any Insolvency Proceeding of a BVI Loan Party or a UK Loan Party which would have priority over Agent's floating charge on the Collateral (but in any event not to exceed any statutory maximum prescribed from time to time), and (d) amounts that would become due to any trustee, insolvency administrator or other Person that could have priority over Agent's Liens on the Collateral) with respect to any Applicable Borrowing Base or the Maximum Facility Amount.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17.18(a)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on account of any Equity Interests of Parent or any Restricted Subsidiary, (b) any payment (whether in cash, securities or other property), including any sinking fund or similar deposit, on account of the purchase, redemption, retirement, acquisition, cancellation or termination of any Equity Interests of Parent or any Restricted Subsidiary,</w:t>
      </w:r>
    </w:p>
    <w:p>
      <w:pPr>
        <w:ind w:firstLine="8"/>
        <w:spacing w:after="0" w:line="261" w:lineRule="auto"/>
        <w:tabs>
          <w:tab w:leader="none" w:pos="26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voluntary Redemption of any Indebtedness prior to the stated maturity thereof or (d) any payment in violation of any subordination terms of any Indebtedness.</w:t>
      </w:r>
    </w:p>
    <w:p>
      <w:pPr>
        <w:spacing w:after="0" w:line="18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Parent that is not an Unrestricted Subsidiary. For the avoidance of doubt, each Borrower and each Guarantor (other than Parent) shall be a Restricted Subsidiary.</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Restrictive Agreement</w:t>
      </w:r>
      <w:r>
        <w:rPr>
          <w:rFonts w:ascii="Arial" w:cs="Arial" w:eastAsia="Arial" w:hAnsi="Arial"/>
          <w:sz w:val="17"/>
          <w:szCs w:val="17"/>
          <w:color w:val="auto"/>
        </w:rPr>
        <w:t>" means any agreement or other arrangement that prohibits, limits, restricts or imposes any condition upon the ability of any Loan Party to create, incur or permit to exist any Lien upon any of its property or assets (a) in favor of Agent and the Lenders to secure any of the Obligations, or (b) in favor of the L/C Facility Agent and the L/C Secured Parties to secure any of the L/C Facility Obligations.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Availability Amount</w:t>
      </w:r>
      <w:r>
        <w:rPr>
          <w:rFonts w:ascii="Arial" w:cs="Arial" w:eastAsia="Arial" w:hAnsi="Arial"/>
          <w:sz w:val="18"/>
          <w:szCs w:val="18"/>
          <w:color w:val="auto"/>
        </w:rPr>
        <w:t xml:space="preserve">" means, as of any date of determination, an amount equal to (a)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(i) the Maximum Revolver Amount and (ii) the Aggregate Borrowing Base,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(b) the then outstanding Revolver Usage.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4" w:name="page275"/>
    <w:bookmarkEnd w:id="274"/>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Commitment</w:t>
      </w:r>
      <w:r>
        <w:rPr>
          <w:rFonts w:ascii="Arial" w:cs="Arial" w:eastAsia="Arial" w:hAnsi="Arial"/>
          <w:sz w:val="17"/>
          <w:szCs w:val="17"/>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 and as such amounts may be decreased by the amount of reductions in the Revolver Commitments made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hereof.</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Facility Priority Collateral</w:t>
      </w:r>
      <w:r>
        <w:rPr>
          <w:rFonts w:ascii="Arial" w:cs="Arial" w:eastAsia="Arial" w:hAnsi="Arial"/>
          <w:sz w:val="18"/>
          <w:szCs w:val="18"/>
          <w:color w:val="auto"/>
        </w:rPr>
        <w:t>" means "ABL Priority Collateral" as such term is defined in the Intercreditor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Revolving Loans (inclusive of Swing Loans and Protective Advances),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Revolving Letter of Credit Usage.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that has Revolving Loan Exposure or Revolving Letter of Credit Exposure.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Letter of Credit Exposure</w:t>
      </w:r>
      <w:r>
        <w:rPr>
          <w:rFonts w:ascii="Arial" w:cs="Arial" w:eastAsia="Arial" w:hAnsi="Arial"/>
          <w:sz w:val="18"/>
          <w:szCs w:val="18"/>
          <w:color w:val="auto"/>
        </w:rPr>
        <w:t xml:space="preserve">" means, as of any date of determination with respect to any Lender, such Lender's participation in Revolving Letter of Credit Usage pursuant to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on such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Letter of Credit Usage</w:t>
      </w:r>
      <w:r>
        <w:rPr>
          <w:rFonts w:ascii="Arial" w:cs="Arial" w:eastAsia="Arial" w:hAnsi="Arial"/>
          <w:sz w:val="18"/>
          <w:szCs w:val="18"/>
          <w:color w:val="auto"/>
        </w:rPr>
        <w:t>" means, at any time, all Letter of Credit Usage that is not FILO Letter of Credit Usage.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Base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Exposure</w:t>
      </w:r>
      <w:r>
        <w:rPr>
          <w:rFonts w:ascii="Arial" w:cs="Arial" w:eastAsia="Arial" w:hAnsi="Arial"/>
          <w:sz w:val="18"/>
          <w:szCs w:val="18"/>
          <w:color w:val="auto"/>
        </w:rPr>
        <w:t>" means, with respect to any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LIBOR Rate Margin</w:t>
      </w:r>
      <w:r>
        <w:rPr>
          <w:rFonts w:ascii="Arial" w:cs="Arial" w:eastAsia="Arial" w:hAnsi="Arial"/>
          <w:sz w:val="18"/>
          <w:szCs w:val="18"/>
          <w:color w:val="auto"/>
        </w:rPr>
        <w:t>" has the meaning set forth in the definition of Applicable Margin.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Joint Revolving Loans and/or German Revolving Loans and/or Swiss Revolving Loans (in each case including related Extraordinary Advances), as the context requires.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Entity</w:t>
      </w:r>
      <w:r>
        <w:rPr>
          <w:rFonts w:ascii="Arial" w:cs="Arial" w:eastAsia="Arial" w:hAnsi="Arial"/>
          <w:sz w:val="18"/>
          <w:szCs w:val="18"/>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sanctions program administered and enforced by OFAC.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5" w:name="page276"/>
    <w:bookmarkEnd w:id="275"/>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(e) any Governmental Authority of Canada under the Special Economics Measures Act (Canada) or other applicable Canadian legislation or (f) any other Governmental Authority with jurisdiction over any member of Lender Group or any Loan Party or any of their respective Subsidiaries or Affiliates.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has the meaning specified therefor in the definition of Domestic Cash Equivalents.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 securities account (as that term is defined in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Agreements</w:t>
      </w:r>
      <w:r>
        <w:rPr>
          <w:rFonts w:ascii="Arial" w:cs="Arial" w:eastAsia="Arial" w:hAnsi="Arial"/>
          <w:sz w:val="17"/>
          <w:szCs w:val="17"/>
          <w:color w:val="auto"/>
        </w:rPr>
        <w:t xml:space="preserve">" means, collectively, (a) the Domestic Security Agreement, (b) the Canadian Security Agreement, (c) the agreements and other instruments described on </w:t>
      </w:r>
      <w:r>
        <w:rPr>
          <w:rFonts w:ascii="Arial" w:cs="Arial" w:eastAsia="Arial" w:hAnsi="Arial"/>
          <w:sz w:val="17"/>
          <w:szCs w:val="17"/>
          <w:u w:val="single" w:color="auto"/>
          <w:color w:val="auto"/>
        </w:rPr>
        <w:t>Schedule S-1</w:t>
      </w:r>
      <w:r>
        <w:rPr>
          <w:rFonts w:ascii="Arial" w:cs="Arial" w:eastAsia="Arial" w:hAnsi="Arial"/>
          <w:sz w:val="17"/>
          <w:szCs w:val="17"/>
          <w:color w:val="auto"/>
        </w:rPr>
        <w:t xml:space="preserve"> hereto and (d) any other security agreement, pledge agreement, debenture, charge or other similar agreement in form and substance reasonably satisfactory to Agent in favor of Agent for the benefit of itself and the other members of the Lender Group, in any such case, pursuant to which any Loan Party grants Liens on the property of such Loan Party to secure the Obligations.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2.3(e)(i)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2.3(e)(i)</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day, the secured overnight financing rate published for such day by the Federal Reserve Bank of New York, as the administrator of the benchmark, (or a successor administrator) on the Federal Reserve Bank of New York's Website.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in reference to any Person as of any date, (i) the fair value of the assets of such Person, at a fair valuation, will, as of such date, exceed its debts and liabilities (subordinated, contingent or otherwise); (ii)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(iii) such Person will, as of such date, be able to pay its debts and liabilities (subordinated, contingent or otherwise), as such debts and liabilities become absolute and matured; and (iv) such Person will not, as of such date, have unreasonably small capital with which to conduct the business in which it is engaged as such business is now conducted and is proposed to be conducted after the Closing Date.</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Colombia Bank Account Reserve</w:t>
      </w:r>
      <w:r>
        <w:rPr>
          <w:rFonts w:ascii="Arial" w:cs="Arial" w:eastAsia="Arial" w:hAnsi="Arial"/>
          <w:sz w:val="17"/>
          <w:szCs w:val="17"/>
          <w:color w:val="auto"/>
        </w:rPr>
        <w:t xml:space="preserve">" means, as of any date of determination, and solely to the extent that Eligible Accounts, set forth in the most recent Borrowing Base Certificate delivered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includes (i) Accounts with respect to which the Account Debtor maintains its chief executive office in, or is organized under the laws of, Colombia, or (ii) Accounts with respect to which payment therefor is remitted to Deposit Accounts located in Colombia, those reserves that Agent deems necessary or appropriate, in its Permitted Discretion and subject to </w:t>
      </w:r>
      <w:r>
        <w:rPr>
          <w:rFonts w:ascii="Arial" w:cs="Arial" w:eastAsia="Arial" w:hAnsi="Arial"/>
          <w:sz w:val="17"/>
          <w:szCs w:val="17"/>
          <w:u w:val="single" w:color="auto"/>
          <w:color w:val="auto"/>
        </w:rPr>
        <w:t>Section 2.1(e)</w:t>
      </w:r>
      <w:r>
        <w:rPr>
          <w:rFonts w:ascii="Arial" w:cs="Arial" w:eastAsia="Arial" w:hAnsi="Arial"/>
          <w:sz w:val="17"/>
          <w:szCs w:val="17"/>
          <w:color w:val="auto"/>
        </w:rPr>
        <w:t>, to establish and maintain, in respect of any portion of the collections of such Accounts that are deposited into a Deposit Account located in Colombia or into a Deposit Account not otherwise subject to a Deposit Account Control Agreement.</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Eligible Deposit Account</w:t>
      </w:r>
      <w:r>
        <w:rPr>
          <w:rFonts w:ascii="Arial" w:cs="Arial" w:eastAsia="Arial" w:hAnsi="Arial"/>
          <w:sz w:val="18"/>
          <w:szCs w:val="18"/>
          <w:color w:val="auto"/>
        </w:rPr>
        <w:t xml:space="preserve">" means, with respect to any Loan Party, such Loan Party's Deposit Accounts located in an Eligible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Deposit Account of a Loan Party located in an Eligible Jurisdiction becomes subject to a Deposit Account Control Agreement, such Deposit Account shall cease to be a Specified Eligible Deposit Account.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xml:space="preserve">" means a Disposition of property described in </w:t>
      </w:r>
      <w:r>
        <w:rPr>
          <w:rFonts w:ascii="Arial" w:cs="Arial" w:eastAsia="Arial" w:hAnsi="Arial"/>
          <w:sz w:val="18"/>
          <w:szCs w:val="18"/>
          <w:u w:val="single" w:color="auto"/>
          <w:color w:val="auto"/>
        </w:rPr>
        <w:t>Schedule 6.5(d)</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Event of Default</w:t>
      </w:r>
      <w:r>
        <w:rPr>
          <w:rFonts w:ascii="Arial" w:cs="Arial" w:eastAsia="Arial" w:hAnsi="Arial"/>
          <w:sz w:val="16"/>
          <w:szCs w:val="16"/>
          <w:color w:val="auto"/>
        </w:rPr>
        <w:t xml:space="preserve">" means any Event of Default described in any of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(but only with respect to clauses (a) through</w:t>
      </w:r>
    </w:p>
    <w:p>
      <w:pPr>
        <w:spacing w:after="0" w:line="46" w:lineRule="exact"/>
        <w:rPr>
          <w:sz w:val="20"/>
          <w:szCs w:val="20"/>
          <w:color w:val="auto"/>
        </w:rPr>
      </w:pPr>
    </w:p>
    <w:p>
      <w:pPr>
        <w:ind w:firstLine="8"/>
        <w:spacing w:after="0" w:line="261" w:lineRule="auto"/>
        <w:tabs>
          <w:tab w:leader="none" w:pos="26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and clauses (a) through (l) of </w:t>
      </w:r>
      <w:r>
        <w:rPr>
          <w:rFonts w:ascii="Arial" w:cs="Arial" w:eastAsia="Arial" w:hAnsi="Arial"/>
          <w:sz w:val="18"/>
          <w:szCs w:val="18"/>
          <w:u w:val="single" w:color="auto"/>
          <w:color w:val="auto"/>
        </w:rPr>
        <w:t>Schedule 5.2</w:t>
      </w:r>
      <w:r>
        <w:rPr>
          <w:rFonts w:ascii="Arial" w:cs="Arial" w:eastAsia="Arial" w:hAnsi="Arial"/>
          <w:sz w:val="18"/>
          <w:szCs w:val="18"/>
          <w:color w:val="auto"/>
        </w:rPr>
        <w:t xml:space="preserve"> to this Agreement,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(but only with respect to representations in </w:t>
      </w:r>
      <w:r>
        <w:rPr>
          <w:rFonts w:ascii="Arial" w:cs="Arial" w:eastAsia="Arial" w:hAnsi="Arial"/>
          <w:sz w:val="18"/>
          <w:szCs w:val="18"/>
          <w:u w:val="single" w:color="auto"/>
          <w:color w:val="auto"/>
        </w:rPr>
        <w:t>Sections 4.22</w:t>
      </w:r>
      <w:r>
        <w:rPr>
          <w:rFonts w:ascii="Arial" w:cs="Arial" w:eastAsia="Arial" w:hAnsi="Arial"/>
          <w:sz w:val="18"/>
          <w:szCs w:val="18"/>
          <w:color w:val="auto"/>
        </w:rPr>
        <w:t xml:space="preserve">, </w:t>
      </w:r>
      <w:r>
        <w:rPr>
          <w:rFonts w:ascii="Arial" w:cs="Arial" w:eastAsia="Arial" w:hAnsi="Arial"/>
          <w:sz w:val="18"/>
          <w:szCs w:val="18"/>
          <w:u w:val="single" w:color="auto"/>
          <w:color w:val="auto"/>
        </w:rPr>
        <w:t>4.23</w:t>
      </w:r>
      <w:r>
        <w:rPr>
          <w:rFonts w:ascii="Arial" w:cs="Arial" w:eastAsia="Arial" w:hAnsi="Arial"/>
          <w:sz w:val="18"/>
          <w:szCs w:val="18"/>
          <w:color w:val="auto"/>
        </w:rPr>
        <w:t xml:space="preserve">, </w:t>
      </w:r>
      <w:r>
        <w:rPr>
          <w:rFonts w:ascii="Arial" w:cs="Arial" w:eastAsia="Arial" w:hAnsi="Arial"/>
          <w:sz w:val="18"/>
          <w:szCs w:val="18"/>
          <w:u w:val="single" w:color="auto"/>
          <w:color w:val="auto"/>
        </w:rPr>
        <w:t>4.24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4.25</w:t>
      </w:r>
      <w:r>
        <w:rPr>
          <w:rFonts w:ascii="Arial" w:cs="Arial" w:eastAsia="Arial" w:hAnsi="Arial"/>
          <w:sz w:val="18"/>
          <w:szCs w:val="18"/>
          <w:color w:val="auto"/>
        </w:rPr>
        <w:t xml:space="preserve"> or in any Borrowing Base Certificate).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Ineligible Deposit Account</w:t>
      </w:r>
      <w:r>
        <w:rPr>
          <w:rFonts w:ascii="Arial" w:cs="Arial" w:eastAsia="Arial" w:hAnsi="Arial"/>
          <w:sz w:val="16"/>
          <w:szCs w:val="16"/>
          <w:color w:val="auto"/>
        </w:rPr>
        <w:t>" means, with respect to any Loan Party, such Loan Party's Deposit Accounts located in an Ineligible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Jurisdiction.</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Jurisdiction</w:t>
      </w:r>
      <w:r>
        <w:rPr>
          <w:rFonts w:ascii="Arial" w:cs="Arial" w:eastAsia="Arial" w:hAnsi="Arial"/>
          <w:sz w:val="18"/>
          <w:szCs w:val="18"/>
          <w:color w:val="auto"/>
        </w:rPr>
        <w:t xml:space="preserve">" means the United States of America (or any state thereof), Canada (or any province or territory thereof), the United Kingdom, Ireland, Germany, Switzerland, Luxembourg, Bermuda, the British Virgin Islands, the Netherlands, Argentina, Australia, Norway, Hungary, Panama and certain other jurisdictions to be identified from time to time by Agent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In no event shall any Excluded Jurisdiction be or become a Specified Jurisdiction.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7" w:name="page278"/>
    <w:bookmarkEnd w:id="277"/>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Indebtedness</w:t>
      </w:r>
      <w:r>
        <w:rPr>
          <w:rFonts w:ascii="Arial" w:cs="Arial" w:eastAsia="Arial" w:hAnsi="Arial"/>
          <w:sz w:val="18"/>
          <w:szCs w:val="18"/>
          <w:color w:val="auto"/>
        </w:rPr>
        <w:t xml:space="preserve">" means Funded Indebtedness (which, for purposes of </w:t>
      </w:r>
      <w:r>
        <w:rPr>
          <w:rFonts w:ascii="Arial" w:cs="Arial" w:eastAsia="Arial" w:hAnsi="Arial"/>
          <w:sz w:val="18"/>
          <w:szCs w:val="18"/>
          <w:u w:val="single" w:color="auto"/>
          <w:color w:val="auto"/>
        </w:rPr>
        <w:t>Section 6.1(j)</w:t>
      </w:r>
      <w:r>
        <w:rPr>
          <w:rFonts w:ascii="Arial" w:cs="Arial" w:eastAsia="Arial" w:hAnsi="Arial"/>
          <w:sz w:val="18"/>
          <w:szCs w:val="18"/>
          <w:color w:val="auto"/>
        </w:rPr>
        <w:t xml:space="preserve"> only, shall also include Indebtedness of the type described in clause (c) of the definition of Indebtedness) of any Loan Parties.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State</w:t>
      </w:r>
      <w:r>
        <w:rPr>
          <w:rFonts w:ascii="Arial" w:cs="Arial" w:eastAsia="Arial" w:hAnsi="Arial"/>
          <w:sz w:val="18"/>
          <w:szCs w:val="18"/>
          <w:color w:val="auto"/>
        </w:rPr>
        <w:t>" means each jurisdiction of organization of the Loan Parties, other than any Excluded Jurisdiction.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Investment, optional prepayment of Indebtedness, Permitted Acquisition or Restricted Payment (or declaration of any prepayment or Restricted Payment), or any other action permitted to be taken by a Loan Party that is expressly subject to the satisfaction of the Payment Conditions pursuant to the terms of this Agreement.</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means, for any Alternative Currency, the rate determined by Agent or an Issuing Bank as applicable, to be the rate quoted by the Person acting in such capacity as the spot rate for the purchase by such Person of such Alternative Currency with Dollars through its principal foreign exchange trading office at approximately 11:00 a.m. on the date 2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Agent or an Issuing Bank may obtain such spot rate from another financial institution designated by Agent or such Issuing Bank or third party published rate if the Person acting in such capacity does not have as of the date of determination a spot buying rate for any such currency.</w:t>
      </w:r>
    </w:p>
    <w:p>
      <w:pPr>
        <w:spacing w:after="0" w:line="15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Letter of Credit Practice</w:t>
      </w:r>
      <w:r>
        <w:rPr>
          <w:rFonts w:ascii="Arial" w:cs="Arial" w:eastAsia="Arial" w:hAnsi="Arial"/>
          <w:sz w:val="18"/>
          <w:szCs w:val="18"/>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 and, in respect of all payments to be made under this Agreement in Sterling, means immediately available, freely transferrable funds in such currency.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Holder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2.4(e)(v)</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w:t>
      </w:r>
      <w:r>
        <w:rPr>
          <w:rFonts w:ascii="Arial" w:cs="Arial" w:eastAsia="Arial" w:hAnsi="Arial"/>
          <w:sz w:val="16"/>
          <w:szCs w:val="16"/>
          <w:color w:val="auto"/>
        </w:rPr>
        <w:t>" means with respect to any Indebtedness or Guarantee of Indebtedness, that such Indebtedness or Guarantee is contractually subordinated to the Obligations on terms acceptable to Agent after taking into consideration such factors as Agent may deem relevant to such determination.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that is Subordinated.</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8" w:name="page279"/>
    <w:bookmarkEnd w:id="278"/>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FILO Lenders</w:t>
      </w:r>
      <w:r>
        <w:rPr>
          <w:rFonts w:ascii="Arial" w:cs="Arial" w:eastAsia="Arial" w:hAnsi="Arial"/>
          <w:sz w:val="18"/>
          <w:szCs w:val="18"/>
          <w:color w:val="auto"/>
        </w:rPr>
        <w:t xml:space="preserve">" means, at any time, FILO Lenders having or holding more than 66 2/3% of the aggregate FILO Loan Exposure of all FILO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FILO Loan Exposure of any Defaulting Lender shall be disregarded in the determination of the Supermajority FILO Lenders, and (ii) at any time there are two or more FILO Lenders (who are not Affiliates of one another), "Supermajority FILO Lenders" must include at least two FILO Lenders (who are not Affiliates of one another or Defaulting Lenders).</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Revolving Lenders</w:t>
      </w:r>
      <w:r>
        <w:rPr>
          <w:rFonts w:ascii="Arial" w:cs="Arial" w:eastAsia="Arial" w:hAnsi="Arial"/>
          <w:sz w:val="17"/>
          <w:szCs w:val="17"/>
          <w:color w:val="auto"/>
        </w:rPr>
        <w:t xml:space="preserve">" means, at any time, Revolving Lenders having or holding more than 66 2/3% of the aggregate Revolving Loan Exposure of all Revolving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Revolving Loan Exposure of any Defaulting Lender shall be disregarded in the determination of the Supermajority Revolving Lenders, and (ii) at any time there are two or more Revolving Lenders (who are not Affiliates of one another), "Supermajority Revolving Lenders" must include at least two Revolving Lenders (who are not Affiliates of one another or Defaulting Lenders).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17.15</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therefor in the definition of Redomestication.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Lender</w:t>
      </w:r>
      <w:r>
        <w:rPr>
          <w:rFonts w:ascii="Arial" w:cs="Arial" w:eastAsia="Arial" w:hAnsi="Arial"/>
          <w:sz w:val="18"/>
          <w:szCs w:val="18"/>
          <w:color w:val="auto"/>
        </w:rPr>
        <w:t xml:space="preserve">" means Wells Fargo or any other Lender that, at the request of Borrowers and with the consent of Agent agrees, in such Lender's sole discretion, to become the Swing Lender under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Loan</w:t>
      </w:r>
      <w:r>
        <w:rPr>
          <w:rFonts w:ascii="Arial" w:cs="Arial" w:eastAsia="Arial" w:hAnsi="Arial"/>
          <w:sz w:val="18"/>
          <w:szCs w:val="18"/>
          <w:color w:val="auto"/>
        </w:rPr>
        <w:t>" means a Joint Swing Loan and/or a German Swing Loan and/or a Swiss Swing Loan, as the context requires.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Loan Exposure</w:t>
      </w:r>
      <w:r>
        <w:rPr>
          <w:rFonts w:ascii="Arial" w:cs="Arial" w:eastAsia="Arial" w:hAnsi="Arial"/>
          <w:sz w:val="18"/>
          <w:szCs w:val="18"/>
          <w:color w:val="auto"/>
        </w:rPr>
        <w:t>" means, as of any date of determination with respect to any Lender, such Lender's Pro Rata Share of the Swing Loans on such date.</w:t>
      </w:r>
    </w:p>
    <w:p>
      <w:pPr>
        <w:spacing w:after="0" w:line="170"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Availability Amount</w:t>
      </w:r>
      <w:r>
        <w:rPr>
          <w:rFonts w:ascii="Arial" w:cs="Arial" w:eastAsia="Arial" w:hAnsi="Arial"/>
          <w:sz w:val="16"/>
          <w:szCs w:val="16"/>
          <w:color w:val="auto"/>
        </w:rPr>
        <w:t xml:space="preserve">" means, as of any date of determination, an amount equal to (a)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(i) the Swiss Sublimit and (ii) the Swiss Borrowing Base at such time,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then outstanding Swiss Usage;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Swiss Availability Amount shall be further reduced by Joint Usage and/or German Usage, as applicable, to the extent reasonably necessary to preserve the limitations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this Agreement.</w:t>
      </w:r>
    </w:p>
    <w:p>
      <w:pPr>
        <w:spacing w:after="0" w:line="14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Borrower</w:t>
      </w:r>
      <w:r>
        <w:rPr>
          <w:rFonts w:ascii="Arial" w:cs="Arial" w:eastAsia="Arial" w:hAnsi="Arial"/>
          <w:sz w:val="18"/>
          <w:szCs w:val="18"/>
          <w:color w:val="auto"/>
        </w:rPr>
        <w:t xml:space="preserve">" means, following satisfaction of the conditions set forth in </w:t>
      </w:r>
      <w:r>
        <w:rPr>
          <w:rFonts w:ascii="Arial" w:cs="Arial" w:eastAsia="Arial" w:hAnsi="Arial"/>
          <w:sz w:val="18"/>
          <w:szCs w:val="18"/>
          <w:u w:val="single" w:color="auto"/>
          <w:color w:val="auto"/>
        </w:rPr>
        <w:t>Schedule 3.1(b)</w:t>
      </w:r>
      <w:r>
        <w:rPr>
          <w:rFonts w:ascii="Arial" w:cs="Arial" w:eastAsia="Arial" w:hAnsi="Arial"/>
          <w:sz w:val="18"/>
          <w:szCs w:val="18"/>
          <w:color w:val="auto"/>
        </w:rPr>
        <w:t xml:space="preserve"> to this Agreement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Weatherford Products GmbH, a Swiss limited liability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9" w:name="page280"/>
    <w:bookmarkEnd w:id="27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Borrowing Base</w:t>
      </w:r>
      <w:r>
        <w:rPr>
          <w:rFonts w:ascii="Arial" w:cs="Arial" w:eastAsia="Arial" w:hAnsi="Arial"/>
          <w:sz w:val="18"/>
          <w:szCs w:val="18"/>
          <w:color w:val="auto"/>
        </w:rPr>
        <w:t>" means, as of any date of determination, the result of:</w:t>
      </w:r>
    </w:p>
    <w:p>
      <w:pPr>
        <w:spacing w:after="0" w:line="225" w:lineRule="exact"/>
        <w:rPr>
          <w:sz w:val="20"/>
          <w:szCs w:val="20"/>
          <w:color w:val="auto"/>
        </w:rPr>
      </w:pPr>
    </w:p>
    <w:p>
      <w:pPr>
        <w:ind w:left="2460" w:hanging="1155"/>
        <w:spacing w:after="0"/>
        <w:tabs>
          <w:tab w:leader="none" w:pos="24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90% of the Eligible Investment Grade Accounts of the Swiss Borrower,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the amount, if any, of the Dilution Reserve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applicable to such Accounts, </w:t>
      </w:r>
      <w:r>
        <w:rPr>
          <w:rFonts w:ascii="Arial" w:cs="Arial" w:eastAsia="Arial" w:hAnsi="Arial"/>
          <w:sz w:val="18"/>
          <w:szCs w:val="18"/>
          <w:i w:val="1"/>
          <w:iCs w:val="1"/>
          <w:u w:val="single" w:color="auto"/>
          <w:color w:val="auto"/>
        </w:rPr>
        <w:t>plus</w:t>
      </w:r>
    </w:p>
    <w:p>
      <w:pPr>
        <w:spacing w:after="0" w:line="210" w:lineRule="exact"/>
        <w:rPr>
          <w:rFonts w:ascii="Arial" w:cs="Arial" w:eastAsia="Arial" w:hAnsi="Arial"/>
          <w:sz w:val="17"/>
          <w:szCs w:val="17"/>
          <w:color w:val="auto"/>
        </w:rPr>
      </w:pPr>
    </w:p>
    <w:p>
      <w:pPr>
        <w:ind w:right="20" w:firstLine="1305"/>
        <w:spacing w:after="0" w:line="277" w:lineRule="auto"/>
        <w:tabs>
          <w:tab w:leader="none" w:pos="231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85% of the Eligible Accounts (excluding any Eligible Account included in the Swiss Borrowing Base pursuant to clause (a) above) of the Swiss Borrower,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ind w:right="20" w:firstLine="1953"/>
        <w:spacing w:after="0" w:line="277" w:lineRule="auto"/>
        <w:tabs>
          <w:tab w:leader="none" w:pos="297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80% of the amount of the Eligible Unbilled Accounts of the Swiss Borrower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amount, if any, of the Dilution Reserve applicable to such Accounts, and</w:t>
      </w:r>
    </w:p>
    <w:p>
      <w:pPr>
        <w:spacing w:after="0" w:line="170" w:lineRule="exact"/>
        <w:rPr>
          <w:rFonts w:ascii="Arial" w:cs="Arial" w:eastAsia="Arial" w:hAnsi="Arial"/>
          <w:sz w:val="18"/>
          <w:szCs w:val="18"/>
          <w:color w:val="auto"/>
        </w:rPr>
      </w:pPr>
    </w:p>
    <w:p>
      <w:pPr>
        <w:ind w:left="2860" w:hanging="907"/>
        <w:spacing w:after="0"/>
        <w:tabs>
          <w:tab w:leader="none" w:pos="286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the amount equal to 10% of the Swiss Borrowing Base (calculated without giving effect to this clause (c)(ii) or clause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(d)(ii) below), </w:t>
      </w:r>
      <w:r>
        <w:rPr>
          <w:rFonts w:ascii="Arial" w:cs="Arial" w:eastAsia="Arial" w:hAnsi="Arial"/>
          <w:sz w:val="18"/>
          <w:szCs w:val="18"/>
          <w:i w:val="1"/>
          <w:iCs w:val="1"/>
          <w:u w:val="single" w:color="auto"/>
          <w:color w:val="auto"/>
        </w:rPr>
        <w:t>plus</w:t>
      </w:r>
    </w:p>
    <w:p>
      <w:pPr>
        <w:spacing w:after="0" w:line="210" w:lineRule="exact"/>
        <w:rPr>
          <w:rFonts w:ascii="Arial" w:cs="Arial" w:eastAsia="Arial" w:hAnsi="Arial"/>
          <w:sz w:val="16"/>
          <w:szCs w:val="16"/>
          <w:color w:val="auto"/>
        </w:rPr>
      </w:pPr>
    </w:p>
    <w:p>
      <w:pPr>
        <w:ind w:left="2180" w:hanging="875"/>
        <w:spacing w:after="0"/>
        <w:tabs>
          <w:tab w:leader="none" w:pos="218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the lesser of</w:t>
      </w:r>
    </w:p>
    <w:p>
      <w:pPr>
        <w:spacing w:after="0" w:line="225" w:lineRule="exact"/>
        <w:rPr>
          <w:rFonts w:ascii="Arial" w:cs="Arial" w:eastAsia="Arial" w:hAnsi="Arial"/>
          <w:sz w:val="18"/>
          <w:szCs w:val="18"/>
          <w:color w:val="auto"/>
        </w:rPr>
      </w:pPr>
    </w:p>
    <w:p>
      <w:pPr>
        <w:jc w:val="both"/>
        <w:ind w:firstLine="1953"/>
        <w:spacing w:after="0" w:line="293" w:lineRule="auto"/>
        <w:tabs>
          <w:tab w:leader="none" w:pos="3082" w:val="left"/>
        </w:tabs>
        <w:numPr>
          <w:ilvl w:val="1"/>
          <w:numId w:val="298"/>
        </w:numPr>
        <w:rPr>
          <w:rFonts w:ascii="Arial" w:cs="Arial" w:eastAsia="Arial" w:hAnsi="Arial"/>
          <w:sz w:val="16"/>
          <w:szCs w:val="16"/>
          <w:color w:val="auto"/>
        </w:rPr>
      </w:pPr>
      <w:r>
        <w:rPr>
          <w:rFonts w:ascii="Arial" w:cs="Arial" w:eastAsia="Arial" w:hAnsi="Arial"/>
          <w:sz w:val="16"/>
          <w:szCs w:val="16"/>
          <w:i w:val="1"/>
          <w:iCs w:val="1"/>
          <w:color w:val="auto"/>
        </w:rPr>
        <w:t xml:space="preserve">the lesser of </w:t>
      </w:r>
      <w:r>
        <w:rPr>
          <w:rFonts w:ascii="Arial" w:cs="Arial" w:eastAsia="Arial" w:hAnsi="Arial"/>
          <w:sz w:val="16"/>
          <w:szCs w:val="16"/>
          <w:color w:val="auto"/>
        </w:rPr>
        <w:t>(A) the product of 70%</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multiplied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(calculated at the lower of cost or market on a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the Swiss Borrower's historical accounting practices) of Eligible Finished Goods Inventory and Eligible Work-in-Process Inventory at such time, and (B) the product of 85%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Net Recovery Percentage identified in the most recent Acceptable Appraisal of Inventory,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value (calculated at the lower of cost or market on a basis consistent with the Swiss Borrower's historical accounting practices) of Eligible Finished Goods Inventory and Eligible Work-in-Process Inventory (such determination may be made as to different categories of Eligible Finished Goods Inventory and Eligible Work-in-Process Inventory based upon the Net Recovery Percentage applicable to such categories) at such time, and,</w:t>
      </w:r>
    </w:p>
    <w:p>
      <w:pPr>
        <w:spacing w:after="0" w:line="164" w:lineRule="exact"/>
        <w:rPr>
          <w:rFonts w:ascii="Arial" w:cs="Arial" w:eastAsia="Arial" w:hAnsi="Arial"/>
          <w:sz w:val="16"/>
          <w:szCs w:val="16"/>
          <w:color w:val="auto"/>
        </w:rPr>
      </w:pPr>
    </w:p>
    <w:p>
      <w:pPr>
        <w:ind w:left="2860" w:hanging="907"/>
        <w:spacing w:after="0"/>
        <w:tabs>
          <w:tab w:leader="none" w:pos="286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the amount equal to 25% of the Swiss Borrowing Base (calculated without giving effect to this clause (d)(ii) or clause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(c)(ii) above), </w:t>
      </w:r>
      <w:r>
        <w:rPr>
          <w:rFonts w:ascii="Arial" w:cs="Arial" w:eastAsia="Arial" w:hAnsi="Arial"/>
          <w:sz w:val="18"/>
          <w:szCs w:val="18"/>
          <w:i w:val="1"/>
          <w:iCs w:val="1"/>
          <w:u w:val="single" w:color="auto"/>
          <w:color w:val="auto"/>
        </w:rPr>
        <w:t>minus</w:t>
      </w:r>
    </w:p>
    <w:p>
      <w:pPr>
        <w:spacing w:after="0" w:line="210" w:lineRule="exact"/>
        <w:rPr>
          <w:rFonts w:ascii="Arial" w:cs="Arial" w:eastAsia="Arial" w:hAnsi="Arial"/>
          <w:sz w:val="16"/>
          <w:szCs w:val="16"/>
          <w:color w:val="auto"/>
        </w:rPr>
      </w:pPr>
    </w:p>
    <w:p>
      <w:pPr>
        <w:ind w:left="2180" w:hanging="875"/>
        <w:spacing w:after="0"/>
        <w:tabs>
          <w:tab w:leader="none" w:pos="21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the aggregate amount of the Reserves, if any, established by Agent from time to time under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of this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Commitment</w:t>
      </w:r>
      <w:r>
        <w:rPr>
          <w:rFonts w:ascii="Arial" w:cs="Arial" w:eastAsia="Arial" w:hAnsi="Arial"/>
          <w:sz w:val="18"/>
          <w:szCs w:val="18"/>
          <w:color w:val="auto"/>
        </w:rPr>
        <w:t>" means the Swiss Revolver Commitment or the Swiss FILO Commitment, as the context requires.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Designated Account</w:t>
      </w:r>
      <w:r>
        <w:rPr>
          <w:rFonts w:ascii="Arial" w:cs="Arial" w:eastAsia="Arial" w:hAnsi="Arial"/>
          <w:sz w:val="18"/>
          <w:szCs w:val="18"/>
          <w:color w:val="auto"/>
        </w:rPr>
        <w:t xml:space="preserve">" means the Deposit Account of the Swiss Borrower identified on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this Agreement (or such other Deposit Account of the Swiss Borrower located at Designated Account Bank that has been designated as such, in writing, by the Swiss Borrower to Agent).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Federal Tax Administration</w:t>
      </w:r>
      <w:r>
        <w:rPr>
          <w:rFonts w:ascii="Arial" w:cs="Arial" w:eastAsia="Arial" w:hAnsi="Arial"/>
          <w:sz w:val="18"/>
          <w:szCs w:val="18"/>
          <w:color w:val="auto"/>
        </w:rPr>
        <w:t>" means the tax authorities referred to in article 34 of the Swiss Withholding Tax Act (</w:t>
      </w:r>
      <w:r>
        <w:rPr>
          <w:rFonts w:ascii="Arial" w:cs="Arial" w:eastAsia="Arial" w:hAnsi="Arial"/>
          <w:sz w:val="18"/>
          <w:szCs w:val="18"/>
          <w:i w:val="1"/>
          <w:iCs w:val="1"/>
          <w:color w:val="auto"/>
        </w:rPr>
        <w:t>Bundesgesetz über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die Verrechnungssteuer vom 13. Oktober </w:t>
      </w:r>
      <w:r>
        <w:rPr>
          <w:rFonts w:ascii="Arial" w:cs="Arial" w:eastAsia="Arial" w:hAnsi="Arial"/>
          <w:sz w:val="18"/>
          <w:szCs w:val="18"/>
          <w:color w:val="auto"/>
        </w:rPr>
        <w:t>1965, SR 642.21).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0" w:name="page281"/>
    <w:bookmarkEnd w:id="280"/>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FILO Borrowing Base</w:t>
      </w:r>
      <w:r>
        <w:rPr>
          <w:rFonts w:ascii="Arial" w:cs="Arial" w:eastAsia="Arial" w:hAnsi="Arial"/>
          <w:sz w:val="18"/>
          <w:szCs w:val="18"/>
          <w:color w:val="auto"/>
        </w:rPr>
        <w:t xml:space="preserve">" means an amount equal to the FILO Specified Percentage </w:t>
      </w:r>
      <w:r>
        <w:rPr>
          <w:rFonts w:ascii="Arial" w:cs="Arial" w:eastAsia="Arial" w:hAnsi="Arial"/>
          <w:sz w:val="18"/>
          <w:szCs w:val="18"/>
          <w:i w:val="1"/>
          <w:iCs w:val="1"/>
          <w:u w:val="single" w:color="auto"/>
          <w:color w:val="auto"/>
        </w:rPr>
        <w:t>multiplied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the value of each of the asset categories in clauses (a), (b), (c) and (d) of the definition of Swiss Borrowing Base.</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FILO Commitment</w:t>
      </w:r>
      <w:r>
        <w:rPr>
          <w:rFonts w:ascii="Arial" w:cs="Arial" w:eastAsia="Arial" w:hAnsi="Arial"/>
          <w:sz w:val="17"/>
          <w:szCs w:val="17"/>
          <w:color w:val="auto"/>
        </w:rPr>
        <w:t xml:space="preserve">" means, with respect to each Lender, its FILO Commitment, and, with respect to all Lenders, their FILO Commitments, in each case as such Dollar Amounts are set forth beside such Lender's name under the applicable heading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 and as such amounts may be decreased by the amount of reductions in the FILO Commitments made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hereof.</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FILO Lender</w:t>
      </w:r>
      <w:r>
        <w:rPr>
          <w:rFonts w:ascii="Arial" w:cs="Arial" w:eastAsia="Arial" w:hAnsi="Arial"/>
          <w:sz w:val="18"/>
          <w:szCs w:val="18"/>
          <w:color w:val="auto"/>
        </w:rPr>
        <w:t>" means a Lender that has a Swiss FILO Commitment, an outstanding Swiss FILO Loan or participations in respect of Swiss Letter of Credit Usage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FILO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FILO Usage</w:t>
      </w:r>
      <w:r>
        <w:rPr>
          <w:rFonts w:ascii="Arial" w:cs="Arial" w:eastAsia="Arial" w:hAnsi="Arial"/>
          <w:sz w:val="18"/>
          <w:szCs w:val="18"/>
          <w:color w:val="auto"/>
        </w:rPr>
        <w:t xml:space="preserve">" means, as of any date of determination,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 the amount of outstanding Swiss FILO Loans,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Swiss Letter of Credit Usage predicated on the FILO Subline Amount.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xml:space="preserve">" means any Guarantor incorporated in Switzerland and/or having its registered office in Switzerland and/or qualifying as a Swiss resident pursuant to art 9 of the Swiss Withholding Tax Act, and, solely with respect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16.2 hereof, shall include Swiss Borrower as a guarantor of the Obligations of the other Loan Parties.</w:t>
      </w:r>
    </w:p>
    <w:p>
      <w:pPr>
        <w:spacing w:after="0" w:line="18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(Merkblatt "Verrechnungssteuer auf Zinsen von Bankguthaben, deren Gläubiger Banken sind (Interbankguthaben)" vom 22. September 1986), circular letter No. 47 in relation to bonds of 25 July 2019 (1-047-V-2019) (Kreisschreiben Nr. 47 "Obligationen" vom 25. Juli 2019), guideline S-02.130.1 in relation to money market instruments and book claims of April 1999 (Merkblatt vom April 1999 betreffend Geldmarktpapiere und Buchforderungen inländischer Schuldner), circular letter No. 46 of 24 July 2019 (1-046-VS-2019) in relation to syndicated credit facilities (Kreisschreiben Nr. 46 "Steuerliche Behandlung von Konsortialdarlehen, Schuldscheindarlehen, Wechseln und Unterbeteiligungen" vom 24. Juli 2019), circular letter No. 34 of 26 July 2011 (1-034-V-2011) in relation to deposits (Kreisschreiben Nr. 34 "Kundenguthaben" vom 26. Juli 2011); the circular letter No. 15 of 3 October 2017 (1-015-DVS-2017) in relation to bonds and derivative financial instruments as subject matter of taxation of Swiss federal income tax, Swiss withholding tax and Swiss stamp taxes (Kreisschreiben Nr. 15 "Obligationen und derivative Finanzinstrumente als Gegenstand der direkten Bundessteuer, der Verrechnungssteuer und der Stempelabgaben" vom 3. Oktober 2017) and the notification regarding credit balances in groups (Mitteilung 010-DVS-2019 of February 2019 betreffend "Verrechnungssteuer: 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1" w:name="page282"/>
    <w:bookmarkEnd w:id="28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Lender</w:t>
      </w:r>
      <w:r>
        <w:rPr>
          <w:rFonts w:ascii="Arial" w:cs="Arial" w:eastAsia="Arial" w:hAnsi="Arial"/>
          <w:sz w:val="18"/>
          <w:szCs w:val="18"/>
          <w:color w:val="auto"/>
        </w:rPr>
        <w:t>" means a Lender with a Swiss Commitment or holding outstanding Swiss Usage.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Letter of Credit</w:t>
      </w:r>
      <w:r>
        <w:rPr>
          <w:rFonts w:ascii="Arial" w:cs="Arial" w:eastAsia="Arial" w:hAnsi="Arial"/>
          <w:sz w:val="16"/>
          <w:szCs w:val="16"/>
          <w:color w:val="auto"/>
        </w:rPr>
        <w:t>" means a letter of credit issued for the account of the Swiss Borrower pursuant to the terms of this Agreement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Letter of Credit Usage</w:t>
      </w:r>
      <w:r>
        <w:rPr>
          <w:rFonts w:ascii="Arial" w:cs="Arial" w:eastAsia="Arial" w:hAnsi="Arial"/>
          <w:sz w:val="16"/>
          <w:szCs w:val="16"/>
          <w:color w:val="auto"/>
        </w:rPr>
        <w:t>" means, as of any date of determination, the aggregate undrawn amount of all outstanding Swiss Letters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Loan Party</w:t>
      </w:r>
      <w:r>
        <w:rPr>
          <w:rFonts w:ascii="Arial" w:cs="Arial" w:eastAsia="Arial" w:hAnsi="Arial"/>
          <w:sz w:val="18"/>
          <w:szCs w:val="18"/>
          <w:color w:val="auto"/>
        </w:rPr>
        <w:t>" means the Swiss Borrower or any Swiss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Loans</w:t>
      </w:r>
      <w:r>
        <w:rPr>
          <w:rFonts w:ascii="Arial" w:cs="Arial" w:eastAsia="Arial" w:hAnsi="Arial"/>
          <w:sz w:val="18"/>
          <w:szCs w:val="18"/>
          <w:color w:val="auto"/>
        </w:rPr>
        <w:t>" means Swiss FILO Loans and Swiss Revolving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Non-Bank Rules</w:t>
      </w:r>
      <w:r>
        <w:rPr>
          <w:rFonts w:ascii="Arial" w:cs="Arial" w:eastAsia="Arial" w:hAnsi="Arial"/>
          <w:sz w:val="18"/>
          <w:szCs w:val="18"/>
          <w:color w:val="auto"/>
        </w:rPr>
        <w:t>" means together the Swiss Twenty Non-Bank Rule and the Swiss Ten Non-Bank Rule.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Obligations</w:t>
      </w:r>
      <w:r>
        <w:rPr>
          <w:rFonts w:ascii="Arial" w:cs="Arial" w:eastAsia="Arial" w:hAnsi="Arial"/>
          <w:sz w:val="18"/>
          <w:szCs w:val="18"/>
          <w:color w:val="auto"/>
        </w:rPr>
        <w:t>" means the collective Obligations of the Swiss Borrower.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Protective Advances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Qualifying Lender</w:t>
      </w:r>
      <w:r>
        <w:rPr>
          <w:rFonts w:ascii="Arial" w:cs="Arial" w:eastAsia="Arial" w:hAnsi="Arial"/>
          <w:sz w:val="16"/>
          <w:szCs w:val="16"/>
          <w:color w:val="auto"/>
        </w:rPr>
        <w:t>" means a Person that (i) is a bank as defined in the Swiss Federal Code for Banks and Savings Banks dated 8 November 1934 (</w:t>
      </w:r>
      <w:r>
        <w:rPr>
          <w:rFonts w:ascii="Arial" w:cs="Arial" w:eastAsia="Arial" w:hAnsi="Arial"/>
          <w:sz w:val="16"/>
          <w:szCs w:val="16"/>
          <w:i w:val="1"/>
          <w:iCs w:val="1"/>
          <w:color w:val="auto"/>
        </w:rPr>
        <w:t>Bundesgesetz über die Banken und Sparkassen</w:t>
      </w:r>
      <w:r>
        <w:rPr>
          <w:rFonts w:ascii="Arial" w:cs="Arial" w:eastAsia="Arial" w:hAnsi="Arial"/>
          <w:sz w:val="16"/>
          <w:szCs w:val="16"/>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5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Revolver Commitment</w:t>
      </w:r>
      <w:r>
        <w:rPr>
          <w:rFonts w:ascii="Arial" w:cs="Arial" w:eastAsia="Arial" w:hAnsi="Arial"/>
          <w:sz w:val="18"/>
          <w:szCs w:val="18"/>
          <w:color w:val="auto"/>
        </w:rPr>
        <w:t xml:space="preserve">" means, with respect to each Lender, its Revolving Commitment, and, with respect to all Lenders, the aggregate Revolver Commitments of all Swiss Lenders, in each case as such Dollar Amounts are set forth beside such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and as such amounts may be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2" w:name="page283"/>
    <w:bookmarkEnd w:id="282"/>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Revolver Usage</w:t>
      </w:r>
      <w:r>
        <w:rPr>
          <w:rFonts w:ascii="Arial" w:cs="Arial" w:eastAsia="Arial" w:hAnsi="Arial"/>
          <w:sz w:val="16"/>
          <w:szCs w:val="16"/>
          <w:color w:val="auto"/>
        </w:rPr>
        <w:t xml:space="preserve">" means, as of any date of determination,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amount of outstanding Swiss Revolving Loans (inclusive of Swiss Swing Loans and Swiss Protective Advances),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amount of the Swiss Letter of Credit Usage not predicated on the FILO Subline Amount.</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Revolving Lender</w:t>
      </w:r>
      <w:r>
        <w:rPr>
          <w:rFonts w:ascii="Arial" w:cs="Arial" w:eastAsia="Arial" w:hAnsi="Arial"/>
          <w:sz w:val="18"/>
          <w:szCs w:val="18"/>
          <w:color w:val="auto"/>
        </w:rPr>
        <w:t>" means a Swiss Lender that has a Swiss Revolver Commitment, an outstanding Swiss Revolving Loan or participations in respect of Swiss Letter of Credit Usage not predicated on the FILO Subline Amount.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Revolving Loans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Security Documents</w:t>
      </w:r>
      <w:r>
        <w:rPr>
          <w:rFonts w:ascii="Arial" w:cs="Arial" w:eastAsia="Arial" w:hAnsi="Arial"/>
          <w:sz w:val="18"/>
          <w:szCs w:val="18"/>
          <w:color w:val="auto"/>
        </w:rPr>
        <w:t>" means the Collateral Documents governed by the laws of Switzerland.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Sublimit</w:t>
      </w:r>
      <w:r>
        <w:rPr>
          <w:rFonts w:ascii="Arial" w:cs="Arial" w:eastAsia="Arial" w:hAnsi="Arial"/>
          <w:sz w:val="18"/>
          <w:szCs w:val="18"/>
          <w:color w:val="auto"/>
        </w:rPr>
        <w:t>" means $10,000,000.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Swing Loan</w:t>
      </w:r>
      <w:r>
        <w:rPr>
          <w:rFonts w:ascii="Arial" w:cs="Arial" w:eastAsia="Arial" w:hAnsi="Arial"/>
          <w:sz w:val="18"/>
          <w:szCs w:val="18"/>
          <w:color w:val="auto"/>
        </w:rPr>
        <w:t>" and "</w:t>
      </w:r>
      <w:r>
        <w:rPr>
          <w:rFonts w:ascii="Arial" w:cs="Arial" w:eastAsia="Arial" w:hAnsi="Arial"/>
          <w:sz w:val="18"/>
          <w:szCs w:val="18"/>
          <w:u w:val="single" w:color="auto"/>
          <w:color w:val="auto"/>
        </w:rPr>
        <w:t>Swiss Swing Loans</w:t>
      </w:r>
      <w:r>
        <w:rPr>
          <w:rFonts w:ascii="Arial" w:cs="Arial" w:eastAsia="Arial" w:hAnsi="Arial"/>
          <w:sz w:val="18"/>
          <w:szCs w:val="18"/>
          <w:color w:val="auto"/>
        </w:rPr>
        <w:t xml:space="preserve">" have the meanings specified therefor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Ten Non-Bank Rule</w:t>
      </w:r>
      <w:r>
        <w:rPr>
          <w:rFonts w:ascii="Arial" w:cs="Arial" w:eastAsia="Arial" w:hAnsi="Arial"/>
          <w:sz w:val="18"/>
          <w:szCs w:val="18"/>
          <w:color w:val="auto"/>
        </w:rPr>
        <w:t>" means the rule that the aggregate number of Lenders other than Swiss Qualifying Lenders of a Swiss Loan Party under this Agreement must not at any time exceed ten (10); in each case in accordance with the meaning of the Swiss Guidelines or the applicable legislation or explanatory notes addressing the same issues that are in force at such time.</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Twenty Non-Bank Rule</w:t>
      </w:r>
      <w:r>
        <w:rPr>
          <w:rFonts w:ascii="Arial" w:cs="Arial" w:eastAsia="Arial" w:hAnsi="Arial"/>
          <w:sz w:val="16"/>
          <w:szCs w:val="16"/>
          <w:color w:val="auto"/>
        </w:rPr>
        <w:t>" means the rule that the aggregate number of creditors other than Swiss Qualifying Lenders of a Swiss Loan Party under all its outstanding debts relevant for the classification as debentures (</w:t>
      </w:r>
      <w:r>
        <w:rPr>
          <w:rFonts w:ascii="Arial" w:cs="Arial" w:eastAsia="Arial" w:hAnsi="Arial"/>
          <w:sz w:val="16"/>
          <w:szCs w:val="16"/>
          <w:i w:val="1"/>
          <w:iCs w:val="1"/>
          <w:color w:val="auto"/>
        </w:rPr>
        <w:t>Kassenobligation</w:t>
      </w:r>
      <w:r>
        <w:rPr>
          <w:rFonts w:ascii="Arial" w:cs="Arial" w:eastAsia="Arial" w:hAnsi="Arial"/>
          <w:sz w:val="16"/>
          <w:szCs w:val="16"/>
          <w:color w:val="auto"/>
        </w:rPr>
        <w:t>) (within the meaning of the Swiss Guidelines), including any Letters of Credit issued under this Agreement to the Swiss Borrower, must not at any time exceed twenty (20), in each case in accordance with the meaning of the Swiss Guidelines or the applicable legislation or explanatory notes addressing the same issues that are in force at such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Usage</w:t>
      </w:r>
      <w:r>
        <w:rPr>
          <w:rFonts w:ascii="Arial" w:cs="Arial" w:eastAsia="Arial" w:hAnsi="Arial"/>
          <w:sz w:val="17"/>
          <w:szCs w:val="17"/>
          <w:color w:val="auto"/>
        </w:rPr>
        <w:t xml:space="preserve">" means, as of any date of determination, </w:t>
      </w:r>
      <w:r>
        <w:rPr>
          <w:rFonts w:ascii="Arial" w:cs="Arial" w:eastAsia="Arial" w:hAnsi="Arial"/>
          <w:sz w:val="17"/>
          <w:szCs w:val="17"/>
          <w:i w:val="1"/>
          <w:iCs w:val="1"/>
          <w:color w:val="auto"/>
        </w:rPr>
        <w:t>the sum of</w:t>
      </w:r>
      <w:r>
        <w:rPr>
          <w:rFonts w:ascii="Arial" w:cs="Arial" w:eastAsia="Arial" w:hAnsi="Arial"/>
          <w:sz w:val="17"/>
          <w:szCs w:val="17"/>
          <w:color w:val="auto"/>
        </w:rPr>
        <w:t xml:space="preserve"> (a) the Swiss FILO Usage,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the Swiss Revolver Usage.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taxes imposed under the Swiss Withholding Tax Act.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 Act</w:t>
      </w:r>
      <w:r>
        <w:rPr>
          <w:rFonts w:ascii="Arial" w:cs="Arial" w:eastAsia="Arial" w:hAnsi="Arial"/>
          <w:sz w:val="18"/>
          <w:szCs w:val="18"/>
          <w:color w:val="auto"/>
        </w:rPr>
        <w:t>" means the Swiss Federal Act on the Withholding Tax of 13 October 1965 (</w:t>
      </w:r>
      <w:r>
        <w:rPr>
          <w:rFonts w:ascii="Arial" w:cs="Arial" w:eastAsia="Arial" w:hAnsi="Arial"/>
          <w:sz w:val="18"/>
          <w:szCs w:val="18"/>
          <w:i w:val="1"/>
          <w:iCs w:val="1"/>
          <w:color w:val="auto"/>
        </w:rPr>
        <w:t>Bundesgesetz über die</w:t>
      </w:r>
      <w:r>
        <w:rPr>
          <w:rFonts w:ascii="Arial" w:cs="Arial" w:eastAsia="Arial" w:hAnsi="Arial"/>
          <w:sz w:val="18"/>
          <w:szCs w:val="18"/>
          <w:color w:val="auto"/>
        </w:rPr>
        <w:t xml:space="preserve"> </w:t>
      </w:r>
      <w:r>
        <w:rPr>
          <w:rFonts w:ascii="Arial" w:cs="Arial" w:eastAsia="Arial" w:hAnsi="Arial"/>
          <w:sz w:val="18"/>
          <w:szCs w:val="18"/>
          <w:i w:val="1"/>
          <w:iCs w:val="1"/>
          <w:color w:val="auto"/>
        </w:rPr>
        <w:t>Verrechnungssteuer</w:t>
      </w:r>
      <w:r>
        <w:rPr>
          <w:rFonts w:ascii="Arial" w:cs="Arial" w:eastAsia="Arial" w:hAnsi="Arial"/>
          <w:sz w:val="18"/>
          <w:szCs w:val="18"/>
          <w:color w:val="auto"/>
        </w:rPr>
        <w:t>), together with the related ordinances, regulations and guidelines, all as amended and applicable from time to time.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taxes, levies, imposts, duties, fees, assessments or other charges of whatever nature now or hereafter imposed by any taxing authority, and all interest, penalties or similar liabilities with respect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3" w:name="page284"/>
    <w:bookmarkEnd w:id="28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Lender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means the forward-looking term rate based on SOFR that has been selected or recommended by the Relevant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Body.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Testing Period</w:t>
      </w:r>
      <w:r>
        <w:rPr>
          <w:rFonts w:ascii="Arial" w:cs="Arial" w:eastAsia="Arial" w:hAnsi="Arial"/>
          <w:sz w:val="16"/>
          <w:szCs w:val="16"/>
          <w:color w:val="auto"/>
        </w:rPr>
        <w:t>" means any period of four consecutive Fiscal Quarters (whether or not such quarters are all within the same Fiscal Year).</w:t>
      </w:r>
    </w:p>
    <w:p>
      <w:pPr>
        <w:spacing w:after="0" w:line="2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Asset Value</w:t>
      </w:r>
      <w:r>
        <w:rPr>
          <w:rFonts w:ascii="Arial" w:cs="Arial" w:eastAsia="Arial" w:hAnsi="Arial"/>
          <w:sz w:val="18"/>
          <w:szCs w:val="18"/>
          <w:color w:val="auto"/>
        </w:rPr>
        <w:t>" means, as of any date of determination, the book value of all assets of Parent and its Restricted Subsidiaries on a consolidated basis as of such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has the meaning specified therefor in the Domestic Security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this Agreement, the other Loan Documents, the L/C Facility Credit Agreement, the other L/C Facility Loan Documents, the Unsecured Notes Indenture, and the occurrence of the Plan Effective Date in connection with the Plan of Reorganization and all related transactions.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Parties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15.20</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2007 Revision, International Chamber of Commerce Publication No. 600 and any version or revision thereof accepted by an Issuing Bank for use.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Borrowing Base Loan Parties</w:t>
      </w:r>
      <w:r>
        <w:rPr>
          <w:rFonts w:ascii="Arial" w:cs="Arial" w:eastAsia="Arial" w:hAnsi="Arial"/>
          <w:sz w:val="18"/>
          <w:szCs w:val="18"/>
          <w:color w:val="auto"/>
        </w:rPr>
        <w:t>" means Weatherford U.K. Limited, a limited company incorporated in England and Wales under registered number 00862925, together with any other Borrowing Base Loan Party formed or organized under the laws of England and Wales following the completion of a field examination and appraisal with respect to the applicable assets of such Person and the consent of Agent in its Permitted Discretion to the designation of such Person as a UK Borrowing Base Loan Party.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means the Benchmark Replacement excluding the Benchmark Replacement Adjustment.</w:t>
      </w:r>
    </w:p>
    <w:p>
      <w:pPr>
        <w:spacing w:after="0" w:line="23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Unfinanced Capital Expenditures</w:t>
      </w:r>
      <w:r>
        <w:rPr>
          <w:rFonts w:ascii="Arial" w:cs="Arial" w:eastAsia="Arial" w:hAnsi="Arial"/>
          <w:sz w:val="17"/>
          <w:szCs w:val="17"/>
          <w:color w:val="auto"/>
        </w:rPr>
        <w:t>" means Capital Expenditures (a) not financed with the proceeds of any incurrence of Indebtedness (other than the incurrence of any Revolving Loans), the proceeds of any sale or issuance of Equity Interests or equity contributions, the proceeds of any asset sale (other than the sale of Inventory in the ordinary course of business) or any insurance proceeds, and (b) that are not reimbursed by a third person (excluding any Loan Party or any of its Affiliates) in the period such expenditures are made pursuant to a written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4" w:name="page285"/>
    <w:bookmarkEnd w:id="284"/>
    <w:p>
      <w:pPr>
        <w:jc w:val="both"/>
        <w:ind w:firstLine="1297"/>
        <w:spacing w:after="0" w:line="274" w:lineRule="auto"/>
        <w:rPr>
          <w:sz w:val="20"/>
          <w:szCs w:val="20"/>
          <w:color w:val="auto"/>
        </w:rPr>
      </w:pPr>
      <w:r>
        <w:rPr>
          <w:rFonts w:ascii="Arial" w:cs="Arial" w:eastAsia="Arial" w:hAnsi="Arial"/>
          <w:sz w:val="17"/>
          <w:szCs w:val="17"/>
          <w:color w:val="auto"/>
        </w:rPr>
        <w:t>In addition, notwithstanding the above, (a) Unfinanced Capital Expenditures for the Fiscal Quarter ended December 31, 2018, shall be deemed to be $76,000,000, (b) Unfinanced Capital Expenditures for the Fiscal Quarter ended March 31, 2019, shall be deemed to be $59,000,000,</w:t>
      </w:r>
    </w:p>
    <w:p>
      <w:pPr>
        <w:jc w:val="both"/>
        <w:ind w:firstLine="8"/>
        <w:spacing w:after="0" w:line="254" w:lineRule="auto"/>
        <w:tabs>
          <w:tab w:leader="none" w:pos="2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Unfinanced Capital Expenditures for the Fiscal Quarter ended June 30, 2019, shall be deemed to be $55,000,000, (d) Unfinanced Capital Expenditures for the Fiscal Quarter ended September 30, 2019, shall be deemed to be $63,000,000, and (e) Unfinanced Capital Expenditures for the Fiscal Quarter ended December 31, 2019, shall be calculated in a manner consistent with the calculation methodology used in determining the amounts set forth in the preceding clauses (a) through (d).</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as of any date of determination, an amount, not to exceed $100,000,000 and exclusive of any amounts constituting cash described in clause (g) of the definition of Joint Borrowing Base, equal to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all cash and Cash Equivalents of the Loan Parties that are not "restricted" for purposes of GAAP and are held in a Deposit Account subject to a Deposit Account Control Agreement or a Securities Account subject to a Control Agreement.</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(other than any Borrower or Borrowing Base Loan Party) which Parent has designated in writing to Agent to be an Unrestricted Subsidiary pursuant to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and (b) any direct or indirect Subsidiary of any Subsidiary described in clause (a), in each case that meets the following requirements:</w:t>
      </w:r>
    </w:p>
    <w:p>
      <w:pPr>
        <w:spacing w:after="0" w:line="181" w:lineRule="exact"/>
        <w:rPr>
          <w:sz w:val="20"/>
          <w:szCs w:val="20"/>
          <w:color w:val="auto"/>
        </w:rPr>
      </w:pPr>
    </w:p>
    <w:p>
      <w:pPr>
        <w:ind w:left="1780" w:hanging="475"/>
        <w:spacing w:after="0"/>
        <w:tabs>
          <w:tab w:leader="none" w:pos="17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Subsidiary shall have no Indebtedness with recourse to Parent or any Restricted Subsidiary;</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such Subsidiary is not party to any agreement, contract, arrangement or understanding with Parent or any Restricted Subsidiary that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violates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1305"/>
        <w:spacing w:after="0" w:line="257" w:lineRule="auto"/>
        <w:tabs>
          <w:tab w:leader="none" w:pos="19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Parent nor any of its Restricted Subsidiaries has any direct or indirect obligation (A) to subscribe for additional Equity Interests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clause (B));</w:t>
      </w:r>
    </w:p>
    <w:p>
      <w:pPr>
        <w:spacing w:after="0" w:line="188" w:lineRule="exact"/>
        <w:rPr>
          <w:rFonts w:ascii="Arial" w:cs="Arial" w:eastAsia="Arial" w:hAnsi="Arial"/>
          <w:sz w:val="18"/>
          <w:szCs w:val="18"/>
          <w:color w:val="auto"/>
        </w:rPr>
      </w:pPr>
    </w:p>
    <w:p>
      <w:pPr>
        <w:ind w:firstLine="1305"/>
        <w:spacing w:after="0" w:line="277" w:lineRule="auto"/>
        <w:tabs>
          <w:tab w:leader="none" w:pos="196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Subsidiary does not, either individually or together with other Subsidiaries that are designated as Unrestricted Subsidiaries, own or operate, directly or indirectly, all or substantially all of the assets of Parent and its Subsidiaries;</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Subsidiary does not hold any Equity Interests in, or any Indebtedness of, Parent or any Restricted Subsidiary;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5" w:name="page286"/>
    <w:bookmarkEnd w:id="285"/>
    <w:p>
      <w:pPr>
        <w:ind w:left="1880" w:hanging="575"/>
        <w:spacing w:after="0"/>
        <w:tabs>
          <w:tab w:leader="none" w:pos="18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at the time such Subsidiary is designated as an Unrestricted Subsidiary, the Payment Conditions are satisfied.</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Notes</w:t>
      </w:r>
      <w:r>
        <w:rPr>
          <w:rFonts w:ascii="Arial" w:cs="Arial" w:eastAsia="Arial" w:hAnsi="Arial"/>
          <w:sz w:val="18"/>
          <w:szCs w:val="18"/>
          <w:color w:val="auto"/>
        </w:rPr>
        <w:t>" means the 11.000% Senior Unsecured Notes due 2024 issued by WIL-Bermuda.</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Notes Indenture</w:t>
      </w:r>
      <w:r>
        <w:rPr>
          <w:rFonts w:ascii="Arial" w:cs="Arial" w:eastAsia="Arial" w:hAnsi="Arial"/>
          <w:sz w:val="16"/>
          <w:szCs w:val="16"/>
          <w:color w:val="auto"/>
        </w:rPr>
        <w:t>" means that certain Indenture, dated as of December 13, 2019, among WIL-Bermuda, as issuer, Parent, as a guarantor, WIL-Delaware, as a guarantor, the other guarantors party thereto, and Deutsche Bank Trust Company Americas, as trustee, as supplemented or otherwise modified by all supplemental indentures thereto or any other document supplementing or modifying the terms of such Indenture.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17.15</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Qualifying Lender</w:t>
      </w:r>
      <w:r>
        <w:rPr>
          <w:rFonts w:ascii="Arial" w:cs="Arial" w:eastAsia="Arial" w:hAnsi="Arial"/>
          <w:sz w:val="18"/>
          <w:szCs w:val="18"/>
          <w:color w:val="auto"/>
        </w:rPr>
        <w:t>" means a Person that is entitled to receive, as of the Closing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UETA</w:t>
      </w:r>
      <w:r>
        <w:rPr>
          <w:rFonts w:ascii="Arial" w:cs="Arial" w:eastAsia="Arial" w:hAnsi="Arial"/>
          <w:sz w:val="18"/>
          <w:szCs w:val="18"/>
          <w:color w:val="auto"/>
        </w:rPr>
        <w:t>" means the Uniform Electronic Transactions Act as in effect from time to time in any applicable jurisdiction.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value-added tax.</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17.8</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Parent Company</w:t>
      </w:r>
      <w:r>
        <w:rPr>
          <w:rFonts w:ascii="Arial" w:cs="Arial" w:eastAsia="Arial" w:hAnsi="Arial"/>
          <w:sz w:val="18"/>
          <w:szCs w:val="18"/>
          <w:color w:val="auto"/>
        </w:rPr>
        <w:t>" means Parent or, if a Redomestication has occurred subsequent to the Closing Date and prior to the event in question on the date of determination, the Surviving Person resulting from such Redomestication.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 Canada</w:t>
      </w:r>
      <w:r>
        <w:rPr>
          <w:rFonts w:ascii="Arial" w:cs="Arial" w:eastAsia="Arial" w:hAnsi="Arial"/>
          <w:sz w:val="18"/>
          <w:szCs w:val="18"/>
          <w:color w:val="auto"/>
        </w:rPr>
        <w:t>" means Wells Fargo Capital Finance Corporation Canada.</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any Restricted Subsidiary of which all issued and outstanding Equity Interests (excluding directors' qualifying shares or similar jurisdictional requirements) are directly or indirectly owned by such Person. Unless the context otherwise clearly requires, references in this Agreement to a "Wholly-Owned Subsidiary" or the "Wholly-Owned Subsidiaries" refer to a Wholly-Owned Subsidiary or Wholly-Owned Subsidiaries of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6" w:name="page287"/>
    <w:bookmarkEnd w:id="28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WIL-Bermuda</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WIL-Delaware</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with respect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WOFS Assurance</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w:t>
      </w:r>
    </w:p>
    <w:p>
      <w:pPr>
        <w:spacing w:after="0" w:line="225" w:lineRule="exact"/>
        <w:rPr>
          <w:sz w:val="20"/>
          <w:szCs w:val="20"/>
          <w:color w:val="auto"/>
        </w:rPr>
      </w:pPr>
    </w:p>
    <w:p>
      <w:pPr>
        <w:ind w:right="20" w:firstLine="1305"/>
        <w:spacing w:after="0" w:line="277" w:lineRule="auto"/>
        <w:tabs>
          <w:tab w:leader="none" w:pos="187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25" w:lineRule="exact"/>
        <w:rPr>
          <w:sz w:val="20"/>
          <w:szCs w:val="20"/>
          <w:color w:val="auto"/>
        </w:rPr>
      </w:pPr>
    </w:p>
    <w:p>
      <w:pPr>
        <w:jc w:val="both"/>
        <w:ind w:firstLine="1305"/>
        <w:spacing w:after="0" w:line="297" w:lineRule="auto"/>
        <w:tabs>
          <w:tab w:leader="none" w:pos="182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58" w:lineRule="exact"/>
        <w:rPr>
          <w:rFonts w:ascii="Arial" w:cs="Arial" w:eastAsia="Arial" w:hAnsi="Arial"/>
          <w:sz w:val="16"/>
          <w:szCs w:val="16"/>
          <w:color w:val="auto"/>
        </w:rPr>
      </w:pPr>
    </w:p>
    <w:p>
      <w:pPr>
        <w:ind w:left="1840" w:hanging="535"/>
        <w:spacing w:after="0"/>
        <w:tabs>
          <w:tab w:leader="none" w:pos="18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225" w:lineRule="exact"/>
        <w:rPr>
          <w:sz w:val="20"/>
          <w:szCs w:val="20"/>
          <w:color w:val="auto"/>
        </w:rPr>
      </w:pPr>
    </w:p>
    <w:p>
      <w:pPr>
        <w:ind w:left="1820" w:hanging="515"/>
        <w:spacing w:after="0"/>
        <w:tabs>
          <w:tab w:leader="none" w:pos="18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25" w:lineRule="exact"/>
        <w:rPr>
          <w:sz w:val="20"/>
          <w:szCs w:val="20"/>
          <w:color w:val="auto"/>
        </w:rPr>
      </w:pPr>
    </w:p>
    <w:p>
      <w:pPr>
        <w:jc w:val="both"/>
        <w:ind w:firstLine="1305"/>
        <w:spacing w:after="0" w:line="297" w:lineRule="auto"/>
        <w:tabs>
          <w:tab w:leader="none" w:pos="18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7" w:name="page288"/>
    <w:bookmarkEnd w:id="287"/>
    <w:p>
      <w:pPr>
        <w:ind w:left="1840" w:hanging="535"/>
        <w:spacing w:after="0"/>
        <w:tabs>
          <w:tab w:leader="none" w:pos="18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 xml:space="preserve">. All accounting terms not specifically defined herein shall be construed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"Parent" is used in respect of a financial covenant or a related definition, it shall be understood to mean Parent and its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Code; PPSA</w:t>
      </w:r>
      <w:r>
        <w:rPr>
          <w:rFonts w:ascii="Arial" w:cs="Arial" w:eastAsia="Arial" w:hAnsi="Arial"/>
          <w:sz w:val="17"/>
          <w:szCs w:val="17"/>
          <w:color w:val="auto"/>
        </w:rPr>
        <w:t xml:space="preserve">. Any terms used in this Agreement that are defined in (a) the Code shall be construed and defined as set forth in the Code unless otherwise defined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Code is used to define any term herein and such term is defined differently in different Articles of the Code, the definition of such term contained in Article 9 of the Code shall govern, and (b) the PPSA (but not the Code) shall be construed and defined as set forth in the PPSA unless otherwise defined herein. Notwithstanding the foregoing, and where the context so requires, (i) any term defined in this Agreement by reference to the "Code", the "UCC" or the "Uniform Commercial Code" shall also have any extended, alternative or analogous meaning given to such term in applicable Canadian personal property security and other laws (including, without limitation, the </w:t>
      </w:r>
      <w:r>
        <w:rPr>
          <w:rFonts w:ascii="Arial" w:cs="Arial" w:eastAsia="Arial" w:hAnsi="Arial"/>
          <w:sz w:val="17"/>
          <w:szCs w:val="17"/>
          <w:i w:val="1"/>
          <w:iCs w:val="1"/>
          <w:color w:val="auto"/>
        </w:rPr>
        <w:t>Personal Property Security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 </w:t>
      </w:r>
      <w:r>
        <w:rPr>
          <w:rFonts w:ascii="Arial" w:cs="Arial" w:eastAsia="Arial" w:hAnsi="Arial"/>
          <w:sz w:val="17"/>
          <w:szCs w:val="17"/>
          <w:color w:val="auto"/>
        </w:rPr>
        <w:t>of each applicable province of Canada, the</w:t>
      </w:r>
      <w:r>
        <w:rPr>
          <w:rFonts w:ascii="Arial" w:cs="Arial" w:eastAsia="Arial" w:hAnsi="Arial"/>
          <w:sz w:val="17"/>
          <w:szCs w:val="17"/>
          <w:i w:val="1"/>
          <w:iCs w:val="1"/>
          <w:color w:val="auto"/>
        </w:rPr>
        <w:t xml:space="preserve"> Bills of Exchange Act </w:t>
      </w:r>
      <w:r>
        <w:rPr>
          <w:rFonts w:ascii="Arial" w:cs="Arial" w:eastAsia="Arial" w:hAnsi="Arial"/>
          <w:sz w:val="17"/>
          <w:szCs w:val="17"/>
          <w:color w:val="auto"/>
        </w:rPr>
        <w:t>(Canada) and the</w:t>
      </w:r>
      <w:r>
        <w:rPr>
          <w:rFonts w:ascii="Arial" w:cs="Arial" w:eastAsia="Arial" w:hAnsi="Arial"/>
          <w:sz w:val="17"/>
          <w:szCs w:val="17"/>
          <w:i w:val="1"/>
          <w:iCs w:val="1"/>
          <w:color w:val="auto"/>
        </w:rPr>
        <w:t xml:space="preserve"> Depository Bills and Notes Act </w:t>
      </w:r>
      <w:r>
        <w:rPr>
          <w:rFonts w:ascii="Arial" w:cs="Arial" w:eastAsia="Arial" w:hAnsi="Arial"/>
          <w:sz w:val="17"/>
          <w:szCs w:val="17"/>
          <w:color w:val="auto"/>
        </w:rPr>
        <w:t>(Canada)), in all cases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extension, preservation or betterment of the security and rights of the Collateral, (ii) all references in this Agreement to "Article 8" shall be deemed to refer also to applicable Canadian securities transfer laws (including, without limitation, the </w:t>
      </w:r>
      <w:r>
        <w:rPr>
          <w:rFonts w:ascii="Arial" w:cs="Arial" w:eastAsia="Arial" w:hAnsi="Arial"/>
          <w:sz w:val="17"/>
          <w:szCs w:val="17"/>
          <w:i w:val="1"/>
          <w:iCs w:val="1"/>
          <w:color w:val="auto"/>
        </w:rPr>
        <w:t>Securities Transfer Act</w:t>
      </w:r>
      <w:r>
        <w:rPr>
          <w:rFonts w:ascii="Arial" w:cs="Arial" w:eastAsia="Arial" w:hAnsi="Arial"/>
          <w:sz w:val="17"/>
          <w:szCs w:val="17"/>
          <w:color w:val="auto"/>
        </w:rPr>
        <w:t xml:space="preserve"> of each applicable province of Canada (the "</w:t>
      </w:r>
      <w:r>
        <w:rPr>
          <w:rFonts w:ascii="Arial" w:cs="Arial" w:eastAsia="Arial" w:hAnsi="Arial"/>
          <w:sz w:val="17"/>
          <w:szCs w:val="17"/>
          <w:u w:val="single" w:color="auto"/>
          <w:color w:val="auto"/>
        </w:rPr>
        <w:t>STA</w:t>
      </w:r>
      <w:r>
        <w:rPr>
          <w:rFonts w:ascii="Arial" w:cs="Arial" w:eastAsia="Arial" w:hAnsi="Arial"/>
          <w:sz w:val="17"/>
          <w:szCs w:val="17"/>
          <w:color w:val="auto"/>
        </w:rPr>
        <w:t>")), (iii) all references in this Agreement to a financing statement, continuation statement, amendment or termination statement shall be deemed to refer also to the analogous documents used under applicable Canadian personal property security laws, (iv) all references to the United States of America, or to any subdivision, department, agency or instrumentality thereof shall be deemed to refer also to Canada, or to any subdivision, department, agency or instrumentality thereof, and (v) all references to federal or state securities law of the United States shall be deemed to refer also to analogous federal (where applicable) and provincial securities laws in Canada.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8" w:name="page289"/>
    <w:bookmarkEnd w:id="288"/>
    <w:p>
      <w:pPr>
        <w:jc w:val="both"/>
        <w:ind w:firstLine="648"/>
        <w:spacing w:after="0" w:line="284"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including any Person that becomes a successor to Parent as a result of a Redomestication. Any requirement of a writing contained herein or in any other Loan Document shall be satisfied by the transmission of a Record.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9" w:name="page290"/>
    <w:bookmarkEnd w:id="289"/>
    <w:p>
      <w:pPr>
        <w:jc w:val="both"/>
        <w:ind w:firstLine="648"/>
        <w:spacing w:after="0" w:line="25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Time References</w:t>
      </w:r>
      <w:r>
        <w:rPr>
          <w:rFonts w:ascii="Arial" w:cs="Arial" w:eastAsia="Arial" w:hAnsi="Arial"/>
          <w:sz w:val="18"/>
          <w:szCs w:val="18"/>
          <w:color w:val="auto"/>
        </w:rPr>
        <w:t xml:space="preserve">. Unless the context of this Agreement or any other Loan Document clearly requires otherwise, all references to time of day refer to Central standard time or Central daylight saving time, as in effect in Dallas, Texas on such day. For purposes of the computation of a period of time from a specified date to a later specified date, unless otherwise expressly provided, the word "from" means "from and including" and the words "to" and "until" each means "to and including";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 computation of fees or interest payable to Agent or any Lender, such period shall in any event consist of at least one full day.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Schedules and Exhibits</w:t>
      </w:r>
      <w:r>
        <w:rPr>
          <w:rFonts w:ascii="Arial" w:cs="Arial" w:eastAsia="Arial" w:hAnsi="Arial"/>
          <w:sz w:val="18"/>
          <w:szCs w:val="18"/>
          <w:color w:val="auto"/>
        </w:rPr>
        <w:t>. All of the schedules and exhibits attached to this Agreement shall be deemed incorporated herein by reference.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u w:val="single" w:color="auto"/>
          <w:color w:val="auto"/>
        </w:rPr>
        <w:t>Exchange Rates; Currency Equivalents; Alternative Currencies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59" w:lineRule="auto"/>
        <w:tabs>
          <w:tab w:leader="none" w:pos="255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For purposes of this Agreement and the other Loan Documents, references to the applicable outstanding amount of Letters of Credit, Revolver Usage, FILO Usage or Letter of Credit Usage shall be deemed to refer to the Dollar equivalent (as converted at the Spot Rate as determined by Agent, which calculation shall be deemed correct absent manifest error) thereof in the case of Letters of Credit issued in an Alternative Currency, unless the context requires otherwise.</w:t>
      </w:r>
    </w:p>
    <w:p>
      <w:pPr>
        <w:spacing w:after="0" w:line="186" w:lineRule="exact"/>
        <w:rPr>
          <w:rFonts w:ascii="Arial" w:cs="Arial" w:eastAsia="Arial" w:hAnsi="Arial"/>
          <w:sz w:val="18"/>
          <w:szCs w:val="18"/>
          <w:color w:val="auto"/>
        </w:rPr>
      </w:pPr>
    </w:p>
    <w:p>
      <w:pPr>
        <w:jc w:val="both"/>
        <w:ind w:left="340" w:firstLine="1289"/>
        <w:spacing w:after="0" w:line="285" w:lineRule="auto"/>
        <w:tabs>
          <w:tab w:leader="none" w:pos="267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For purposes of this Agreement and the other Loan Documents, the Dollar equivalent (as converted at the Spot Rate as determined by Agent, which calculation shall be deemed correct absent manifest error) of any Letters of Credit, other Obligations and other references to amounts denominated in an Alternative Currency or a currency other than Dollars shall be determined in accordance with the terms of this Agreement. Such Dollar equivalent (as converted at the Spot Rate as determined by Agent, which calculation shall be deemed correct absent manifest error) shall become effective as of the Revaluation Date for such Letters of Credit and other Obligations and shall be the Dollar equivalent (as converted at the Spot Rate as determined by Agent, which calculation shall be deemed correct absent manifest error) employed in converting any amounts between the applicable currencies until the next Revaluation Date to occur for such Letters of Credit and other Obligations. Except as otherwise expressly provided herein, the applicable amount of any currency for purposes of the Loan Documents (including for purposes of financial statements and all calculations in connection with the covenants, including the financial covenants) shall be the Dollar equivalent (as converted at the Spot Rate as determined by Agent, which calculation shall be deemed correct absent manifest error) thereof. Without limiting the foregoing, for purposes of determining compliance with any incurrence or expenditure tests set forth in the Loan Documents (including Sections 5, 6 and 7 of this Agreement), any amounts so incurred or expended (to the extent incurred or expended in a currency other than Dollars) shall be converted into Dollars on the basis of the exchange rates (as determined in accordance with the terms of this Agreement) as in effect on the date of such incurrence or expenditure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determined in accordance with this Agreement) as in effect on the date of the most recent incurrence or expenditures made).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0" w:name="page291"/>
    <w:bookmarkEnd w:id="290"/>
    <w:p>
      <w:pPr>
        <w:jc w:val="both"/>
        <w:ind w:left="8" w:firstLine="1289"/>
        <w:spacing w:after="0" w:line="257" w:lineRule="auto"/>
        <w:tabs>
          <w:tab w:leader="none" w:pos="223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Wherever in this Agreement and the other Loan Documents in connection with the issuance, amendment or extension of a Letter of Credit, an amount, such as a required minimum or multiple amount, is expressed in Dollars, but such Letter of Credit is denominated in an Alternative Currency, such amount shall be the relevant Dollar equivalent (as converted at the Spot Rate as determined by Agent, which calculation shall be deemed correct absent manifest error) of such Alternative Currency amount (rounded to the nearest 0.5 of a unit being rounded upward) in each case as reasonably determined by Agent.</w:t>
      </w:r>
    </w:p>
    <w:p>
      <w:pPr>
        <w:spacing w:after="0" w:line="188" w:lineRule="exact"/>
        <w:rPr>
          <w:rFonts w:ascii="Arial" w:cs="Arial" w:eastAsia="Arial" w:hAnsi="Arial"/>
          <w:sz w:val="18"/>
          <w:szCs w:val="18"/>
          <w:color w:val="auto"/>
        </w:rPr>
      </w:pPr>
    </w:p>
    <w:p>
      <w:pPr>
        <w:jc w:val="both"/>
        <w:ind w:left="8" w:firstLine="1289"/>
        <w:spacing w:after="0" w:line="284" w:lineRule="auto"/>
        <w:tabs>
          <w:tab w:leader="none" w:pos="2189"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If at any time following one or more fluctuations in the exchange rate of the Alternative Currency against the Dollar, (i) the aggregate outstanding principal balance of the German Usage or the Swiss Usage to the German Borrower or the Swiss Borrower, as applicable, exceeds the limit of the German Subline Amount, the German Borrowing Base, the Swiss Subline Amount or the Swiss Borrowing Base, as applicable, a maximum limit for such Borrower or any other limitations hereunder based on Dollars or (ii) the aggregate outstanding principal balance of the German Usage or the Swiss Usage to the German Borrower or the Swiss Borrower, as applicable, exceeds any other limit based on Dollars set forth herein for such Obligations, the applicable Borrower shall (x) within two (2) Business Days of notice from Agent, or (y) if an Event of Default has occurred and is continuing, immediately (i) make the necessary payments or repayments to reduce such Obligations to an amount necessary to eliminate such excess or</w:t>
      </w:r>
    </w:p>
    <w:p>
      <w:pPr>
        <w:spacing w:after="0" w:line="2" w:lineRule="exact"/>
        <w:rPr>
          <w:rFonts w:ascii="Arial" w:cs="Arial" w:eastAsia="Arial" w:hAnsi="Arial"/>
          <w:sz w:val="16"/>
          <w:szCs w:val="16"/>
          <w:color w:val="auto"/>
        </w:rPr>
      </w:pPr>
    </w:p>
    <w:p>
      <w:pPr>
        <w:jc w:val="both"/>
        <w:ind w:left="8" w:hanging="8"/>
        <w:spacing w:after="0" w:line="273" w:lineRule="auto"/>
        <w:tabs>
          <w:tab w:leader="none" w:pos="27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maintain or cause to be maintained with Agent deposits as continuing collateral security for such Obligations in an amount equal to or greater than the amount of such excess, such deposits to be maintained in such form and upon such terms as are acceptable to Agent. Without in any way limiting the foregoing provisions, Agent shall, weekly or more frequently in the sole discretion of Agent, make the necessary exchange rate calculations to determine whether any such excess exists on such date and advise the Administrative Borrower if such excess exists.</w:t>
      </w: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91" w:name="page292"/>
    <w:bookmarkEnd w:id="291"/>
    <w:p>
      <w:pPr>
        <w:ind w:left="660" w:hanging="652"/>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LOANS AND TERMS OF PAYMENT.</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Revolving Loans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64" w:lineRule="auto"/>
        <w:tabs>
          <w:tab w:leader="none" w:pos="2511" w:val="left"/>
        </w:tabs>
        <w:numPr>
          <w:ilvl w:val="1"/>
          <w:numId w:val="31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Joint Revolving Lender agrees (severally, not jointly or jointly and severally) to make revolving loans in Dollars ("</w:t>
      </w:r>
      <w:r>
        <w:rPr>
          <w:rFonts w:ascii="Arial" w:cs="Arial" w:eastAsia="Arial" w:hAnsi="Arial"/>
          <w:sz w:val="18"/>
          <w:szCs w:val="18"/>
          <w:u w:val="single" w:color="auto"/>
          <w:color w:val="auto"/>
        </w:rPr>
        <w:t>Joint Revolving Loans</w:t>
      </w:r>
      <w:r>
        <w:rPr>
          <w:rFonts w:ascii="Arial" w:cs="Arial" w:eastAsia="Arial" w:hAnsi="Arial"/>
          <w:sz w:val="18"/>
          <w:szCs w:val="18"/>
          <w:color w:val="auto"/>
        </w:rPr>
        <w:t xml:space="preserve">") to a member of the Joint Borrower Group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such Lender's Joint Revolver Commitment, or</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1"/>
        <w:spacing w:after="0" w:line="291" w:lineRule="auto"/>
        <w:tabs>
          <w:tab w:leader="none" w:pos="3576" w:val="left"/>
        </w:tabs>
        <w:numPr>
          <w:ilvl w:val="3"/>
          <w:numId w:val="311"/>
        </w:numPr>
        <w:rPr>
          <w:rFonts w:ascii="Arial" w:cs="Arial" w:eastAsia="Arial" w:hAnsi="Arial"/>
          <w:sz w:val="16"/>
          <w:szCs w:val="16"/>
          <w:color w:val="auto"/>
        </w:rPr>
      </w:pPr>
      <w:r>
        <w:rPr>
          <w:rFonts w:ascii="Arial" w:cs="Arial" w:eastAsia="Arial" w:hAnsi="Arial"/>
          <w:sz w:val="16"/>
          <w:szCs w:val="16"/>
          <w:color w:val="auto"/>
        </w:rPr>
        <w:t xml:space="preserve">the amount equal to (1) the Maximum Revolver Amount,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(2)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(w) the Joint Letter of Credit Usage at such time not predicated on the FILO Subline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(x) the German Usage at such time not predicated on the FILO Subline Amount, </w:t>
      </w:r>
      <w:r>
        <w:rPr>
          <w:rFonts w:ascii="Arial" w:cs="Arial" w:eastAsia="Arial" w:hAnsi="Arial"/>
          <w:sz w:val="16"/>
          <w:szCs w:val="16"/>
          <w:i w:val="1"/>
          <w:iCs w:val="1"/>
          <w:u w:val="single" w:color="auto"/>
          <w:color w:val="auto"/>
        </w:rPr>
        <w:t>plus</w:t>
      </w:r>
    </w:p>
    <w:p>
      <w:pPr>
        <w:ind w:left="280" w:hanging="272"/>
        <w:spacing w:after="0"/>
        <w:tabs>
          <w:tab w:leader="none" w:pos="2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Swiss Usage at such time not predicated on the FILO Subline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(z) the principal amount of Joint Swing Loans outstanding at such time,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firstLine="2601"/>
        <w:spacing w:after="0" w:line="259" w:lineRule="auto"/>
        <w:tabs>
          <w:tab w:leader="none" w:pos="3625" w:val="left"/>
        </w:tabs>
        <w:numPr>
          <w:ilvl w:val="3"/>
          <w:numId w:val="312"/>
        </w:numPr>
        <w:rPr>
          <w:rFonts w:ascii="Arial" w:cs="Arial" w:eastAsia="Arial" w:hAnsi="Arial"/>
          <w:sz w:val="18"/>
          <w:szCs w:val="18"/>
          <w:color w:val="auto"/>
        </w:rPr>
      </w:pPr>
      <w:r>
        <w:rPr>
          <w:rFonts w:ascii="Arial" w:cs="Arial" w:eastAsia="Arial" w:hAnsi="Arial"/>
          <w:sz w:val="18"/>
          <w:szCs w:val="18"/>
          <w:color w:val="auto"/>
        </w:rPr>
        <w:t xml:space="preserve">the amount equal to (1) the Joint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(x) the Joint Letter of Credit Usage at such time not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Joint Swing Loans outstanding at such time.</w:t>
      </w:r>
    </w:p>
    <w:p>
      <w:pPr>
        <w:spacing w:after="0" w:line="186" w:lineRule="exact"/>
        <w:rPr>
          <w:rFonts w:ascii="Arial" w:cs="Arial" w:eastAsia="Arial" w:hAnsi="Arial"/>
          <w:sz w:val="18"/>
          <w:szCs w:val="18"/>
          <w:color w:val="auto"/>
        </w:rPr>
      </w:pPr>
    </w:p>
    <w:p>
      <w:pPr>
        <w:jc w:val="both"/>
        <w:ind w:left="340" w:firstLine="1289"/>
        <w:spacing w:after="0" w:line="264" w:lineRule="auto"/>
        <w:tabs>
          <w:tab w:leader="none" w:pos="267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German Revolving Lender agrees (severally, not jointly or jointly and severally) to make revolving loans in Dollars ("</w:t>
      </w:r>
      <w:r>
        <w:rPr>
          <w:rFonts w:ascii="Arial" w:cs="Arial" w:eastAsia="Arial" w:hAnsi="Arial"/>
          <w:sz w:val="18"/>
          <w:szCs w:val="18"/>
          <w:u w:val="single" w:color="auto"/>
          <w:color w:val="auto"/>
        </w:rPr>
        <w:t>German Revolving Loans</w:t>
      </w:r>
      <w:r>
        <w:rPr>
          <w:rFonts w:ascii="Arial" w:cs="Arial" w:eastAsia="Arial" w:hAnsi="Arial"/>
          <w:sz w:val="18"/>
          <w:szCs w:val="18"/>
          <w:color w:val="auto"/>
        </w:rPr>
        <w:t xml:space="preserve">") to the German Borrower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such Lender's German Revolver Commitment, or</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least 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580" w:hanging="979"/>
        <w:spacing w:after="0"/>
        <w:tabs>
          <w:tab w:leader="none" w:pos="3580" w:val="left"/>
        </w:tabs>
        <w:numPr>
          <w:ilvl w:val="3"/>
          <w:numId w:val="313"/>
        </w:numPr>
        <w:rPr>
          <w:rFonts w:ascii="Arial" w:cs="Arial" w:eastAsia="Arial" w:hAnsi="Arial"/>
          <w:sz w:val="16"/>
          <w:szCs w:val="16"/>
          <w:color w:val="auto"/>
        </w:rPr>
      </w:pPr>
      <w:r>
        <w:rPr>
          <w:rFonts w:ascii="Arial" w:cs="Arial" w:eastAsia="Arial" w:hAnsi="Arial"/>
          <w:sz w:val="16"/>
          <w:szCs w:val="16"/>
          <w:color w:val="auto"/>
        </w:rPr>
        <w:t xml:space="preserve">the amount equal to (1) the German Sublimit,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(2)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(x) the German Letter of Credit Usage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such time not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German Swing Loans outstanding at such time,</w:t>
      </w:r>
    </w:p>
    <w:p>
      <w:pPr>
        <w:spacing w:after="0" w:line="210" w:lineRule="exact"/>
        <w:rPr>
          <w:rFonts w:ascii="Arial" w:cs="Arial" w:eastAsia="Arial" w:hAnsi="Arial"/>
          <w:sz w:val="16"/>
          <w:szCs w:val="16"/>
          <w:color w:val="auto"/>
        </w:rPr>
      </w:pPr>
    </w:p>
    <w:p>
      <w:pPr>
        <w:jc w:val="both"/>
        <w:ind w:firstLine="2601"/>
        <w:spacing w:after="0" w:line="259" w:lineRule="auto"/>
        <w:tabs>
          <w:tab w:leader="none" w:pos="3530" w:val="left"/>
        </w:tabs>
        <w:numPr>
          <w:ilvl w:val="3"/>
          <w:numId w:val="313"/>
        </w:numPr>
        <w:rPr>
          <w:rFonts w:ascii="Arial" w:cs="Arial" w:eastAsia="Arial" w:hAnsi="Arial"/>
          <w:sz w:val="18"/>
          <w:szCs w:val="18"/>
          <w:color w:val="auto"/>
        </w:rPr>
      </w:pPr>
      <w:r>
        <w:rPr>
          <w:rFonts w:ascii="Arial" w:cs="Arial" w:eastAsia="Arial" w:hAnsi="Arial"/>
          <w:sz w:val="18"/>
          <w:szCs w:val="18"/>
          <w:color w:val="auto"/>
        </w:rPr>
        <w:t xml:space="preserve">the amount equal to (1) the German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(x) the German Letter of Credit Usage not predicated on the FILO Subline Amount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German Swing Loans outstanding at such time, and</w:t>
      </w:r>
    </w:p>
    <w:p>
      <w:pPr>
        <w:spacing w:after="0" w:line="186" w:lineRule="exact"/>
        <w:rPr>
          <w:rFonts w:ascii="Arial" w:cs="Arial" w:eastAsia="Arial" w:hAnsi="Arial"/>
          <w:sz w:val="18"/>
          <w:szCs w:val="18"/>
          <w:color w:val="auto"/>
        </w:rPr>
      </w:pPr>
    </w:p>
    <w:p>
      <w:pPr>
        <w:jc w:val="both"/>
        <w:ind w:firstLine="2601"/>
        <w:spacing w:after="0" w:line="312" w:lineRule="auto"/>
        <w:tabs>
          <w:tab w:leader="none" w:pos="3530" w:val="left"/>
        </w:tabs>
        <w:numPr>
          <w:ilvl w:val="3"/>
          <w:numId w:val="313"/>
        </w:numPr>
        <w:rPr>
          <w:rFonts w:ascii="Arial" w:cs="Arial" w:eastAsia="Arial" w:hAnsi="Arial"/>
          <w:sz w:val="16"/>
          <w:szCs w:val="16"/>
          <w:color w:val="auto"/>
        </w:rPr>
      </w:pPr>
      <w:r>
        <w:rPr>
          <w:rFonts w:ascii="Arial" w:cs="Arial" w:eastAsia="Arial" w:hAnsi="Arial"/>
          <w:sz w:val="16"/>
          <w:szCs w:val="16"/>
          <w:color w:val="auto"/>
        </w:rPr>
        <w:t xml:space="preserve">the amount equal to (1) the Maximum Revolver Amount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(2)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(w) the German Letter of Credit Usage at such time not predicated on the FILO Subline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(x) the principal amount of German Swing Loans outstanding at such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(y) Joint Usage at such time not predicated on the FILO Subline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(z) Swiss Usage at such time not predicated on the FILO Subline Amount.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2" w:name="page293"/>
    <w:bookmarkEnd w:id="292"/>
    <w:p>
      <w:pPr>
        <w:jc w:val="both"/>
        <w:ind w:left="340" w:firstLine="1289"/>
        <w:spacing w:after="0" w:line="264" w:lineRule="auto"/>
        <w:tabs>
          <w:tab w:leader="none" w:pos="274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Swiss Revolving Lender agrees (severally, not jointly or jointly and severally) to make revolving loans in Dollars ("</w:t>
      </w:r>
      <w:r>
        <w:rPr>
          <w:rFonts w:ascii="Arial" w:cs="Arial" w:eastAsia="Arial" w:hAnsi="Arial"/>
          <w:sz w:val="18"/>
          <w:szCs w:val="18"/>
          <w:u w:val="single" w:color="auto"/>
          <w:color w:val="auto"/>
        </w:rPr>
        <w:t>Swiss Revolving Loans</w:t>
      </w:r>
      <w:r>
        <w:rPr>
          <w:rFonts w:ascii="Arial" w:cs="Arial" w:eastAsia="Arial" w:hAnsi="Arial"/>
          <w:sz w:val="18"/>
          <w:szCs w:val="18"/>
          <w:color w:val="auto"/>
        </w:rPr>
        <w:t xml:space="preserve">") to the Swiss Borrower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such Lender's Swiss Revolver Commitment, or</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least 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540" w:hanging="939"/>
        <w:spacing w:after="0"/>
        <w:tabs>
          <w:tab w:leader="none" w:pos="3540" w:val="left"/>
        </w:tabs>
        <w:numPr>
          <w:ilvl w:val="2"/>
          <w:numId w:val="314"/>
        </w:numPr>
        <w:rPr>
          <w:rFonts w:ascii="Arial" w:cs="Arial" w:eastAsia="Arial" w:hAnsi="Arial"/>
          <w:sz w:val="16"/>
          <w:szCs w:val="16"/>
          <w:color w:val="auto"/>
        </w:rPr>
      </w:pPr>
      <w:r>
        <w:rPr>
          <w:rFonts w:ascii="Arial" w:cs="Arial" w:eastAsia="Arial" w:hAnsi="Arial"/>
          <w:sz w:val="16"/>
          <w:szCs w:val="16"/>
          <w:color w:val="auto"/>
        </w:rPr>
        <w:t xml:space="preserve">the amount equal to (1) the Swiss Sublimit,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(2)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(x) the Swiss Letter of Credit Usage at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time not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Swiss Swing Loans outstanding at such time,</w:t>
      </w:r>
    </w:p>
    <w:p>
      <w:pPr>
        <w:spacing w:after="0" w:line="210" w:lineRule="exact"/>
        <w:rPr>
          <w:rFonts w:ascii="Arial" w:cs="Arial" w:eastAsia="Arial" w:hAnsi="Arial"/>
          <w:sz w:val="16"/>
          <w:szCs w:val="16"/>
          <w:color w:val="auto"/>
        </w:rPr>
      </w:pPr>
    </w:p>
    <w:p>
      <w:pPr>
        <w:jc w:val="both"/>
        <w:ind w:firstLine="2601"/>
        <w:spacing w:after="0" w:line="259" w:lineRule="auto"/>
        <w:tabs>
          <w:tab w:leader="none" w:pos="3598" w:val="left"/>
        </w:tabs>
        <w:numPr>
          <w:ilvl w:val="2"/>
          <w:numId w:val="314"/>
        </w:numPr>
        <w:rPr>
          <w:rFonts w:ascii="Arial" w:cs="Arial" w:eastAsia="Arial" w:hAnsi="Arial"/>
          <w:sz w:val="18"/>
          <w:szCs w:val="18"/>
          <w:color w:val="auto"/>
        </w:rPr>
      </w:pPr>
      <w:r>
        <w:rPr>
          <w:rFonts w:ascii="Arial" w:cs="Arial" w:eastAsia="Arial" w:hAnsi="Arial"/>
          <w:sz w:val="18"/>
          <w:szCs w:val="18"/>
          <w:color w:val="auto"/>
        </w:rPr>
        <w:t xml:space="preserve">the amount equal to (1) the Swiss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(x) the Swiss Letter of Credit Usage at such time not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principal amount of Swiss Swing Loans outstanding at such time, and</w:t>
      </w:r>
    </w:p>
    <w:p>
      <w:pPr>
        <w:spacing w:after="0" w:line="186" w:lineRule="exact"/>
        <w:rPr>
          <w:rFonts w:ascii="Arial" w:cs="Arial" w:eastAsia="Arial" w:hAnsi="Arial"/>
          <w:sz w:val="18"/>
          <w:szCs w:val="18"/>
          <w:color w:val="auto"/>
        </w:rPr>
      </w:pPr>
    </w:p>
    <w:p>
      <w:pPr>
        <w:jc w:val="both"/>
        <w:ind w:firstLine="2601"/>
        <w:spacing w:after="0" w:line="312" w:lineRule="auto"/>
        <w:tabs>
          <w:tab w:leader="none" w:pos="3598" w:val="left"/>
        </w:tabs>
        <w:numPr>
          <w:ilvl w:val="2"/>
          <w:numId w:val="314"/>
        </w:numPr>
        <w:rPr>
          <w:rFonts w:ascii="Arial" w:cs="Arial" w:eastAsia="Arial" w:hAnsi="Arial"/>
          <w:sz w:val="16"/>
          <w:szCs w:val="16"/>
          <w:color w:val="auto"/>
        </w:rPr>
      </w:pPr>
      <w:r>
        <w:rPr>
          <w:rFonts w:ascii="Arial" w:cs="Arial" w:eastAsia="Arial" w:hAnsi="Arial"/>
          <w:sz w:val="16"/>
          <w:szCs w:val="16"/>
          <w:color w:val="auto"/>
        </w:rPr>
        <w:t xml:space="preserve">the amount equal to (1) the Maximum Revolver Amount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(2)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(w) the Swiss Letter of Credit Usage at such time not predicated on the FILO Subline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(x) the principal amount of Swiss Swing Loans outstanding at such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(y) Joint Usage at such time not predicated on the FILO Subline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(z) German Usage not predicated on the FILO Subline Amount at such time.</w:t>
      </w:r>
    </w:p>
    <w:p>
      <w:pPr>
        <w:spacing w:after="0" w:line="146" w:lineRule="exact"/>
        <w:rPr>
          <w:rFonts w:ascii="Arial" w:cs="Arial" w:eastAsia="Arial" w:hAnsi="Arial"/>
          <w:sz w:val="16"/>
          <w:szCs w:val="16"/>
          <w:color w:val="auto"/>
        </w:rPr>
      </w:pPr>
    </w:p>
    <w:p>
      <w:pPr>
        <w:jc w:val="both"/>
        <w:ind w:left="340" w:firstLine="1289"/>
        <w:spacing w:after="0" w:line="259" w:lineRule="auto"/>
        <w:tabs>
          <w:tab w:leader="none" w:pos="258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Amounts borrowed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86" w:lineRule="exact"/>
        <w:rPr>
          <w:rFonts w:ascii="Arial" w:cs="Arial" w:eastAsia="Arial" w:hAnsi="Arial"/>
          <w:sz w:val="18"/>
          <w:szCs w:val="18"/>
          <w:color w:val="auto"/>
        </w:rPr>
      </w:pPr>
    </w:p>
    <w:p>
      <w:pPr>
        <w:jc w:val="both"/>
        <w:ind w:left="340" w:firstLine="1289"/>
        <w:spacing w:after="0" w:line="285" w:lineRule="auto"/>
        <w:tabs>
          <w:tab w:leader="none" w:pos="252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Anything to the contrary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notwithstanding, Agent shall have the right (but not the obligation) at any time, in the exercise of its Permitted Discretion, to establish and increase or decrease Reserves and against each Borrowing Base or the Maximum Facility Amount, or any subset of either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establishment or increase in any such Reserve would cause an Overadvance after giving effect to the establishment or increase of such Reserve, Agent shall notify (which notice shall include a reasonable description of such Reserve being established or increased) Borrowers at least 2 Business Days prior to the date on which any such Reserve is to be established or increased;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no such prior notice shall be required for changes to any Reserves resulting solely by virtue of mathematical calculations of the amount of the Reserve in accordance with the methodology of calculation set forth in this Agreement or previously utilized; (B) no such prior notice shall be required during the continuance of any Event of Default; (C) no such prior notice shall be required with respect to any Reserve established in respect of any Lien that has priority over Agent's Liens on the Revolver Facility Priority Collateral; and (D) no Loans shall be made or Letters of Credit issued during such 2 Business Day period unless no Overadvance is then in existence (after giving effect to the establishment or increase of such Reserve). During such 2 Business Day period referenced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Agent shall, if requested by Borrowers, make itself available to discuss the establishment or increase of such Reserve with Borrowers and Borrowers may take such action as may be required so that the basis, event, condition or matter that is the basis for such Reserve no longer exists or exists in a manner that would result in the establishment of a lower Reserve, in each case, in a manner and to the extent satisfactory to Agent in its Permitted Discretion. The amount of any Reserve established by Agent, and any changes to the eligibility criteria set forth in the definitions of Eligible Accounts, Eligible Unbilled Accounts, Eligible Investment Grade Accounts, Eligible Inventory, Eligible Finished Goods Inventory, Eligible Work-in-Process Inventory and Eligible Rental Tools shall have a reasonable relationship to the event, condition, other circumstance, or fact that is the basis for such reserve or change in eligibility and shall not be duplicative of any other reserve established and currently maintained or eligibility criteria.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3" w:name="page294"/>
    <w:bookmarkEnd w:id="293"/>
    <w:p>
      <w:pPr>
        <w:ind w:left="660"/>
        <w:spacing w:after="0"/>
        <w:tabs>
          <w:tab w:leader="none" w:pos="19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b w:val="1"/>
          <w:bCs w:val="1"/>
          <w:u w:val="single" w:color="auto"/>
          <w:color w:val="auto"/>
        </w:rPr>
        <w:t>FILO Loans</w:t>
      </w:r>
      <w:r>
        <w:rPr>
          <w:rFonts w:ascii="Arial" w:cs="Arial" w:eastAsia="Arial" w:hAnsi="Arial"/>
          <w:sz w:val="17"/>
          <w:szCs w:val="17"/>
          <w:color w:val="auto"/>
        </w:rPr>
        <w:t>.</w:t>
      </w:r>
    </w:p>
    <w:p>
      <w:pPr>
        <w:spacing w:after="0" w:line="229" w:lineRule="exact"/>
        <w:rPr>
          <w:sz w:val="20"/>
          <w:szCs w:val="20"/>
          <w:color w:val="auto"/>
        </w:rPr>
      </w:pPr>
    </w:p>
    <w:p>
      <w:pPr>
        <w:jc w:val="both"/>
        <w:ind w:left="340" w:firstLine="1289"/>
        <w:spacing w:after="0" w:line="264" w:lineRule="auto"/>
        <w:tabs>
          <w:tab w:leader="none" w:pos="267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Joint FILO Lender agrees (severally, not jointly or jointly and severally) to make first-in last-out revolving loans in Dollars ("</w:t>
      </w:r>
      <w:r>
        <w:rPr>
          <w:rFonts w:ascii="Arial" w:cs="Arial" w:eastAsia="Arial" w:hAnsi="Arial"/>
          <w:sz w:val="18"/>
          <w:szCs w:val="18"/>
          <w:u w:val="single" w:color="auto"/>
          <w:color w:val="auto"/>
        </w:rPr>
        <w:t>Joint FILO Loans</w:t>
      </w:r>
      <w:r>
        <w:rPr>
          <w:rFonts w:ascii="Arial" w:cs="Arial" w:eastAsia="Arial" w:hAnsi="Arial"/>
          <w:sz w:val="18"/>
          <w:szCs w:val="18"/>
          <w:color w:val="auto"/>
        </w:rPr>
        <w:t xml:space="preserve">") to a member of the Joint Borrower Group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such Lender's Joint FILO Commitment, or</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1"/>
        <w:spacing w:after="0" w:line="264" w:lineRule="auto"/>
        <w:tabs>
          <w:tab w:leader="none" w:pos="3495" w:val="left"/>
        </w:tabs>
        <w:numPr>
          <w:ilvl w:val="2"/>
          <w:numId w:val="315"/>
        </w:numPr>
        <w:rPr>
          <w:rFonts w:ascii="Arial" w:cs="Arial" w:eastAsia="Arial" w:hAnsi="Arial"/>
          <w:sz w:val="18"/>
          <w:szCs w:val="18"/>
          <w:color w:val="auto"/>
        </w:rPr>
      </w:pPr>
      <w:r>
        <w:rPr>
          <w:rFonts w:ascii="Arial" w:cs="Arial" w:eastAsia="Arial" w:hAnsi="Arial"/>
          <w:sz w:val="18"/>
          <w:szCs w:val="18"/>
          <w:color w:val="auto"/>
        </w:rPr>
        <w:t xml:space="preserve">the amount equal to (1) the Maximum FILO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(x) the Joint Letter of Credit Usage predicated on the FILO Subline Amount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German Usage predicated on the FILO Subline Amount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(z) the Swiss Usage predicated on the FILO Subline Amount at such time, and</w:t>
      </w:r>
    </w:p>
    <w:p>
      <w:pPr>
        <w:spacing w:after="0" w:line="181" w:lineRule="exact"/>
        <w:rPr>
          <w:rFonts w:ascii="Arial" w:cs="Arial" w:eastAsia="Arial" w:hAnsi="Arial"/>
          <w:sz w:val="18"/>
          <w:szCs w:val="18"/>
          <w:color w:val="auto"/>
        </w:rPr>
      </w:pPr>
    </w:p>
    <w:p>
      <w:pPr>
        <w:jc w:val="both"/>
        <w:ind w:firstLine="2601"/>
        <w:spacing w:after="0" w:line="264" w:lineRule="auto"/>
        <w:tabs>
          <w:tab w:leader="none" w:pos="3787" w:val="left"/>
        </w:tabs>
        <w:numPr>
          <w:ilvl w:val="2"/>
          <w:numId w:val="315"/>
        </w:numPr>
        <w:rPr>
          <w:rFonts w:ascii="Arial" w:cs="Arial" w:eastAsia="Arial" w:hAnsi="Arial"/>
          <w:sz w:val="18"/>
          <w:szCs w:val="18"/>
          <w:color w:val="auto"/>
        </w:rPr>
      </w:pPr>
      <w:r>
        <w:rPr>
          <w:rFonts w:ascii="Arial" w:cs="Arial" w:eastAsia="Arial" w:hAnsi="Arial"/>
          <w:sz w:val="18"/>
          <w:szCs w:val="18"/>
          <w:color w:val="auto"/>
        </w:rPr>
        <w:t xml:space="preserve">the amount equal to (1) the Joint FILO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Joint Letter of Credit Usage predicated on the FILO Subline Amount at such time.</w:t>
      </w:r>
    </w:p>
    <w:p>
      <w:pPr>
        <w:spacing w:after="0" w:line="181" w:lineRule="exact"/>
        <w:rPr>
          <w:rFonts w:ascii="Arial" w:cs="Arial" w:eastAsia="Arial" w:hAnsi="Arial"/>
          <w:sz w:val="18"/>
          <w:szCs w:val="18"/>
          <w:color w:val="auto"/>
        </w:rPr>
      </w:pPr>
    </w:p>
    <w:p>
      <w:pPr>
        <w:jc w:val="both"/>
        <w:ind w:left="340" w:firstLine="1289"/>
        <w:spacing w:after="0" w:line="264" w:lineRule="auto"/>
        <w:tabs>
          <w:tab w:leader="none" w:pos="257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German FILO Lender agrees (severally, not jointly or jointly and severally) to make first-in last-out revolving loans in Dollars ("</w:t>
      </w:r>
      <w:r>
        <w:rPr>
          <w:rFonts w:ascii="Arial" w:cs="Arial" w:eastAsia="Arial" w:hAnsi="Arial"/>
          <w:sz w:val="18"/>
          <w:szCs w:val="18"/>
          <w:u w:val="single" w:color="auto"/>
          <w:color w:val="auto"/>
        </w:rPr>
        <w:t>German FILO Loans</w:t>
      </w:r>
      <w:r>
        <w:rPr>
          <w:rFonts w:ascii="Arial" w:cs="Arial" w:eastAsia="Arial" w:hAnsi="Arial"/>
          <w:sz w:val="18"/>
          <w:szCs w:val="18"/>
          <w:color w:val="auto"/>
        </w:rPr>
        <w:t xml:space="preserve">") to the German Borrower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such Lender's German FILO Commitment, or</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least of</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4" w:name="page295"/>
    <w:bookmarkEnd w:id="294"/>
    <w:p>
      <w:pPr>
        <w:ind w:right="20" w:firstLine="2601"/>
        <w:spacing w:after="0" w:line="277" w:lineRule="auto"/>
        <w:tabs>
          <w:tab w:leader="none" w:pos="363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 xml:space="preserve">the amount equal to (1)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the German Sublimit and the Maximum FILO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German Letter of Credit Usage at such time predicated on the FILO Subline Amount,</w:t>
      </w:r>
    </w:p>
    <w:p>
      <w:pPr>
        <w:spacing w:after="0" w:line="170" w:lineRule="exact"/>
        <w:rPr>
          <w:rFonts w:ascii="Arial" w:cs="Arial" w:eastAsia="Arial" w:hAnsi="Arial"/>
          <w:sz w:val="18"/>
          <w:szCs w:val="18"/>
          <w:color w:val="auto"/>
        </w:rPr>
      </w:pPr>
    </w:p>
    <w:p>
      <w:pPr>
        <w:jc w:val="both"/>
        <w:ind w:firstLine="2601"/>
        <w:spacing w:after="0" w:line="264" w:lineRule="auto"/>
        <w:tabs>
          <w:tab w:leader="none" w:pos="3692" w:val="left"/>
        </w:tabs>
        <w:numPr>
          <w:ilvl w:val="2"/>
          <w:numId w:val="316"/>
        </w:numPr>
        <w:rPr>
          <w:rFonts w:ascii="Arial" w:cs="Arial" w:eastAsia="Arial" w:hAnsi="Arial"/>
          <w:sz w:val="18"/>
          <w:szCs w:val="18"/>
          <w:color w:val="auto"/>
        </w:rPr>
      </w:pPr>
      <w:r>
        <w:rPr>
          <w:rFonts w:ascii="Arial" w:cs="Arial" w:eastAsia="Arial" w:hAnsi="Arial"/>
          <w:sz w:val="18"/>
          <w:szCs w:val="18"/>
          <w:color w:val="auto"/>
        </w:rPr>
        <w:t xml:space="preserve">the amount equal to (1) the German FILO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German Letter of Credit Usage at such time predicated on the FILO Subline Amount, and</w:t>
      </w:r>
    </w:p>
    <w:p>
      <w:pPr>
        <w:spacing w:after="0" w:line="181" w:lineRule="exact"/>
        <w:rPr>
          <w:rFonts w:ascii="Arial" w:cs="Arial" w:eastAsia="Arial" w:hAnsi="Arial"/>
          <w:sz w:val="18"/>
          <w:szCs w:val="18"/>
          <w:color w:val="auto"/>
        </w:rPr>
      </w:pPr>
    </w:p>
    <w:p>
      <w:pPr>
        <w:jc w:val="both"/>
        <w:ind w:firstLine="2601"/>
        <w:spacing w:after="0" w:line="264" w:lineRule="auto"/>
        <w:tabs>
          <w:tab w:leader="none" w:pos="353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 xml:space="preserve">the amount equal to (1) the FILO Subline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(x) the German Letter of Credit Usage at such time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Joint Usage at such time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(z) Swiss Usage at such time predicated on the FILO Subline Amount.</w:t>
      </w:r>
    </w:p>
    <w:p>
      <w:pPr>
        <w:spacing w:after="0" w:line="181" w:lineRule="exact"/>
        <w:rPr>
          <w:rFonts w:ascii="Arial" w:cs="Arial" w:eastAsia="Arial" w:hAnsi="Arial"/>
          <w:sz w:val="18"/>
          <w:szCs w:val="18"/>
          <w:color w:val="auto"/>
        </w:rPr>
      </w:pPr>
    </w:p>
    <w:p>
      <w:pPr>
        <w:jc w:val="both"/>
        <w:ind w:left="340" w:firstLine="1289"/>
        <w:spacing w:after="0" w:line="264" w:lineRule="auto"/>
        <w:tabs>
          <w:tab w:leader="none" w:pos="263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 each Swiss FILO Lender agrees (severally, not jointly or jointly and severally) to make first-in last-out revolving loans in Dollars ("</w:t>
      </w:r>
      <w:r>
        <w:rPr>
          <w:rFonts w:ascii="Arial" w:cs="Arial" w:eastAsia="Arial" w:hAnsi="Arial"/>
          <w:sz w:val="18"/>
          <w:szCs w:val="18"/>
          <w:u w:val="single" w:color="auto"/>
          <w:color w:val="auto"/>
        </w:rPr>
        <w:t>Swiss FILO Loans</w:t>
      </w:r>
      <w:r>
        <w:rPr>
          <w:rFonts w:ascii="Arial" w:cs="Arial" w:eastAsia="Arial" w:hAnsi="Arial"/>
          <w:sz w:val="18"/>
          <w:szCs w:val="18"/>
          <w:color w:val="auto"/>
        </w:rPr>
        <w:t xml:space="preserve">") to the Swiss Borrower in an amount at any one time outstanding not to exceed </w:t>
      </w:r>
      <w:r>
        <w:rPr>
          <w:rFonts w:ascii="Arial" w:cs="Arial" w:eastAsia="Arial" w:hAnsi="Arial"/>
          <w:sz w:val="18"/>
          <w:szCs w:val="18"/>
          <w:i w:val="1"/>
          <w:iCs w:val="1"/>
          <w:color w:val="auto"/>
        </w:rPr>
        <w:t>the lesser of</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such Lender's Swiss FILO Commitment, or</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such Lender's Pro Rata Share of an amount equal to </w:t>
      </w:r>
      <w:r>
        <w:rPr>
          <w:rFonts w:ascii="Arial" w:cs="Arial" w:eastAsia="Arial" w:hAnsi="Arial"/>
          <w:sz w:val="18"/>
          <w:szCs w:val="18"/>
          <w:i w:val="1"/>
          <w:iCs w:val="1"/>
          <w:color w:val="auto"/>
        </w:rPr>
        <w:t>the least of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01"/>
        <w:spacing w:after="0" w:line="277" w:lineRule="auto"/>
        <w:tabs>
          <w:tab w:leader="none" w:pos="3509" w:val="left"/>
        </w:tabs>
        <w:numPr>
          <w:ilvl w:val="2"/>
          <w:numId w:val="317"/>
        </w:numPr>
        <w:rPr>
          <w:rFonts w:ascii="Arial" w:cs="Arial" w:eastAsia="Arial" w:hAnsi="Arial"/>
          <w:sz w:val="18"/>
          <w:szCs w:val="18"/>
          <w:color w:val="auto"/>
        </w:rPr>
      </w:pPr>
      <w:r>
        <w:rPr>
          <w:rFonts w:ascii="Arial" w:cs="Arial" w:eastAsia="Arial" w:hAnsi="Arial"/>
          <w:sz w:val="18"/>
          <w:szCs w:val="18"/>
          <w:color w:val="auto"/>
        </w:rPr>
        <w:t xml:space="preserve">the amount equal to (1)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the Swiss Sublimit and the Maximum FILO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Swiss Letter of Credit Usage at such time predicated on the FILO Subline Amount,</w:t>
      </w:r>
    </w:p>
    <w:p>
      <w:pPr>
        <w:spacing w:after="0" w:line="170" w:lineRule="exact"/>
        <w:rPr>
          <w:rFonts w:ascii="Arial" w:cs="Arial" w:eastAsia="Arial" w:hAnsi="Arial"/>
          <w:sz w:val="18"/>
          <w:szCs w:val="18"/>
          <w:color w:val="auto"/>
        </w:rPr>
      </w:pPr>
    </w:p>
    <w:p>
      <w:pPr>
        <w:jc w:val="both"/>
        <w:ind w:firstLine="2601"/>
        <w:spacing w:after="0" w:line="264" w:lineRule="auto"/>
        <w:tabs>
          <w:tab w:leader="none" w:pos="376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 xml:space="preserve">the amount equal to (1) the Swiss FILO Borrowing Base as of such date (based upon the most recent Borrowing Base Certificate delivered by Borrowers to Agent,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Swiss Letter of Credit Usage at such time predicated on the FILO Subline Amount, and</w:t>
      </w:r>
    </w:p>
    <w:p>
      <w:pPr>
        <w:spacing w:after="0" w:line="181" w:lineRule="exact"/>
        <w:rPr>
          <w:rFonts w:ascii="Arial" w:cs="Arial" w:eastAsia="Arial" w:hAnsi="Arial"/>
          <w:sz w:val="18"/>
          <w:szCs w:val="18"/>
          <w:color w:val="auto"/>
        </w:rPr>
      </w:pPr>
    </w:p>
    <w:p>
      <w:pPr>
        <w:jc w:val="both"/>
        <w:ind w:firstLine="2601"/>
        <w:spacing w:after="0" w:line="264" w:lineRule="auto"/>
        <w:tabs>
          <w:tab w:leader="none" w:pos="3517" w:val="left"/>
        </w:tabs>
        <w:numPr>
          <w:ilvl w:val="2"/>
          <w:numId w:val="317"/>
        </w:numPr>
        <w:rPr>
          <w:rFonts w:ascii="Arial" w:cs="Arial" w:eastAsia="Arial" w:hAnsi="Arial"/>
          <w:sz w:val="18"/>
          <w:szCs w:val="18"/>
          <w:color w:val="auto"/>
        </w:rPr>
      </w:pPr>
      <w:r>
        <w:rPr>
          <w:rFonts w:ascii="Arial" w:cs="Arial" w:eastAsia="Arial" w:hAnsi="Arial"/>
          <w:sz w:val="18"/>
          <w:szCs w:val="18"/>
          <w:color w:val="auto"/>
        </w:rPr>
        <w:t xml:space="preserve">the amount equal to (1) the FILO Subline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(x) the Swiss Letter of Credit Usage at such time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Joint Usage at such time predicated on the FILO Subline Amount,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(z) German Usage at such time predicated on the FILO Subline Amount.</w:t>
      </w:r>
    </w:p>
    <w:p>
      <w:pPr>
        <w:spacing w:after="0" w:line="181" w:lineRule="exact"/>
        <w:rPr>
          <w:rFonts w:ascii="Arial" w:cs="Arial" w:eastAsia="Arial" w:hAnsi="Arial"/>
          <w:sz w:val="18"/>
          <w:szCs w:val="18"/>
          <w:color w:val="auto"/>
        </w:rPr>
      </w:pPr>
    </w:p>
    <w:p>
      <w:pPr>
        <w:jc w:val="both"/>
        <w:ind w:left="340" w:firstLine="1289"/>
        <w:spacing w:after="0" w:line="259" w:lineRule="auto"/>
        <w:tabs>
          <w:tab w:leader="none" w:pos="258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Amounts borrowed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may be repaid and, subject to the terms and conditions of this Agreement, reborrowed at any time during the term of this Agreement. The outstanding principal amount of the FILO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86" w:lineRule="exact"/>
        <w:rPr>
          <w:rFonts w:ascii="Arial" w:cs="Arial" w:eastAsia="Arial" w:hAnsi="Arial"/>
          <w:sz w:val="18"/>
          <w:szCs w:val="18"/>
          <w:color w:val="auto"/>
        </w:rPr>
      </w:pPr>
    </w:p>
    <w:p>
      <w:pPr>
        <w:jc w:val="both"/>
        <w:ind w:left="340" w:firstLine="1289"/>
        <w:spacing w:after="0" w:line="273" w:lineRule="auto"/>
        <w:tabs>
          <w:tab w:leader="none" w:pos="2551"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 the case of any Borrowing of a Facility Loan by any Borrower Group, notwithstanding anything contained herein to the contrary, to the extent that such Facility Loan is made at a time when the then outstanding FILO Usage is less than the FILO Subline Amount, such Facility Loan shall be deemed to be made first, by the applicable FILO Lenders in accordance with their respective FILO Commitments until no such availability remains thereunder and second, by the applicable Revolving Lenders in accordance with their respective Revolving Commitments. FILO Usage shall consist first of Loans made under the Facility and, if the FILO Availability Amount remains greater than zero after all Loans are allocated to the FILO, FILO Usage shall consist second of Letters of Credit issued under the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jc w:val="both"/>
        <w:ind w:firstLine="1289"/>
        <w:spacing w:after="0" w:line="257" w:lineRule="auto"/>
        <w:tabs>
          <w:tab w:leader="none" w:pos="225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above, at any time that the FILO Availability Amount is equal to zero, German Usage and Swiss Usage shall be manually allocated by Agent on a pro rata basis as between the Revolver Commitments and the FILO Commitments, based on the ratio of the Maximum Revolver Amount to the Maximum FILO Amount. At any time that the Joint Availability Amount is equal to zero, Overadvances shall be manually allocated by Agent on a pro rata basis as between the Revolver Commitments and the FILO Commitments, based on the ratio of the Maximum Revolver Amount to the Maximum FILO Amount.</w:t>
      </w:r>
    </w:p>
    <w:p>
      <w:pPr>
        <w:spacing w:after="0" w:line="184" w:lineRule="exact"/>
        <w:rPr>
          <w:sz w:val="20"/>
          <w:szCs w:val="20"/>
          <w:color w:val="auto"/>
        </w:rPr>
      </w:pPr>
    </w:p>
    <w:p>
      <w:pPr>
        <w:ind w:left="320"/>
        <w:spacing w:after="0"/>
        <w:tabs>
          <w:tab w:leader="none" w:pos="1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Borrowing Procedures and Settlements</w:t>
      </w:r>
      <w:r>
        <w:rPr>
          <w:rFonts w:ascii="Arial" w:cs="Arial" w:eastAsia="Arial" w:hAnsi="Arial"/>
          <w:sz w:val="16"/>
          <w:szCs w:val="16"/>
          <w:color w:val="auto"/>
        </w:rPr>
        <w:t>.</w:t>
      </w:r>
    </w:p>
    <w:p>
      <w:pPr>
        <w:spacing w:after="0" w:line="225" w:lineRule="exact"/>
        <w:rPr>
          <w:sz w:val="20"/>
          <w:szCs w:val="20"/>
          <w:color w:val="auto"/>
        </w:rPr>
      </w:pPr>
    </w:p>
    <w:p>
      <w:pPr>
        <w:jc w:val="both"/>
        <w:ind w:firstLine="1289"/>
        <w:spacing w:after="0" w:line="270" w:lineRule="auto"/>
        <w:tabs>
          <w:tab w:leader="none" w:pos="2292" w:val="left"/>
        </w:tabs>
        <w:numPr>
          <w:ilvl w:val="0"/>
          <w:numId w:val="319"/>
        </w:numPr>
        <w:rPr>
          <w:rFonts w:ascii="Arial" w:cs="Arial" w:eastAsia="Arial" w:hAnsi="Arial"/>
          <w:sz w:val="17"/>
          <w:szCs w:val="17"/>
          <w:color w:val="auto"/>
        </w:rPr>
      </w:pPr>
      <w:r>
        <w:rPr>
          <w:rFonts w:ascii="Arial" w:cs="Arial" w:eastAsia="Arial" w:hAnsi="Arial"/>
          <w:sz w:val="17"/>
          <w:szCs w:val="17"/>
          <w:b w:val="1"/>
          <w:bCs w:val="1"/>
          <w:color w:val="auto"/>
        </w:rPr>
        <w:t>Procedure for Borrowing Facility Loans</w:t>
      </w:r>
      <w:r>
        <w:rPr>
          <w:rFonts w:ascii="Arial" w:cs="Arial" w:eastAsia="Arial" w:hAnsi="Arial"/>
          <w:sz w:val="17"/>
          <w:szCs w:val="17"/>
          <w:color w:val="auto"/>
        </w:rPr>
        <w:t>. Each Borrowing of a Facility Loan shall be made by a written request by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Authorized Person delivered to Agent (which may be delivered through Agent's electronic platform or portal) and received by Agent no later than 1:00 p.m. (i) on the Business Day that is the requested Funding Date in the case of a request for a Swing Loan, (ii) on the Business Day that is one Business Day prior to the requested Funding Date in the case of a request for a Base Rate Loan, and (iii) on the Business Day that is three Business Days prior to the requested Funding Date in the case of all other requests, specifying (A) the amount of such Borrowing and whether such Borrowing is for the account of the Joint Borrower Group, the German Borrower or the Swiss Borrower, and (B) the requested Funding Date (which shall be a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that Agent may, in its sole discretion, elect to accept as timely requests that are received later than 1:00 p.m. on the applicable Business Day.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reasonably satisfactory to Agent) prior to the funding of any such requested Facility Loan.</w:t>
      </w:r>
    </w:p>
    <w:p>
      <w:pPr>
        <w:spacing w:after="0" w:line="177" w:lineRule="exact"/>
        <w:rPr>
          <w:rFonts w:ascii="Arial" w:cs="Arial" w:eastAsia="Arial" w:hAnsi="Arial"/>
          <w:sz w:val="17"/>
          <w:szCs w:val="17"/>
          <w:color w:val="auto"/>
        </w:rPr>
      </w:pPr>
    </w:p>
    <w:p>
      <w:pPr>
        <w:jc w:val="both"/>
        <w:ind w:firstLine="1289"/>
        <w:spacing w:after="0" w:line="267" w:lineRule="auto"/>
        <w:tabs>
          <w:tab w:leader="none" w:pos="2262" w:val="left"/>
        </w:tabs>
        <w:numPr>
          <w:ilvl w:val="0"/>
          <w:numId w:val="319"/>
        </w:numPr>
        <w:rPr>
          <w:rFonts w:ascii="Arial" w:cs="Arial" w:eastAsia="Arial" w:hAnsi="Arial"/>
          <w:sz w:val="17"/>
          <w:szCs w:val="17"/>
          <w:color w:val="auto"/>
        </w:rPr>
      </w:pPr>
      <w:r>
        <w:rPr>
          <w:rFonts w:ascii="Arial" w:cs="Arial" w:eastAsia="Arial" w:hAnsi="Arial"/>
          <w:sz w:val="17"/>
          <w:szCs w:val="17"/>
          <w:b w:val="1"/>
          <w:bCs w:val="1"/>
          <w:color w:val="auto"/>
        </w:rPr>
        <w:t>Making of Swing Loans</w:t>
      </w:r>
      <w:r>
        <w:rPr>
          <w:rFonts w:ascii="Arial" w:cs="Arial" w:eastAsia="Arial" w:hAnsi="Arial"/>
          <w:sz w:val="17"/>
          <w:szCs w:val="17"/>
          <w:color w:val="auto"/>
        </w:rPr>
        <w:t>. In the case of a Joint Swing Loan by a member of the Joint Borrower Group, a German Swing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Loan by the German Borrower or a Swiss Swing Loan by the Swiss Borrower and so long as the aggregate amount of Swing Loans made since the last Settlement Date,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all payments or other amounts applied to Swing Loans since the last Settlement Date,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the amount of the requested Swing Loan does not exceed $50,000,000, Swing Lender shall make a Revolving Loan (any such Revolving Loan for the account of a member of the Joint Borrower Group pursuant to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being referred to as a "</w:t>
      </w:r>
      <w:r>
        <w:rPr>
          <w:rFonts w:ascii="Arial" w:cs="Arial" w:eastAsia="Arial" w:hAnsi="Arial"/>
          <w:sz w:val="17"/>
          <w:szCs w:val="17"/>
          <w:u w:val="single" w:color="auto"/>
          <w:color w:val="auto"/>
        </w:rPr>
        <w:t>Joint Swing Loan</w:t>
      </w:r>
      <w:r>
        <w:rPr>
          <w:rFonts w:ascii="Arial" w:cs="Arial" w:eastAsia="Arial" w:hAnsi="Arial"/>
          <w:sz w:val="17"/>
          <w:szCs w:val="17"/>
          <w:color w:val="auto"/>
        </w:rPr>
        <w:t>" and all such Revolving Loans for the account of a member of the Joint Borrower Group being referred to as "</w:t>
      </w:r>
      <w:r>
        <w:rPr>
          <w:rFonts w:ascii="Arial" w:cs="Arial" w:eastAsia="Arial" w:hAnsi="Arial"/>
          <w:sz w:val="17"/>
          <w:szCs w:val="17"/>
          <w:u w:val="single" w:color="auto"/>
          <w:color w:val="auto"/>
        </w:rPr>
        <w:t>Joint Swing Loans</w:t>
      </w:r>
      <w:r>
        <w:rPr>
          <w:rFonts w:ascii="Arial" w:cs="Arial" w:eastAsia="Arial" w:hAnsi="Arial"/>
          <w:sz w:val="17"/>
          <w:szCs w:val="17"/>
          <w:color w:val="auto"/>
        </w:rPr>
        <w:t xml:space="preserve">", any such Revolving Loan for the account of the German Borrower pursuant to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being referred to as a "</w:t>
      </w:r>
      <w:r>
        <w:rPr>
          <w:rFonts w:ascii="Arial" w:cs="Arial" w:eastAsia="Arial" w:hAnsi="Arial"/>
          <w:sz w:val="17"/>
          <w:szCs w:val="17"/>
          <w:u w:val="single" w:color="auto"/>
          <w:color w:val="auto"/>
        </w:rPr>
        <w:t>German Swing Loan</w:t>
      </w:r>
      <w:r>
        <w:rPr>
          <w:rFonts w:ascii="Arial" w:cs="Arial" w:eastAsia="Arial" w:hAnsi="Arial"/>
          <w:sz w:val="17"/>
          <w:szCs w:val="17"/>
          <w:color w:val="auto"/>
        </w:rPr>
        <w:t>" and all such Revolving Loans for the account of the German Borrower being referred to as "</w:t>
      </w:r>
      <w:r>
        <w:rPr>
          <w:rFonts w:ascii="Arial" w:cs="Arial" w:eastAsia="Arial" w:hAnsi="Arial"/>
          <w:sz w:val="17"/>
          <w:szCs w:val="17"/>
          <w:u w:val="single" w:color="auto"/>
          <w:color w:val="auto"/>
        </w:rPr>
        <w:t>German Swing Loans</w:t>
      </w:r>
      <w:r>
        <w:rPr>
          <w:rFonts w:ascii="Arial" w:cs="Arial" w:eastAsia="Arial" w:hAnsi="Arial"/>
          <w:sz w:val="17"/>
          <w:szCs w:val="17"/>
          <w:color w:val="auto"/>
        </w:rPr>
        <w:t xml:space="preserve">", and any such Revolving Loan for the account of the Swiss Borrower pursuant to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being referred to as a "</w:t>
      </w:r>
      <w:r>
        <w:rPr>
          <w:rFonts w:ascii="Arial" w:cs="Arial" w:eastAsia="Arial" w:hAnsi="Arial"/>
          <w:sz w:val="17"/>
          <w:szCs w:val="17"/>
          <w:u w:val="single" w:color="auto"/>
          <w:color w:val="auto"/>
        </w:rPr>
        <w:t>Swiss</w:t>
      </w:r>
      <w:r>
        <w:rPr>
          <w:rFonts w:ascii="Arial" w:cs="Arial" w:eastAsia="Arial" w:hAnsi="Arial"/>
          <w:sz w:val="17"/>
          <w:szCs w:val="17"/>
          <w:color w:val="auto"/>
        </w:rPr>
        <w:t xml:space="preserve"> </w:t>
      </w:r>
      <w:r>
        <w:rPr>
          <w:rFonts w:ascii="Arial" w:cs="Arial" w:eastAsia="Arial" w:hAnsi="Arial"/>
          <w:sz w:val="17"/>
          <w:szCs w:val="17"/>
          <w:u w:val="single" w:color="auto"/>
          <w:color w:val="auto"/>
        </w:rPr>
        <w:t>Swing Loan</w:t>
      </w:r>
      <w:r>
        <w:rPr>
          <w:rFonts w:ascii="Arial" w:cs="Arial" w:eastAsia="Arial" w:hAnsi="Arial"/>
          <w:sz w:val="17"/>
          <w:szCs w:val="17"/>
          <w:color w:val="auto"/>
        </w:rPr>
        <w:t>" and all such Revolving Loans for the account of the Swiss Borrower being referred to as "</w:t>
      </w:r>
      <w:r>
        <w:rPr>
          <w:rFonts w:ascii="Arial" w:cs="Arial" w:eastAsia="Arial" w:hAnsi="Arial"/>
          <w:sz w:val="17"/>
          <w:szCs w:val="17"/>
          <w:u w:val="single" w:color="auto"/>
          <w:color w:val="auto"/>
        </w:rPr>
        <w:t>Swiss Swing Loans</w:t>
      </w:r>
      <w:r>
        <w:rPr>
          <w:rFonts w:ascii="Arial" w:cs="Arial" w:eastAsia="Arial" w:hAnsi="Arial"/>
          <w:sz w:val="17"/>
          <w:szCs w:val="17"/>
          <w:color w:val="auto"/>
        </w:rPr>
        <w:t xml:space="preserve">") available to the applicable Borrower Group on the Funding Date applicable thereto by transferring immediately available funds in the amount of such Borrowing to the applicable Designated Account. Each Swing Loan shall be deemed to be a Revolving Loan hereunder and shall be subject to all the terms and conditions (including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applicable to other Revolving Loans, except that all payments (including interest) on any Swing Loan shall be payable to Swing Lender solely for its own account. Subject to the provisions of </w:t>
      </w:r>
      <w:r>
        <w:rPr>
          <w:rFonts w:ascii="Arial" w:cs="Arial" w:eastAsia="Arial" w:hAnsi="Arial"/>
          <w:sz w:val="17"/>
          <w:szCs w:val="17"/>
          <w:u w:val="single" w:color="auto"/>
          <w:color w:val="auto"/>
        </w:rPr>
        <w:t>Section 2.3(d)(ii)</w:t>
      </w:r>
      <w:r>
        <w:rPr>
          <w:rFonts w:ascii="Arial" w:cs="Arial" w:eastAsia="Arial" w:hAnsi="Arial"/>
          <w:sz w:val="17"/>
          <w:szCs w:val="17"/>
          <w:color w:val="auto"/>
        </w:rPr>
        <w:t xml:space="preserve">, Swing Lender shall not make and shall not be obligated to make any Swing Loan if Swing Lender has actual knowledge that (i) one or more of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not be satisfied on the requested Funding Date for the applicable Borrowing, or (ii) the requested Borrowing would exceed (x) with respect to Joint Loans, the Joint Availability Amount on such Funding Date, (y) with respect to German Loans, the German Availability Amount on such Funding Date, or (z) with respect to Swiss Loans, the Swiss Availability Amount on such Funding Date. Swing Lender shall not otherwise be required to determine whether the applicable conditions precedent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have been satisfied on the Funding Date applicable thereto prior to making any Swing Loan. The Swing Loans shall be secured by Agent's Liens, constitute Revolving Loans and Obligations, and bear interest at the rate applicable from time to time to Revolving Loans that are Base Rate Loans.</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296" w:name="page297"/>
    <w:bookmarkEnd w:id="296"/>
    <w:p>
      <w:pPr>
        <w:ind w:left="2500" w:hanging="871"/>
        <w:spacing w:after="0"/>
        <w:tabs>
          <w:tab w:leader="none" w:pos="2500" w:val="left"/>
        </w:tabs>
        <w:numPr>
          <w:ilvl w:val="1"/>
          <w:numId w:val="320"/>
        </w:numPr>
        <w:rPr>
          <w:rFonts w:ascii="Arial" w:cs="Arial" w:eastAsia="Arial" w:hAnsi="Arial"/>
          <w:sz w:val="18"/>
          <w:szCs w:val="18"/>
          <w:color w:val="auto"/>
        </w:rPr>
      </w:pPr>
      <w:r>
        <w:rPr>
          <w:rFonts w:ascii="Arial" w:cs="Arial" w:eastAsia="Arial" w:hAnsi="Arial"/>
          <w:sz w:val="18"/>
          <w:szCs w:val="18"/>
          <w:b w:val="1"/>
          <w:bCs w:val="1"/>
          <w:color w:val="auto"/>
        </w:rPr>
        <w:t>Making of Facility Loans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83" w:lineRule="auto"/>
        <w:tabs>
          <w:tab w:leader="none" w:pos="2907" w:val="left"/>
        </w:tabs>
        <w:numPr>
          <w:ilvl w:val="2"/>
          <w:numId w:val="320"/>
        </w:numPr>
        <w:rPr>
          <w:rFonts w:ascii="Arial" w:cs="Arial" w:eastAsia="Arial" w:hAnsi="Arial"/>
          <w:sz w:val="16"/>
          <w:szCs w:val="16"/>
          <w:color w:val="auto"/>
        </w:rPr>
      </w:pPr>
      <w:r>
        <w:rPr>
          <w:rFonts w:ascii="Arial" w:cs="Arial" w:eastAsia="Arial" w:hAnsi="Arial"/>
          <w:sz w:val="16"/>
          <w:szCs w:val="16"/>
          <w:color w:val="auto"/>
        </w:rPr>
        <w:t xml:space="preserve">In the event that Swing Lender is not obligated to make a Swing Loan, then after receipt of a request for a Borrowing pursuant to </w:t>
      </w:r>
      <w:r>
        <w:rPr>
          <w:rFonts w:ascii="Arial" w:cs="Arial" w:eastAsia="Arial" w:hAnsi="Arial"/>
          <w:sz w:val="16"/>
          <w:szCs w:val="16"/>
          <w:u w:val="single" w:color="auto"/>
          <w:color w:val="auto"/>
        </w:rPr>
        <w:t>Section 2.3(a)(i)</w:t>
      </w:r>
      <w:r>
        <w:rPr>
          <w:rFonts w:ascii="Arial" w:cs="Arial" w:eastAsia="Arial" w:hAnsi="Arial"/>
          <w:sz w:val="16"/>
          <w:szCs w:val="16"/>
          <w:color w:val="auto"/>
        </w:rPr>
        <w:t xml:space="preserve">, Agent shall notify the applicable Lenders by telecopy, telephone, email, or other electronic form of transmission, of the requested Borrowing (and whether such Borrowing is for the account of a member of the Joint Borrower Group, the German Borrower or the Swiss Borrower); such notification to be sent on the Business Day that is (A) in the case of a Base Rate Loan, at least one Business Day prior to the requested Funding Date, or (B) in the case of a LIBOR Rate Loan, prior to 1:00 p.m. at least three Business Days prior to the requested Funding Date. If Agent has notified the applicable Lenders of a requested Borrowing on the Business Day that is one Business Day prior to the Funding Date, then each applicable Lender shall make the amount of such Lender's Pro Rata Share of the requested Borrowing available to Agent in immediately available funds, to Agent's Account, not later than 12:00 p.m. on the Business Day that is the requested Funding Date. After Agent's receipt of the proceeds of such Facility Loans from the applicable Lenders, Agent shall make the proceeds thereof available to the applicable Borrower Group on the applicable Funding Date by transferring immediately available funds equal to such proceeds received by Agent to the applicable Designated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Section 2.3(d)(ii)</w:t>
      </w:r>
      <w:r>
        <w:rPr>
          <w:rFonts w:ascii="Arial" w:cs="Arial" w:eastAsia="Arial" w:hAnsi="Arial"/>
          <w:sz w:val="16"/>
          <w:szCs w:val="16"/>
          <w:color w:val="auto"/>
        </w:rPr>
        <w:t xml:space="preserve">, no Lender shall have an obligation to make any Facility Loan, if (1) one or more of the applicable conditions precedent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will not be satisfied on the requested Funding Date for the applicable Borrowing unless such condition has been waived, or (2) the requested Borrowing would exceed (w) with respect to the FILO Lenders only and their obligation to make FILO Loans, the FILO Availability Amount on such Funding Date,</w:t>
      </w:r>
    </w:p>
    <w:p>
      <w:pPr>
        <w:spacing w:after="0" w:line="3" w:lineRule="exact"/>
        <w:rPr>
          <w:rFonts w:ascii="Arial" w:cs="Arial" w:eastAsia="Arial" w:hAnsi="Arial"/>
          <w:sz w:val="16"/>
          <w:szCs w:val="16"/>
          <w:color w:val="auto"/>
        </w:rPr>
      </w:pPr>
    </w:p>
    <w:p>
      <w:pPr>
        <w:ind w:firstLine="8"/>
        <w:spacing w:after="0" w:line="261" w:lineRule="auto"/>
        <w:tabs>
          <w:tab w:leader="none" w:pos="26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with respect to Joint Loans, the Joint Availability Amount on such Funding Date, (y) with respect to German Loans, the German Availability Amount on such Funding Date, or (z) with respect to Swiss Loans, the Swiss Availability Amount on such Funding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7" w:name="page298"/>
    <w:bookmarkEnd w:id="297"/>
    <w:p>
      <w:pPr>
        <w:jc w:val="both"/>
        <w:ind w:firstLine="1953"/>
        <w:spacing w:after="0" w:line="284" w:lineRule="auto"/>
        <w:tabs>
          <w:tab w:leader="none" w:pos="280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Unless Agent receives notice from a Lender prior to 11:30 a.m. on the Business Day that is the requested Funding Date relative to a requested Borrowing as to which Agent has notified the applicable Lenders of a requested Borrowing that such Lender will not make available as and when required hereunder to Agent for the account of the applicable Borrower Group the amount of that Lender's Pro Rata Share of the Borrowing, Agent may assume that each applicable Lender has made or will make such amount available to Agent in immediately available funds on the Funding Date and Agent may (but shall not be so required), in reliance upon such assumption, make available to the applicable Borrowers a corresponding amount. If, on the requested Funding Date, any applicable Lender shall not have remitted the full amount that it is required to make available to Agent in immediately available funds and if Agent has made available to the applicable Borrowers such amount on the requested Funding Date, then such Lender shall make the amount of such Lender's Pro Rata Share of the requested Borrowing available to Agent in immediately available funds, to Agent's Account, no later than 12:00 p.m. on the Business Day that is the first Business Day after the requested Funding Date (in which case, the interest accrued on such Lender's portion of such Borrowing for the Funding Date shall be for Agent's separate account). If any applicable Lender shall not remit the full amount that it is required to make available to Agent in immediately available funds as and when required hereby and if Agent has made available to the applicable Borrowers such amount, then such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Arial" w:cs="Arial" w:eastAsia="Arial" w:hAnsi="Arial"/>
          <w:sz w:val="16"/>
          <w:szCs w:val="16"/>
          <w:u w:val="single" w:color="auto"/>
          <w:color w:val="auto"/>
        </w:rPr>
        <w:t>Section 2.3(c)(ii)</w:t>
      </w:r>
      <w:r>
        <w:rPr>
          <w:rFonts w:ascii="Arial" w:cs="Arial" w:eastAsia="Arial" w:hAnsi="Arial"/>
          <w:sz w:val="16"/>
          <w:szCs w:val="16"/>
          <w:color w:val="auto"/>
        </w:rPr>
        <w:t xml:space="preserve"> shall be conclusive, absent manifest error. If the amount that a Lender is required to remit is made available to Agent, then such payment to Agent shall constitute such Lender's Facility Loan for all purposes of this Agreement. If such amount is not made available to Agent on the Business Day following the Funding Date, Agent will notify Administrative Borrower of such failure to fund and, upon demand by Agent, the applicable Borrower Group shall pay such amount to Agent for Agent's account, together with interest thereon for each day elapsed since the date of such Borrowing,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interest rate applicable at the time to the Revolving Loans or the FILO Loans, as applicable, composing such Borrowing. Subject to the requirements contained in this Agreement regarding Lenders being U.S. Qualifying Lenders and Swiss Qualifying Lenders, each Lender may, at its option, make any Loan available to any Borrower by causing any foreign or domestic branch or Affiliate of such Lender to make such Loan; provided that any exercise of such option shall not affect the obligation of such Borrower to repay such Loan in accordance with the terms of this Agreement.</w:t>
      </w:r>
    </w:p>
    <w:p>
      <w:pPr>
        <w:spacing w:after="0" w:line="177" w:lineRule="exact"/>
        <w:rPr>
          <w:rFonts w:ascii="Arial" w:cs="Arial" w:eastAsia="Arial" w:hAnsi="Arial"/>
          <w:sz w:val="16"/>
          <w:szCs w:val="16"/>
          <w:color w:val="auto"/>
        </w:rPr>
      </w:pPr>
    </w:p>
    <w:p>
      <w:pPr>
        <w:ind w:left="2520" w:hanging="891"/>
        <w:spacing w:after="0"/>
        <w:tabs>
          <w:tab w:leader="none" w:pos="2520" w:val="left"/>
        </w:tabs>
        <w:numPr>
          <w:ilvl w:val="0"/>
          <w:numId w:val="323"/>
        </w:numPr>
        <w:rPr>
          <w:rFonts w:ascii="Arial" w:cs="Arial" w:eastAsia="Arial" w:hAnsi="Arial"/>
          <w:sz w:val="18"/>
          <w:szCs w:val="18"/>
          <w:color w:val="auto"/>
        </w:rPr>
      </w:pPr>
      <w:r>
        <w:rPr>
          <w:rFonts w:ascii="Arial" w:cs="Arial" w:eastAsia="Arial" w:hAnsi="Arial"/>
          <w:sz w:val="18"/>
          <w:szCs w:val="18"/>
          <w:b w:val="1"/>
          <w:bCs w:val="1"/>
          <w:color w:val="auto"/>
        </w:rPr>
        <w:t>Protective Advances and Optional Overadvances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86" w:lineRule="auto"/>
        <w:tabs>
          <w:tab w:leader="none" w:pos="2893"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Any contrary provision of this Agreement or any other Loan Document notwithstanding (but subject to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at any time (A) after the occurrence and during the continuance of a Default or an Event of Default, or (B) that any of the other applicable conditions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not satisfied, Agent hereby is authorized by each Borrower Group and the Lenders, from time to time, in Agent's sole discretion, to make Revolving Loans to, or for the benefit of, such Borrower Group, on behalf of the Lenders, that Agent, in its Permitted Discretion, deems necessary or desirable (1) to preserve or protect the Collateral, or any portion thereof, or (2) to enhance the likelihood of repayment of the Obligations (other than the Bank Product Obligations) (the Joint Revolving Loans described in this </w:t>
      </w:r>
      <w:r>
        <w:rPr>
          <w:rFonts w:ascii="Arial" w:cs="Arial" w:eastAsia="Arial" w:hAnsi="Arial"/>
          <w:sz w:val="16"/>
          <w:szCs w:val="16"/>
          <w:u w:val="single" w:color="auto"/>
          <w:color w:val="auto"/>
        </w:rPr>
        <w:t>Section 2.3(d)(i)</w:t>
      </w:r>
      <w:r>
        <w:rPr>
          <w:rFonts w:ascii="Arial" w:cs="Arial" w:eastAsia="Arial" w:hAnsi="Arial"/>
          <w:sz w:val="16"/>
          <w:szCs w:val="16"/>
          <w:color w:val="auto"/>
        </w:rPr>
        <w:t xml:space="preserve"> shall be referred to as "</w:t>
      </w:r>
      <w:r>
        <w:rPr>
          <w:rFonts w:ascii="Arial" w:cs="Arial" w:eastAsia="Arial" w:hAnsi="Arial"/>
          <w:sz w:val="16"/>
          <w:szCs w:val="16"/>
          <w:u w:val="single" w:color="auto"/>
          <w:color w:val="auto"/>
        </w:rPr>
        <w:t>Joint Protective Advances</w:t>
      </w:r>
      <w:r>
        <w:rPr>
          <w:rFonts w:ascii="Arial" w:cs="Arial" w:eastAsia="Arial" w:hAnsi="Arial"/>
          <w:sz w:val="16"/>
          <w:szCs w:val="16"/>
          <w:color w:val="auto"/>
        </w:rPr>
        <w:t xml:space="preserve">", the German Revolving Loans described in this </w:t>
      </w:r>
      <w:r>
        <w:rPr>
          <w:rFonts w:ascii="Arial" w:cs="Arial" w:eastAsia="Arial" w:hAnsi="Arial"/>
          <w:sz w:val="16"/>
          <w:szCs w:val="16"/>
          <w:u w:val="single" w:color="auto"/>
          <w:color w:val="auto"/>
        </w:rPr>
        <w:t>Section 2.3(d)(i)</w:t>
      </w:r>
      <w:r>
        <w:rPr>
          <w:rFonts w:ascii="Arial" w:cs="Arial" w:eastAsia="Arial" w:hAnsi="Arial"/>
          <w:sz w:val="16"/>
          <w:szCs w:val="16"/>
          <w:color w:val="auto"/>
        </w:rPr>
        <w:t xml:space="preserve"> shall be referred to as "</w:t>
      </w:r>
      <w:r>
        <w:rPr>
          <w:rFonts w:ascii="Arial" w:cs="Arial" w:eastAsia="Arial" w:hAnsi="Arial"/>
          <w:sz w:val="16"/>
          <w:szCs w:val="16"/>
          <w:u w:val="single" w:color="auto"/>
          <w:color w:val="auto"/>
        </w:rPr>
        <w:t>German Protective Advances</w:t>
      </w:r>
      <w:r>
        <w:rPr>
          <w:rFonts w:ascii="Arial" w:cs="Arial" w:eastAsia="Arial" w:hAnsi="Arial"/>
          <w:sz w:val="16"/>
          <w:szCs w:val="16"/>
          <w:color w:val="auto"/>
        </w:rPr>
        <w:t xml:space="preserve">" and the Swiss Revolving Loans described in this </w:t>
      </w:r>
      <w:r>
        <w:rPr>
          <w:rFonts w:ascii="Arial" w:cs="Arial" w:eastAsia="Arial" w:hAnsi="Arial"/>
          <w:sz w:val="16"/>
          <w:szCs w:val="16"/>
          <w:u w:val="single" w:color="auto"/>
          <w:color w:val="auto"/>
        </w:rPr>
        <w:t>Section 2.3(d)(i)</w:t>
      </w:r>
      <w:r>
        <w:rPr>
          <w:rFonts w:ascii="Arial" w:cs="Arial" w:eastAsia="Arial" w:hAnsi="Arial"/>
          <w:sz w:val="16"/>
          <w:szCs w:val="16"/>
          <w:color w:val="auto"/>
        </w:rPr>
        <w:t xml:space="preserve"> shall be referred to as "</w:t>
      </w:r>
      <w:r>
        <w:rPr>
          <w:rFonts w:ascii="Arial" w:cs="Arial" w:eastAsia="Arial" w:hAnsi="Arial"/>
          <w:sz w:val="16"/>
          <w:szCs w:val="16"/>
          <w:u w:val="single" w:color="auto"/>
          <w:color w:val="auto"/>
        </w:rPr>
        <w:t>Swiss Protective Advances</w:t>
      </w:r>
      <w:r>
        <w:rPr>
          <w:rFonts w:ascii="Arial" w:cs="Arial" w:eastAsia="Arial" w:hAnsi="Arial"/>
          <w:sz w:val="16"/>
          <w:szCs w:val="16"/>
          <w:color w:val="auto"/>
        </w:rPr>
        <w:t xml:space="preserve">"). In any event (x) if any Protective Advance remains outstanding for more than 30 days, unless otherwise agreed to by the Required Lenders, the applicable Borrower Group shall immediately repay such Protective Advance, and (y) after the date all such Protective Advances have been repaid, there must be at least five consecutive days before additional Protective Advances are made pursuant to this </w:t>
      </w:r>
      <w:r>
        <w:rPr>
          <w:rFonts w:ascii="Arial" w:cs="Arial" w:eastAsia="Arial" w:hAnsi="Arial"/>
          <w:sz w:val="16"/>
          <w:szCs w:val="16"/>
          <w:u w:val="single" w:color="auto"/>
          <w:color w:val="auto"/>
        </w:rPr>
        <w:t>Section 2.3(d)(i)</w:t>
      </w:r>
      <w:r>
        <w:rPr>
          <w:rFonts w:ascii="Arial" w:cs="Arial" w:eastAsia="Arial" w:hAnsi="Arial"/>
          <w:sz w:val="16"/>
          <w:szCs w:val="16"/>
          <w:color w:val="auto"/>
        </w:rPr>
        <w:t>. Agent's authorization to make Protective Advances may be revoked at any time by the Required Lenders delivering written notice of such revocation to Agent. Any such revocation shall become effective prospectively upon Agent's receipt thereof. Notwithstanding the foregoing, (x) the aggregate amount of all Joint Protective Advances outstanding at any one time shall not exceed 10% of the Joint Borrowing Base, (y) the aggregate amount of all German Protective Advances outstanding at any one time shall not exceed 10% of the German Borrowing Base and (z) the aggregate amount of all Swiss Protective Advances outstanding at any one time shall not exceed 10% of the Swiss Borrowing Base.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8" w:name="page299"/>
    <w:bookmarkEnd w:id="298"/>
    <w:p>
      <w:pPr>
        <w:jc w:val="both"/>
        <w:ind w:firstLine="1953"/>
        <w:spacing w:after="0" w:line="288" w:lineRule="auto"/>
        <w:tabs>
          <w:tab w:leader="none" w:pos="2822"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Any contrary provision of this Agreement or any other Loan Document notwithstanding, the Lenders hereby authorize Agent or Swing Lender, as applicable, and either Agent or Swing Lender, as applicable, may, but is not obligated to, knowingly and intentionally, continue to make Facility Loans (including Swing Loans) to any Borrower Group notwithstanding that an Overadvance exists or would be created thereby, so long as</w:t>
      </w:r>
    </w:p>
    <w:p>
      <w:pPr>
        <w:jc w:val="both"/>
        <w:ind w:firstLine="8"/>
        <w:spacing w:after="0" w:line="283" w:lineRule="auto"/>
        <w:tabs>
          <w:tab w:leader="none" w:pos="30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(1) with respect to Joint Loans, after giving effect to such Joint Loans, the outstanding Joint Usage does not exceed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the Joint Borrowing Base </w:t>
      </w:r>
      <w:r>
        <w:rPr>
          <w:rFonts w:ascii="Arial" w:cs="Arial" w:eastAsia="Arial" w:hAnsi="Arial"/>
          <w:sz w:val="16"/>
          <w:szCs w:val="16"/>
          <w:i w:val="1"/>
          <w:iCs w:val="1"/>
          <w:u w:val="single" w:color="auto"/>
          <w:color w:val="auto"/>
        </w:rPr>
        <w:t>plus</w:t>
      </w:r>
      <w:r>
        <w:rPr>
          <w:rFonts w:ascii="Arial" w:cs="Arial" w:eastAsia="Arial" w:hAnsi="Arial"/>
          <w:sz w:val="16"/>
          <w:szCs w:val="16"/>
          <w:i w:val="1"/>
          <w:iCs w:val="1"/>
          <w:color w:val="auto"/>
        </w:rPr>
        <w:t xml:space="preserve"> </w:t>
      </w:r>
      <w:r>
        <w:rPr>
          <w:rFonts w:ascii="Arial" w:cs="Arial" w:eastAsia="Arial" w:hAnsi="Arial"/>
          <w:sz w:val="16"/>
          <w:szCs w:val="16"/>
          <w:color w:val="auto"/>
        </w:rPr>
        <w:t>the Joint FILO Borrowing Base by more than 10% of such amount, (2) with respect to German Loans, after giving effect to such German Loans,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German Usage does not exceed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the German Borrowing Base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German FILO Borrowing Base by more than 10% of such amount, and (3) with respect to Swiss Loans, after giving effect to such Swiss Loans, the outstanding Swiss Usage does not exceed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the Swiss Borrowing Base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Swiss FILO Borrowing Base by more than 10% of such amount, and (B) subject to </w:t>
      </w:r>
      <w:r>
        <w:rPr>
          <w:rFonts w:ascii="Arial" w:cs="Arial" w:eastAsia="Arial" w:hAnsi="Arial"/>
          <w:sz w:val="16"/>
          <w:szCs w:val="16"/>
          <w:u w:val="single" w:color="auto"/>
          <w:color w:val="auto"/>
        </w:rPr>
        <w:t>Section 2.3(d)(iv)</w:t>
      </w:r>
      <w:r>
        <w:rPr>
          <w:rFonts w:ascii="Arial" w:cs="Arial" w:eastAsia="Arial" w:hAnsi="Arial"/>
          <w:sz w:val="16"/>
          <w:szCs w:val="16"/>
          <w:color w:val="auto"/>
        </w:rPr>
        <w:t xml:space="preserve"> below, (1) with respect to Joint Loans, after giving effect to such Joint Loans, the outstanding Joint Usage (except for and excluding amounts charged to the Loan Account of the Joint Borrower Group for interest, fees, or Lender Group Expenses), </w:t>
      </w:r>
      <w:r>
        <w:rPr>
          <w:rFonts w:ascii="Arial" w:cs="Arial" w:eastAsia="Arial" w:hAnsi="Arial"/>
          <w:sz w:val="16"/>
          <w:szCs w:val="16"/>
          <w:i w:val="1"/>
          <w:iCs w:val="1"/>
          <w:color w:val="auto"/>
        </w:rPr>
        <w:t>plus</w:t>
      </w:r>
      <w:r>
        <w:rPr>
          <w:rFonts w:ascii="Arial" w:cs="Arial" w:eastAsia="Arial" w:hAnsi="Arial"/>
          <w:sz w:val="16"/>
          <w:szCs w:val="16"/>
          <w:color w:val="auto"/>
        </w:rPr>
        <w:t xml:space="preserve"> German Usage and Swiss Usage, does not exceed the Maximum Facility Amount, (2) with respect to German Loans, after giving effect to such German Loans, the outstanding German Usage (except for and excluding amounts charged to the Loan Account of the German Borrower for interest, fees, or Lender Group Expenses) does not exceed the German Sublimit, and (3) with respect to Swiss Loans, after giving effect to such Swiss Loans, the outstanding Swiss Usage (except for and excluding amounts charged to the Loan Account of the Swiss Borrower for interest, fees, or Lender Group Expenses) does not exceed the Swiss Sublimit. In the event Agent obtains actual knowledge that the Joint Usage, German Usage and/or Swiss Usage, as applicable, exceeds the amounts permitted by this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regardless of the amount of, or reason for, such excess, Agent shall notify the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thereupon shall, together with Agent, jointly determine the terms of arrangements that shall be implemented with the applicable Borrower Group intended to reduce, within a reasonable time, the outstanding principal amount of the Facility Loans to such Borrower Group to an amount permitted by the preceding sentence. In such circumstances, if any Lender objects to the proposed terms of reduction or repayment of any Overadvance, the terms of reduction or repayment thereof shall be implemented according to the determination of the Required Lenders. In any event (x) if any Overadvance not otherwise made or permitted pursuant to this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remains outstanding for more than 30 days, unless otherwise agreed to by the Required Lenders, the applicable Borrowers shall immediately repay Facility Loans in an amount sufficient to eliminate all such Overadvances not otherwise made or permitted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2.3(d)</w:t>
      </w:r>
      <w:r>
        <w:rPr>
          <w:rFonts w:ascii="Arial" w:cs="Arial" w:eastAsia="Arial" w:hAnsi="Arial"/>
          <w:sz w:val="16"/>
          <w:szCs w:val="16"/>
          <w:color w:val="auto"/>
        </w:rPr>
        <w:t xml:space="preserve">, and (y) after the date all such Overadvances have been eliminated, there must be at least five consecutive days before additional Facility Loans are made pursuant to this </w:t>
      </w:r>
      <w:r>
        <w:rPr>
          <w:rFonts w:ascii="Arial" w:cs="Arial" w:eastAsia="Arial" w:hAnsi="Arial"/>
          <w:sz w:val="16"/>
          <w:szCs w:val="16"/>
          <w:u w:val="single" w:color="auto"/>
          <w:color w:val="auto"/>
        </w:rPr>
        <w:t>Section 2.3(d)(ii)</w:t>
      </w:r>
      <w:r>
        <w:rPr>
          <w:rFonts w:ascii="Arial" w:cs="Arial" w:eastAsia="Arial" w:hAnsi="Arial"/>
          <w:sz w:val="16"/>
          <w:szCs w:val="16"/>
          <w:color w:val="auto"/>
        </w:rPr>
        <w:t xml:space="preserve">. The foregoing provisions are meant for the benefit of the Lenders and Agent and are not meant for the benefit of Borrowers, which shall continue to be bound by the provisions of </w:t>
      </w:r>
      <w:r>
        <w:rPr>
          <w:rFonts w:ascii="Arial" w:cs="Arial" w:eastAsia="Arial" w:hAnsi="Arial"/>
          <w:sz w:val="16"/>
          <w:szCs w:val="16"/>
          <w:u w:val="single" w:color="auto"/>
          <w:color w:val="auto"/>
        </w:rPr>
        <w:t>Section 2.4(e)</w:t>
      </w:r>
      <w:r>
        <w:rPr>
          <w:rFonts w:ascii="Arial" w:cs="Arial" w:eastAsia="Arial" w:hAnsi="Arial"/>
          <w:sz w:val="16"/>
          <w:szCs w:val="16"/>
          <w:color w:val="auto"/>
        </w:rPr>
        <w:t>. Agent's and Swing Lender's authorization to make intentional Overadvances may be revoked at any time by the Required Lenders delivering written notice of such revocation to Agent. Any such revocation shall become effective prospectively upon Agent's receipt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9" w:name="page300"/>
    <w:bookmarkEnd w:id="299"/>
    <w:p>
      <w:pPr>
        <w:jc w:val="both"/>
        <w:ind w:firstLine="1953"/>
        <w:spacing w:after="0" w:line="271" w:lineRule="auto"/>
        <w:tabs>
          <w:tab w:leader="none" w:pos="2903" w:val="left"/>
        </w:tabs>
        <w:numPr>
          <w:ilvl w:val="1"/>
          <w:numId w:val="326"/>
        </w:numPr>
        <w:rPr>
          <w:rFonts w:ascii="Arial" w:cs="Arial" w:eastAsia="Arial" w:hAnsi="Arial"/>
          <w:sz w:val="17"/>
          <w:szCs w:val="17"/>
          <w:color w:val="auto"/>
        </w:rPr>
      </w:pPr>
      <w:r>
        <w:rPr>
          <w:rFonts w:ascii="Arial" w:cs="Arial" w:eastAsia="Arial" w:hAnsi="Arial"/>
          <w:sz w:val="17"/>
          <w:szCs w:val="17"/>
          <w:color w:val="auto"/>
        </w:rPr>
        <w:t>Each Protective Advance and each Overadvance (each, an "</w:t>
      </w:r>
      <w:r>
        <w:rPr>
          <w:rFonts w:ascii="Arial" w:cs="Arial" w:eastAsia="Arial" w:hAnsi="Arial"/>
          <w:sz w:val="17"/>
          <w:szCs w:val="17"/>
          <w:u w:val="single" w:color="auto"/>
          <w:color w:val="auto"/>
        </w:rPr>
        <w:t>Extraordinary Advance</w:t>
      </w:r>
      <w:r>
        <w:rPr>
          <w:rFonts w:ascii="Arial" w:cs="Arial" w:eastAsia="Arial" w:hAnsi="Arial"/>
          <w:sz w:val="17"/>
          <w:szCs w:val="17"/>
          <w:color w:val="auto"/>
        </w:rPr>
        <w:t xml:space="preserve">") for the account of a Borrower Group shall be deemed to be a Revolving Loan or FILO Loan, as applicable, hereunder for the account of such Borrower Group, except that no Extraordinary Advance shall be eligible to be a LIBOR Rate Loan. Prior to Settlement of any Extraordinary Advance, all payments with respect thereto, including interest thereon, shall be payable to Agent solely for its own account. Each Lender shall be obligated to settle with Agent as provided in </w:t>
      </w:r>
      <w:r>
        <w:rPr>
          <w:rFonts w:ascii="Arial" w:cs="Arial" w:eastAsia="Arial" w:hAnsi="Arial"/>
          <w:sz w:val="17"/>
          <w:szCs w:val="17"/>
          <w:u w:val="single" w:color="auto"/>
          <w:color w:val="auto"/>
        </w:rPr>
        <w:t>Section 2.3(e)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2.3(g)</w:t>
      </w:r>
      <w:r>
        <w:rPr>
          <w:rFonts w:ascii="Arial" w:cs="Arial" w:eastAsia="Arial" w:hAnsi="Arial"/>
          <w:sz w:val="17"/>
          <w:szCs w:val="17"/>
          <w:color w:val="auto"/>
        </w:rPr>
        <w:t xml:space="preserve">, as applicable) for the amount of such Lender's Pro Rata Share of any Extraordinary Advance. The Extraordinary Advances shall be repayable on demand, secured by Agent's Liens, constitute Obligations hereunder, and bear interest at the rate applicable from time to time to Revolving Loans or FILO Loans, as applicable, that are Base Rate Loans. The provisions of this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are for the exclusive benefit of Agent, Swing Lender, and the Lenders and are not intended to benefit Borrowers (or any other Loan Party) in any way.</w:t>
      </w:r>
    </w:p>
    <w:p>
      <w:pPr>
        <w:spacing w:after="0" w:line="178" w:lineRule="exact"/>
        <w:rPr>
          <w:rFonts w:ascii="Arial" w:cs="Arial" w:eastAsia="Arial" w:hAnsi="Arial"/>
          <w:sz w:val="17"/>
          <w:szCs w:val="17"/>
          <w:color w:val="auto"/>
        </w:rPr>
      </w:pPr>
    </w:p>
    <w:p>
      <w:pPr>
        <w:jc w:val="both"/>
        <w:ind w:firstLine="1953"/>
        <w:spacing w:after="0" w:line="293" w:lineRule="auto"/>
        <w:tabs>
          <w:tab w:leader="none" w:pos="285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or any other Loan Document to the contrary, no Extraordinary Advance may be made by Agent to a Borrower Group if such Extraordinary Advance would cause (A) with respect to an Extraordinary Advance made to a member of the Joint Borrower Group, the aggregate Joint Usage to exceed the Maximum Facility Amount, (B) with respect to an Extraordinary Advance made to the German Borrower, the aggregate German Usage to exceed the German Sublimit, (C) with respect to an Extraordinary Advance made to the Swiss Borrower, the aggregate Swiss Usage to exceed the Swiss Sublimit, (D) any Lender's Pro Rata Share of the Revolver Usage to exceed such Lender's Revolver Commitments or (E) any Lender's Pro Rata Share of the FILO Usage to exceed such Lender's FILO Commitments.</w:t>
      </w:r>
    </w:p>
    <w:p>
      <w:pPr>
        <w:spacing w:after="0" w:line="160" w:lineRule="exact"/>
        <w:rPr>
          <w:rFonts w:ascii="Arial" w:cs="Arial" w:eastAsia="Arial" w:hAnsi="Arial"/>
          <w:sz w:val="16"/>
          <w:szCs w:val="16"/>
          <w:color w:val="auto"/>
        </w:rPr>
      </w:pPr>
    </w:p>
    <w:p>
      <w:pPr>
        <w:jc w:val="both"/>
        <w:ind w:left="340" w:firstLine="1289"/>
        <w:spacing w:after="0" w:line="270" w:lineRule="auto"/>
        <w:tabs>
          <w:tab w:leader="none" w:pos="2619"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Settlement</w:t>
      </w:r>
      <w:r>
        <w:rPr>
          <w:rFonts w:ascii="Arial" w:cs="Arial" w:eastAsia="Arial" w:hAnsi="Arial"/>
          <w:sz w:val="17"/>
          <w:szCs w:val="17"/>
          <w:color w:val="auto"/>
        </w:rPr>
        <w:t>. It is agreed that each Lender's funded portion of the (i) Joint Revolving Loans is intended by the Lenders to</w:t>
      </w:r>
      <w:r>
        <w:rPr>
          <w:rFonts w:ascii="Arial" w:cs="Arial" w:eastAsia="Arial" w:hAnsi="Arial"/>
          <w:sz w:val="17"/>
          <w:szCs w:val="17"/>
          <w:b w:val="1"/>
          <w:bCs w:val="1"/>
          <w:color w:val="auto"/>
        </w:rPr>
        <w:t xml:space="preserve"> </w:t>
      </w:r>
      <w:r>
        <w:rPr>
          <w:rFonts w:ascii="Arial" w:cs="Arial" w:eastAsia="Arial" w:hAnsi="Arial"/>
          <w:sz w:val="17"/>
          <w:szCs w:val="17"/>
          <w:color w:val="auto"/>
        </w:rPr>
        <w:t>equal, at all times, such Lender's Pro Rata Share of the outstanding Joint Revolving Loans, (ii) German Revolving Loans is intended by the Lenders to equal, at all times, such Lender's Pro Rata Share of the outstanding German Revolving Loans, (iii) Swiss Revolving Loans is intended by the Lenders to equal, at all times, such Lender's Pro Rata Share of the outstanding Swiss Revolving Loans, (iv) Joint FILO Loans is intended by the Lenders to equal, at all times, such Lender's Pro Rata Share of the outstanding Joint FILO Loans, (v) German FILO Loans is intended by the Lenders to equal, at all times, such Lender's Pro Rata Share of the outstanding German FILO Loans, and (vi) Swiss FILO Loans is intended by the Lenders to equal, at all times, such Lender's Pro Rata Share of the outstanding Swiss FILO Loans. Such agreement notwithstanding, Agent, Swing Lender, and the other Lenders agree (which agreement shall not be for the benefit of Borrowers) that in order to facilitate the administration of this Agreement and the other Loan Documents, settlement among the Lenders as to the Facility Loans (including Swing Loans and Extraordinary Advances) shall take place on a periodic basis in accordance with the following provisions: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jc w:val="both"/>
        <w:ind w:firstLine="1953"/>
        <w:spacing w:after="0" w:line="284" w:lineRule="auto"/>
        <w:tabs>
          <w:tab w:leader="none" w:pos="300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Agent shall request settlement ("</w:t>
      </w:r>
      <w:r>
        <w:rPr>
          <w:rFonts w:ascii="Arial" w:cs="Arial" w:eastAsia="Arial" w:hAnsi="Arial"/>
          <w:sz w:val="16"/>
          <w:szCs w:val="16"/>
          <w:u w:val="single" w:color="auto"/>
          <w:color w:val="auto"/>
        </w:rPr>
        <w:t>Settlement</w:t>
      </w:r>
      <w:r>
        <w:rPr>
          <w:rFonts w:ascii="Arial" w:cs="Arial" w:eastAsia="Arial" w:hAnsi="Arial"/>
          <w:sz w:val="16"/>
          <w:szCs w:val="16"/>
          <w:color w:val="auto"/>
        </w:rPr>
        <w:t>") with the applicable Lenders on a weekly basis, or on a more frequent basis if so determined by Agent in its sole discretion (A) on behalf of Swing Lender, with respect to the outstanding Swing Loans, (B) for itself, with respect to the outstanding Extraordinary Advances, and (C) with respect to any Loan Party's or any of their Subsidiaries' payments or other amounts received, as to each by notifying the Lenders by telecopy, telephone, or other similar form of transmission, of such requested Settlement, no later than 4:00 p.m. on the Business Day immediately prior to the date of such requested Settlement (the date of such requested Settlement being the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Such notice of a Settlement Date shall include a summary statement of the amount of outstanding Facility Loans (including Swing Loans and Extraordinary Advances) for the applicable Borrower Group for the period since the prior Settlement Date. Subject to the terms and conditions contained herein (including </w:t>
      </w:r>
      <w:r>
        <w:rPr>
          <w:rFonts w:ascii="Arial" w:cs="Arial" w:eastAsia="Arial" w:hAnsi="Arial"/>
          <w:sz w:val="16"/>
          <w:szCs w:val="16"/>
          <w:u w:val="single" w:color="auto"/>
          <w:color w:val="auto"/>
        </w:rPr>
        <w:t>Section 2.3(g)</w:t>
      </w:r>
      <w:r>
        <w:rPr>
          <w:rFonts w:ascii="Arial" w:cs="Arial" w:eastAsia="Arial" w:hAnsi="Arial"/>
          <w:sz w:val="16"/>
          <w:szCs w:val="16"/>
          <w:color w:val="auto"/>
        </w:rPr>
        <w:t>): (y) if the amount of the applicable Facility Loans (including applicable Swing Loans and applicable Extraordinary Advances) made by a Lender that is not a Defaulting Lender exceeds such Lender's Pro Rata Share of such Facility Loans (including Swing Loans and Extraordinary Advances) as of a Settlement Date, then Agent shall, by no later than 2:00 p.m. on the Settlement Date, transfer in immediately available funds to a Deposit Account of such Lender (as such Lender may designate), an amount such that each such Lender shall, upon receipt of such amount, have as of the Settlement Date, its Pro Rata Share of the Facility Loans (including Swing Loans and Extraordinary Advances), and (z) if the amount of the applicable Facility Loans (including applicable Swing Loans and applicable Extraordinary Advances) for the account of a Borrower Group made by a Lender is less than such Lender's Pro Rata Share of such Facility Loans (including Swing Loans and Extraordinary Advances) as of a Settlement Date, such Lender shall no later than 2:00 p.m. on the Settlement Date transfer in immediately available funds to Agent's Account, an amount such that each such Lender shall, upon transfer of such amount, have as of the Settlement Date, its Pro Rata Share of such Facility Loans (including Swing Loans and Extraordinary Advances). Such amounts made available to Agent with respect to a Borrower Group under clause (z) of the immediately preceding sentence shall be applied against the amounts of the applicable Swing Loans or applicable Extraordinary Advances for the account of such Borrower Group and, together with the portion of such Swing Loans or Extraordinary Advances representing Swing Lender's Pro Rata Share thereof, shall constitute Facility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181" w:lineRule="exact"/>
        <w:rPr>
          <w:rFonts w:ascii="Arial" w:cs="Arial" w:eastAsia="Arial" w:hAnsi="Arial"/>
          <w:sz w:val="16"/>
          <w:szCs w:val="16"/>
          <w:color w:val="auto"/>
        </w:rPr>
      </w:pPr>
    </w:p>
    <w:p>
      <w:pPr>
        <w:jc w:val="both"/>
        <w:ind w:firstLine="1953"/>
        <w:spacing w:after="0" w:line="257" w:lineRule="auto"/>
        <w:tabs>
          <w:tab w:leader="none" w:pos="295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determining whether a Lender's balance of the applicable Facility Loans (including applicable Swing Loans and applicable Extraordinary Advances) is less than, equal to, or greater than such Lender's Pro Rata Share of such Facility Loans (including Swing Loans and Extraordinary Advances) as of a Settlement Date, Agent shall, as part of the relevant Settlement, apply to such balance the portion of payments applicable to such Obligations actually received in good funds by Agent with respect to principal, interest, fees payable by Borrowers and allocable to the Lenders hereunder, and proceeds of Collateral.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1" w:name="page302"/>
    <w:bookmarkEnd w:id="301"/>
    <w:p>
      <w:pPr>
        <w:jc w:val="both"/>
        <w:ind w:firstLine="1953"/>
        <w:spacing w:after="0" w:line="286" w:lineRule="auto"/>
        <w:tabs>
          <w:tab w:leader="none" w:pos="2768"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Facility Loans, for application to the Extraordinary Advances or Swing Loans. Between Settlement Dates, Agent, to the extent no Extraordinary Advances or Swing Loans are outstanding, may pay over to Swing Lender any payments or other amounts received by Agent, that in accordance with the terms of this Agreement would be applied to the reduction of the Facility Loans, for application to Swing Lender's Pro Rata Share of the Revolving Loans. If, as of any Settlement Date, payments or other amounts of the Loan Parties or their Subsidiaries received since the then immediately preceding Settlement Date have been applied to Swing Lender's Pro Rata Share of the applicable Revolving Loans other than to applicable Swing Loans, as provided for in the previous sentence, Swing Lender shall pay to Agent for the accounts of the Lenders, and Agent shall pay to the Lenders (other than a Defaulting Lender if Agent has implemented the provisions of </w:t>
      </w:r>
      <w:r>
        <w:rPr>
          <w:rFonts w:ascii="Arial" w:cs="Arial" w:eastAsia="Arial" w:hAnsi="Arial"/>
          <w:sz w:val="16"/>
          <w:szCs w:val="16"/>
          <w:u w:val="single" w:color="auto"/>
          <w:color w:val="auto"/>
        </w:rPr>
        <w:t>Section 2.3(g)</w:t>
      </w:r>
      <w:r>
        <w:rPr>
          <w:rFonts w:ascii="Arial" w:cs="Arial" w:eastAsia="Arial" w:hAnsi="Arial"/>
          <w:sz w:val="16"/>
          <w:szCs w:val="16"/>
          <w:color w:val="auto"/>
        </w:rPr>
        <w:t>), to be applied to the outstanding Revolving Loans of such Lenders, an amount such that each such Lender shall, upon receipt of such amount, have, as of such Settlement Date, its Pro Rata Share of the applicable Revolving Loans. During the period between Settlement Dates, Swing Lender with respect to Swing Loans, Agent with respect to Extraordinary Advances, and each Lender with respect to the Facility Loans other than Swing Loans and Extraordinary Advances, shall be entitled to interest at the applicable rate or rates payable under this Agreement on the daily amount of funds employed by Swing Lender, Agent, or the Lenders, as applicable.</w:t>
      </w:r>
    </w:p>
    <w:p>
      <w:pPr>
        <w:spacing w:after="0" w:line="174" w:lineRule="exact"/>
        <w:rPr>
          <w:rFonts w:ascii="Arial" w:cs="Arial" w:eastAsia="Arial" w:hAnsi="Arial"/>
          <w:sz w:val="16"/>
          <w:szCs w:val="16"/>
          <w:color w:val="auto"/>
        </w:rPr>
      </w:pPr>
    </w:p>
    <w:p>
      <w:pPr>
        <w:jc w:val="both"/>
        <w:ind w:firstLine="1953"/>
        <w:spacing w:after="0" w:line="264" w:lineRule="auto"/>
        <w:tabs>
          <w:tab w:leader="none" w:pos="2979" w:val="left"/>
        </w:tabs>
        <w:numPr>
          <w:ilvl w:val="1"/>
          <w:numId w:val="329"/>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Arial" w:cs="Arial" w:eastAsia="Arial" w:hAnsi="Arial"/>
          <w:sz w:val="18"/>
          <w:szCs w:val="18"/>
          <w:u w:val="single" w:color="auto"/>
          <w:color w:val="auto"/>
        </w:rPr>
        <w:t>Section 2.3(g)</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left="340" w:firstLine="1289"/>
        <w:spacing w:after="0" w:line="261" w:lineRule="auto"/>
        <w:tabs>
          <w:tab w:leader="none" w:pos="2847"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Notation</w:t>
      </w:r>
      <w:r>
        <w:rPr>
          <w:rFonts w:ascii="Arial" w:cs="Arial" w:eastAsia="Arial" w:hAnsi="Arial"/>
          <w:sz w:val="18"/>
          <w:szCs w:val="18"/>
          <w:color w:val="auto"/>
        </w:rPr>
        <w:t>. Consistent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13.1(h)</w:t>
      </w:r>
      <w:r>
        <w:rPr>
          <w:rFonts w:ascii="Arial" w:cs="Arial" w:eastAsia="Arial" w:hAnsi="Arial"/>
          <w:sz w:val="18"/>
          <w:szCs w:val="18"/>
          <w:color w:val="auto"/>
        </w:rPr>
        <w:t>, Agent, as a non-fiduciary agent for Borrowers, shall maintain a register</w:t>
      </w:r>
      <w:r>
        <w:rPr>
          <w:rFonts w:ascii="Arial" w:cs="Arial" w:eastAsia="Arial" w:hAnsi="Arial"/>
          <w:sz w:val="18"/>
          <w:szCs w:val="18"/>
          <w:b w:val="1"/>
          <w:bCs w:val="1"/>
          <w:color w:val="auto"/>
        </w:rPr>
        <w:t xml:space="preserve"> </w:t>
      </w:r>
      <w:r>
        <w:rPr>
          <w:rFonts w:ascii="Arial" w:cs="Arial" w:eastAsia="Arial" w:hAnsi="Arial"/>
          <w:sz w:val="18"/>
          <w:szCs w:val="18"/>
          <w:color w:val="auto"/>
        </w:rPr>
        <w:t>showing the principal amount and stated interest of the Facility Loans owing to each Lender, including the Swing Loans owing to Swing Lender, and Extraordinary Advances owing to Agent, and the interests therein of each Lender, from time to time and such register shall, absent manifest error, conclusively be presumed to be correct and accurate.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2" w:name="page303"/>
    <w:bookmarkEnd w:id="302"/>
    <w:p>
      <w:pPr>
        <w:ind w:left="2520" w:hanging="891"/>
        <w:spacing w:after="0"/>
        <w:tabs>
          <w:tab w:leader="none" w:pos="252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Defaulting Lenders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83" w:lineRule="auto"/>
        <w:tabs>
          <w:tab w:leader="none" w:pos="2961" w:val="left"/>
        </w:tabs>
        <w:numPr>
          <w:ilvl w:val="1"/>
          <w:numId w:val="331"/>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2.4(b)(iii)</w:t>
      </w:r>
      <w:r>
        <w:rPr>
          <w:rFonts w:ascii="Arial" w:cs="Arial" w:eastAsia="Arial" w:hAnsi="Arial"/>
          <w:sz w:val="16"/>
          <w:szCs w:val="16"/>
          <w:color w:val="auto"/>
        </w:rPr>
        <w:t xml:space="preserve">, Agent shall not be obligated to transfer to a Defaulting Lender any payments made by or on behalf of any Borrower to Agent for the Defaulting Lender's benefit or any proceeds of Collateral that would otherwise be remitted hereunder to the Defaulting Lender, and, in the absence of such transfer to the Defaulting Lender, Agent shall transfer any such payments (A) first, to Agent to the extent of any Extraordinary Advances that were made by Agent and that were required to be, but were not, paid by Defaulting Lender, (B) second, to Swing Lender to the extent of any Swing Loans that were made by Swing Lender and that were required to be, but were not, paid by the Defaulting Lender, (C) third, to Issuing Bank, to the extent of the portion of a Letter of Credit Disbursement that was required to be, but was not, paid by the Defaulting Lender, (D) fourth, to each Non-Defaulting Lender ratably in accordance with their Commitments (but, in each case, only to the extent that such Defaulting Lender's portion of a Facility Loan (or other funding obligation) was funded by such other Non-Defaulting Lender), (E) fifth, in Agent's sole discretion, to a suspense account maintained by Agent, the proceeds of which shall be retained by Agent and may be made available to be re-advanced to or for the benefit of the applicable Borrowers (upon the request of Borrowers and subject to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if such Defaulting Lender had made its portion of Facility Loans (or other funding obligations) hereunder, and (F) sixth, from and after the date on which all other Obligations have been paid in full, to such Defaulting Lender in accordance with tier xvii. of </w:t>
      </w:r>
      <w:r>
        <w:rPr>
          <w:rFonts w:ascii="Arial" w:cs="Arial" w:eastAsia="Arial" w:hAnsi="Arial"/>
          <w:sz w:val="16"/>
          <w:szCs w:val="16"/>
          <w:u w:val="single" w:color="auto"/>
          <w:color w:val="auto"/>
        </w:rPr>
        <w:t>Section 2.4(b)(iii)(A)</w:t>
      </w:r>
      <w:r>
        <w:rPr>
          <w:rFonts w:ascii="Arial" w:cs="Arial" w:eastAsia="Arial" w:hAnsi="Arial"/>
          <w:sz w:val="16"/>
          <w:szCs w:val="16"/>
          <w:color w:val="auto"/>
        </w:rPr>
        <w:t xml:space="preserve"> in the case of the Joint Borrower Group, in accordance with tier xvii. of </w:t>
      </w:r>
      <w:r>
        <w:rPr>
          <w:rFonts w:ascii="Arial" w:cs="Arial" w:eastAsia="Arial" w:hAnsi="Arial"/>
          <w:sz w:val="16"/>
          <w:szCs w:val="16"/>
          <w:u w:val="single" w:color="auto"/>
          <w:color w:val="auto"/>
        </w:rPr>
        <w:t>Section 2.4(b)(iii)(B)</w:t>
      </w:r>
      <w:r>
        <w:rPr>
          <w:rFonts w:ascii="Arial" w:cs="Arial" w:eastAsia="Arial" w:hAnsi="Arial"/>
          <w:sz w:val="16"/>
          <w:szCs w:val="16"/>
          <w:color w:val="auto"/>
        </w:rPr>
        <w:t xml:space="preserve"> in the case of the German Borrower and in accordance with tier xvii. of </w:t>
      </w:r>
      <w:r>
        <w:rPr>
          <w:rFonts w:ascii="Arial" w:cs="Arial" w:eastAsia="Arial" w:hAnsi="Arial"/>
          <w:sz w:val="16"/>
          <w:szCs w:val="16"/>
          <w:u w:val="single" w:color="auto"/>
          <w:color w:val="auto"/>
        </w:rPr>
        <w:t>Section 2.4(b)(iii)(C)</w:t>
      </w:r>
      <w:r>
        <w:rPr>
          <w:rFonts w:ascii="Arial" w:cs="Arial" w:eastAsia="Arial" w:hAnsi="Arial"/>
          <w:sz w:val="16"/>
          <w:szCs w:val="16"/>
          <w:color w:val="auto"/>
        </w:rPr>
        <w:t xml:space="preserve"> in the case of the Swiss Borrower. Subject to the foregoing, Agent may hold and, in its discretion, re-lend to the applicable Borrower Group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such Defaulting Lender shall be deemed not to be a "Lender" and such Lender's Commitment shall be deemed to be zero;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of the matters governed by </w:t>
      </w:r>
      <w:r>
        <w:rPr>
          <w:rFonts w:ascii="Arial" w:cs="Arial" w:eastAsia="Arial" w:hAnsi="Arial"/>
          <w:sz w:val="16"/>
          <w:szCs w:val="16"/>
          <w:u w:val="single" w:color="auto"/>
          <w:color w:val="auto"/>
        </w:rPr>
        <w:t>Section 14.1(a)(i)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remain effective with respect to such Defaulting Lender until the earlier of (y) the date on which all of the Non-Defaulting Lenders, Agent, Issuing Bank, and Borrowers shall have waived, in writing, the application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Arial" w:cs="Arial" w:eastAsia="Arial" w:hAnsi="Arial"/>
          <w:sz w:val="16"/>
          <w:szCs w:val="16"/>
          <w:u w:val="single" w:color="auto"/>
          <w:color w:val="auto"/>
        </w:rPr>
        <w:t>Section 2.3(g)(ii)</w:t>
      </w:r>
      <w:r>
        <w:rPr>
          <w:rFonts w:ascii="Arial" w:cs="Arial" w:eastAsia="Arial" w:hAnsi="Arial"/>
          <w:sz w:val="16"/>
          <w:szCs w:val="16"/>
          <w:color w:val="auto"/>
        </w:rPr>
        <w:t xml:space="preserve"> shall be released to the applicable Borrower Group). The operation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2.3(g)</w:t>
      </w:r>
      <w:r>
        <w:rPr>
          <w:rFonts w:ascii="Arial" w:cs="Arial" w:eastAsia="Arial" w:hAnsi="Arial"/>
          <w:sz w:val="16"/>
          <w:szCs w:val="16"/>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control and govern.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3" w:name="page304"/>
    <w:bookmarkEnd w:id="303"/>
    <w:p>
      <w:pPr>
        <w:ind w:left="2800" w:hanging="847"/>
        <w:spacing w:after="0"/>
        <w:tabs>
          <w:tab w:leader="none" w:pos="28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If any Swing Loan or Letter of Credit is outstanding at the time that a Lender becomes a Defaulting Lender then:</w:t>
      </w:r>
    </w:p>
    <w:p>
      <w:pPr>
        <w:spacing w:after="0" w:line="236" w:lineRule="exact"/>
        <w:rPr>
          <w:rFonts w:ascii="Arial" w:cs="Arial" w:eastAsia="Arial" w:hAnsi="Arial"/>
          <w:sz w:val="17"/>
          <w:szCs w:val="17"/>
          <w:color w:val="auto"/>
        </w:rPr>
      </w:pPr>
    </w:p>
    <w:p>
      <w:pPr>
        <w:jc w:val="both"/>
        <w:ind w:firstLine="2601"/>
        <w:spacing w:after="0" w:line="302" w:lineRule="auto"/>
        <w:tabs>
          <w:tab w:leader="none" w:pos="346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such Defaulting Lender's Swing Loan Exposure and Letter of Credit Exposure shall be reallocated among the Non-Defaulting Lenders in accordance with their respective Pro Rata Shares but only to the extent (x)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all Non-Defaulting Lenders' Pro Rata Share of Revolver Usage and FILO Usage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such Defaulting Lender's Swing Loan Exposure and Letter of Credit Exposure does not exceed the total of all Non-Defaulting Lenders' Revolver Commitments and FILO Commitments and (y)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are satisfied at such time;</w:t>
      </w:r>
    </w:p>
    <w:p>
      <w:pPr>
        <w:spacing w:after="0" w:line="154" w:lineRule="exact"/>
        <w:rPr>
          <w:rFonts w:ascii="Arial" w:cs="Arial" w:eastAsia="Arial" w:hAnsi="Arial"/>
          <w:sz w:val="16"/>
          <w:szCs w:val="16"/>
          <w:color w:val="auto"/>
        </w:rPr>
      </w:pPr>
    </w:p>
    <w:p>
      <w:pPr>
        <w:jc w:val="both"/>
        <w:ind w:firstLine="2601"/>
        <w:spacing w:after="0" w:line="273" w:lineRule="auto"/>
        <w:tabs>
          <w:tab w:leader="none" w:pos="3665"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if the reallocation described in clause (A) above cannot, or can only partially, be effected, the applicable Borrowers shall within one Business Day following notice by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 collateral agreement to be entered into in form and substance reasonably satisfactory to Agent, for so long as such Letter of Credit Exposure is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that Borrowers shall not be obligated to cash collateralize any Defaulting Lender's Letter of Credit Exposure if such Defaulting Lender is also an Issuing Bank;</w:t>
      </w:r>
    </w:p>
    <w:p>
      <w:pPr>
        <w:spacing w:after="0" w:line="178" w:lineRule="exact"/>
        <w:rPr>
          <w:rFonts w:ascii="Arial" w:cs="Arial" w:eastAsia="Arial" w:hAnsi="Arial"/>
          <w:sz w:val="17"/>
          <w:szCs w:val="17"/>
          <w:color w:val="auto"/>
        </w:rPr>
      </w:pPr>
    </w:p>
    <w:p>
      <w:pPr>
        <w:jc w:val="both"/>
        <w:ind w:firstLine="2601"/>
        <w:spacing w:after="0" w:line="259" w:lineRule="auto"/>
        <w:tabs>
          <w:tab w:leader="none" w:pos="376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if the applicable Borrowers cash collateralize any portion of such Defaulting Lender's Letter of Credit Exposure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such Borrowers shall not be required to pay any Letter of Credit Fees to Agent for the account of such Defaulting Lender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with respect to such cash collateralized portion of such Defaulting Lender's Letter of Credit Exposure during the period such Letter of Credit Exposure is cash collateralized;</w:t>
      </w:r>
    </w:p>
    <w:p>
      <w:pPr>
        <w:spacing w:after="0" w:line="186" w:lineRule="exact"/>
        <w:rPr>
          <w:rFonts w:ascii="Arial" w:cs="Arial" w:eastAsia="Arial" w:hAnsi="Arial"/>
          <w:sz w:val="18"/>
          <w:szCs w:val="18"/>
          <w:color w:val="auto"/>
        </w:rPr>
      </w:pPr>
    </w:p>
    <w:p>
      <w:pPr>
        <w:jc w:val="both"/>
        <w:ind w:firstLine="2601"/>
        <w:spacing w:after="0" w:line="264" w:lineRule="auto"/>
        <w:tabs>
          <w:tab w:leader="none" w:pos="365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to the extent the Letter of Credit Exposure of the Non-Defaulting Lenders is reallocated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then the Letter of Credit Fees payable to the Non-Defaulting Lenders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shall be adjusted in accordance with such Non-Defaulting Lenders' Letter of Credit Exposure;</w:t>
      </w:r>
    </w:p>
    <w:p>
      <w:pPr>
        <w:spacing w:after="0" w:line="181" w:lineRule="exact"/>
        <w:rPr>
          <w:rFonts w:ascii="Arial" w:cs="Arial" w:eastAsia="Arial" w:hAnsi="Arial"/>
          <w:sz w:val="18"/>
          <w:szCs w:val="18"/>
          <w:color w:val="auto"/>
        </w:rPr>
      </w:pPr>
    </w:p>
    <w:p>
      <w:pPr>
        <w:jc w:val="both"/>
        <w:ind w:firstLine="2601"/>
        <w:spacing w:after="0" w:line="257" w:lineRule="auto"/>
        <w:tabs>
          <w:tab w:leader="none" w:pos="3534"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to the extent any Defaulting Lender's Letter of Credit Exposure is neither cash collateralized nor reallocated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then, without prejudice to any rights or remedies of any Issuing Bank or any Lender hereunder, all Letter of Credit Fees that would have otherwise been payable to such Defaulting Lender under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with respect to such portion of such Letter of Credit Exposure shall instead be payable to the applicable Issuing Bank until such portion of such Defaulting Lender's Letter of Credit Exposure is cash collateralized or reallocated;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4" w:name="page305"/>
    <w:bookmarkEnd w:id="304"/>
    <w:p>
      <w:pPr>
        <w:jc w:val="both"/>
        <w:ind w:firstLine="2601"/>
        <w:spacing w:after="0" w:line="255" w:lineRule="auto"/>
        <w:tabs>
          <w:tab w:leader="none" w:pos="3443" w:val="left"/>
        </w:tabs>
        <w:numPr>
          <w:ilvl w:val="2"/>
          <w:numId w:val="333"/>
        </w:numPr>
        <w:rPr>
          <w:rFonts w:ascii="Arial" w:cs="Arial" w:eastAsia="Arial" w:hAnsi="Arial"/>
          <w:sz w:val="18"/>
          <w:szCs w:val="18"/>
          <w:color w:val="auto"/>
        </w:rPr>
      </w:pPr>
      <w:r>
        <w:rPr>
          <w:rFonts w:ascii="Arial" w:cs="Arial" w:eastAsia="Arial" w:hAnsi="Arial"/>
          <w:sz w:val="18"/>
          <w:szCs w:val="18"/>
          <w:color w:val="auto"/>
        </w:rPr>
        <w:t xml:space="preserve">so long as any Lender is a Defaulting Lender, the Swing Lender shall not be required to make any Swing Loan and the applicable Issuing Bank shall not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or (y) the Swing Lender or such Issuing Bank, as applicable, has not otherwise entered into arrangements reasonably satisfactory to the Swing Lender or such Issuing Bank, as applicable, and Borrowers to eliminate the Swing Lender's or such Issuing Bank's risk with respect to the Defaulting Lender's participation in Swing Loans or Letters of Credit; and</w:t>
      </w:r>
    </w:p>
    <w:p>
      <w:pPr>
        <w:spacing w:after="0" w:line="193" w:lineRule="exact"/>
        <w:rPr>
          <w:rFonts w:ascii="Arial" w:cs="Arial" w:eastAsia="Arial" w:hAnsi="Arial"/>
          <w:sz w:val="18"/>
          <w:szCs w:val="18"/>
          <w:color w:val="auto"/>
        </w:rPr>
      </w:pPr>
    </w:p>
    <w:p>
      <w:pPr>
        <w:jc w:val="both"/>
        <w:ind w:firstLine="2601"/>
        <w:spacing w:after="0" w:line="276" w:lineRule="auto"/>
        <w:tabs>
          <w:tab w:leader="none" w:pos="3725" w:val="left"/>
        </w:tabs>
        <w:numPr>
          <w:ilvl w:val="2"/>
          <w:numId w:val="333"/>
        </w:numPr>
        <w:rPr>
          <w:rFonts w:ascii="Arial" w:cs="Arial" w:eastAsia="Arial" w:hAnsi="Arial"/>
          <w:sz w:val="17"/>
          <w:szCs w:val="17"/>
          <w:color w:val="auto"/>
        </w:rPr>
      </w:pPr>
      <w:r>
        <w:rPr>
          <w:rFonts w:ascii="Arial" w:cs="Arial" w:eastAsia="Arial" w:hAnsi="Arial"/>
          <w:sz w:val="17"/>
          <w:szCs w:val="17"/>
          <w:color w:val="auto"/>
        </w:rPr>
        <w:t xml:space="preserve">Agent may release any cash collateral provided by Borrowers pursuant to this </w:t>
      </w:r>
      <w:r>
        <w:rPr>
          <w:rFonts w:ascii="Arial" w:cs="Arial" w:eastAsia="Arial" w:hAnsi="Arial"/>
          <w:sz w:val="17"/>
          <w:szCs w:val="17"/>
          <w:u w:val="single" w:color="auto"/>
          <w:color w:val="auto"/>
        </w:rPr>
        <w:t>Section 2.3(g)(ii)</w:t>
      </w:r>
      <w:r>
        <w:rPr>
          <w:rFonts w:ascii="Arial" w:cs="Arial" w:eastAsia="Arial" w:hAnsi="Arial"/>
          <w:sz w:val="17"/>
          <w:szCs w:val="17"/>
          <w:color w:val="auto"/>
        </w:rPr>
        <w:t xml:space="preserve"> to the applicable Issuing Bank and such Issuing Bank may apply any such cash collateral to the payment of such Defaulting Lender's Pro Rata Share of any Letter of Credit Disbursement that is not reimbursed by Borrowers pursuant to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17.14</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2" w:lineRule="exact"/>
        <w:rPr>
          <w:rFonts w:ascii="Arial" w:cs="Arial" w:eastAsia="Arial" w:hAnsi="Arial"/>
          <w:sz w:val="17"/>
          <w:szCs w:val="17"/>
          <w:color w:val="auto"/>
        </w:rPr>
      </w:pPr>
    </w:p>
    <w:p>
      <w:pPr>
        <w:ind w:right="20" w:firstLine="1953"/>
        <w:spacing w:after="0" w:line="277" w:lineRule="auto"/>
        <w:tabs>
          <w:tab w:leader="none" w:pos="2795"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If any Lender with a Joint Commitment, German Commitment or Swiss Commitment is a Defaulting Lender, then any Affiliate of such Lender shall be deemed to be a Defaulting Lender.</w:t>
      </w:r>
    </w:p>
    <w:p>
      <w:pPr>
        <w:spacing w:after="0" w:line="166" w:lineRule="exact"/>
        <w:rPr>
          <w:rFonts w:ascii="Arial" w:cs="Arial" w:eastAsia="Arial" w:hAnsi="Arial"/>
          <w:sz w:val="18"/>
          <w:szCs w:val="18"/>
          <w:color w:val="auto"/>
        </w:rPr>
      </w:pPr>
    </w:p>
    <w:p>
      <w:pPr>
        <w:jc w:val="both"/>
        <w:ind w:left="340" w:firstLine="1289"/>
        <w:spacing w:after="0" w:line="277" w:lineRule="auto"/>
        <w:tabs>
          <w:tab w:leader="none" w:pos="2562" w:val="left"/>
        </w:tabs>
        <w:numPr>
          <w:ilvl w:val="0"/>
          <w:numId w:val="335"/>
        </w:numPr>
        <w:rPr>
          <w:rFonts w:ascii="Arial" w:cs="Arial" w:eastAsia="Arial" w:hAnsi="Arial"/>
          <w:sz w:val="17"/>
          <w:szCs w:val="17"/>
          <w:color w:val="auto"/>
        </w:rPr>
      </w:pPr>
      <w:r>
        <w:rPr>
          <w:rFonts w:ascii="Arial" w:cs="Arial" w:eastAsia="Arial" w:hAnsi="Arial"/>
          <w:sz w:val="17"/>
          <w:szCs w:val="17"/>
          <w:b w:val="1"/>
          <w:bCs w:val="1"/>
          <w:color w:val="auto"/>
        </w:rPr>
        <w:t>Independent Obligations</w:t>
      </w:r>
      <w:r>
        <w:rPr>
          <w:rFonts w:ascii="Arial" w:cs="Arial" w:eastAsia="Arial" w:hAnsi="Arial"/>
          <w:sz w:val="17"/>
          <w:szCs w:val="17"/>
          <w:color w:val="auto"/>
        </w:rPr>
        <w:t>. All Facility Loans (other than Swing Loans and Extraordinary Advances) shall be made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Lenders contemporaneously and in accordance with their Pro Rata Shares. It is understood that (i) no Lender shall be responsible for any failure by any other Lender to perform its obligation to make any Facility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6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Payments; Reductions of Commitments; Prepayments</w:t>
      </w:r>
      <w:r>
        <w:rPr>
          <w:rFonts w:ascii="Arial" w:cs="Arial" w:eastAsia="Arial" w:hAnsi="Arial"/>
          <w:sz w:val="16"/>
          <w:szCs w:val="16"/>
          <w:color w:val="auto"/>
        </w:rPr>
        <w:t>.</w:t>
      </w:r>
    </w:p>
    <w:p>
      <w:pPr>
        <w:spacing w:after="0" w:line="225" w:lineRule="exact"/>
        <w:rPr>
          <w:sz w:val="20"/>
          <w:szCs w:val="20"/>
          <w:color w:val="auto"/>
        </w:rPr>
      </w:pPr>
    </w:p>
    <w:p>
      <w:pPr>
        <w:ind w:left="2500" w:hanging="871"/>
        <w:spacing w:after="0"/>
        <w:tabs>
          <w:tab w:leader="none" w:pos="250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Payments by Borrowers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93" w:lineRule="auto"/>
        <w:tabs>
          <w:tab w:leader="none" w:pos="2934" w:val="left"/>
        </w:tabs>
        <w:numPr>
          <w:ilvl w:val="1"/>
          <w:numId w:val="336"/>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payments by a Borrower Group shall be made to Agent's Account for the account of the Lender Group and shall be made in immediately available funds, no later than 3:30 p.m. on the date specified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any payments deposited into a Controlled Account shall be deemed not to be received by Agent on any Business Day unless immediately available funds have been credited to Agent's Account prior to 3:30 p.m. on such Business Day. Any payment received by Agent in immediately available funds in Agent's Account later than 3:30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5" w:name="page306"/>
    <w:bookmarkEnd w:id="305"/>
    <w:p>
      <w:pPr>
        <w:jc w:val="both"/>
        <w:ind w:firstLine="1953"/>
        <w:spacing w:after="0" w:line="293" w:lineRule="auto"/>
        <w:tabs>
          <w:tab w:leader="none" w:pos="280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Unless Agent receives notice from the applicable Borrower Group prior to the date on which any payment is due to the Lenders that such Borrower Group will not make such payment in full as and when required, Agent may assume that such Borrower Group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a Borrower Group does not make such payment in full to Agent on the date when due, each applicable Lender severally shall repay to Agent on demand such amount distributed to such Lender, together with interest thereon at the Defaulting Lender Rate for each day from the date such amount is distributed to such Lender until the date repaid.</w:t>
      </w:r>
    </w:p>
    <w:p>
      <w:pPr>
        <w:spacing w:after="0" w:line="160" w:lineRule="exact"/>
        <w:rPr>
          <w:rFonts w:ascii="Arial" w:cs="Arial" w:eastAsia="Arial" w:hAnsi="Arial"/>
          <w:sz w:val="16"/>
          <w:szCs w:val="16"/>
          <w:color w:val="auto"/>
        </w:rPr>
      </w:pPr>
    </w:p>
    <w:p>
      <w:pPr>
        <w:ind w:left="2520" w:hanging="891"/>
        <w:spacing w:after="0"/>
        <w:tabs>
          <w:tab w:leader="none" w:pos="2520" w:val="left"/>
        </w:tabs>
        <w:numPr>
          <w:ilvl w:val="0"/>
          <w:numId w:val="338"/>
        </w:numPr>
        <w:rPr>
          <w:rFonts w:ascii="Arial" w:cs="Arial" w:eastAsia="Arial" w:hAnsi="Arial"/>
          <w:sz w:val="18"/>
          <w:szCs w:val="18"/>
          <w:color w:val="auto"/>
        </w:rPr>
      </w:pPr>
      <w:r>
        <w:rPr>
          <w:rFonts w:ascii="Arial" w:cs="Arial" w:eastAsia="Arial" w:hAnsi="Arial"/>
          <w:sz w:val="18"/>
          <w:szCs w:val="18"/>
          <w:b w:val="1"/>
          <w:bCs w:val="1"/>
          <w:color w:val="auto"/>
        </w:rPr>
        <w:t>Apportionment and 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97" w:lineRule="auto"/>
        <w:tabs>
          <w:tab w:leader="none" w:pos="292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So long as no Application Event has occurred and is continuing and except as otherwise provided herein with respect to Defaulting Lenders, all principal and interest payments received by Agent shall be apportioned ratably among the applicable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applicable Lenders having a Pro Rata Share of the type of Commitment or Obligation to which a particular fee or expense relates.</w:t>
      </w:r>
    </w:p>
    <w:p>
      <w:pPr>
        <w:spacing w:after="0" w:line="158" w:lineRule="exact"/>
        <w:rPr>
          <w:sz w:val="20"/>
          <w:szCs w:val="20"/>
          <w:color w:val="auto"/>
        </w:rPr>
      </w:pPr>
    </w:p>
    <w:p>
      <w:pPr>
        <w:jc w:val="both"/>
        <w:ind w:firstLine="1953"/>
        <w:spacing w:after="0" w:line="302" w:lineRule="auto"/>
        <w:tabs>
          <w:tab w:leader="none" w:pos="290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2.4(d)(ii)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2.4(e)</w:t>
      </w:r>
      <w:r>
        <w:rPr>
          <w:rFonts w:ascii="Arial" w:cs="Arial" w:eastAsia="Arial" w:hAnsi="Arial"/>
          <w:sz w:val="16"/>
          <w:szCs w:val="16"/>
          <w:color w:val="auto"/>
        </w:rPr>
        <w:t>,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Borrowers (to be wired to the Designated Account) or such other Person entitled thereto under applicable law.</w:t>
      </w:r>
    </w:p>
    <w:p>
      <w:pPr>
        <w:spacing w:after="0" w:line="154" w:lineRule="exact"/>
        <w:rPr>
          <w:rFonts w:ascii="Arial" w:cs="Arial" w:eastAsia="Arial" w:hAnsi="Arial"/>
          <w:sz w:val="16"/>
          <w:szCs w:val="16"/>
          <w:color w:val="auto"/>
        </w:rPr>
      </w:pPr>
    </w:p>
    <w:p>
      <w:pPr>
        <w:ind w:firstLine="1953"/>
        <w:spacing w:after="0" w:line="308" w:lineRule="auto"/>
        <w:tabs>
          <w:tab w:leader="none" w:pos="289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46" w:lineRule="exact"/>
        <w:rPr>
          <w:rFonts w:ascii="Arial" w:cs="Arial" w:eastAsia="Arial" w:hAnsi="Arial"/>
          <w:sz w:val="17"/>
          <w:szCs w:val="17"/>
          <w:color w:val="auto"/>
        </w:rPr>
      </w:pPr>
    </w:p>
    <w:p>
      <w:pPr>
        <w:ind w:firstLine="2601"/>
        <w:spacing w:after="0" w:line="277" w:lineRule="auto"/>
        <w:tabs>
          <w:tab w:leader="none" w:pos="3482"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All payments in respect of Joint Obligations and all proceeds of Collateral of the Loan Parties (other than the German Borrower and the Swiss Borrower) received by Agent shall be applied as follows:</w:t>
      </w:r>
    </w:p>
    <w:p>
      <w:pPr>
        <w:spacing w:after="0" w:line="170" w:lineRule="exact"/>
        <w:rPr>
          <w:sz w:val="20"/>
          <w:szCs w:val="20"/>
          <w:color w:val="auto"/>
        </w:rPr>
      </w:pPr>
    </w:p>
    <w:p>
      <w:pPr>
        <w:ind w:left="3240"/>
        <w:spacing w:after="0"/>
        <w:tabs>
          <w:tab w:leader="none" w:pos="476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u w:val="single" w:color="auto"/>
          <w:color w:val="auto"/>
        </w:rPr>
        <w:t>first</w:t>
      </w:r>
      <w:r>
        <w:rPr>
          <w:rFonts w:ascii="Arial" w:cs="Arial" w:eastAsia="Arial" w:hAnsi="Arial"/>
          <w:sz w:val="17"/>
          <w:szCs w:val="17"/>
          <w:color w:val="auto"/>
        </w:rPr>
        <w:t>, to pay any Lender Group Expenses (including cost or expense reimbursements)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indemnities then due to Agent under the Loan Documents constituting, or in respect of, Joint Obligations, until paid in full,</w:t>
      </w:r>
    </w:p>
    <w:p>
      <w:pPr>
        <w:spacing w:after="0" w:line="211" w:lineRule="exact"/>
        <w:rPr>
          <w:sz w:val="20"/>
          <w:szCs w:val="20"/>
          <w:color w:val="auto"/>
        </w:rPr>
      </w:pPr>
    </w:p>
    <w:p>
      <w:pPr>
        <w:ind w:left="4260" w:hanging="1011"/>
        <w:spacing w:after="0"/>
        <w:tabs>
          <w:tab w:leader="none" w:pos="4260"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 any fees or premiums then due to Agent under the Loan Documents constituting,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respect of, Joint Obligations, until paid in full,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6" w:name="page307"/>
    <w:bookmarkEnd w:id="306"/>
    <w:p>
      <w:pPr>
        <w:ind w:left="4160" w:hanging="911"/>
        <w:spacing w:after="0"/>
        <w:tabs>
          <w:tab w:leader="none" w:pos="416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Joint Protective Advances, until paid in full,</w:t>
      </w:r>
    </w:p>
    <w:p>
      <w:pPr>
        <w:spacing w:after="0" w:line="225" w:lineRule="exact"/>
        <w:rPr>
          <w:rFonts w:ascii="Arial" w:cs="Arial" w:eastAsia="Arial" w:hAnsi="Arial"/>
          <w:sz w:val="18"/>
          <w:szCs w:val="18"/>
          <w:color w:val="auto"/>
        </w:rPr>
      </w:pPr>
    </w:p>
    <w:p>
      <w:pPr>
        <w:ind w:left="4140" w:hanging="891"/>
        <w:spacing w:after="0"/>
        <w:tabs>
          <w:tab w:leader="none" w:pos="414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Joint Protective Advances, until paid in full,</w:t>
      </w:r>
    </w:p>
    <w:p>
      <w:pPr>
        <w:spacing w:after="0" w:line="225" w:lineRule="exact"/>
        <w:rPr>
          <w:rFonts w:ascii="Arial" w:cs="Arial" w:eastAsia="Arial" w:hAnsi="Arial"/>
          <w:sz w:val="18"/>
          <w:szCs w:val="18"/>
          <w:color w:val="auto"/>
        </w:rPr>
      </w:pPr>
    </w:p>
    <w:p>
      <w:pPr>
        <w:ind w:left="4320" w:hanging="1071"/>
        <w:spacing w:after="0"/>
        <w:tabs>
          <w:tab w:leader="none" w:pos="4320"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ratably, to pay any Lender Group Expenses (including cost or expense reimbursements)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indemnities then due to any of the Lenders under the Loan Documents constituting, or in respect of, Joint Obligations, until paid in full,</w:t>
      </w:r>
    </w:p>
    <w:p>
      <w:pPr>
        <w:spacing w:after="0" w:line="210" w:lineRule="exact"/>
        <w:rPr>
          <w:rFonts w:ascii="Arial" w:cs="Arial" w:eastAsia="Arial" w:hAnsi="Arial"/>
          <w:sz w:val="16"/>
          <w:szCs w:val="16"/>
          <w:color w:val="auto"/>
        </w:rPr>
      </w:pPr>
    </w:p>
    <w:p>
      <w:pPr>
        <w:ind w:right="20" w:firstLine="3249"/>
        <w:spacing w:after="0" w:line="277" w:lineRule="auto"/>
        <w:tabs>
          <w:tab w:leader="none" w:pos="4538"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constituting, or in respect of, Joint Obligations, until paid in full,</w:t>
      </w:r>
    </w:p>
    <w:p>
      <w:pPr>
        <w:spacing w:after="0" w:line="170" w:lineRule="exact"/>
        <w:rPr>
          <w:rFonts w:ascii="Arial" w:cs="Arial" w:eastAsia="Arial" w:hAnsi="Arial"/>
          <w:sz w:val="18"/>
          <w:szCs w:val="18"/>
          <w:color w:val="auto"/>
        </w:rPr>
      </w:pPr>
    </w:p>
    <w:p>
      <w:pPr>
        <w:ind w:left="4160" w:hanging="911"/>
        <w:spacing w:after="0"/>
        <w:tabs>
          <w:tab w:leader="none" w:pos="416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Joint Swing Loans, until paid in full,</w:t>
      </w:r>
    </w:p>
    <w:p>
      <w:pPr>
        <w:spacing w:after="0" w:line="225" w:lineRule="exact"/>
        <w:rPr>
          <w:rFonts w:ascii="Arial" w:cs="Arial" w:eastAsia="Arial" w:hAnsi="Arial"/>
          <w:sz w:val="18"/>
          <w:szCs w:val="18"/>
          <w:color w:val="auto"/>
        </w:rPr>
      </w:pPr>
    </w:p>
    <w:p>
      <w:pPr>
        <w:ind w:left="4160" w:hanging="911"/>
        <w:spacing w:after="0"/>
        <w:tabs>
          <w:tab w:leader="none" w:pos="416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Joint Swing Loans, until paid in full,</w:t>
      </w:r>
    </w:p>
    <w:p>
      <w:pPr>
        <w:spacing w:after="0" w:line="225" w:lineRule="exact"/>
        <w:rPr>
          <w:rFonts w:ascii="Arial" w:cs="Arial" w:eastAsia="Arial" w:hAnsi="Arial"/>
          <w:sz w:val="18"/>
          <w:szCs w:val="18"/>
          <w:color w:val="auto"/>
        </w:rPr>
      </w:pPr>
    </w:p>
    <w:p>
      <w:pPr>
        <w:ind w:firstLine="3249"/>
        <w:spacing w:after="0" w:line="277" w:lineRule="auto"/>
        <w:tabs>
          <w:tab w:leader="none" w:pos="4403"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Joint Revolving Loans (other than Joint Protective Advances and Joint Swing Loans), until paid in full,</w:t>
      </w:r>
    </w:p>
    <w:p>
      <w:pPr>
        <w:spacing w:after="0" w:line="170" w:lineRule="exact"/>
        <w:rPr>
          <w:rFonts w:ascii="Arial" w:cs="Arial" w:eastAsia="Arial" w:hAnsi="Arial"/>
          <w:sz w:val="18"/>
          <w:szCs w:val="18"/>
          <w:color w:val="auto"/>
        </w:rPr>
      </w:pPr>
    </w:p>
    <w:p>
      <w:pPr>
        <w:ind w:left="4200" w:hanging="951"/>
        <w:spacing w:after="0"/>
        <w:tabs>
          <w:tab w:leader="none" w:pos="420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left="5060" w:hanging="1162"/>
        <w:spacing w:after="0"/>
        <w:tabs>
          <w:tab w:leader="none" w:pos="506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to pay the principal of all Joint Revolving Loans (other than Joint Protective Advances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Joint Swing Loans), until paid in full,</w:t>
      </w:r>
    </w:p>
    <w:p>
      <w:pPr>
        <w:spacing w:after="0" w:line="210" w:lineRule="exact"/>
        <w:rPr>
          <w:rFonts w:ascii="Arial" w:cs="Arial" w:eastAsia="Arial" w:hAnsi="Arial"/>
          <w:sz w:val="16"/>
          <w:szCs w:val="16"/>
          <w:color w:val="auto"/>
        </w:rPr>
      </w:pPr>
    </w:p>
    <w:p>
      <w:pPr>
        <w:jc w:val="both"/>
        <w:ind w:firstLine="3898"/>
        <w:spacing w:after="0" w:line="254" w:lineRule="auto"/>
        <w:tabs>
          <w:tab w:leader="none" w:pos="494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xml:space="preserve">to Agent, to be held by Agent, for the benefit of the applicable Issuing Bank (and for the ratable benefit of each of the Lenders that have an obligation to pay to Agent, for the account of such Issuing Bank, a share of each Letter of Credit Disbursement with respect to a Joint Letter of Credit not predicated on the FILO Subline Amount), as cash collateral in an amount up to 103% (or, with respect to Joint Letters of Credit denominated in an Alternative Currency, 105%) of the Joint Letter of Credit Usage not predicated on the FILO Subline Amount (to the extent permitted by applicable law, such cash collateral shall be applied to the reimbursement of any Letter of Credit Disbursement with respect to a Joint Letter of Credit not predicated on the FILO Subline Amount as and when such disbursement occurs and, if a Joint Letter of Credit expires undrawn, the cash collateral held by Agent in respect of such Joint Letter of Credit shall, to the extent permitted by applicable law, be reapplied pursuant to this </w:t>
      </w:r>
      <w:r>
        <w:rPr>
          <w:rFonts w:ascii="Arial" w:cs="Arial" w:eastAsia="Arial" w:hAnsi="Arial"/>
          <w:sz w:val="18"/>
          <w:szCs w:val="18"/>
          <w:u w:val="single" w:color="auto"/>
          <w:color w:val="auto"/>
        </w:rPr>
        <w:t>Section 2.4(b)(iii)(A)</w:t>
      </w:r>
      <w:r>
        <w:rPr>
          <w:rFonts w:ascii="Arial" w:cs="Arial" w:eastAsia="Arial" w:hAnsi="Arial"/>
          <w:sz w:val="18"/>
          <w:szCs w:val="18"/>
          <w:color w:val="auto"/>
        </w:rPr>
        <w:t>, beginning with tier i. hereof),</w:t>
      </w:r>
    </w:p>
    <w:p>
      <w:pPr>
        <w:spacing w:after="0" w:line="192" w:lineRule="exact"/>
        <w:rPr>
          <w:rFonts w:ascii="Arial" w:cs="Arial" w:eastAsia="Arial" w:hAnsi="Arial"/>
          <w:sz w:val="18"/>
          <w:szCs w:val="18"/>
          <w:color w:val="auto"/>
        </w:rPr>
      </w:pPr>
    </w:p>
    <w:p>
      <w:pPr>
        <w:ind w:left="4160" w:hanging="911"/>
        <w:spacing w:after="0"/>
        <w:tabs>
          <w:tab w:leader="none" w:pos="416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ratably, to pay interest accrued in respect of the Joint FILO Loans, until paid in full,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7" w:name="page308"/>
    <w:bookmarkEnd w:id="307"/>
    <w:p>
      <w:pPr>
        <w:ind w:left="3980" w:hanging="731"/>
        <w:spacing w:after="0"/>
        <w:tabs>
          <w:tab w:leader="none" w:pos="398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left="4960" w:hanging="972"/>
        <w:spacing w:after="0"/>
        <w:tabs>
          <w:tab w:leader="none" w:pos="49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to pay the principal of all Joint FILO Loans, until paid in full,</w:t>
      </w:r>
    </w:p>
    <w:p>
      <w:pPr>
        <w:spacing w:after="0" w:line="225" w:lineRule="exact"/>
        <w:rPr>
          <w:rFonts w:ascii="Arial" w:cs="Arial" w:eastAsia="Arial" w:hAnsi="Arial"/>
          <w:sz w:val="18"/>
          <w:szCs w:val="18"/>
          <w:color w:val="auto"/>
        </w:rPr>
      </w:pPr>
    </w:p>
    <w:p>
      <w:pPr>
        <w:jc w:val="both"/>
        <w:ind w:firstLine="3988"/>
        <w:spacing w:after="0" w:line="271" w:lineRule="auto"/>
        <w:tabs>
          <w:tab w:leader="none" w:pos="4978" w:val="left"/>
        </w:tabs>
        <w:numPr>
          <w:ilvl w:val="1"/>
          <w:numId w:val="342"/>
        </w:numPr>
        <w:rPr>
          <w:rFonts w:ascii="Arial" w:cs="Arial" w:eastAsia="Arial" w:hAnsi="Arial"/>
          <w:sz w:val="17"/>
          <w:szCs w:val="17"/>
          <w:color w:val="auto"/>
        </w:rPr>
      </w:pPr>
      <w:r>
        <w:rPr>
          <w:rFonts w:ascii="Arial" w:cs="Arial" w:eastAsia="Arial" w:hAnsi="Arial"/>
          <w:sz w:val="17"/>
          <w:szCs w:val="17"/>
          <w:color w:val="auto"/>
        </w:rPr>
        <w:t xml:space="preserve">to Agent, to be held by Agent, for the benefit of the applicable Issuing Bank (and for the ratable benefit of each of the Lenders that have an obligation to pay to Agent, for the account of such Issuing Bank, a share of each Letter of Credit Disbursement with respect to a Joint Letter of Credit predicated on the FILO Subline Amount), as cash collateral in an amount up to 103% (or, with respect to Joint Letters of Credit denominated in an Alternative Currency, 105%) of the Joint Letter of Credit Usage predicated on the FILO Subline Amount (to the extent permitted by applicable law, such cash collateral shall be applied to the reimbursement of any Letter of Credit Disbursement with respect to a Joint Letter of Credit predicated on the FILO Subline Amount (that, in each case, is not covered by tier x. above) as and when such disbursement occurs and, if all remaining Joint Letters of Credit expire undrawn, the cash collateral held by Agent in respect of such Joint Letters of Credit shall, to the extent permitted by applicable law, be reapplied pursuant to this </w:t>
      </w:r>
      <w:r>
        <w:rPr>
          <w:rFonts w:ascii="Arial" w:cs="Arial" w:eastAsia="Arial" w:hAnsi="Arial"/>
          <w:sz w:val="17"/>
          <w:szCs w:val="17"/>
          <w:u w:val="single" w:color="auto"/>
          <w:color w:val="auto"/>
        </w:rPr>
        <w:t>Section 2.4(b)(iii)(A)</w:t>
      </w:r>
      <w:r>
        <w:rPr>
          <w:rFonts w:ascii="Arial" w:cs="Arial" w:eastAsia="Arial" w:hAnsi="Arial"/>
          <w:sz w:val="17"/>
          <w:szCs w:val="17"/>
          <w:color w:val="auto"/>
        </w:rPr>
        <w:t>, beginning with tier i. hereof),</w:t>
      </w:r>
    </w:p>
    <w:p>
      <w:pPr>
        <w:spacing w:after="0" w:line="178" w:lineRule="exact"/>
        <w:rPr>
          <w:rFonts w:ascii="Arial" w:cs="Arial" w:eastAsia="Arial" w:hAnsi="Arial"/>
          <w:sz w:val="17"/>
          <w:szCs w:val="17"/>
          <w:color w:val="auto"/>
        </w:rPr>
      </w:pPr>
    </w:p>
    <w:p>
      <w:pPr>
        <w:jc w:val="both"/>
        <w:ind w:firstLine="3988"/>
        <w:spacing w:after="0" w:line="269" w:lineRule="auto"/>
        <w:tabs>
          <w:tab w:leader="none" w:pos="5013" w:val="left"/>
        </w:tabs>
        <w:numPr>
          <w:ilvl w:val="1"/>
          <w:numId w:val="342"/>
        </w:numPr>
        <w:rPr>
          <w:rFonts w:ascii="Arial" w:cs="Arial" w:eastAsia="Arial" w:hAnsi="Arial"/>
          <w:sz w:val="17"/>
          <w:szCs w:val="17"/>
          <w:color w:val="auto"/>
        </w:rPr>
      </w:pPr>
      <w:r>
        <w:rPr>
          <w:rFonts w:ascii="Arial" w:cs="Arial" w:eastAsia="Arial" w:hAnsi="Arial"/>
          <w:sz w:val="17"/>
          <w:szCs w:val="17"/>
          <w:color w:val="auto"/>
        </w:rPr>
        <w:t xml:space="preserve">up to the amount (after taking into account any amounts previously paid pursuant to this clause c. during the continuation of the applicable Application Event) of the most recently established Bank Product Reserve, which amount was established prior to the occurrence of, and not in contemplation of, the subject Application Event, to (y) the Bank Product Providers based upon amounts then certified by each applicable Bank Product Provider to Agent (in form and substance reasonably satisfactory to Agent) to be due and payable to such Bank Product Provider on account of Bank Product Obligations of the Loan Parties (other than the German Borrower and the Swiss Borrower) (but not in excess of the Bank Product Reserve established for the Bank Product Obligations of such Bank Product Provider), and (z) with any balance to be paid to Agent, to be held by Agent, for the ratable benefit of the Bank Product Providers for Bank Products provided to the Loan Parties (other than the German Borrower and the Swiss Borrower) and their Subsidiaries,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2.4(b)(iii)(A)</w:t>
      </w:r>
      <w:r>
        <w:rPr>
          <w:rFonts w:ascii="Arial" w:cs="Arial" w:eastAsia="Arial" w:hAnsi="Arial"/>
          <w:sz w:val="17"/>
          <w:szCs w:val="17"/>
          <w:color w:val="auto"/>
        </w:rPr>
        <w:t>, beginning with tier i. hereof,</w:t>
      </w:r>
    </w:p>
    <w:p>
      <w:pPr>
        <w:spacing w:after="0" w:line="179" w:lineRule="exact"/>
        <w:rPr>
          <w:rFonts w:ascii="Arial" w:cs="Arial" w:eastAsia="Arial" w:hAnsi="Arial"/>
          <w:sz w:val="17"/>
          <w:szCs w:val="17"/>
          <w:color w:val="auto"/>
        </w:rPr>
      </w:pPr>
    </w:p>
    <w:p>
      <w:pPr>
        <w:ind w:left="3980" w:hanging="731"/>
        <w:spacing w:after="0"/>
        <w:tabs>
          <w:tab w:leader="none" w:pos="3980"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thirteenth</w:t>
      </w:r>
      <w:r>
        <w:rPr>
          <w:rFonts w:ascii="Arial" w:cs="Arial" w:eastAsia="Arial" w:hAnsi="Arial"/>
          <w:sz w:val="16"/>
          <w:szCs w:val="16"/>
          <w:color w:val="auto"/>
        </w:rPr>
        <w:t>, to pay any other Joint Obligations other than Joint Obligations owed to Defaulting Lenders,</w:t>
      </w:r>
    </w:p>
    <w:p>
      <w:pPr>
        <w:spacing w:after="0" w:line="248" w:lineRule="exact"/>
        <w:rPr>
          <w:rFonts w:ascii="Arial" w:cs="Arial" w:eastAsia="Arial" w:hAnsi="Arial"/>
          <w:sz w:val="16"/>
          <w:szCs w:val="16"/>
          <w:color w:val="auto"/>
        </w:rPr>
      </w:pPr>
    </w:p>
    <w:p>
      <w:pPr>
        <w:ind w:firstLine="3249"/>
        <w:spacing w:after="0" w:line="277" w:lineRule="auto"/>
        <w:tabs>
          <w:tab w:leader="none" w:pos="3954"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fourteenth</w:t>
      </w:r>
      <w:r>
        <w:rPr>
          <w:rFonts w:ascii="Arial" w:cs="Arial" w:eastAsia="Arial" w:hAnsi="Arial"/>
          <w:sz w:val="18"/>
          <w:szCs w:val="18"/>
          <w:color w:val="auto"/>
        </w:rPr>
        <w:t xml:space="preserve">, ratably, to pay the German Obligations (to be applied pursuant to </w:t>
      </w:r>
      <w:r>
        <w:rPr>
          <w:rFonts w:ascii="Arial" w:cs="Arial" w:eastAsia="Arial" w:hAnsi="Arial"/>
          <w:sz w:val="18"/>
          <w:szCs w:val="18"/>
          <w:u w:val="single" w:color="auto"/>
          <w:color w:val="auto"/>
        </w:rPr>
        <w:t>Section 2.4(b)(iii)(B))</w:t>
      </w:r>
      <w:r>
        <w:rPr>
          <w:rFonts w:ascii="Arial" w:cs="Arial" w:eastAsia="Arial" w:hAnsi="Arial"/>
          <w:sz w:val="18"/>
          <w:szCs w:val="18"/>
          <w:color w:val="auto"/>
        </w:rPr>
        <w:t xml:space="preserve"> and the Swiss Obligations (to be applied pursuant to </w:t>
      </w:r>
      <w:r>
        <w:rPr>
          <w:rFonts w:ascii="Arial" w:cs="Arial" w:eastAsia="Arial" w:hAnsi="Arial"/>
          <w:sz w:val="18"/>
          <w:szCs w:val="18"/>
          <w:u w:val="single" w:color="auto"/>
          <w:color w:val="auto"/>
        </w:rPr>
        <w:t>Section 2.4(b)(iii)(C))</w:t>
      </w:r>
      <w:r>
        <w:rPr>
          <w:rFonts w:ascii="Arial" w:cs="Arial" w:eastAsia="Arial" w:hAnsi="Arial"/>
          <w:sz w:val="18"/>
          <w:szCs w:val="18"/>
          <w:color w:val="auto"/>
        </w:rPr>
        <w:t>, until paid in full,</w:t>
      </w:r>
    </w:p>
    <w:p>
      <w:pPr>
        <w:spacing w:after="0" w:line="170" w:lineRule="exact"/>
        <w:rPr>
          <w:rFonts w:ascii="Arial" w:cs="Arial" w:eastAsia="Arial" w:hAnsi="Arial"/>
          <w:sz w:val="18"/>
          <w:szCs w:val="18"/>
          <w:color w:val="auto"/>
        </w:rPr>
      </w:pPr>
    </w:p>
    <w:p>
      <w:pPr>
        <w:ind w:left="4100" w:hanging="851"/>
        <w:spacing w:after="0"/>
        <w:tabs>
          <w:tab w:leader="none" w:pos="4100"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fifteenth</w:t>
      </w:r>
      <w:r>
        <w:rPr>
          <w:rFonts w:ascii="Arial" w:cs="Arial" w:eastAsia="Arial" w:hAnsi="Arial"/>
          <w:sz w:val="16"/>
          <w:szCs w:val="16"/>
          <w:color w:val="auto"/>
        </w:rPr>
        <w:t>, to pay all other Bank Product Obligations for Bank Products provided to the Loan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than the German Borrower and the Swiss Borrower) and their Subsidiaries that, in each case, are not covered in tier xii. above,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8" w:name="page309"/>
    <w:bookmarkEnd w:id="308"/>
    <w:p>
      <w:pPr>
        <w:ind w:left="3980" w:hanging="731"/>
        <w:spacing w:after="0"/>
        <w:tabs>
          <w:tab w:leader="none" w:pos="398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sixteenth</w:t>
      </w:r>
      <w:r>
        <w:rPr>
          <w:rFonts w:ascii="Arial" w:cs="Arial" w:eastAsia="Arial" w:hAnsi="Arial"/>
          <w:sz w:val="18"/>
          <w:szCs w:val="18"/>
          <w:color w:val="auto"/>
        </w:rPr>
        <w:t>, to pay any other Obligations other than Obligations owed to Defaulting Lenders,</w:t>
      </w:r>
    </w:p>
    <w:p>
      <w:pPr>
        <w:spacing w:after="0" w:line="225" w:lineRule="exact"/>
        <w:rPr>
          <w:rFonts w:ascii="Arial" w:cs="Arial" w:eastAsia="Arial" w:hAnsi="Arial"/>
          <w:sz w:val="18"/>
          <w:szCs w:val="18"/>
          <w:color w:val="auto"/>
        </w:rPr>
      </w:pPr>
    </w:p>
    <w:p>
      <w:pPr>
        <w:ind w:left="3980" w:hanging="731"/>
        <w:spacing w:after="0"/>
        <w:tabs>
          <w:tab w:leader="none" w:pos="398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seventeenth</w:t>
      </w:r>
      <w:r>
        <w:rPr>
          <w:rFonts w:ascii="Arial" w:cs="Arial" w:eastAsia="Arial" w:hAnsi="Arial"/>
          <w:sz w:val="18"/>
          <w:szCs w:val="18"/>
          <w:color w:val="auto"/>
        </w:rPr>
        <w:t>, ratably to pay any Obligations owed to Defaulting Lenders,</w:t>
      </w:r>
    </w:p>
    <w:p>
      <w:pPr>
        <w:spacing w:after="0" w:line="225" w:lineRule="exact"/>
        <w:rPr>
          <w:rFonts w:ascii="Arial" w:cs="Arial" w:eastAsia="Arial" w:hAnsi="Arial"/>
          <w:sz w:val="18"/>
          <w:szCs w:val="18"/>
          <w:color w:val="auto"/>
        </w:rPr>
      </w:pPr>
    </w:p>
    <w:p>
      <w:pPr>
        <w:ind w:left="4060" w:hanging="811"/>
        <w:spacing w:after="0"/>
        <w:tabs>
          <w:tab w:leader="none" w:pos="4060"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eighteenth</w:t>
      </w:r>
      <w:r>
        <w:rPr>
          <w:rFonts w:ascii="Arial" w:cs="Arial" w:eastAsia="Arial" w:hAnsi="Arial"/>
          <w:sz w:val="16"/>
          <w:szCs w:val="16"/>
          <w:color w:val="auto"/>
        </w:rPr>
        <w:t>, to the Joint Borrower Group (to be wired to the Joint Designated Account) or such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entitled thereto under applicable law.</w:t>
      </w:r>
    </w:p>
    <w:p>
      <w:pPr>
        <w:spacing w:after="0" w:line="211" w:lineRule="exact"/>
        <w:rPr>
          <w:sz w:val="20"/>
          <w:szCs w:val="20"/>
          <w:color w:val="auto"/>
        </w:rPr>
      </w:pPr>
    </w:p>
    <w:p>
      <w:pPr>
        <w:ind w:left="3720" w:hanging="1119"/>
        <w:spacing w:after="0"/>
        <w:tabs>
          <w:tab w:leader="none" w:pos="372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All payments in respect of German Obligations and all proceeds of Collateral of the German Borrower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received by Agent shall be applied as follows:</w:t>
      </w:r>
    </w:p>
    <w:p>
      <w:pPr>
        <w:spacing w:after="0" w:line="210" w:lineRule="exact"/>
        <w:rPr>
          <w:rFonts w:ascii="Arial" w:cs="Arial" w:eastAsia="Arial" w:hAnsi="Arial"/>
          <w:sz w:val="17"/>
          <w:szCs w:val="17"/>
          <w:color w:val="auto"/>
        </w:rPr>
      </w:pPr>
    </w:p>
    <w:p>
      <w:pPr>
        <w:ind w:left="4120" w:hanging="871"/>
        <w:spacing w:after="0"/>
        <w:tabs>
          <w:tab w:leader="none" w:pos="4120"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pay any Lender Group Expenses (including cost or expense reimbursements) or indemnities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then due to Agent under the Loan Documents constituting, or in respect of, German Obligations, until paid in full,</w:t>
      </w:r>
    </w:p>
    <w:p>
      <w:pPr>
        <w:spacing w:after="0" w:line="210" w:lineRule="exact"/>
        <w:rPr>
          <w:rFonts w:ascii="Arial" w:cs="Arial" w:eastAsia="Arial" w:hAnsi="Arial"/>
          <w:sz w:val="16"/>
          <w:szCs w:val="16"/>
          <w:color w:val="auto"/>
        </w:rPr>
      </w:pPr>
    </w:p>
    <w:p>
      <w:pPr>
        <w:ind w:left="4040" w:hanging="791"/>
        <w:spacing w:after="0"/>
        <w:tabs>
          <w:tab w:leader="none" w:pos="4040"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 any fees or premiums then due to Agent under the Loan Documents constituting, or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of, German Obligations, until paid in full,</w:t>
      </w:r>
    </w:p>
    <w:p>
      <w:pPr>
        <w:spacing w:after="0" w:line="210" w:lineRule="exact"/>
        <w:rPr>
          <w:rFonts w:ascii="Arial" w:cs="Arial" w:eastAsia="Arial" w:hAnsi="Arial"/>
          <w:sz w:val="16"/>
          <w:szCs w:val="16"/>
          <w:color w:val="auto"/>
        </w:rPr>
      </w:pPr>
    </w:p>
    <w:p>
      <w:pPr>
        <w:ind w:left="3980" w:hanging="731"/>
        <w:spacing w:after="0"/>
        <w:tabs>
          <w:tab w:leader="none" w:pos="398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German Protective Advances, until paid in full,</w:t>
      </w:r>
    </w:p>
    <w:p>
      <w:pPr>
        <w:spacing w:after="0" w:line="225" w:lineRule="exact"/>
        <w:rPr>
          <w:rFonts w:ascii="Arial" w:cs="Arial" w:eastAsia="Arial" w:hAnsi="Arial"/>
          <w:sz w:val="18"/>
          <w:szCs w:val="18"/>
          <w:color w:val="auto"/>
        </w:rPr>
      </w:pPr>
    </w:p>
    <w:p>
      <w:pPr>
        <w:ind w:left="3960" w:hanging="711"/>
        <w:spacing w:after="0"/>
        <w:tabs>
          <w:tab w:leader="none" w:pos="396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German Protective Advances, until paid in full,</w:t>
      </w:r>
    </w:p>
    <w:p>
      <w:pPr>
        <w:spacing w:after="0" w:line="225" w:lineRule="exact"/>
        <w:rPr>
          <w:rFonts w:ascii="Arial" w:cs="Arial" w:eastAsia="Arial" w:hAnsi="Arial"/>
          <w:sz w:val="18"/>
          <w:szCs w:val="18"/>
          <w:color w:val="auto"/>
        </w:rPr>
      </w:pPr>
    </w:p>
    <w:p>
      <w:pPr>
        <w:ind w:left="4200" w:hanging="951"/>
        <w:spacing w:after="0"/>
        <w:tabs>
          <w:tab w:leader="none" w:pos="4200" w:val="left"/>
        </w:tabs>
        <w:numPr>
          <w:ilvl w:val="1"/>
          <w:numId w:val="344"/>
        </w:numPr>
        <w:rPr>
          <w:rFonts w:ascii="Arial" w:cs="Arial" w:eastAsia="Arial" w:hAnsi="Arial"/>
          <w:sz w:val="17"/>
          <w:szCs w:val="17"/>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ratably, to pay any Lender Group Expenses (including cost or expense reimbursements)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indemnities then due to any of the Lenders under the Loan Documents constituting, or in respect of, German Obligations, until paid in full,</w:t>
      </w:r>
    </w:p>
    <w:p>
      <w:pPr>
        <w:spacing w:after="0" w:line="210" w:lineRule="exact"/>
        <w:rPr>
          <w:rFonts w:ascii="Arial" w:cs="Arial" w:eastAsia="Arial" w:hAnsi="Arial"/>
          <w:sz w:val="17"/>
          <w:szCs w:val="17"/>
          <w:color w:val="auto"/>
        </w:rPr>
      </w:pPr>
    </w:p>
    <w:p>
      <w:pPr>
        <w:ind w:firstLine="3249"/>
        <w:spacing w:after="0" w:line="277" w:lineRule="auto"/>
        <w:tabs>
          <w:tab w:leader="none" w:pos="402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constituting, or in respect of, German Obligations, until paid in full,</w:t>
      </w:r>
    </w:p>
    <w:p>
      <w:pPr>
        <w:spacing w:after="0" w:line="170" w:lineRule="exact"/>
        <w:rPr>
          <w:rFonts w:ascii="Arial" w:cs="Arial" w:eastAsia="Arial" w:hAnsi="Arial"/>
          <w:sz w:val="18"/>
          <w:szCs w:val="18"/>
          <w:color w:val="auto"/>
        </w:rPr>
      </w:pPr>
    </w:p>
    <w:p>
      <w:pPr>
        <w:ind w:left="3980" w:hanging="731"/>
        <w:spacing w:after="0"/>
        <w:tabs>
          <w:tab w:leader="none" w:pos="398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German Swing Loans, until paid in full,</w:t>
      </w:r>
    </w:p>
    <w:p>
      <w:pPr>
        <w:spacing w:after="0" w:line="225" w:lineRule="exact"/>
        <w:rPr>
          <w:rFonts w:ascii="Arial" w:cs="Arial" w:eastAsia="Arial" w:hAnsi="Arial"/>
          <w:sz w:val="18"/>
          <w:szCs w:val="18"/>
          <w:color w:val="auto"/>
        </w:rPr>
      </w:pPr>
    </w:p>
    <w:p>
      <w:pPr>
        <w:ind w:left="3980" w:hanging="731"/>
        <w:spacing w:after="0"/>
        <w:tabs>
          <w:tab w:leader="none" w:pos="398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German Swing Loans, until paid in full,</w:t>
      </w:r>
    </w:p>
    <w:p>
      <w:pPr>
        <w:spacing w:after="0" w:line="225" w:lineRule="exact"/>
        <w:rPr>
          <w:rFonts w:ascii="Arial" w:cs="Arial" w:eastAsia="Arial" w:hAnsi="Arial"/>
          <w:sz w:val="18"/>
          <w:szCs w:val="18"/>
          <w:color w:val="auto"/>
        </w:rPr>
      </w:pPr>
    </w:p>
    <w:p>
      <w:pPr>
        <w:ind w:firstLine="3249"/>
        <w:spacing w:after="0" w:line="277" w:lineRule="auto"/>
        <w:tabs>
          <w:tab w:leader="none" w:pos="4061"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German Revolving Loans (other than German Protective Advances and German Swing Loans), until paid in full,</w:t>
      </w:r>
    </w:p>
    <w:p>
      <w:pPr>
        <w:spacing w:after="0" w:line="170" w:lineRule="exact"/>
        <w:rPr>
          <w:rFonts w:ascii="Arial" w:cs="Arial" w:eastAsia="Arial" w:hAnsi="Arial"/>
          <w:sz w:val="18"/>
          <w:szCs w:val="18"/>
          <w:color w:val="auto"/>
        </w:rPr>
      </w:pPr>
    </w:p>
    <w:p>
      <w:pPr>
        <w:ind w:left="3960" w:hanging="711"/>
        <w:spacing w:after="0"/>
        <w:tabs>
          <w:tab w:leader="none" w:pos="396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firstLine="3890"/>
        <w:spacing w:after="0" w:line="277" w:lineRule="auto"/>
        <w:rPr>
          <w:rFonts w:ascii="Arial" w:cs="Arial" w:eastAsia="Arial" w:hAnsi="Arial"/>
          <w:sz w:val="18"/>
          <w:szCs w:val="18"/>
          <w:color w:val="auto"/>
        </w:rPr>
      </w:pPr>
      <w:r>
        <w:rPr>
          <w:rFonts w:ascii="Arial" w:cs="Arial" w:eastAsia="Arial" w:hAnsi="Arial"/>
          <w:sz w:val="18"/>
          <w:szCs w:val="18"/>
          <w:color w:val="auto"/>
        </w:rPr>
        <w:t>a. to pay the principal of all German Revolving Loans (other than German Protective Advances and German Swing Loans), until paid in full,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9" w:name="page310"/>
    <w:bookmarkEnd w:id="309"/>
    <w:p>
      <w:pPr>
        <w:jc w:val="both"/>
        <w:ind w:firstLine="3898"/>
        <w:spacing w:after="0" w:line="271" w:lineRule="auto"/>
        <w:tabs>
          <w:tab w:leader="none" w:pos="4942" w:val="left"/>
        </w:tabs>
        <w:numPr>
          <w:ilvl w:val="1"/>
          <w:numId w:val="345"/>
        </w:numPr>
        <w:rPr>
          <w:rFonts w:ascii="Arial" w:cs="Arial" w:eastAsia="Arial" w:hAnsi="Arial"/>
          <w:sz w:val="17"/>
          <w:szCs w:val="17"/>
          <w:color w:val="auto"/>
        </w:rPr>
      </w:pPr>
      <w:r>
        <w:rPr>
          <w:rFonts w:ascii="Arial" w:cs="Arial" w:eastAsia="Arial" w:hAnsi="Arial"/>
          <w:sz w:val="17"/>
          <w:szCs w:val="17"/>
          <w:color w:val="auto"/>
        </w:rPr>
        <w:t xml:space="preserve">to Agent, to be held by Agent, for the benefit of the applicable Issuing Bank (and for the ratable benefit of each of the Lenders that have an obligation to pay to Agent, for the account of such Issuing Bank, a share of each Letter of Credit Disbursement with respect to a German Letter of Credit not predicated on the FILO Subline Amount), as cash collateral in an amount up to 103% (or, with respect to German Letters of Credit denominated in an Alternative Currency, 105%) of the German Letter of Credit Usage not predicated on the FILO Subline Amount (to the extent permitted by applicable law, such cash collateral shall be applied to the reimbursement of any Letter of Credit Disbursement with respect to a German Letter of Credit not predicated on the FILO Subline Amount as and when such disbursement occurs and, if a German Letter of Credit expires undrawn, the cash collateral held by Agent in respect of such German Letter of Credit shall, to the extent permitted by applicable law, be reapplied pursuant to this </w:t>
      </w:r>
      <w:r>
        <w:rPr>
          <w:rFonts w:ascii="Arial" w:cs="Arial" w:eastAsia="Arial" w:hAnsi="Arial"/>
          <w:sz w:val="17"/>
          <w:szCs w:val="17"/>
          <w:u w:val="single" w:color="auto"/>
          <w:color w:val="auto"/>
        </w:rPr>
        <w:t>Section 2.4(b)(iii)(B)</w:t>
      </w:r>
      <w:r>
        <w:rPr>
          <w:rFonts w:ascii="Arial" w:cs="Arial" w:eastAsia="Arial" w:hAnsi="Arial"/>
          <w:sz w:val="17"/>
          <w:szCs w:val="17"/>
          <w:color w:val="auto"/>
        </w:rPr>
        <w:t>, beginning with tier i. hereof),</w:t>
      </w:r>
    </w:p>
    <w:p>
      <w:pPr>
        <w:spacing w:after="0" w:line="178" w:lineRule="exact"/>
        <w:rPr>
          <w:rFonts w:ascii="Arial" w:cs="Arial" w:eastAsia="Arial" w:hAnsi="Arial"/>
          <w:sz w:val="17"/>
          <w:szCs w:val="17"/>
          <w:color w:val="auto"/>
        </w:rPr>
      </w:pPr>
    </w:p>
    <w:p>
      <w:pPr>
        <w:ind w:left="4020" w:hanging="771"/>
        <w:spacing w:after="0"/>
        <w:tabs>
          <w:tab w:leader="none" w:pos="4020" w:val="left"/>
        </w:tabs>
        <w:numPr>
          <w:ilvl w:val="0"/>
          <w:numId w:val="346"/>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ratably, to pay interest accrued in respect of the German FILO Loans, until paid in full,</w:t>
      </w:r>
    </w:p>
    <w:p>
      <w:pPr>
        <w:spacing w:after="0" w:line="236" w:lineRule="exact"/>
        <w:rPr>
          <w:rFonts w:ascii="Arial" w:cs="Arial" w:eastAsia="Arial" w:hAnsi="Arial"/>
          <w:sz w:val="17"/>
          <w:szCs w:val="17"/>
          <w:color w:val="auto"/>
        </w:rPr>
      </w:pPr>
    </w:p>
    <w:p>
      <w:pPr>
        <w:ind w:left="4020" w:hanging="771"/>
        <w:spacing w:after="0"/>
        <w:tabs>
          <w:tab w:leader="none" w:pos="402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left="4880" w:hanging="982"/>
        <w:spacing w:after="0"/>
        <w:tabs>
          <w:tab w:leader="none" w:pos="48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to pay the principal of all German FILO Loans, until paid in full,</w:t>
      </w:r>
    </w:p>
    <w:p>
      <w:pPr>
        <w:spacing w:after="0" w:line="225" w:lineRule="exact"/>
        <w:rPr>
          <w:rFonts w:ascii="Arial" w:cs="Arial" w:eastAsia="Arial" w:hAnsi="Arial"/>
          <w:sz w:val="18"/>
          <w:szCs w:val="18"/>
          <w:color w:val="auto"/>
        </w:rPr>
      </w:pPr>
    </w:p>
    <w:p>
      <w:pPr>
        <w:jc w:val="both"/>
        <w:ind w:firstLine="3898"/>
        <w:spacing w:after="0" w:line="290" w:lineRule="auto"/>
        <w:tabs>
          <w:tab w:leader="none" w:pos="4942"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to Agent, to be held by Agent, for the benefit of the applicable Issuing Bank (and for the ratable benefit of each of the Lenders that have an obligation to pay to Agent, for the account of such Issuing Bank, a share of each Letter of Credit Disbursement with respect to a German Letter of Credit predicated on the FILO Subline Amount), as cash collateral in an amount up to 103% (or, with respect to German Letters of Credit denominated in an Alternative Currency, 105%) of the German Letter of Credit Usage predicated on the FILO Subline Amount (to the extent permitted by applicable law, such cash collateral shall be applied to the reimbursement of any Letter of Credit Disbursement with respect to a German Letter of Credit predicated on the FILO Subline Amount (that, in each case, is not covered by tier x. above) as and when such disbursement occurs and, if all remaining German Letters of Credit expire undrawn, the cash collateral held by Agent in respect of such German Letters of Credit shall, to the extent permitted by applicable law, be reapplied pursuant to this </w:t>
      </w:r>
      <w:r>
        <w:rPr>
          <w:rFonts w:ascii="Arial" w:cs="Arial" w:eastAsia="Arial" w:hAnsi="Arial"/>
          <w:sz w:val="16"/>
          <w:szCs w:val="16"/>
          <w:u w:val="single" w:color="auto"/>
          <w:color w:val="auto"/>
        </w:rPr>
        <w:t>Section 2.4(b)(iii)(B)</w:t>
      </w:r>
      <w:r>
        <w:rPr>
          <w:rFonts w:ascii="Arial" w:cs="Arial" w:eastAsia="Arial" w:hAnsi="Arial"/>
          <w:sz w:val="16"/>
          <w:szCs w:val="16"/>
          <w:color w:val="auto"/>
        </w:rPr>
        <w:t>, beginning with tier i. hereof),</w:t>
      </w:r>
    </w:p>
    <w:p>
      <w:pPr>
        <w:spacing w:after="0" w:line="166" w:lineRule="exact"/>
        <w:rPr>
          <w:rFonts w:ascii="Arial" w:cs="Arial" w:eastAsia="Arial" w:hAnsi="Arial"/>
          <w:sz w:val="16"/>
          <w:szCs w:val="16"/>
          <w:color w:val="auto"/>
        </w:rPr>
      </w:pPr>
    </w:p>
    <w:p>
      <w:pPr>
        <w:jc w:val="both"/>
        <w:ind w:firstLine="3898"/>
        <w:spacing w:after="0" w:line="287" w:lineRule="auto"/>
        <w:tabs>
          <w:tab w:leader="none" w:pos="4977"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up to the amount (after taking into account any amounts previously paid pursuant to this clause c. during the continuation of the applicable Application Event) of the most recently established Bank Product Reserve, which amount was established prior to the occurrence of, and not in contemplation of, the subject Application Event, to (y) the Bank Product Providers based upon amounts then certified by each applicable Bank Product Provider to Agent (in form and substance reasonably satisfactory to Agent) to be due and payable to such Bank Product Provider on account of Bank Product Obligations of the German Borrower (but not in excess of the Bank Product Reserve established for the Bank Product Obligations of such Bank Product Provider), and (z) with any balance to be paid to Agent, to be held by Agent, for the ratable benefit of the Bank Product Providers for Bank Products provided to the German Borrower and its Subsidiaries,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6"/>
          <w:szCs w:val="16"/>
          <w:u w:val="single" w:color="auto"/>
          <w:color w:val="auto"/>
        </w:rPr>
        <w:t>Section 2.4(b)(iii)(B)</w:t>
      </w:r>
      <w:r>
        <w:rPr>
          <w:rFonts w:ascii="Arial" w:cs="Arial" w:eastAsia="Arial" w:hAnsi="Arial"/>
          <w:sz w:val="16"/>
          <w:szCs w:val="16"/>
          <w:color w:val="auto"/>
        </w:rPr>
        <w:t>, beginning with tier i. 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0" w:name="page311"/>
    <w:bookmarkEnd w:id="310"/>
    <w:p>
      <w:pPr>
        <w:ind w:left="4100" w:hanging="851"/>
        <w:spacing w:after="0"/>
        <w:tabs>
          <w:tab w:leader="none" w:pos="4100"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thirteenth</w:t>
      </w:r>
      <w:r>
        <w:rPr>
          <w:rFonts w:ascii="Arial" w:cs="Arial" w:eastAsia="Arial" w:hAnsi="Arial"/>
          <w:sz w:val="16"/>
          <w:szCs w:val="16"/>
          <w:color w:val="auto"/>
        </w:rPr>
        <w:t>, to pay any other German Obligations other than German Obligations owed to Defaulting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firstLine="3249"/>
        <w:spacing w:after="0" w:line="277" w:lineRule="auto"/>
        <w:tabs>
          <w:tab w:leader="none" w:pos="4062"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fourteenth</w:t>
      </w:r>
      <w:r>
        <w:rPr>
          <w:rFonts w:ascii="Arial" w:cs="Arial" w:eastAsia="Arial" w:hAnsi="Arial"/>
          <w:sz w:val="18"/>
          <w:szCs w:val="18"/>
          <w:color w:val="auto"/>
        </w:rPr>
        <w:t xml:space="preserve">, ratably to pay the Joint Obligations (to be applied pursuant to </w:t>
      </w:r>
      <w:r>
        <w:rPr>
          <w:rFonts w:ascii="Arial" w:cs="Arial" w:eastAsia="Arial" w:hAnsi="Arial"/>
          <w:sz w:val="18"/>
          <w:szCs w:val="18"/>
          <w:u w:val="single" w:color="auto"/>
          <w:color w:val="auto"/>
        </w:rPr>
        <w:t>Section 2.4(b)(iii)(A))</w:t>
      </w:r>
      <w:r>
        <w:rPr>
          <w:rFonts w:ascii="Arial" w:cs="Arial" w:eastAsia="Arial" w:hAnsi="Arial"/>
          <w:sz w:val="18"/>
          <w:szCs w:val="18"/>
          <w:color w:val="auto"/>
        </w:rPr>
        <w:t xml:space="preserve"> and the Swiss Obligations (to be applied pursuant to </w:t>
      </w:r>
      <w:r>
        <w:rPr>
          <w:rFonts w:ascii="Arial" w:cs="Arial" w:eastAsia="Arial" w:hAnsi="Arial"/>
          <w:sz w:val="18"/>
          <w:szCs w:val="18"/>
          <w:u w:val="single" w:color="auto"/>
          <w:color w:val="auto"/>
        </w:rPr>
        <w:t>Section 2.4(b)(iii)(C))</w:t>
      </w:r>
      <w:r>
        <w:rPr>
          <w:rFonts w:ascii="Arial" w:cs="Arial" w:eastAsia="Arial" w:hAnsi="Arial"/>
          <w:sz w:val="18"/>
          <w:szCs w:val="18"/>
          <w:color w:val="auto"/>
        </w:rPr>
        <w:t>, until paid in full,</w:t>
      </w:r>
    </w:p>
    <w:p>
      <w:pPr>
        <w:spacing w:after="0" w:line="170" w:lineRule="exact"/>
        <w:rPr>
          <w:rFonts w:ascii="Arial" w:cs="Arial" w:eastAsia="Arial" w:hAnsi="Arial"/>
          <w:sz w:val="18"/>
          <w:szCs w:val="18"/>
          <w:color w:val="auto"/>
        </w:rPr>
      </w:pPr>
    </w:p>
    <w:p>
      <w:pPr>
        <w:ind w:firstLine="3249"/>
        <w:spacing w:after="0" w:line="277" w:lineRule="auto"/>
        <w:tabs>
          <w:tab w:leader="none" w:pos="4233"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fifteenth</w:t>
      </w:r>
      <w:r>
        <w:rPr>
          <w:rFonts w:ascii="Arial" w:cs="Arial" w:eastAsia="Arial" w:hAnsi="Arial"/>
          <w:sz w:val="18"/>
          <w:szCs w:val="18"/>
          <w:color w:val="auto"/>
        </w:rPr>
        <w:t>, to pay all other Bank Product Obligations for Bank Products provided to the German Borrower and its Subsidiaries that, in each case, are not covered in tier xii. above,</w:t>
      </w:r>
    </w:p>
    <w:p>
      <w:pPr>
        <w:spacing w:after="0" w:line="170" w:lineRule="exact"/>
        <w:rPr>
          <w:rFonts w:ascii="Arial" w:cs="Arial" w:eastAsia="Arial" w:hAnsi="Arial"/>
          <w:sz w:val="18"/>
          <w:szCs w:val="18"/>
          <w:color w:val="auto"/>
        </w:rPr>
      </w:pPr>
    </w:p>
    <w:p>
      <w:pPr>
        <w:ind w:left="3980" w:hanging="731"/>
        <w:spacing w:after="0"/>
        <w:tabs>
          <w:tab w:leader="none" w:pos="3980"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sixteenth</w:t>
      </w:r>
      <w:r>
        <w:rPr>
          <w:rFonts w:ascii="Arial" w:cs="Arial" w:eastAsia="Arial" w:hAnsi="Arial"/>
          <w:sz w:val="18"/>
          <w:szCs w:val="18"/>
          <w:color w:val="auto"/>
        </w:rPr>
        <w:t>, to pay any other Obligations other than Obligations owed to Defaulting Lenders,</w:t>
      </w:r>
    </w:p>
    <w:p>
      <w:pPr>
        <w:spacing w:after="0" w:line="225" w:lineRule="exact"/>
        <w:rPr>
          <w:rFonts w:ascii="Arial" w:cs="Arial" w:eastAsia="Arial" w:hAnsi="Arial"/>
          <w:sz w:val="18"/>
          <w:szCs w:val="18"/>
          <w:color w:val="auto"/>
        </w:rPr>
      </w:pPr>
    </w:p>
    <w:p>
      <w:pPr>
        <w:ind w:left="3980" w:hanging="731"/>
        <w:spacing w:after="0"/>
        <w:tabs>
          <w:tab w:leader="none" w:pos="3980"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seventeenth</w:t>
      </w:r>
      <w:r>
        <w:rPr>
          <w:rFonts w:ascii="Arial" w:cs="Arial" w:eastAsia="Arial" w:hAnsi="Arial"/>
          <w:sz w:val="18"/>
          <w:szCs w:val="18"/>
          <w:color w:val="auto"/>
        </w:rPr>
        <w:t>, ratably to pay any Obligations owed to Defaulting Lenders; and</w:t>
      </w:r>
    </w:p>
    <w:p>
      <w:pPr>
        <w:spacing w:after="0" w:line="225" w:lineRule="exact"/>
        <w:rPr>
          <w:rFonts w:ascii="Arial" w:cs="Arial" w:eastAsia="Arial" w:hAnsi="Arial"/>
          <w:sz w:val="18"/>
          <w:szCs w:val="18"/>
          <w:color w:val="auto"/>
        </w:rPr>
      </w:pPr>
    </w:p>
    <w:p>
      <w:pPr>
        <w:ind w:left="4080" w:hanging="831"/>
        <w:spacing w:after="0"/>
        <w:tabs>
          <w:tab w:leader="none" w:pos="408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eighteenth</w:t>
      </w:r>
      <w:r>
        <w:rPr>
          <w:rFonts w:ascii="Arial" w:cs="Arial" w:eastAsia="Arial" w:hAnsi="Arial"/>
          <w:sz w:val="16"/>
          <w:szCs w:val="16"/>
          <w:color w:val="auto"/>
        </w:rPr>
        <w:t>, to the German Borrower (to be wired to the German Designated Account) or such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entitled thereto under applicable law.</w:t>
      </w:r>
    </w:p>
    <w:p>
      <w:pPr>
        <w:spacing w:after="0" w:line="210" w:lineRule="exact"/>
        <w:rPr>
          <w:rFonts w:ascii="Arial" w:cs="Arial" w:eastAsia="Arial" w:hAnsi="Arial"/>
          <w:sz w:val="16"/>
          <w:szCs w:val="16"/>
          <w:color w:val="auto"/>
        </w:rPr>
      </w:pPr>
    </w:p>
    <w:p>
      <w:pPr>
        <w:ind w:left="3340" w:hanging="739"/>
        <w:spacing w:after="0"/>
        <w:tabs>
          <w:tab w:leader="none" w:pos="33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All payments in respect of Swiss Obligations and all proceeds of Collateral of the Swiss Borrower received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 shall be applied as follows:</w:t>
      </w:r>
    </w:p>
    <w:p>
      <w:pPr>
        <w:spacing w:after="0" w:line="210" w:lineRule="exact"/>
        <w:rPr>
          <w:rFonts w:ascii="Arial" w:cs="Arial" w:eastAsia="Arial" w:hAnsi="Arial"/>
          <w:sz w:val="16"/>
          <w:szCs w:val="16"/>
          <w:color w:val="auto"/>
        </w:rPr>
      </w:pPr>
    </w:p>
    <w:p>
      <w:pPr>
        <w:ind w:left="4100" w:hanging="851"/>
        <w:spacing w:after="0"/>
        <w:tabs>
          <w:tab w:leader="none" w:pos="4100"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pay any Lender Group Expenses (including cost or expense reimbursements) or indemnities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then due to Agent under the Loan Documents constituting, or in respect of, Swiss Obligations, until paid in full,</w:t>
      </w:r>
    </w:p>
    <w:p>
      <w:pPr>
        <w:spacing w:after="0" w:line="210" w:lineRule="exact"/>
        <w:rPr>
          <w:rFonts w:ascii="Arial" w:cs="Arial" w:eastAsia="Arial" w:hAnsi="Arial"/>
          <w:sz w:val="16"/>
          <w:szCs w:val="16"/>
          <w:color w:val="auto"/>
        </w:rPr>
      </w:pPr>
    </w:p>
    <w:p>
      <w:pPr>
        <w:ind w:left="4040" w:hanging="791"/>
        <w:spacing w:after="0"/>
        <w:tabs>
          <w:tab w:leader="none" w:pos="4040"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 any fees or premiums then due to Agent under the Loan Documents constituting, or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of, Swiss Obligations, until paid in full,</w:t>
      </w:r>
    </w:p>
    <w:p>
      <w:pPr>
        <w:spacing w:after="0" w:line="210" w:lineRule="exact"/>
        <w:rPr>
          <w:rFonts w:ascii="Arial" w:cs="Arial" w:eastAsia="Arial" w:hAnsi="Arial"/>
          <w:sz w:val="16"/>
          <w:szCs w:val="16"/>
          <w:color w:val="auto"/>
        </w:rPr>
      </w:pPr>
    </w:p>
    <w:p>
      <w:pPr>
        <w:ind w:left="3980" w:hanging="731"/>
        <w:spacing w:after="0"/>
        <w:tabs>
          <w:tab w:leader="none" w:pos="3980"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Swiss Protective Advances, until paid in full,</w:t>
      </w:r>
    </w:p>
    <w:p>
      <w:pPr>
        <w:spacing w:after="0" w:line="225" w:lineRule="exact"/>
        <w:rPr>
          <w:rFonts w:ascii="Arial" w:cs="Arial" w:eastAsia="Arial" w:hAnsi="Arial"/>
          <w:sz w:val="18"/>
          <w:szCs w:val="18"/>
          <w:color w:val="auto"/>
        </w:rPr>
      </w:pPr>
    </w:p>
    <w:p>
      <w:pPr>
        <w:ind w:left="3960" w:hanging="711"/>
        <w:spacing w:after="0"/>
        <w:tabs>
          <w:tab w:leader="none" w:pos="3960"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Swiss Protective Advances, until paid in full,</w:t>
      </w:r>
    </w:p>
    <w:p>
      <w:pPr>
        <w:spacing w:after="0" w:line="225" w:lineRule="exact"/>
        <w:rPr>
          <w:rFonts w:ascii="Arial" w:cs="Arial" w:eastAsia="Arial" w:hAnsi="Arial"/>
          <w:sz w:val="18"/>
          <w:szCs w:val="18"/>
          <w:color w:val="auto"/>
        </w:rPr>
      </w:pPr>
    </w:p>
    <w:p>
      <w:pPr>
        <w:ind w:left="4160" w:hanging="911"/>
        <w:spacing w:after="0"/>
        <w:tabs>
          <w:tab w:leader="none" w:pos="4160"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ratably, to pay any Lender Group Expenses (including cost or expense reimbursements)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indemnities then due to any of the Lenders under the Loan Documents constituting, or in respect of, Swiss Obligations, until paid in full,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1" w:name="page312"/>
    <w:bookmarkEnd w:id="311"/>
    <w:p>
      <w:pPr>
        <w:ind w:firstLine="3249"/>
        <w:spacing w:after="0" w:line="277" w:lineRule="auto"/>
        <w:tabs>
          <w:tab w:leader="none" w:pos="3989"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constituting, or in respect of, Swiss Obligations, until paid in full,</w:t>
      </w:r>
    </w:p>
    <w:p>
      <w:pPr>
        <w:spacing w:after="0" w:line="170" w:lineRule="exact"/>
        <w:rPr>
          <w:rFonts w:ascii="Arial" w:cs="Arial" w:eastAsia="Arial" w:hAnsi="Arial"/>
          <w:sz w:val="18"/>
          <w:szCs w:val="18"/>
          <w:color w:val="auto"/>
        </w:rPr>
      </w:pPr>
    </w:p>
    <w:p>
      <w:pPr>
        <w:ind w:left="3980" w:hanging="731"/>
        <w:spacing w:after="0"/>
        <w:tabs>
          <w:tab w:leader="none" w:pos="398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Swiss Swing Loans, until paid in full,</w:t>
      </w:r>
    </w:p>
    <w:p>
      <w:pPr>
        <w:spacing w:after="0" w:line="225" w:lineRule="exact"/>
        <w:rPr>
          <w:rFonts w:ascii="Arial" w:cs="Arial" w:eastAsia="Arial" w:hAnsi="Arial"/>
          <w:sz w:val="18"/>
          <w:szCs w:val="18"/>
          <w:color w:val="auto"/>
        </w:rPr>
      </w:pPr>
    </w:p>
    <w:p>
      <w:pPr>
        <w:ind w:left="3980" w:hanging="731"/>
        <w:spacing w:after="0"/>
        <w:tabs>
          <w:tab w:leader="none" w:pos="398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Swiss Swing Loans, until paid in full,</w:t>
      </w:r>
    </w:p>
    <w:p>
      <w:pPr>
        <w:spacing w:after="0" w:line="225" w:lineRule="exact"/>
        <w:rPr>
          <w:rFonts w:ascii="Arial" w:cs="Arial" w:eastAsia="Arial" w:hAnsi="Arial"/>
          <w:sz w:val="18"/>
          <w:szCs w:val="18"/>
          <w:color w:val="auto"/>
        </w:rPr>
      </w:pPr>
    </w:p>
    <w:p>
      <w:pPr>
        <w:ind w:firstLine="3249"/>
        <w:spacing w:after="0" w:line="277" w:lineRule="auto"/>
        <w:tabs>
          <w:tab w:leader="none" w:pos="4196"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Swiss Revolving Loans (other than Swiss Protective Advances and Swiss Swing Loans), until paid in full,</w:t>
      </w:r>
    </w:p>
    <w:p>
      <w:pPr>
        <w:spacing w:after="0" w:line="170" w:lineRule="exact"/>
        <w:rPr>
          <w:rFonts w:ascii="Arial" w:cs="Arial" w:eastAsia="Arial" w:hAnsi="Arial"/>
          <w:sz w:val="18"/>
          <w:szCs w:val="18"/>
          <w:color w:val="auto"/>
        </w:rPr>
      </w:pPr>
    </w:p>
    <w:p>
      <w:pPr>
        <w:ind w:left="4020" w:hanging="771"/>
        <w:spacing w:after="0"/>
        <w:tabs>
          <w:tab w:leader="none" w:pos="402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left="4960" w:hanging="1062"/>
        <w:spacing w:after="0"/>
        <w:tabs>
          <w:tab w:leader="none" w:pos="496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to pay the principal of all Swiss Revolving Loans (other than Swiss Protective Advances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Swiss Swing Loans), until paid in full,</w:t>
      </w:r>
    </w:p>
    <w:p>
      <w:pPr>
        <w:spacing w:after="0" w:line="210" w:lineRule="exact"/>
        <w:rPr>
          <w:rFonts w:ascii="Arial" w:cs="Arial" w:eastAsia="Arial" w:hAnsi="Arial"/>
          <w:sz w:val="16"/>
          <w:szCs w:val="16"/>
          <w:color w:val="auto"/>
        </w:rPr>
      </w:pPr>
    </w:p>
    <w:p>
      <w:pPr>
        <w:jc w:val="both"/>
        <w:ind w:firstLine="3898"/>
        <w:spacing w:after="0" w:line="254" w:lineRule="auto"/>
        <w:tabs>
          <w:tab w:leader="none" w:pos="494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to Agent, to be held by Agent, for the benefit of the applicable Issuing Bank (and for the ratable benefit of each of the Lenders that have an obligation to pay to Agent, for the account of such Issuing Bank, a share of each Letter of Credit Disbursement with respect to a Swiss Letter of Credit not predicated on the FILO Subline Amount), as cash collateral in an amount up to 103% (or, with respect to Swiss Letters of Credit denominated in an Alternative Currency, 105%) of the Swiss Letter of Credit Usage not predicated on the FILO Subline Amount (to the extent permitted by applicable law, such cash collateral shall be applied to the reimbursement of any Letter of Credit Disbursement with respect to a Swiss Letter of Credit not predicated on the FILO Subline Amount as and when such disbursement occurs and, if a Swiss Letter of Credit expires undrawn, the cash collateral held by Agent in respect of such Swiss Letter of Credit shall, to the extent permitted by applicable law, be reapplied pursuant to this </w:t>
      </w:r>
      <w:r>
        <w:rPr>
          <w:rFonts w:ascii="Arial" w:cs="Arial" w:eastAsia="Arial" w:hAnsi="Arial"/>
          <w:sz w:val="18"/>
          <w:szCs w:val="18"/>
          <w:u w:val="single" w:color="auto"/>
          <w:color w:val="auto"/>
        </w:rPr>
        <w:t>Section 2.4(b)(iii)(C)</w:t>
      </w:r>
      <w:r>
        <w:rPr>
          <w:rFonts w:ascii="Arial" w:cs="Arial" w:eastAsia="Arial" w:hAnsi="Arial"/>
          <w:sz w:val="18"/>
          <w:szCs w:val="18"/>
          <w:color w:val="auto"/>
        </w:rPr>
        <w:t>, beginning with tier i. hereof),</w:t>
      </w:r>
    </w:p>
    <w:p>
      <w:pPr>
        <w:spacing w:after="0" w:line="192" w:lineRule="exact"/>
        <w:rPr>
          <w:rFonts w:ascii="Arial" w:cs="Arial" w:eastAsia="Arial" w:hAnsi="Arial"/>
          <w:sz w:val="18"/>
          <w:szCs w:val="18"/>
          <w:color w:val="auto"/>
        </w:rPr>
      </w:pPr>
    </w:p>
    <w:p>
      <w:pPr>
        <w:ind w:left="4020" w:hanging="771"/>
        <w:spacing w:after="0"/>
        <w:tabs>
          <w:tab w:leader="none" w:pos="402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ratably, to pay interest accrued in respect of the Swiss FILO Loans, until paid in full,</w:t>
      </w:r>
    </w:p>
    <w:p>
      <w:pPr>
        <w:spacing w:after="0" w:line="236" w:lineRule="exact"/>
        <w:rPr>
          <w:rFonts w:ascii="Arial" w:cs="Arial" w:eastAsia="Arial" w:hAnsi="Arial"/>
          <w:sz w:val="17"/>
          <w:szCs w:val="17"/>
          <w:color w:val="auto"/>
        </w:rPr>
      </w:pPr>
    </w:p>
    <w:p>
      <w:pPr>
        <w:ind w:left="4020" w:hanging="771"/>
        <w:spacing w:after="0"/>
        <w:tabs>
          <w:tab w:leader="none" w:pos="402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ratably</w:t>
      </w:r>
    </w:p>
    <w:p>
      <w:pPr>
        <w:spacing w:after="0" w:line="225" w:lineRule="exact"/>
        <w:rPr>
          <w:rFonts w:ascii="Arial" w:cs="Arial" w:eastAsia="Arial" w:hAnsi="Arial"/>
          <w:sz w:val="18"/>
          <w:szCs w:val="18"/>
          <w:color w:val="auto"/>
        </w:rPr>
      </w:pPr>
    </w:p>
    <w:p>
      <w:pPr>
        <w:ind w:left="4880" w:hanging="982"/>
        <w:spacing w:after="0"/>
        <w:tabs>
          <w:tab w:leader="none" w:pos="48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to pay the principal of all Swiss FILO Loans, until paid in full,</w:t>
      </w:r>
    </w:p>
    <w:p>
      <w:pPr>
        <w:spacing w:after="0" w:line="225" w:lineRule="exact"/>
        <w:rPr>
          <w:rFonts w:ascii="Arial" w:cs="Arial" w:eastAsia="Arial" w:hAnsi="Arial"/>
          <w:sz w:val="18"/>
          <w:szCs w:val="18"/>
          <w:color w:val="auto"/>
        </w:rPr>
      </w:pPr>
    </w:p>
    <w:p>
      <w:pPr>
        <w:jc w:val="both"/>
        <w:ind w:firstLine="3898"/>
        <w:spacing w:after="0" w:line="271" w:lineRule="auto"/>
        <w:tabs>
          <w:tab w:leader="none" w:pos="4942" w:val="left"/>
        </w:tabs>
        <w:numPr>
          <w:ilvl w:val="1"/>
          <w:numId w:val="350"/>
        </w:numPr>
        <w:rPr>
          <w:rFonts w:ascii="Arial" w:cs="Arial" w:eastAsia="Arial" w:hAnsi="Arial"/>
          <w:sz w:val="17"/>
          <w:szCs w:val="17"/>
          <w:color w:val="auto"/>
        </w:rPr>
      </w:pPr>
      <w:r>
        <w:rPr>
          <w:rFonts w:ascii="Arial" w:cs="Arial" w:eastAsia="Arial" w:hAnsi="Arial"/>
          <w:sz w:val="17"/>
          <w:szCs w:val="17"/>
          <w:color w:val="auto"/>
        </w:rPr>
        <w:t xml:space="preserve">to Agent, to be held by Agent, for the benefit of the applicable Issuing Bank (and for the ratable benefit of each of the Lenders that have an obligation to pay to Agent, for the account of such Issuing Bank, a share of each Letter of Credit Disbursement with respect to a Swiss Letter of Credit predicated on the FILO Subline Amount), as cash collateral in an amount up to 103% (or, with respect to Swiss Letters of Credit denominated in an Alternative Currency, 105%) of the Swiss Letter of Credit Usage predicated on the FILO Subline Amount (to the extent permitted by applicable law, such cash collateral shall be applied to the reimbursement of any Letter of Credit Disbursement with respect to a Swiss Letter of Credit predicated on the FILO Subline Amount (that, in each case, is not covered by tier x. above) as and when such disbursement occurs and, if all remaining Swiss Letters of Credit expire undrawn, the cash collateral held by Agent in respect of such Swiss Letters of Credit shall, to the extent permitted by applicable law, be reapplied pursuant to this </w:t>
      </w:r>
      <w:r>
        <w:rPr>
          <w:rFonts w:ascii="Arial" w:cs="Arial" w:eastAsia="Arial" w:hAnsi="Arial"/>
          <w:sz w:val="17"/>
          <w:szCs w:val="17"/>
          <w:u w:val="single" w:color="auto"/>
          <w:color w:val="auto"/>
        </w:rPr>
        <w:t>Section 2.4(b)(iii)(C)</w:t>
      </w:r>
      <w:r>
        <w:rPr>
          <w:rFonts w:ascii="Arial" w:cs="Arial" w:eastAsia="Arial" w:hAnsi="Arial"/>
          <w:sz w:val="17"/>
          <w:szCs w:val="17"/>
          <w:color w:val="auto"/>
        </w:rPr>
        <w:t>, beginning with tier i.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2" w:name="page313"/>
    <w:bookmarkEnd w:id="312"/>
    <w:p>
      <w:pPr>
        <w:jc w:val="both"/>
        <w:ind w:firstLine="3898"/>
        <w:spacing w:after="0" w:line="287" w:lineRule="auto"/>
        <w:tabs>
          <w:tab w:leader="none" w:pos="4977" w:val="left"/>
        </w:tabs>
        <w:numPr>
          <w:ilvl w:val="2"/>
          <w:numId w:val="351"/>
        </w:numPr>
        <w:rPr>
          <w:rFonts w:ascii="Arial" w:cs="Arial" w:eastAsia="Arial" w:hAnsi="Arial"/>
          <w:sz w:val="16"/>
          <w:szCs w:val="16"/>
          <w:color w:val="auto"/>
        </w:rPr>
      </w:pPr>
      <w:r>
        <w:rPr>
          <w:rFonts w:ascii="Arial" w:cs="Arial" w:eastAsia="Arial" w:hAnsi="Arial"/>
          <w:sz w:val="16"/>
          <w:szCs w:val="16"/>
          <w:color w:val="auto"/>
        </w:rPr>
        <w:t xml:space="preserve">up to the amount (after taking into account any amounts previously paid pursuant to this clause c. during the continuation of the applicable Application Event) of the most recently established Bank Product Reserve, which amount was established prior to the occurrence of, and not in contemplation of, the subject Application Event, to (y) the Bank Product Providers based upon amounts then certified by each applicable Bank Product Provider to Agent (in form and substance reasonably satisfactory to Agent) to be due and payable to such Bank Product Provider on account of Bank Product Obligations of the Swiss Borrower (but not in excess of the Bank Product Reserve established for the Bank Product Obligations of such Bank Product Provider), and (z) with any balance to be paid to Agent, to be held by Agent, for the ratable benefit of the Bank Product Providers for Bank Products provided to the Swiss Borrower and its Subsidiaries,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6"/>
          <w:szCs w:val="16"/>
          <w:u w:val="single" w:color="auto"/>
          <w:color w:val="auto"/>
        </w:rPr>
        <w:t>Section 2.4(b)(iii)(C)</w:t>
      </w:r>
      <w:r>
        <w:rPr>
          <w:rFonts w:ascii="Arial" w:cs="Arial" w:eastAsia="Arial" w:hAnsi="Arial"/>
          <w:sz w:val="16"/>
          <w:szCs w:val="16"/>
          <w:color w:val="auto"/>
        </w:rPr>
        <w:t>, beginning with tier i. hereof,</w:t>
      </w:r>
    </w:p>
    <w:p>
      <w:pPr>
        <w:spacing w:after="0" w:line="172" w:lineRule="exact"/>
        <w:rPr>
          <w:rFonts w:ascii="Arial" w:cs="Arial" w:eastAsia="Arial" w:hAnsi="Arial"/>
          <w:sz w:val="16"/>
          <w:szCs w:val="16"/>
          <w:color w:val="auto"/>
        </w:rPr>
      </w:pPr>
    </w:p>
    <w:p>
      <w:pPr>
        <w:ind w:left="4280" w:hanging="1031"/>
        <w:spacing w:after="0"/>
        <w:tabs>
          <w:tab w:leader="none" w:pos="4280" w:val="left"/>
        </w:tabs>
        <w:numPr>
          <w:ilvl w:val="1"/>
          <w:numId w:val="352"/>
        </w:numPr>
        <w:rPr>
          <w:rFonts w:ascii="Arial" w:cs="Arial" w:eastAsia="Arial" w:hAnsi="Arial"/>
          <w:sz w:val="17"/>
          <w:szCs w:val="17"/>
          <w:color w:val="auto"/>
        </w:rPr>
      </w:pPr>
      <w:r>
        <w:rPr>
          <w:rFonts w:ascii="Arial" w:cs="Arial" w:eastAsia="Arial" w:hAnsi="Arial"/>
          <w:sz w:val="17"/>
          <w:szCs w:val="17"/>
          <w:u w:val="single" w:color="auto"/>
          <w:color w:val="auto"/>
        </w:rPr>
        <w:t>thirteenth</w:t>
      </w:r>
      <w:r>
        <w:rPr>
          <w:rFonts w:ascii="Arial" w:cs="Arial" w:eastAsia="Arial" w:hAnsi="Arial"/>
          <w:sz w:val="17"/>
          <w:szCs w:val="17"/>
          <w:color w:val="auto"/>
        </w:rPr>
        <w:t>, to pay any other Swiss Obligations other than Swiss Obligations owed to Defaulting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Lenders,</w:t>
      </w:r>
    </w:p>
    <w:p>
      <w:pPr>
        <w:spacing w:after="0" w:line="210" w:lineRule="exact"/>
        <w:rPr>
          <w:rFonts w:ascii="Arial" w:cs="Arial" w:eastAsia="Arial" w:hAnsi="Arial"/>
          <w:sz w:val="17"/>
          <w:szCs w:val="17"/>
          <w:color w:val="auto"/>
        </w:rPr>
      </w:pPr>
    </w:p>
    <w:p>
      <w:pPr>
        <w:ind w:firstLine="3249"/>
        <w:spacing w:after="0" w:line="277" w:lineRule="auto"/>
        <w:tabs>
          <w:tab w:leader="none" w:pos="4067"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fourteenth</w:t>
      </w:r>
      <w:r>
        <w:rPr>
          <w:rFonts w:ascii="Arial" w:cs="Arial" w:eastAsia="Arial" w:hAnsi="Arial"/>
          <w:sz w:val="18"/>
          <w:szCs w:val="18"/>
          <w:color w:val="auto"/>
        </w:rPr>
        <w:t xml:space="preserve">, ratably, to pay the Joint Obligations (to be applied pursuant to </w:t>
      </w:r>
      <w:r>
        <w:rPr>
          <w:rFonts w:ascii="Arial" w:cs="Arial" w:eastAsia="Arial" w:hAnsi="Arial"/>
          <w:sz w:val="18"/>
          <w:szCs w:val="18"/>
          <w:u w:val="single" w:color="auto"/>
          <w:color w:val="auto"/>
        </w:rPr>
        <w:t>Section 2.4(b)(iii)(A))</w:t>
      </w:r>
      <w:r>
        <w:rPr>
          <w:rFonts w:ascii="Arial" w:cs="Arial" w:eastAsia="Arial" w:hAnsi="Arial"/>
          <w:sz w:val="18"/>
          <w:szCs w:val="18"/>
          <w:color w:val="auto"/>
        </w:rPr>
        <w:t xml:space="preserve"> and the German Obligations (to be applied pursuant to </w:t>
      </w:r>
      <w:r>
        <w:rPr>
          <w:rFonts w:ascii="Arial" w:cs="Arial" w:eastAsia="Arial" w:hAnsi="Arial"/>
          <w:sz w:val="18"/>
          <w:szCs w:val="18"/>
          <w:u w:val="single" w:color="auto"/>
          <w:color w:val="auto"/>
        </w:rPr>
        <w:t>Section 2.4(b)(iii)(B))</w:t>
      </w:r>
      <w:r>
        <w:rPr>
          <w:rFonts w:ascii="Arial" w:cs="Arial" w:eastAsia="Arial" w:hAnsi="Arial"/>
          <w:sz w:val="18"/>
          <w:szCs w:val="18"/>
          <w:color w:val="auto"/>
        </w:rPr>
        <w:t>, until paid in full,</w:t>
      </w:r>
    </w:p>
    <w:p>
      <w:pPr>
        <w:spacing w:after="0" w:line="170" w:lineRule="exact"/>
        <w:rPr>
          <w:rFonts w:ascii="Arial" w:cs="Arial" w:eastAsia="Arial" w:hAnsi="Arial"/>
          <w:sz w:val="18"/>
          <w:szCs w:val="18"/>
          <w:color w:val="auto"/>
        </w:rPr>
      </w:pPr>
    </w:p>
    <w:p>
      <w:pPr>
        <w:ind w:firstLine="3249"/>
        <w:spacing w:after="0" w:line="277" w:lineRule="auto"/>
        <w:tabs>
          <w:tab w:leader="none" w:pos="3976"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fifteenth</w:t>
      </w:r>
      <w:r>
        <w:rPr>
          <w:rFonts w:ascii="Arial" w:cs="Arial" w:eastAsia="Arial" w:hAnsi="Arial"/>
          <w:sz w:val="18"/>
          <w:szCs w:val="18"/>
          <w:color w:val="auto"/>
        </w:rPr>
        <w:t>, to pay all other Bank Product Obligations for Bank Products provided to the Swiss Borrower and its Subsidiaries that, in each case, are not covered in tier xii. above,</w:t>
      </w:r>
    </w:p>
    <w:p>
      <w:pPr>
        <w:spacing w:after="0" w:line="170" w:lineRule="exact"/>
        <w:rPr>
          <w:rFonts w:ascii="Arial" w:cs="Arial" w:eastAsia="Arial" w:hAnsi="Arial"/>
          <w:sz w:val="18"/>
          <w:szCs w:val="18"/>
          <w:color w:val="auto"/>
        </w:rPr>
      </w:pPr>
    </w:p>
    <w:p>
      <w:pPr>
        <w:ind w:left="4020" w:hanging="771"/>
        <w:spacing w:after="0"/>
        <w:tabs>
          <w:tab w:leader="none" w:pos="4020"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sixteenth</w:t>
      </w:r>
      <w:r>
        <w:rPr>
          <w:rFonts w:ascii="Arial" w:cs="Arial" w:eastAsia="Arial" w:hAnsi="Arial"/>
          <w:sz w:val="18"/>
          <w:szCs w:val="18"/>
          <w:color w:val="auto"/>
        </w:rPr>
        <w:t>, to pay any other Obligations other than Obligations owed to Defaulting Lenders,</w:t>
      </w:r>
    </w:p>
    <w:p>
      <w:pPr>
        <w:spacing w:after="0" w:line="225" w:lineRule="exact"/>
        <w:rPr>
          <w:rFonts w:ascii="Arial" w:cs="Arial" w:eastAsia="Arial" w:hAnsi="Arial"/>
          <w:sz w:val="18"/>
          <w:szCs w:val="18"/>
          <w:color w:val="auto"/>
        </w:rPr>
      </w:pPr>
    </w:p>
    <w:p>
      <w:pPr>
        <w:ind w:left="3980" w:hanging="731"/>
        <w:spacing w:after="0"/>
        <w:tabs>
          <w:tab w:leader="none" w:pos="3980"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seventeenth</w:t>
      </w:r>
      <w:r>
        <w:rPr>
          <w:rFonts w:ascii="Arial" w:cs="Arial" w:eastAsia="Arial" w:hAnsi="Arial"/>
          <w:sz w:val="18"/>
          <w:szCs w:val="18"/>
          <w:color w:val="auto"/>
        </w:rPr>
        <w:t>, ratably to pay any Obligations owed to Defaulting Lenders; and</w:t>
      </w:r>
    </w:p>
    <w:p>
      <w:pPr>
        <w:spacing w:after="0" w:line="225" w:lineRule="exact"/>
        <w:rPr>
          <w:rFonts w:ascii="Arial" w:cs="Arial" w:eastAsia="Arial" w:hAnsi="Arial"/>
          <w:sz w:val="18"/>
          <w:szCs w:val="18"/>
          <w:color w:val="auto"/>
        </w:rPr>
      </w:pPr>
    </w:p>
    <w:p>
      <w:pPr>
        <w:ind w:left="4000" w:hanging="751"/>
        <w:spacing w:after="0"/>
        <w:tabs>
          <w:tab w:leader="none" w:pos="4000"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eighteenth</w:t>
      </w:r>
      <w:r>
        <w:rPr>
          <w:rFonts w:ascii="Arial" w:cs="Arial" w:eastAsia="Arial" w:hAnsi="Arial"/>
          <w:sz w:val="16"/>
          <w:szCs w:val="16"/>
          <w:color w:val="auto"/>
        </w:rPr>
        <w:t>, to the Swiss Borrower (to be wired to the Swiss Designated Account) or such other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entitled thereto under applicable law.</w:t>
      </w:r>
    </w:p>
    <w:p>
      <w:pPr>
        <w:spacing w:after="0" w:line="210" w:lineRule="exact"/>
        <w:rPr>
          <w:rFonts w:ascii="Arial" w:cs="Arial" w:eastAsia="Arial" w:hAnsi="Arial"/>
          <w:sz w:val="16"/>
          <w:szCs w:val="16"/>
          <w:color w:val="auto"/>
        </w:rPr>
      </w:pPr>
    </w:p>
    <w:p>
      <w:pPr>
        <w:ind w:firstLine="1953"/>
        <w:spacing w:after="0" w:line="277" w:lineRule="auto"/>
        <w:tabs>
          <w:tab w:leader="none" w:pos="263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3" w:name="page314"/>
    <w:bookmarkEnd w:id="313"/>
    <w:p>
      <w:pPr>
        <w:jc w:val="both"/>
        <w:ind w:firstLine="1953"/>
        <w:spacing w:after="0" w:line="264" w:lineRule="auto"/>
        <w:tabs>
          <w:tab w:leader="none" w:pos="2663"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In each instance, so long as no Application Event has occurred and is continuing, </w:t>
      </w:r>
      <w:r>
        <w:rPr>
          <w:rFonts w:ascii="Arial" w:cs="Arial" w:eastAsia="Arial" w:hAnsi="Arial"/>
          <w:sz w:val="18"/>
          <w:szCs w:val="18"/>
          <w:u w:val="single" w:color="auto"/>
          <w:color w:val="auto"/>
        </w:rPr>
        <w:t>Section 2.4(b)(ii)</w:t>
      </w:r>
      <w:r>
        <w:rPr>
          <w:rFonts w:ascii="Arial" w:cs="Arial" w:eastAsia="Arial" w:hAnsi="Arial"/>
          <w:sz w:val="18"/>
          <w:szCs w:val="18"/>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65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2.4(b)(iii)</w:t>
      </w:r>
      <w:r>
        <w:rPr>
          <w:rFonts w:ascii="Arial" w:cs="Arial" w:eastAsia="Arial" w:hAnsi="Arial"/>
          <w:sz w:val="18"/>
          <w:szCs w:val="18"/>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86" w:lineRule="exact"/>
        <w:rPr>
          <w:rFonts w:ascii="Arial" w:cs="Arial" w:eastAsia="Arial" w:hAnsi="Arial"/>
          <w:sz w:val="18"/>
          <w:szCs w:val="18"/>
          <w:color w:val="auto"/>
        </w:rPr>
      </w:pPr>
    </w:p>
    <w:p>
      <w:pPr>
        <w:jc w:val="both"/>
        <w:ind w:firstLine="1953"/>
        <w:spacing w:after="0" w:line="257" w:lineRule="auto"/>
        <w:tabs>
          <w:tab w:leader="none" w:pos="271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In the event of a direct conflict between the priority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then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control and govern, and if otherwise, then the terms and provisions of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control and govern.</w:t>
      </w:r>
    </w:p>
    <w:p>
      <w:pPr>
        <w:spacing w:after="0" w:line="188" w:lineRule="exact"/>
        <w:rPr>
          <w:rFonts w:ascii="Arial" w:cs="Arial" w:eastAsia="Arial" w:hAnsi="Arial"/>
          <w:sz w:val="18"/>
          <w:szCs w:val="18"/>
          <w:color w:val="auto"/>
        </w:rPr>
      </w:pPr>
    </w:p>
    <w:p>
      <w:pPr>
        <w:jc w:val="both"/>
        <w:ind w:firstLine="1953"/>
        <w:spacing w:after="0" w:line="312" w:lineRule="auto"/>
        <w:tabs>
          <w:tab w:leader="none" w:pos="2813" w:val="left"/>
        </w:tabs>
        <w:numPr>
          <w:ilvl w:val="1"/>
          <w:numId w:val="354"/>
        </w:numPr>
        <w:rPr>
          <w:rFonts w:ascii="Arial" w:cs="Arial" w:eastAsia="Arial" w:hAnsi="Arial"/>
          <w:sz w:val="16"/>
          <w:szCs w:val="16"/>
          <w:color w:val="auto"/>
        </w:rPr>
      </w:pPr>
      <w:r>
        <w:rPr>
          <w:rFonts w:ascii="Arial" w:cs="Arial" w:eastAsia="Arial" w:hAnsi="Arial"/>
          <w:sz w:val="16"/>
          <w:szCs w:val="16"/>
          <w:color w:val="auto"/>
        </w:rPr>
        <w:t xml:space="preserve">If Agent is unable to determine whether a payment is in respect of Joint Obligations, German Obligations or Swiss Obligations, such payment shall be, so long as no Application Event has occurred and is continuing, applied in a manner specified by Borrowers (subject to </w:t>
      </w:r>
      <w:r>
        <w:rPr>
          <w:rFonts w:ascii="Arial" w:cs="Arial" w:eastAsia="Arial" w:hAnsi="Arial"/>
          <w:sz w:val="16"/>
          <w:szCs w:val="16"/>
          <w:u w:val="single" w:color="auto"/>
          <w:color w:val="auto"/>
        </w:rPr>
        <w:t>Section 2.4(d)</w:t>
      </w:r>
      <w:r>
        <w:rPr>
          <w:rFonts w:ascii="Arial" w:cs="Arial" w:eastAsia="Arial" w:hAnsi="Arial"/>
          <w:sz w:val="16"/>
          <w:szCs w:val="16"/>
          <w:color w:val="auto"/>
        </w:rPr>
        <w:t>) or, if not so specified or in the event an Application Event has occurred and is continuing, in a manner reasonably determined by Agent.</w:t>
      </w:r>
    </w:p>
    <w:p>
      <w:pPr>
        <w:spacing w:after="0" w:line="142" w:lineRule="exact"/>
        <w:rPr>
          <w:rFonts w:ascii="Arial" w:cs="Arial" w:eastAsia="Arial" w:hAnsi="Arial"/>
          <w:sz w:val="16"/>
          <w:szCs w:val="16"/>
          <w:color w:val="auto"/>
        </w:rPr>
      </w:pPr>
    </w:p>
    <w:p>
      <w:pPr>
        <w:ind w:left="2500" w:hanging="871"/>
        <w:spacing w:after="0"/>
        <w:tabs>
          <w:tab w:leader="none" w:pos="250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Reduction of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87" w:lineRule="auto"/>
        <w:tabs>
          <w:tab w:leader="none" w:pos="3006" w:val="left"/>
        </w:tabs>
        <w:numPr>
          <w:ilvl w:val="1"/>
          <w:numId w:val="355"/>
        </w:numPr>
        <w:rPr>
          <w:rFonts w:ascii="Arial" w:cs="Arial" w:eastAsia="Arial" w:hAnsi="Arial"/>
          <w:sz w:val="16"/>
          <w:szCs w:val="16"/>
          <w:color w:val="auto"/>
        </w:rPr>
      </w:pPr>
      <w:r>
        <w:rPr>
          <w:rFonts w:ascii="Arial" w:cs="Arial" w:eastAsia="Arial" w:hAnsi="Arial"/>
          <w:sz w:val="16"/>
          <w:szCs w:val="16"/>
          <w:b w:val="1"/>
          <w:bCs w:val="1"/>
          <w:color w:val="auto"/>
        </w:rPr>
        <w:t>Revolver Commitments</w:t>
      </w:r>
      <w:r>
        <w:rPr>
          <w:rFonts w:ascii="Arial" w:cs="Arial" w:eastAsia="Arial" w:hAnsi="Arial"/>
          <w:sz w:val="16"/>
          <w:szCs w:val="16"/>
          <w:color w:val="auto"/>
        </w:rPr>
        <w:t>. The Revolver Commitments shall terminate on the Maturity Date or earlier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pursuant to the terms of this Agreement. Borrowers may reduce the Revolver Commitments, without premium or penalty, to an amount (which may be zero) not less than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Revolver Usage as of such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principal amount of all Revolving Loans not yet made as to which a request has been given by Borrowers under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amount of all Revolving Letters of Credit not yet issued as to which a request has been given by Borrowers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Each such reduction shall be in an amount which is not less than $10,000,000 (unless the Revolver Commitments are being reduced to zero and the amount of the Revolver Commitments in effect immediately prior to such reduction are less than $10,000,000), shall be made by providing not less than three Business Days prior written notice to Agent, and shall be irrevocable. The Revolver Commitments, once reduced, may not be increased. Each such reduction of the Revolver Commitments shall reduce the Revolver Commitments of each Lender proportionately in accordance with its ratable share thereof. In connection with any reduction in the Revolver Commitments prior to the Maturity Date, if any Loan Party or any of its Subsidiaries owns any Margin Stock, Borrowers shall deliver to Agent an updated Form U-1 (with sufficient additional originals thereof for each Lender), duly executed and delivered by Borrowers, together with such other documentation as Agent shall reasonably request, in order to enable Agent and the Lenders to comply with any of the requirements under Regulations T, U or X of the Federal Reserve Board.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4" w:name="page315"/>
    <w:bookmarkEnd w:id="314"/>
    <w:p>
      <w:pPr>
        <w:jc w:val="both"/>
        <w:ind w:firstLine="1953"/>
        <w:spacing w:after="0" w:line="287" w:lineRule="auto"/>
        <w:tabs>
          <w:tab w:leader="none" w:pos="2970" w:val="left"/>
        </w:tabs>
        <w:numPr>
          <w:ilvl w:val="1"/>
          <w:numId w:val="356"/>
        </w:numPr>
        <w:rPr>
          <w:rFonts w:ascii="Arial" w:cs="Arial" w:eastAsia="Arial" w:hAnsi="Arial"/>
          <w:sz w:val="16"/>
          <w:szCs w:val="16"/>
          <w:color w:val="auto"/>
        </w:rPr>
      </w:pPr>
      <w:r>
        <w:rPr>
          <w:rFonts w:ascii="Arial" w:cs="Arial" w:eastAsia="Arial" w:hAnsi="Arial"/>
          <w:sz w:val="16"/>
          <w:szCs w:val="16"/>
          <w:b w:val="1"/>
          <w:bCs w:val="1"/>
          <w:color w:val="auto"/>
        </w:rPr>
        <w:t>FILO Commitments</w:t>
      </w:r>
      <w:r>
        <w:rPr>
          <w:rFonts w:ascii="Arial" w:cs="Arial" w:eastAsia="Arial" w:hAnsi="Arial"/>
          <w:sz w:val="16"/>
          <w:szCs w:val="16"/>
          <w:color w:val="auto"/>
        </w:rPr>
        <w:t>. The FILO Commitments shall terminate on the Maturity Date or earlier termination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the terms of this Agreement. Following the reduction of the Revolver Commitments to zero, Borrowers may reduce the FILO Commitments, without premium or penalty, to an amount (which may be zero) not less than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(A) the FILO Usage as of such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principal amount of all FILO Loans not yet made as to which a request has been given by Borrowers under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amount of all FILO Letters of Credit not yet issued as to which a request has been given by Borrowers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Each such reduction shall be in an amount which is not less than $5,000,000 (unless the FILO Commitments are being reduced to zero and the amount of the FILO Commitments in effect immediately prior to such reduction are less than $5,000,000), shall be made by providing not less than three Business Days prior written notice to Agent, and shall be irrevocable. The FILO Commitments, once reduced, may not be increased. Each such reduction of the FILO Commitments shall reduce the FILO Commitments of each Lender proportionately in accordance with its ratable share thereof. In connection with any reduction in the FILO Commitments prior to the Maturity Date, if any Loan Party or any of its Subsidiaries owns any Margin Stock, Borrowers shall deliver to Agent an updated Form U-1 (with sufficient additional originals thereof for each Lender), duly executed and delivered by Borrowers, together with such other documentation as Agent shall reasonably request, in order to enable Agent and the Lenders to comply with any of the requirements under Regulations T, U or X of the Federal Reserve Board.</w:t>
      </w:r>
    </w:p>
    <w:p>
      <w:pPr>
        <w:spacing w:after="0" w:line="168" w:lineRule="exact"/>
        <w:rPr>
          <w:rFonts w:ascii="Arial" w:cs="Arial" w:eastAsia="Arial" w:hAnsi="Arial"/>
          <w:sz w:val="16"/>
          <w:szCs w:val="16"/>
          <w:color w:val="auto"/>
        </w:rPr>
      </w:pPr>
    </w:p>
    <w:p>
      <w:pPr>
        <w:ind w:left="2520" w:hanging="891"/>
        <w:spacing w:after="0"/>
        <w:tabs>
          <w:tab w:leader="none" w:pos="2520"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Optional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82" w:lineRule="auto"/>
        <w:tabs>
          <w:tab w:leader="none" w:pos="2875" w:val="left"/>
        </w:tabs>
        <w:numPr>
          <w:ilvl w:val="1"/>
          <w:numId w:val="357"/>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The applicable Borrower Group may prepay the principal of any applicable Revolving Loan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whole or in part, without premium or penalty.</w:t>
      </w:r>
    </w:p>
    <w:p>
      <w:pPr>
        <w:spacing w:after="0" w:line="162" w:lineRule="exact"/>
        <w:rPr>
          <w:sz w:val="20"/>
          <w:szCs w:val="20"/>
          <w:color w:val="auto"/>
        </w:rPr>
      </w:pPr>
    </w:p>
    <w:p>
      <w:pPr>
        <w:ind w:right="20" w:firstLine="1953"/>
        <w:spacing w:after="0" w:line="282" w:lineRule="auto"/>
        <w:tabs>
          <w:tab w:leader="none" w:pos="2795" w:val="left"/>
        </w:tabs>
        <w:numPr>
          <w:ilvl w:val="1"/>
          <w:numId w:val="358"/>
        </w:numPr>
        <w:rPr>
          <w:rFonts w:ascii="Arial" w:cs="Arial" w:eastAsia="Arial" w:hAnsi="Arial"/>
          <w:sz w:val="18"/>
          <w:szCs w:val="18"/>
          <w:color w:val="auto"/>
        </w:rPr>
      </w:pPr>
      <w:r>
        <w:rPr>
          <w:rFonts w:ascii="Arial" w:cs="Arial" w:eastAsia="Arial" w:hAnsi="Arial"/>
          <w:sz w:val="18"/>
          <w:szCs w:val="18"/>
          <w:b w:val="1"/>
          <w:bCs w:val="1"/>
          <w:color w:val="auto"/>
        </w:rPr>
        <w:t>FILO Loans</w:t>
      </w:r>
      <w:r>
        <w:rPr>
          <w:rFonts w:ascii="Arial" w:cs="Arial" w:eastAsia="Arial" w:hAnsi="Arial"/>
          <w:sz w:val="18"/>
          <w:szCs w:val="18"/>
          <w:color w:val="auto"/>
        </w:rPr>
        <w:t>. At any time the Revolving Loan balance is equal to zero, the applicable Borrower Group may prepay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of any applicable FILO Loan at any time in whole or in part, without premium or penalty.</w:t>
      </w:r>
    </w:p>
    <w:p>
      <w:pPr>
        <w:spacing w:after="0" w:line="161" w:lineRule="exact"/>
        <w:rPr>
          <w:rFonts w:ascii="Arial" w:cs="Arial" w:eastAsia="Arial" w:hAnsi="Arial"/>
          <w:sz w:val="18"/>
          <w:szCs w:val="18"/>
          <w:color w:val="auto"/>
        </w:rPr>
      </w:pPr>
    </w:p>
    <w:p>
      <w:pPr>
        <w:ind w:left="2500" w:hanging="871"/>
        <w:spacing w:after="0"/>
        <w:tabs>
          <w:tab w:leader="none" w:pos="250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Mandatory Prepayments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302" w:lineRule="auto"/>
        <w:tabs>
          <w:tab w:leader="none" w:pos="3096"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If, at any time, (1) the Revolver Usage on such date exceeds (2)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(x) the Aggregate Borrowing Base reflected in the Borrowing Base Certificate most recently delivered by Borrowers to Agent, and (y) the Maximum Revolver Amount,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the Joint Borrower Group shall promptly, but in any event, within two Business Days prepay the Obligations in respect of Revolver Usage in accordance with </w:t>
      </w:r>
      <w:r>
        <w:rPr>
          <w:rFonts w:ascii="Arial" w:cs="Arial" w:eastAsia="Arial" w:hAnsi="Arial"/>
          <w:sz w:val="16"/>
          <w:szCs w:val="16"/>
          <w:u w:val="single" w:color="auto"/>
          <w:color w:val="auto"/>
        </w:rPr>
        <w:t>Section 2.4(f)(i)</w:t>
      </w:r>
      <w:r>
        <w:rPr>
          <w:rFonts w:ascii="Arial" w:cs="Arial" w:eastAsia="Arial" w:hAnsi="Arial"/>
          <w:sz w:val="16"/>
          <w:szCs w:val="16"/>
          <w:color w:val="auto"/>
        </w:rPr>
        <w:t xml:space="preserve"> in an amount sufficient to eliminate such excess.</w:t>
      </w:r>
    </w:p>
    <w:p>
      <w:pPr>
        <w:spacing w:after="0" w:line="154" w:lineRule="exact"/>
        <w:rPr>
          <w:sz w:val="20"/>
          <w:szCs w:val="20"/>
          <w:color w:val="auto"/>
        </w:rPr>
      </w:pPr>
    </w:p>
    <w:p>
      <w:pPr>
        <w:jc w:val="both"/>
        <w:ind w:firstLine="1953"/>
        <w:spacing w:after="0" w:line="257" w:lineRule="auto"/>
        <w:tabs>
          <w:tab w:leader="none" w:pos="280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If, at any time, (1) the FILO Usage on such date exceeds (2)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(x) the FILO Borrowing Base reflected in the Borrowing Base Certificate most recently delivered by Borrowers to Agent, and (y) the Maximum FILO Amount, in all cases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such excess cannot then be reallocated as Revolver Usage, then the Joint Borrower Group shall promptly, but in any event, within two Business Days prepay the Obligations in respect of FILO Usage in accordance with </w:t>
      </w:r>
      <w:r>
        <w:rPr>
          <w:rFonts w:ascii="Arial" w:cs="Arial" w:eastAsia="Arial" w:hAnsi="Arial"/>
          <w:sz w:val="18"/>
          <w:szCs w:val="18"/>
          <w:u w:val="single" w:color="auto"/>
          <w:color w:val="auto"/>
        </w:rPr>
        <w:t>Section 2.4(f)(ii)</w:t>
      </w:r>
      <w:r>
        <w:rPr>
          <w:rFonts w:ascii="Arial" w:cs="Arial" w:eastAsia="Arial" w:hAnsi="Arial"/>
          <w:sz w:val="18"/>
          <w:szCs w:val="18"/>
          <w:color w:val="auto"/>
        </w:rPr>
        <w:t xml:space="preserve"> in an amount sufficient to eliminate such excess.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5" w:name="page316"/>
    <w:bookmarkEnd w:id="315"/>
    <w:p>
      <w:pPr>
        <w:jc w:val="both"/>
        <w:ind w:firstLine="1953"/>
        <w:spacing w:after="0" w:line="302" w:lineRule="auto"/>
        <w:tabs>
          <w:tab w:leader="none" w:pos="283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If, at any time, (1) the Joint Usage on such date exceeds (2)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(x) the Joint Borrowing Base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FILO Borrowing Base reflected in the Borrowing Base Certificate most recently delivered by Borrowers to Agent, and (y) the Maximum Facility Amount,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the Joint Borrower Group shall promptly, but in any event, within two Business Days prepay the Obligations in respect of Joint Usage in accordance with </w:t>
      </w:r>
      <w:r>
        <w:rPr>
          <w:rFonts w:ascii="Arial" w:cs="Arial" w:eastAsia="Arial" w:hAnsi="Arial"/>
          <w:sz w:val="16"/>
          <w:szCs w:val="16"/>
          <w:u w:val="single" w:color="auto"/>
          <w:color w:val="auto"/>
        </w:rPr>
        <w:t>Section 2.4(f)(iii)</w:t>
      </w:r>
      <w:r>
        <w:rPr>
          <w:rFonts w:ascii="Arial" w:cs="Arial" w:eastAsia="Arial" w:hAnsi="Arial"/>
          <w:sz w:val="16"/>
          <w:szCs w:val="16"/>
          <w:color w:val="auto"/>
        </w:rPr>
        <w:t xml:space="preserve"> in an amount sufficient to eliminate such excess.</w:t>
      </w:r>
    </w:p>
    <w:p>
      <w:pPr>
        <w:spacing w:after="0" w:line="154" w:lineRule="exact"/>
        <w:rPr>
          <w:rFonts w:ascii="Arial" w:cs="Arial" w:eastAsia="Arial" w:hAnsi="Arial"/>
          <w:sz w:val="16"/>
          <w:szCs w:val="16"/>
          <w:color w:val="auto"/>
        </w:rPr>
      </w:pPr>
    </w:p>
    <w:p>
      <w:pPr>
        <w:jc w:val="both"/>
        <w:ind w:firstLine="1953"/>
        <w:spacing w:after="0" w:line="302" w:lineRule="auto"/>
        <w:tabs>
          <w:tab w:leader="none" w:pos="300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If, at any time, (1) the Joint Revolver Usage on such date exceeds (2)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(x) the Joint Borrowing Base reflected in the Borrowing Base Certificate most recently delivered by Borrowers to Agent, and (y) the Maximum Revolver Amount,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the Joint Borrower Group shall promptly, but in any event, within two Business Days prepay the Obligations in respect of Joint Revolver Usage in accordance with </w:t>
      </w:r>
      <w:r>
        <w:rPr>
          <w:rFonts w:ascii="Arial" w:cs="Arial" w:eastAsia="Arial" w:hAnsi="Arial"/>
          <w:sz w:val="16"/>
          <w:szCs w:val="16"/>
          <w:u w:val="single" w:color="auto"/>
          <w:color w:val="auto"/>
        </w:rPr>
        <w:t>Section 2.4(f)(iv)</w:t>
      </w:r>
      <w:r>
        <w:rPr>
          <w:rFonts w:ascii="Arial" w:cs="Arial" w:eastAsia="Arial" w:hAnsi="Arial"/>
          <w:sz w:val="16"/>
          <w:szCs w:val="16"/>
          <w:color w:val="auto"/>
        </w:rPr>
        <w:t xml:space="preserve"> in an amount sufficient to eliminate such excess.</w:t>
      </w:r>
    </w:p>
    <w:p>
      <w:pPr>
        <w:spacing w:after="0" w:line="154" w:lineRule="exact"/>
        <w:rPr>
          <w:rFonts w:ascii="Arial" w:cs="Arial" w:eastAsia="Arial" w:hAnsi="Arial"/>
          <w:sz w:val="16"/>
          <w:szCs w:val="16"/>
          <w:color w:val="auto"/>
        </w:rPr>
      </w:pPr>
    </w:p>
    <w:p>
      <w:pPr>
        <w:jc w:val="both"/>
        <w:ind w:firstLine="1953"/>
        <w:spacing w:after="0" w:line="257" w:lineRule="auto"/>
        <w:tabs>
          <w:tab w:leader="none" w:pos="296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If, at any time, (1) the Joint FILO Usage on such date exceeds (2)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(x) the Joint FILO Borrowing Base reflected in the Borrowing Base Certificate most recently delivered by Borrowers to Agent, and (y) the Maximum FILO Amount, in all cases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such excess cannot then be reallocated as Joint Revolver Usage, then the Joint Borrower Group shall promptly, but in any event, within two Business Days prepay the Obligations in respect of Joint FILO Usage in accordance with </w:t>
      </w:r>
      <w:r>
        <w:rPr>
          <w:rFonts w:ascii="Arial" w:cs="Arial" w:eastAsia="Arial" w:hAnsi="Arial"/>
          <w:sz w:val="18"/>
          <w:szCs w:val="18"/>
          <w:u w:val="single" w:color="auto"/>
          <w:color w:val="auto"/>
        </w:rPr>
        <w:t>Section 2.4(f)(iii)</w:t>
      </w:r>
      <w:r>
        <w:rPr>
          <w:rFonts w:ascii="Arial" w:cs="Arial" w:eastAsia="Arial" w:hAnsi="Arial"/>
          <w:sz w:val="18"/>
          <w:szCs w:val="18"/>
          <w:color w:val="auto"/>
        </w:rPr>
        <w:t xml:space="preserve"> in an amount sufficient to eliminate such excess.</w:t>
      </w:r>
    </w:p>
    <w:p>
      <w:pPr>
        <w:spacing w:after="0" w:line="188" w:lineRule="exact"/>
        <w:rPr>
          <w:rFonts w:ascii="Arial" w:cs="Arial" w:eastAsia="Arial" w:hAnsi="Arial"/>
          <w:sz w:val="18"/>
          <w:szCs w:val="18"/>
          <w:color w:val="auto"/>
        </w:rPr>
      </w:pPr>
    </w:p>
    <w:p>
      <w:pPr>
        <w:jc w:val="both"/>
        <w:ind w:firstLine="1953"/>
        <w:spacing w:after="0" w:line="302" w:lineRule="auto"/>
        <w:tabs>
          <w:tab w:leader="none" w:pos="283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If, at any time, (1) the German Revolver Usage on such date exceeds (2)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(x) the German Borrowing Base reflected in the Borrowing Base Certificate most recently delivered by Borrowers to Agent, and (y) the German Sublimit, in all cases as adjusted for Reserves established by Agent in accordance with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then the German Borrower shall promptly, but in any event, within two Business Days prepay the Obligations in respect of German Revolver Usage in accordance with </w:t>
      </w:r>
      <w:r>
        <w:rPr>
          <w:rFonts w:ascii="Arial" w:cs="Arial" w:eastAsia="Arial" w:hAnsi="Arial"/>
          <w:sz w:val="16"/>
          <w:szCs w:val="16"/>
          <w:u w:val="single" w:color="auto"/>
          <w:color w:val="auto"/>
        </w:rPr>
        <w:t>Section 2.4(f)(v)</w:t>
      </w:r>
      <w:r>
        <w:rPr>
          <w:rFonts w:ascii="Arial" w:cs="Arial" w:eastAsia="Arial" w:hAnsi="Arial"/>
          <w:sz w:val="16"/>
          <w:szCs w:val="16"/>
          <w:color w:val="auto"/>
        </w:rPr>
        <w:t xml:space="preserve"> in an amount sufficient to eliminate such excess.</w:t>
      </w:r>
    </w:p>
    <w:p>
      <w:pPr>
        <w:spacing w:after="0" w:line="154" w:lineRule="exact"/>
        <w:rPr>
          <w:rFonts w:ascii="Arial" w:cs="Arial" w:eastAsia="Arial" w:hAnsi="Arial"/>
          <w:sz w:val="16"/>
          <w:szCs w:val="16"/>
          <w:color w:val="auto"/>
        </w:rPr>
      </w:pPr>
    </w:p>
    <w:p>
      <w:pPr>
        <w:jc w:val="both"/>
        <w:ind w:firstLine="1953"/>
        <w:spacing w:after="0" w:line="257" w:lineRule="auto"/>
        <w:tabs>
          <w:tab w:leader="none" w:pos="270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If, at any time, (1) the German FILO Usage on such date exceeds (2)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(x) the German FILO Borrowing Base reflected in the Borrowing Base Certificate most recently delivered by Borrowers to Agent, and (y) the German Sublimit, in all cases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such excess cannot then be reallocated as German Revolver Usage, then the German Borrower shall promptly, but in any event, within two Business Days prepay the Obligations in respect of German FILO Usage in accordance with </w:t>
      </w:r>
      <w:r>
        <w:rPr>
          <w:rFonts w:ascii="Arial" w:cs="Arial" w:eastAsia="Arial" w:hAnsi="Arial"/>
          <w:sz w:val="18"/>
          <w:szCs w:val="18"/>
          <w:u w:val="single" w:color="auto"/>
          <w:color w:val="auto"/>
        </w:rPr>
        <w:t>Section 2.4(f)(vi)</w:t>
      </w:r>
      <w:r>
        <w:rPr>
          <w:rFonts w:ascii="Arial" w:cs="Arial" w:eastAsia="Arial" w:hAnsi="Arial"/>
          <w:sz w:val="18"/>
          <w:szCs w:val="18"/>
          <w:color w:val="auto"/>
        </w:rPr>
        <w:t xml:space="preserve"> in an amount sufficient to eliminate such excess.</w:t>
      </w:r>
    </w:p>
    <w:p>
      <w:pPr>
        <w:spacing w:after="0" w:line="188" w:lineRule="exact"/>
        <w:rPr>
          <w:rFonts w:ascii="Arial" w:cs="Arial" w:eastAsia="Arial" w:hAnsi="Arial"/>
          <w:sz w:val="18"/>
          <w:szCs w:val="18"/>
          <w:color w:val="auto"/>
        </w:rPr>
      </w:pPr>
    </w:p>
    <w:p>
      <w:pPr>
        <w:jc w:val="both"/>
        <w:ind w:firstLine="1953"/>
        <w:spacing w:after="0" w:line="279" w:lineRule="auto"/>
        <w:tabs>
          <w:tab w:leader="none" w:pos="2813"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If, at any time, (1) the Swiss Revolver Usage on such date exceeds (2) </w:t>
      </w:r>
      <w:r>
        <w:rPr>
          <w:rFonts w:ascii="Arial" w:cs="Arial" w:eastAsia="Arial" w:hAnsi="Arial"/>
          <w:sz w:val="17"/>
          <w:szCs w:val="17"/>
          <w:i w:val="1"/>
          <w:iCs w:val="1"/>
          <w:color w:val="auto"/>
        </w:rPr>
        <w:t>the lesser of</w:t>
      </w:r>
      <w:r>
        <w:rPr>
          <w:rFonts w:ascii="Arial" w:cs="Arial" w:eastAsia="Arial" w:hAnsi="Arial"/>
          <w:sz w:val="17"/>
          <w:szCs w:val="17"/>
          <w:color w:val="auto"/>
        </w:rPr>
        <w:t xml:space="preserve"> (x) the Swiss Borrowing Base reflected in the Borrowing Base Certificate most recently delivered by Borrowers to Agent, and (y) the Swiss Sublimit, in all cases as adjusted for Reserves established by Agent in accordance with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then the Swiss Borrower shall promptly, but in any event, within two Business Days prepay the Obligations in respect of Swiss Revolver Usage in accordance with </w:t>
      </w:r>
      <w:r>
        <w:rPr>
          <w:rFonts w:ascii="Arial" w:cs="Arial" w:eastAsia="Arial" w:hAnsi="Arial"/>
          <w:sz w:val="17"/>
          <w:szCs w:val="17"/>
          <w:u w:val="single" w:color="auto"/>
          <w:color w:val="auto"/>
        </w:rPr>
        <w:t>Section 2.4(f)(vii)</w:t>
      </w:r>
      <w:r>
        <w:rPr>
          <w:rFonts w:ascii="Arial" w:cs="Arial" w:eastAsia="Arial" w:hAnsi="Arial"/>
          <w:sz w:val="17"/>
          <w:szCs w:val="17"/>
          <w:color w:val="auto"/>
        </w:rPr>
        <w:t xml:space="preserve"> in an amount sufficient to eliminate such excess.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6" w:name="page317"/>
    <w:bookmarkEnd w:id="316"/>
    <w:p>
      <w:pPr>
        <w:jc w:val="both"/>
        <w:ind w:firstLine="1953"/>
        <w:spacing w:after="0" w:line="257" w:lineRule="auto"/>
        <w:tabs>
          <w:tab w:leader="none" w:pos="288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If, at any time, (1) the Swiss FILO Usage on such date exceeds (2)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(x) the Swiss FILO Borrowing Base reflected in the Borrowing Base Certificate most recently delivered by Borrowers to Agent, and (y) the Swiss Sublimit, in all cases as adjusted for Reserves established by Agent in accordance with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such excess cannot then be reallocated as Swiss Revolver Usage, then the Swiss Borrower shall promptly, but in any event, within two Business Days prepay the Obligations in respect of Swiss FILO Usage in accordance with </w:t>
      </w:r>
      <w:r>
        <w:rPr>
          <w:rFonts w:ascii="Arial" w:cs="Arial" w:eastAsia="Arial" w:hAnsi="Arial"/>
          <w:sz w:val="18"/>
          <w:szCs w:val="18"/>
          <w:u w:val="single" w:color="auto"/>
          <w:color w:val="auto"/>
        </w:rPr>
        <w:t>Section 2.4(f)(viii)</w:t>
      </w:r>
      <w:r>
        <w:rPr>
          <w:rFonts w:ascii="Arial" w:cs="Arial" w:eastAsia="Arial" w:hAnsi="Arial"/>
          <w:sz w:val="18"/>
          <w:szCs w:val="18"/>
          <w:color w:val="auto"/>
        </w:rPr>
        <w:t xml:space="preserve"> in an amount sufficient to eliminate such excess.</w:t>
      </w:r>
    </w:p>
    <w:p>
      <w:pPr>
        <w:spacing w:after="0" w:line="184" w:lineRule="exact"/>
        <w:rPr>
          <w:rFonts w:ascii="Arial" w:cs="Arial" w:eastAsia="Arial" w:hAnsi="Arial"/>
          <w:sz w:val="18"/>
          <w:szCs w:val="18"/>
          <w:color w:val="auto"/>
        </w:rPr>
      </w:pPr>
    </w:p>
    <w:p>
      <w:pPr>
        <w:ind w:left="2520" w:hanging="891"/>
        <w:spacing w:after="0"/>
        <w:tabs>
          <w:tab w:leader="none" w:pos="252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Application of Payments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57" w:lineRule="auto"/>
        <w:tabs>
          <w:tab w:leader="none" w:pos="294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Each prepayment pursuant to </w:t>
      </w:r>
      <w:r>
        <w:rPr>
          <w:rFonts w:ascii="Arial" w:cs="Arial" w:eastAsia="Arial" w:hAnsi="Arial"/>
          <w:sz w:val="18"/>
          <w:szCs w:val="18"/>
          <w:u w:val="single" w:color="auto"/>
          <w:color w:val="auto"/>
        </w:rPr>
        <w:t>Section 2.4(e)(i)</w:t>
      </w:r>
      <w:r>
        <w:rPr>
          <w:rFonts w:ascii="Arial" w:cs="Arial" w:eastAsia="Arial" w:hAnsi="Arial"/>
          <w:sz w:val="18"/>
          <w:szCs w:val="18"/>
          <w:color w:val="auto"/>
        </w:rPr>
        <w:t xml:space="preserve"> shall, (A) so long as no Application Event shall have occurred and be continuing,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outstanding principal amount of the Revolving Loans until paid in full,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cash collateralize the Letters of Credit issued pursuant to a Revolver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953"/>
        <w:spacing w:after="0" w:line="272" w:lineRule="auto"/>
        <w:tabs>
          <w:tab w:leader="none" w:pos="2876"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Each prepayment pursuant to </w:t>
      </w:r>
      <w:r>
        <w:rPr>
          <w:rFonts w:ascii="Arial" w:cs="Arial" w:eastAsia="Arial" w:hAnsi="Arial"/>
          <w:sz w:val="17"/>
          <w:szCs w:val="17"/>
          <w:u w:val="single" w:color="auto"/>
          <w:color w:val="auto"/>
        </w:rPr>
        <w:t>Section 2.4(e)(ii)</w:t>
      </w:r>
      <w:r>
        <w:rPr>
          <w:rFonts w:ascii="Arial" w:cs="Arial" w:eastAsia="Arial" w:hAnsi="Arial"/>
          <w:sz w:val="17"/>
          <w:szCs w:val="17"/>
          <w:color w:val="auto"/>
        </w:rPr>
        <w:t xml:space="preserve"> shall, (A) so long as no Application Event shall have occurred and be continuing,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outstanding principal amount of the Revolving Loans until paid in full,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cash collateralize the Letters of Credit issued pursuant to a Revolver Commitment in an amount equal to 103% (or, with respect to Letters of Credit denominated in an Alternative Currency, 105%) of the then outstanding applicable Letter of Credit,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outstanding principal amount of FILO Loans until paid in full, and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cash collateralize the Letters of Credit issued pursuant to a FILO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7"/>
          <w:szCs w:val="17"/>
          <w:u w:val="single" w:color="auto"/>
          <w:color w:val="auto"/>
        </w:rPr>
        <w:t>Section 2.4(b)(iii)</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953"/>
        <w:spacing w:after="0" w:line="272" w:lineRule="auto"/>
        <w:tabs>
          <w:tab w:leader="none" w:pos="2863"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Each prepayment pursuant to </w:t>
      </w:r>
      <w:r>
        <w:rPr>
          <w:rFonts w:ascii="Arial" w:cs="Arial" w:eastAsia="Arial" w:hAnsi="Arial"/>
          <w:sz w:val="17"/>
          <w:szCs w:val="17"/>
          <w:u w:val="single" w:color="auto"/>
          <w:color w:val="auto"/>
        </w:rPr>
        <w:t>Section 2.4(e)(iii)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2.4(e)(v)</w:t>
      </w:r>
      <w:r>
        <w:rPr>
          <w:rFonts w:ascii="Arial" w:cs="Arial" w:eastAsia="Arial" w:hAnsi="Arial"/>
          <w:sz w:val="17"/>
          <w:szCs w:val="17"/>
          <w:color w:val="auto"/>
        </w:rPr>
        <w:t xml:space="preserve"> and shall, (A) so long as no Application Event shall have occurred and be continuing,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outstanding principal amount of the Joint Revolving Loans until paid in full,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cash collateralize the Letters of Credit issued pursuant to a Joint Revolver Commitment in an amount equal to 103% (or, with respect to Letters of Credit denominated in an Alternative Currency, 105%) of the then outstanding applicable Letter of Credit,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outstanding principal amount of Joint FILO Loans until paid in full, and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cash collateralize the Letters of Credit issued pursuant to a Joint FILO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7"/>
          <w:szCs w:val="17"/>
          <w:u w:val="single" w:color="auto"/>
          <w:color w:val="auto"/>
        </w:rPr>
        <w:t>Section 2.4(b)(iii)</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7" w:name="page318"/>
    <w:bookmarkEnd w:id="317"/>
    <w:p>
      <w:pPr>
        <w:jc w:val="both"/>
        <w:ind w:firstLine="1953"/>
        <w:spacing w:after="0" w:line="257" w:lineRule="auto"/>
        <w:tabs>
          <w:tab w:leader="none" w:pos="285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Each prepayment pursuant to </w:t>
      </w:r>
      <w:r>
        <w:rPr>
          <w:rFonts w:ascii="Arial" w:cs="Arial" w:eastAsia="Arial" w:hAnsi="Arial"/>
          <w:sz w:val="18"/>
          <w:szCs w:val="18"/>
          <w:u w:val="single" w:color="auto"/>
          <w:color w:val="auto"/>
        </w:rPr>
        <w:t>Section 2.4(e)(iv)</w:t>
      </w:r>
      <w:r>
        <w:rPr>
          <w:rFonts w:ascii="Arial" w:cs="Arial" w:eastAsia="Arial" w:hAnsi="Arial"/>
          <w:sz w:val="18"/>
          <w:szCs w:val="18"/>
          <w:color w:val="auto"/>
        </w:rPr>
        <w:t xml:space="preserve"> shall, (A) so long as no Application Event shall have occurred and be continuing,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outstanding principal amount of the Joint Revolving Loans until paid in full,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cash collateralize the Letters of Credit issued pursuant to a Joint Revolver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953"/>
        <w:spacing w:after="0" w:line="257" w:lineRule="auto"/>
        <w:tabs>
          <w:tab w:leader="none" w:pos="288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Each prepayment pursuant to </w:t>
      </w:r>
      <w:r>
        <w:rPr>
          <w:rFonts w:ascii="Arial" w:cs="Arial" w:eastAsia="Arial" w:hAnsi="Arial"/>
          <w:sz w:val="18"/>
          <w:szCs w:val="18"/>
          <w:u w:val="single" w:color="auto"/>
          <w:color w:val="auto"/>
        </w:rPr>
        <w:t>Section 2.4(e)(vi)</w:t>
      </w:r>
      <w:r>
        <w:rPr>
          <w:rFonts w:ascii="Arial" w:cs="Arial" w:eastAsia="Arial" w:hAnsi="Arial"/>
          <w:sz w:val="18"/>
          <w:szCs w:val="18"/>
          <w:color w:val="auto"/>
        </w:rPr>
        <w:t xml:space="preserve"> shall, (A) so long as no Application Event shall have occurred and be continuing,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outstanding principal amount of the German Revolving Loans until paid in full,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cash collateralize the German Letters of Credit issued pursuant to a German Revolver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953"/>
        <w:spacing w:after="0" w:line="291" w:lineRule="auto"/>
        <w:tabs>
          <w:tab w:leader="none" w:pos="283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Each prepayment pursuant to </w:t>
      </w:r>
      <w:r>
        <w:rPr>
          <w:rFonts w:ascii="Arial" w:cs="Arial" w:eastAsia="Arial" w:hAnsi="Arial"/>
          <w:sz w:val="16"/>
          <w:szCs w:val="16"/>
          <w:u w:val="single" w:color="auto"/>
          <w:color w:val="auto"/>
        </w:rPr>
        <w:t>Section 2.4(e)(vii)</w:t>
      </w:r>
      <w:r>
        <w:rPr>
          <w:rFonts w:ascii="Arial" w:cs="Arial" w:eastAsia="Arial" w:hAnsi="Arial"/>
          <w:sz w:val="16"/>
          <w:szCs w:val="16"/>
          <w:color w:val="auto"/>
        </w:rPr>
        <w:t xml:space="preserve"> shall, (A) so long as no Application Event shall have occurred and be continuing,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outstanding principal amount of the German Revolving Loans until paid in full,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cash collateralize the German Letters of Credit issued pursuant to a German Revolver Commitment in an amount equal to 103% (or, with respect to Letters of Credit denominated in an Alternative Currency, 105%) of the then outstanding applicable Letter of Credit,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outstanding principal amount of German FILO Loans until paid in full, and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cash collateralize the German Letters of Credit issued pursuant to a German FILO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6"/>
          <w:szCs w:val="16"/>
          <w:u w:val="single" w:color="auto"/>
          <w:color w:val="auto"/>
        </w:rPr>
        <w:t>Section 2.4(b)(iii)</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firstLine="1953"/>
        <w:spacing w:after="0" w:line="257" w:lineRule="auto"/>
        <w:tabs>
          <w:tab w:leader="none" w:pos="274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Each prepayment pursuant to </w:t>
      </w:r>
      <w:r>
        <w:rPr>
          <w:rFonts w:ascii="Arial" w:cs="Arial" w:eastAsia="Arial" w:hAnsi="Arial"/>
          <w:sz w:val="18"/>
          <w:szCs w:val="18"/>
          <w:u w:val="single" w:color="auto"/>
          <w:color w:val="auto"/>
        </w:rPr>
        <w:t>Section 2.4(e)(viii)</w:t>
      </w:r>
      <w:r>
        <w:rPr>
          <w:rFonts w:ascii="Arial" w:cs="Arial" w:eastAsia="Arial" w:hAnsi="Arial"/>
          <w:sz w:val="18"/>
          <w:szCs w:val="18"/>
          <w:color w:val="auto"/>
        </w:rPr>
        <w:t xml:space="preserve"> shall, (A) so long as no Application Event shall have occurred and be continuing,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outstanding principal amount of the Swiss Revolving Loans until paid in full,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cash collateralize the Swiss Letters of Credit issued pursuant to a Swiss Revolver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953"/>
        <w:spacing w:after="0" w:line="272" w:lineRule="auto"/>
        <w:tabs>
          <w:tab w:leader="none" w:pos="2746"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Each prepayment pursuant to </w:t>
      </w:r>
      <w:r>
        <w:rPr>
          <w:rFonts w:ascii="Arial" w:cs="Arial" w:eastAsia="Arial" w:hAnsi="Arial"/>
          <w:sz w:val="17"/>
          <w:szCs w:val="17"/>
          <w:u w:val="single" w:color="auto"/>
          <w:color w:val="auto"/>
        </w:rPr>
        <w:t>Section 2.4(e)(ix)</w:t>
      </w:r>
      <w:r>
        <w:rPr>
          <w:rFonts w:ascii="Arial" w:cs="Arial" w:eastAsia="Arial" w:hAnsi="Arial"/>
          <w:sz w:val="17"/>
          <w:szCs w:val="17"/>
          <w:color w:val="auto"/>
        </w:rPr>
        <w:t xml:space="preserve"> shall, (A) so long as no Application Event shall have occurred and be continuing,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outstanding principal amount of the Swiss Revolving Loans until paid in full, and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cash collateralize the Swiss Letters of Credit issued pursuant to a Swiss Revolver Commitment in an amount equal to 103% (or, with respect to Letters of Credit denominated in an Alternative Currency, 105%) of the then outstanding applicable Letter of Credit,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outstanding principal amount of Swiss FILO Loans until paid in full, and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cash collateralize the Swiss Letters of Credit issued pursuant to a Swiss FILO Commitment in an amount equal to 103% (or, with respect to Letters of Credit denominated in an Alternative Currency, 105%) of the then outstanding applicable Letter of Credit, and (B) if an Application Event shall have occurred and be continuing, be applied in the manner set forth in the applicable provisions of </w:t>
      </w:r>
      <w:r>
        <w:rPr>
          <w:rFonts w:ascii="Arial" w:cs="Arial" w:eastAsia="Arial" w:hAnsi="Arial"/>
          <w:sz w:val="17"/>
          <w:szCs w:val="17"/>
          <w:u w:val="single" w:color="auto"/>
          <w:color w:val="auto"/>
        </w:rPr>
        <w:t>Section 2.4(b)(iii)</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8" w:name="page319"/>
    <w:bookmarkEnd w:id="318"/>
    <w:p>
      <w:pPr>
        <w:ind w:left="320"/>
        <w:spacing w:after="0"/>
        <w:tabs>
          <w:tab w:leader="none" w:pos="1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u w:val="single" w:color="auto"/>
          <w:color w:val="auto"/>
        </w:rPr>
        <w:t>Promise to Pay; Promissory Notes</w:t>
      </w:r>
      <w:r>
        <w:rPr>
          <w:rFonts w:ascii="Arial" w:cs="Arial" w:eastAsia="Arial" w:hAnsi="Arial"/>
          <w:sz w:val="15"/>
          <w:szCs w:val="15"/>
          <w:color w:val="auto"/>
        </w:rPr>
        <w:t>.</w:t>
      </w:r>
    </w:p>
    <w:p>
      <w:pPr>
        <w:spacing w:after="0" w:line="229" w:lineRule="exact"/>
        <w:rPr>
          <w:sz w:val="20"/>
          <w:szCs w:val="20"/>
          <w:color w:val="auto"/>
        </w:rPr>
      </w:pPr>
    </w:p>
    <w:p>
      <w:pPr>
        <w:jc w:val="both"/>
        <w:ind w:firstLine="1289"/>
        <w:spacing w:after="0" w:line="267" w:lineRule="auto"/>
        <w:tabs>
          <w:tab w:leader="none" w:pos="230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Each Borrower Group agrees to pay the Lender Group Expenses owing by such Borrower Group not later than ten (10) Business Days after written demand therefor and presentation of any documents required to be delivered in connection therewith (it being acknowledged and agreed that, if not so paid within such ten (10) Business Day period, or if otherwise authorized or requested by Administrative Borrower, such Lender Group Expenses shall be charged to the Loan Account pursuant to the provisions of </w:t>
      </w:r>
      <w:r>
        <w:rPr>
          <w:rFonts w:ascii="Arial" w:cs="Arial" w:eastAsia="Arial" w:hAnsi="Arial"/>
          <w:sz w:val="17"/>
          <w:szCs w:val="17"/>
          <w:u w:val="single" w:color="auto"/>
          <w:color w:val="auto"/>
        </w:rPr>
        <w:t>Section 2.6(d)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payment of any Taxes that are Lender Group Expenses shall be governed by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Subject to the last sentence of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each Borrower Group promises to pay all of the Obligations (including principal, interest, premiums, if any, fees, costs, and expenses (including Lender Group Expenses)) owing by such Borrower Group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shall survive payment or satisfaction in full of all other Obligations. Notwithstanding anything in this Agreement or any other Loan Documents to the contrary, with respect to each Loan and each Letter of Credit, (a) the Borrower that requests such Loan or Letter of Credit (or otherwise is the applicant therefor) shall be the "Requesting Borrower" and all Borrowers other than the Requesting Borrower shall be the "Other Borrowers", (b) the Requesting Borrower shall be severally (and not jointly) liable under this Agreement for the reimbursement, cash collateral and other obligations (including fees and interest) associated with such Loan or Letter of Credit, and (c) no Other Borrower shall be a co-debtor or co-borrower with the Requesting Borrower with respect to such Loan or Letter of Credit or be in any way primarily liable under this Agreement for such Loan or Letter of Credit or the reimbursement, cash collateral or other obligations (including fees and interest) associated with such Loan or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forgoing limitations shall not affect (i) any obligations of any such Other Borrower with respect to any other Loans or Letters of Credit (and the related reimbursement and other obligations with respect thereto) for which it is a "Requesting Borrower" or (ii) any obligations of any such Other Borrower under any applicable Guaranty Agreement.</w:t>
      </w:r>
    </w:p>
    <w:p>
      <w:pPr>
        <w:spacing w:after="0" w:line="191" w:lineRule="exact"/>
        <w:rPr>
          <w:rFonts w:ascii="Arial" w:cs="Arial" w:eastAsia="Arial" w:hAnsi="Arial"/>
          <w:sz w:val="17"/>
          <w:szCs w:val="17"/>
          <w:color w:val="auto"/>
        </w:rPr>
      </w:pPr>
    </w:p>
    <w:p>
      <w:pPr>
        <w:jc w:val="both"/>
        <w:ind w:firstLine="1289"/>
        <w:spacing w:after="0" w:line="257" w:lineRule="auto"/>
        <w:tabs>
          <w:tab w:leader="none" w:pos="242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Lender may request that any portion of its Commitments or the Loans made by it be evidenced by one or more promissory notes. In such event, the applicable Borrowers shall execute and deliver to such Lender the requested promissory notes payable to the order of such Lender in a form furnished by Agent and reasonably satisfactory to such Borrowers. Thereafter, the portion of the Commitments and Loans evidenced by such promissory notes and interest thereon shall at all times be represented by one or more promissory notes in such form payable to the order of the payee named therein.</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319" w:name="page320"/>
    <w:bookmarkEnd w:id="319"/>
    <w:p>
      <w:pPr>
        <w:ind w:left="660"/>
        <w:spacing w:after="0"/>
        <w:tabs>
          <w:tab w:leader="none" w:pos="17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Interest Rates and Letter of Credit Fee: Rates, Payments, and Calculations</w:t>
      </w:r>
      <w:r>
        <w:rPr>
          <w:rFonts w:ascii="Arial" w:cs="Arial" w:eastAsia="Arial" w:hAnsi="Arial"/>
          <w:sz w:val="16"/>
          <w:szCs w:val="16"/>
          <w:color w:val="auto"/>
        </w:rPr>
        <w:t>.</w:t>
      </w:r>
    </w:p>
    <w:p>
      <w:pPr>
        <w:spacing w:after="0" w:line="225" w:lineRule="exact"/>
        <w:rPr>
          <w:sz w:val="20"/>
          <w:szCs w:val="20"/>
          <w:color w:val="auto"/>
        </w:rPr>
      </w:pPr>
    </w:p>
    <w:p>
      <w:pPr>
        <w:ind w:left="340" w:firstLine="1289"/>
        <w:spacing w:after="0" w:line="282" w:lineRule="auto"/>
        <w:tabs>
          <w:tab w:leader="none" w:pos="263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Interest Rates</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2.6(c)</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2.12(d)</w:t>
      </w:r>
      <w:r>
        <w:rPr>
          <w:rFonts w:ascii="Arial" w:cs="Arial" w:eastAsia="Arial" w:hAnsi="Arial"/>
          <w:sz w:val="18"/>
          <w:szCs w:val="18"/>
          <w:color w:val="auto"/>
        </w:rPr>
        <w:t>, all Obligations (except for undrawn Letters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that have been charged to the Loan Account pursuant to the terms hereof shall bear interest as follows:</w:t>
      </w:r>
    </w:p>
    <w:p>
      <w:pPr>
        <w:spacing w:after="0" w:line="165" w:lineRule="exact"/>
        <w:rPr>
          <w:rFonts w:ascii="Arial" w:cs="Arial" w:eastAsia="Arial" w:hAnsi="Arial"/>
          <w:sz w:val="18"/>
          <w:szCs w:val="18"/>
          <w:color w:val="auto"/>
        </w:rPr>
      </w:pPr>
    </w:p>
    <w:p>
      <w:pPr>
        <w:ind w:firstLine="1953"/>
        <w:spacing w:after="0" w:line="277" w:lineRule="auto"/>
        <w:tabs>
          <w:tab w:leader="none" w:pos="288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if the relevant Obligation is a LIBOR Rate Loan predicated on the FILO Subline Amount, at a per annum rate equal to the LIBOR Rate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FILO Loan LIBOR Rate Margin,</w:t>
      </w:r>
    </w:p>
    <w:p>
      <w:pPr>
        <w:spacing w:after="0" w:line="170" w:lineRule="exact"/>
        <w:rPr>
          <w:rFonts w:ascii="Arial" w:cs="Arial" w:eastAsia="Arial" w:hAnsi="Arial"/>
          <w:sz w:val="18"/>
          <w:szCs w:val="18"/>
          <w:color w:val="auto"/>
        </w:rPr>
      </w:pPr>
    </w:p>
    <w:p>
      <w:pPr>
        <w:ind w:firstLine="1953"/>
        <w:spacing w:after="0" w:line="277" w:lineRule="auto"/>
        <w:tabs>
          <w:tab w:leader="none" w:pos="279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if the relevant Obligation is a Base Rate Loan predicated on the FILO Subline Amount, at a per annum rate equal to the Base Rate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FILO Loan Base Rate Margin,</w:t>
      </w:r>
    </w:p>
    <w:p>
      <w:pPr>
        <w:spacing w:after="0" w:line="170" w:lineRule="exact"/>
        <w:rPr>
          <w:rFonts w:ascii="Arial" w:cs="Arial" w:eastAsia="Arial" w:hAnsi="Arial"/>
          <w:sz w:val="18"/>
          <w:szCs w:val="18"/>
          <w:color w:val="auto"/>
        </w:rPr>
      </w:pPr>
    </w:p>
    <w:p>
      <w:pPr>
        <w:ind w:right="20" w:firstLine="1953"/>
        <w:spacing w:after="0" w:line="277" w:lineRule="auto"/>
        <w:tabs>
          <w:tab w:leader="none" w:pos="276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if the relevant Obligation is a LIBOR Rate Loan not predicated on the FILO Subline Amount, at a per annum rate equal to the LIBOR Rate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Revolving Loan LIBOR Rate Margin, and</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otherwise,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the Base Rate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Revolving Loan Base Rate Margin.</w:t>
      </w:r>
    </w:p>
    <w:p>
      <w:pPr>
        <w:spacing w:after="0" w:line="221" w:lineRule="exact"/>
        <w:rPr>
          <w:rFonts w:ascii="Arial" w:cs="Arial" w:eastAsia="Arial" w:hAnsi="Arial"/>
          <w:sz w:val="18"/>
          <w:szCs w:val="18"/>
          <w:color w:val="auto"/>
        </w:rPr>
      </w:pPr>
    </w:p>
    <w:p>
      <w:pPr>
        <w:jc w:val="both"/>
        <w:ind w:left="340" w:firstLine="1289"/>
        <w:spacing w:after="0" w:line="256" w:lineRule="auto"/>
        <w:tabs>
          <w:tab w:leader="none" w:pos="2548"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Letter of Credit Fee</w:t>
      </w:r>
      <w:r>
        <w:rPr>
          <w:rFonts w:ascii="Arial" w:cs="Arial" w:eastAsia="Arial" w:hAnsi="Arial"/>
          <w:sz w:val="18"/>
          <w:szCs w:val="18"/>
          <w:color w:val="auto"/>
        </w:rPr>
        <w:t>. Each Borrower Group shall pay Agent (for the ratable benefit of the applicable Lenders), a Letter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(which fee shall be in addition to the fronting fees and commissions, other fees, charges and expenses set forth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that shall accrue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the Revolving Loan LIBOR Rate Margin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the average amount of the Letter of Credit Usage not predicated on the FILO Subline Amount for such Borrower Group during the immediately preceding quarter and (ii) the FILO Loan LIBOR Rate Margin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the average amount of the Letter of Credit Usage predicated on the FILO Subline Amount for such Borrower Group during the immediately preceding quarter.</w:t>
      </w:r>
    </w:p>
    <w:p>
      <w:pPr>
        <w:spacing w:after="0" w:line="187" w:lineRule="exact"/>
        <w:rPr>
          <w:rFonts w:ascii="Arial" w:cs="Arial" w:eastAsia="Arial" w:hAnsi="Arial"/>
          <w:sz w:val="18"/>
          <w:szCs w:val="18"/>
          <w:color w:val="auto"/>
        </w:rPr>
      </w:pPr>
    </w:p>
    <w:p>
      <w:pPr>
        <w:jc w:val="both"/>
        <w:ind w:left="340" w:firstLine="1289"/>
        <w:spacing w:after="0" w:line="256" w:lineRule="auto"/>
        <w:tabs>
          <w:tab w:leader="none" w:pos="2565"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Default Rate</w:t>
      </w:r>
      <w:r>
        <w:rPr>
          <w:rFonts w:ascii="Arial" w:cs="Arial" w:eastAsia="Arial" w:hAnsi="Arial"/>
          <w:sz w:val="18"/>
          <w:szCs w:val="18"/>
          <w:color w:val="auto"/>
        </w:rPr>
        <w:t>. (i) Automatically upon the occurrence and during the continuation of an Event of Default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and (ii) upon the occurrence and during the continuation of any Specified Event of Default (other than an Event of Default under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at the written election of the Required Lenders, (A) all Loans and all Obligations (except for undrawn Letters of Credit) that have been charged to the Loan Account pursuant to the terms hereof shall bear interest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two percentage points above the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otherwise applicable thereunder, and (B) the Letter of Credit Fee shall be increased to two percentage points above the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otherwise applicable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0" w:name="page321"/>
    <w:bookmarkEnd w:id="320"/>
    <w:p>
      <w:pPr>
        <w:jc w:val="both"/>
        <w:ind w:firstLine="1289"/>
        <w:spacing w:after="0" w:line="284" w:lineRule="auto"/>
        <w:tabs>
          <w:tab w:leader="none" w:pos="2262"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Except to the extent provided to the contrary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2.11(k)</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2.12(a)</w:t>
      </w:r>
      <w:r>
        <w:rPr>
          <w:rFonts w:ascii="Arial" w:cs="Arial" w:eastAsia="Arial" w:hAnsi="Arial"/>
          <w:sz w:val="16"/>
          <w:szCs w:val="16"/>
          <w:color w:val="auto"/>
        </w:rPr>
        <w:t>, (i) all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all other fees payable hereunder or under any of the other Loan Documents (other than Letter of Credit Fees) shall be due and payable, in arrears, on the third Business Day of each quarter, (ii) all Letter of Credit Fees payable hereunder, and all fronting fees and all commissions, other fees, charges and expenses provided for in </w:t>
      </w:r>
      <w:r>
        <w:rPr>
          <w:rFonts w:ascii="Arial" w:cs="Arial" w:eastAsia="Arial" w:hAnsi="Arial"/>
          <w:sz w:val="16"/>
          <w:szCs w:val="16"/>
          <w:u w:val="single" w:color="auto"/>
          <w:color w:val="auto"/>
        </w:rPr>
        <w:t>Section 2.11(k)</w:t>
      </w:r>
      <w:r>
        <w:rPr>
          <w:rFonts w:ascii="Arial" w:cs="Arial" w:eastAsia="Arial" w:hAnsi="Arial"/>
          <w:sz w:val="16"/>
          <w:szCs w:val="16"/>
          <w:color w:val="auto"/>
        </w:rPr>
        <w:t xml:space="preserve"> shall be due and payable, in arrears, on the third Business Day of each quarter, and (iii) all costs and expenses payable hereunder or under any of the other Loan Documents, and all other Lender Group Expenses (other than payment for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be due and payable on (x) with respect to Lender Group Expenses outstanding as of the Closing Date, the Closing Date, and (y) otherwise, (A) with respect to Lender Group Expenses, not later than ten (10) Business Days after written demand therefor and presentation of any documents required to be delivered in connection thereof, and (B) with respect to all other costs and expenses payable hereunder, the earlier of (1) the third Business Day of the month following the date on which the applicable costs or expenses were first incurred, or (2) the date on which demand therefor is made by Agent (it being acknowledged and agreed that any charging of such costs or expenses to the Loan Account pursuant to the provisions of the following sentence shall be deemed to constitute a demand for payment thereof for the purposes of this subclause (2)). Each Borrower Group hereby authorizes Agent, from time to time without prior notice to such Borrower Group, to charge to the Loan Account of such Borrower Group (A) on the third Business Day of each quarter, all interest accrued during the prior quarter on the Facility Loans for the account of such Borrower Group hereunder, (B) on the third Business Day of each quarter, all Letter of Credit Fees accrued or chargeable hereunder during the prior quarter for the account of such Borrower Group, (C) as and when incurred or accrued, all fees and costs provided for in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owing by such Borrower Group, (D) on the third Business Day of each month, the Unused Line Fee accrued during the prior month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(E) as and when due and payable, all other fees payable hereunder or under any of the other Loan Documents owing by such Borrower Group, (F) on the Closing Date and thereafter if the applicable Borrower Group does not pay any such Lender Group Expenses within ten (10) Business Days of the date of Borrower's receipt of written notice therefor and presentation of any documents required to be delivered in connection therewith, all Lender Group Expenses owing by such Borrower Group, and (G) as and when due and payable all other payment obligations payable under any Loan Document or any Bank Product Agreement (including any amounts due and payable to the Bank Product Providers in respect of Bank Products) owing by such Borrower Group. All amounts (including interest, fees, costs, expenses, Lender Group Expenses, or other amounts payable hereunder or under any other Loan Document or under any Bank Product Agreement) charged to the Loan Account of a Borrower Group shall thereupon constitute Facility Loans hereunder for the account of such Borrower Group, shall constitute Obligations hereunder of such Borrower Group, and shall initially accrue interest at the rate then applicable to Facility Loans that are Base Rate Loans (unless and until converted into LIBOR Rate Loans in accordance with the terms of this Agreement).</w:t>
      </w:r>
    </w:p>
    <w:p>
      <w:pPr>
        <w:spacing w:after="0" w:line="391" w:lineRule="exact"/>
        <w:rPr>
          <w:rFonts w:ascii="Arial" w:cs="Arial" w:eastAsia="Arial" w:hAnsi="Arial"/>
          <w:sz w:val="16"/>
          <w:szCs w:val="16"/>
          <w:color w:val="auto"/>
        </w:rPr>
      </w:pPr>
    </w:p>
    <w:p>
      <w:pPr>
        <w:jc w:val="both"/>
        <w:ind w:firstLine="1289"/>
        <w:spacing w:after="0" w:line="258" w:lineRule="auto"/>
        <w:tabs>
          <w:tab w:leader="none" w:pos="2319"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Computation</w:t>
      </w:r>
      <w:r>
        <w:rPr>
          <w:rFonts w:ascii="Arial" w:cs="Arial" w:eastAsia="Arial" w:hAnsi="Arial"/>
          <w:sz w:val="18"/>
          <w:szCs w:val="18"/>
          <w:color w:val="auto"/>
        </w:rPr>
        <w:t>. All interest and fees chargeable under the Loan Documents shall be computed on the basis of a 360 day</w:t>
      </w:r>
      <w:r>
        <w:rPr>
          <w:rFonts w:ascii="Arial" w:cs="Arial" w:eastAsia="Arial" w:hAnsi="Arial"/>
          <w:sz w:val="18"/>
          <w:szCs w:val="18"/>
          <w:b w:val="1"/>
          <w:bCs w:val="1"/>
          <w:color w:val="auto"/>
        </w:rPr>
        <w:t xml:space="preserve"> </w:t>
      </w:r>
      <w:r>
        <w:rPr>
          <w:rFonts w:ascii="Arial" w:cs="Arial" w:eastAsia="Arial" w:hAnsi="Arial"/>
          <w:sz w:val="18"/>
          <w:szCs w:val="18"/>
          <w:color w:val="auto"/>
        </w:rPr>
        <w:t>year (other than interest for Base Rate Loans which shall be calculated on the basis of 365 or 366 day year, as applicable), in each case, for the actual number of days elapsed in the period during which the interest or fees accrue. In the event the Base Rate is changed from time to time hereafter, the rates of interest hereunder based upon the Base Rate automatically and immediately shall be increased or decreased by an amount equal to such change in the Base Rate.</w:t>
      </w:r>
    </w:p>
    <w:p>
      <w:pPr>
        <w:spacing w:after="0" w:line="183" w:lineRule="exact"/>
        <w:rPr>
          <w:rFonts w:ascii="Arial" w:cs="Arial" w:eastAsia="Arial" w:hAnsi="Arial"/>
          <w:sz w:val="18"/>
          <w:szCs w:val="18"/>
          <w:color w:val="auto"/>
        </w:rPr>
      </w:pPr>
    </w:p>
    <w:p>
      <w:pPr>
        <w:jc w:val="both"/>
        <w:ind w:firstLine="1289"/>
        <w:spacing w:after="0" w:line="255" w:lineRule="auto"/>
        <w:tabs>
          <w:tab w:leader="none" w:pos="248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Intent to Limit Charges to Maximum Lawful Rate</w:t>
      </w:r>
      <w:r>
        <w:rPr>
          <w:rFonts w:ascii="Arial" w:cs="Arial" w:eastAsia="Arial" w:hAnsi="Arial"/>
          <w:sz w:val="18"/>
          <w:szCs w:val="18"/>
          <w:color w:val="auto"/>
        </w:rPr>
        <w:t>. In no event shall the interest rate or rates payable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any other amounts paid in connection herewith, exceed the highest rate permissible under any law that a court of competent jurisdiction shall, in a final determination, deem applicable. Each Borrower Group and the Lender Group, in executing and delivering this Agreement, intend legally to agree upon the rate or rates of interest and manner of payment stated within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contained herein to the contrary notwithstanding, if such rate or rates of interest or manner of payment exceeds the maximum allowable under applicable law, then, </w:t>
      </w:r>
      <w:r>
        <w:rPr>
          <w:rFonts w:ascii="Arial" w:cs="Arial" w:eastAsia="Arial" w:hAnsi="Arial"/>
          <w:sz w:val="18"/>
          <w:szCs w:val="18"/>
          <w:i w:val="1"/>
          <w:iCs w:val="1"/>
          <w:color w:val="auto"/>
        </w:rPr>
        <w:t>ipso facto</w:t>
      </w:r>
      <w:r>
        <w:rPr>
          <w:rFonts w:ascii="Arial" w:cs="Arial" w:eastAsia="Arial" w:hAnsi="Arial"/>
          <w:sz w:val="18"/>
          <w:szCs w:val="18"/>
          <w:color w:val="auto"/>
        </w:rPr>
        <w:t>, as of the date of this Agreement, the applicable Borrower Group is and shall be liable only for the payment of such maximum amount as is allowed by law, and payment received from such Borrower Group in excess of such legal maximum, whenever received, shall be applied to reduce the principal balance of the applicable Obligations to the extent of such excess.</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5" w:right="239" w:bottom="1440" w:gutter="0" w:footer="0" w:header="0"/>
        </w:sectPr>
      </w:pPr>
    </w:p>
    <w:bookmarkStart w:id="321" w:name="page322"/>
    <w:bookmarkEnd w:id="321"/>
    <w:p>
      <w:pPr>
        <w:jc w:val="both"/>
        <w:ind w:left="340" w:firstLine="1289"/>
        <w:spacing w:after="0" w:line="287" w:lineRule="auto"/>
        <w:tabs>
          <w:tab w:leader="none" w:pos="2575"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Minimum interest</w:t>
      </w:r>
      <w:r>
        <w:rPr>
          <w:rFonts w:ascii="Arial" w:cs="Arial" w:eastAsia="Arial" w:hAnsi="Arial"/>
          <w:sz w:val="16"/>
          <w:szCs w:val="16"/>
          <w:color w:val="auto"/>
        </w:rPr>
        <w:t>. The interest rates provided for in this Agreement with respect to any Swiss Loan Party, including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are minimum interest rates. When entering into this Agreement, the parties have assumed that the interest payable at the rates set out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in other Sections of this Agreement is not and will not become subject to Swiss Withholding Tax. Notwithstanding that the parties do not anticipate that any payment of interest will be subject to Swiss Withholding Tax, they agree, subject to </w:t>
      </w:r>
      <w:r>
        <w:rPr>
          <w:rFonts w:ascii="Arial" w:cs="Arial" w:eastAsia="Arial" w:hAnsi="Arial"/>
          <w:sz w:val="16"/>
          <w:szCs w:val="16"/>
          <w:u w:val="single" w:color="auto"/>
          <w:color w:val="auto"/>
        </w:rPr>
        <w:t>Section 16.2(f)</w:t>
      </w:r>
      <w:r>
        <w:rPr>
          <w:rFonts w:ascii="Arial" w:cs="Arial" w:eastAsia="Arial" w:hAnsi="Arial"/>
          <w:sz w:val="16"/>
          <w:szCs w:val="16"/>
          <w:color w:val="auto"/>
        </w:rPr>
        <w:t xml:space="preserve"> that, in the event that Swiss Withholding Tax is imposed on interest payments, the payment of interest due by a Swiss Loan Party shall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w:t>
      </w:r>
      <w:r>
        <w:rPr>
          <w:rFonts w:ascii="Arial" w:cs="Arial" w:eastAsia="Arial" w:hAnsi="Arial"/>
          <w:sz w:val="16"/>
          <w:szCs w:val="16"/>
          <w:u w:val="single" w:color="auto"/>
          <w:color w:val="auto"/>
        </w:rPr>
        <w:t>Non-Refundable Portion</w:t>
      </w:r>
      <w:r>
        <w:rPr>
          <w:rFonts w:ascii="Arial" w:cs="Arial" w:eastAsia="Arial" w:hAnsi="Arial"/>
          <w:sz w:val="16"/>
          <w:szCs w:val="16"/>
          <w:color w:val="auto"/>
        </w:rPr>
        <w:t>"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Loan Parties all reasonably requested information, and otherwise reasonably cooperate, to obtain such Swiss tax ruling. Each Swiss Loan Party shall provide to Agent the documents required by law or applicable double taxation treaties for the Lenders to claim a refund of any Swiss Withholding Tax so deducted.</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Crediting Payments</w:t>
      </w:r>
      <w:r>
        <w:rPr>
          <w:rFonts w:ascii="Arial" w:cs="Arial" w:eastAsia="Arial" w:hAnsi="Arial"/>
          <w:sz w:val="18"/>
          <w:szCs w:val="18"/>
          <w:color w:val="auto"/>
        </w:rPr>
        <w:t>. The receipt of any payment item by Agent shall not be required to be considered a payment on account unless such payment item is a wire transfer of immediately available funds made to Agent's Account or unless and until such payment item is honored when presented for 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Account on a Business Day on or before 3:30 p.m. If any payment item is received into Agent's Account on a non-Business Day or after 3:30 p.m. on a Business Day (unless Agent, in its sole discretion, elects to credit it on the date received), it shall be deemed to have been received by Agent as of the opening of business on the immediately following Business Day.</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Designated Account</w:t>
      </w:r>
      <w:r>
        <w:rPr>
          <w:rFonts w:ascii="Arial" w:cs="Arial" w:eastAsia="Arial" w:hAnsi="Arial"/>
          <w:sz w:val="18"/>
          <w:szCs w:val="18"/>
          <w:color w:val="auto"/>
        </w:rPr>
        <w:t xml:space="preserve">. Agent is authorized to make the Facility Loans, and Issuing Bank is authorized to issue the Letters of Credit, under this Agreement based upon telephonic or other instructions received from anyone purporting to be an Authorized Person or, without instructions, if pursuant to </w:t>
      </w:r>
      <w:r>
        <w:rPr>
          <w:rFonts w:ascii="Arial" w:cs="Arial" w:eastAsia="Arial" w:hAnsi="Arial"/>
          <w:sz w:val="18"/>
          <w:szCs w:val="18"/>
          <w:u w:val="single" w:color="auto"/>
          <w:color w:val="auto"/>
        </w:rPr>
        <w:t>Section 2.6(d)</w:t>
      </w:r>
      <w:r>
        <w:rPr>
          <w:rFonts w:ascii="Arial" w:cs="Arial" w:eastAsia="Arial" w:hAnsi="Arial"/>
          <w:sz w:val="18"/>
          <w:szCs w:val="18"/>
          <w:color w:val="auto"/>
        </w:rPr>
        <w:t>. Each Borrower Group agrees to establish and maintain the applicable Designated Account with the applicable Designated Account Bank for the purpose of receiving the proceeds of the Facility Loans requested by such Borrower Group and made by Agent or the Lenders hereunder. Unless otherwise agreed by Agent and a Borrower Group, any Facility Loan or Swing Loan requested by such Borrower Group and made by Agent or the Lenders hereunder shall be made to the applicable Designated Account.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2" w:name="page323"/>
    <w:bookmarkEnd w:id="322"/>
    <w:p>
      <w:pPr>
        <w:jc w:val="both"/>
        <w:ind w:firstLine="648"/>
        <w:spacing w:after="0" w:line="28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Maintenance of Loan Account; Statements of Obligations</w:t>
      </w:r>
      <w:r>
        <w:rPr>
          <w:rFonts w:ascii="Arial" w:cs="Arial" w:eastAsia="Arial" w:hAnsi="Arial"/>
          <w:sz w:val="16"/>
          <w:szCs w:val="16"/>
          <w:color w:val="auto"/>
        </w:rPr>
        <w:t>. With respect to each Borrower Group, Agent shall maintain an account on its books in the name of such Borrower Group (each, a "</w:t>
      </w:r>
      <w:r>
        <w:rPr>
          <w:rFonts w:ascii="Arial" w:cs="Arial" w:eastAsia="Arial" w:hAnsi="Arial"/>
          <w:sz w:val="16"/>
          <w:szCs w:val="16"/>
          <w:u w:val="single" w:color="auto"/>
          <w:color w:val="auto"/>
        </w:rPr>
        <w:t>Loan Account</w:t>
      </w:r>
      <w:r>
        <w:rPr>
          <w:rFonts w:ascii="Arial" w:cs="Arial" w:eastAsia="Arial" w:hAnsi="Arial"/>
          <w:sz w:val="16"/>
          <w:szCs w:val="16"/>
          <w:color w:val="auto"/>
        </w:rPr>
        <w:t xml:space="preserve">") on which such Borrower Group will be charged with all Facility Loans (including Extraordinary Advances and Swing Loans) made by Agent, Swing Lender, or the Lenders to or for the account of such Borrower Group, the Letters of Credit issued or arranged by any Issuing Bank for the account of such Borrower Group, and with all other payment Obligations hereunder or under the other Loan Documents, including, accrued interest, fees and expenses, and Lender Group Expenses, of such Borrower Group.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 the Loan Account of a Borrower Group will be credited with all payments received by Agent from or for the account of such Borrower Group. Agent shall make available to Borrowers monthly statements regarding each Loan Account, including the principal amount of the Facility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30 days after Agent first makes such a statement available to Borrowers, Borrowers shall deliver to Agent written objection thereto describing the error or errors contained in such statement.</w:t>
      </w:r>
    </w:p>
    <w:p>
      <w:pPr>
        <w:spacing w:after="0" w:line="16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4"/>
          <w:szCs w:val="14"/>
          <w:b w:val="1"/>
          <w:bCs w:val="1"/>
          <w:u w:val="single" w:color="auto"/>
          <w:color w:val="auto"/>
        </w:rPr>
        <w:t>Fees</w:t>
      </w:r>
      <w:r>
        <w:rPr>
          <w:rFonts w:ascii="Arial" w:cs="Arial" w:eastAsia="Arial" w:hAnsi="Arial"/>
          <w:sz w:val="14"/>
          <w:szCs w:val="14"/>
          <w:color w:val="auto"/>
        </w:rPr>
        <w:t>.</w:t>
      </w:r>
    </w:p>
    <w:p>
      <w:pPr>
        <w:spacing w:after="0" w:line="225" w:lineRule="exact"/>
        <w:rPr>
          <w:sz w:val="20"/>
          <w:szCs w:val="20"/>
          <w:color w:val="auto"/>
        </w:rPr>
      </w:pPr>
    </w:p>
    <w:p>
      <w:pPr>
        <w:ind w:left="340" w:firstLine="1289"/>
        <w:spacing w:after="0" w:line="282" w:lineRule="auto"/>
        <w:tabs>
          <w:tab w:leader="none" w:pos="2578"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Agent Fees</w:t>
      </w:r>
      <w:r>
        <w:rPr>
          <w:rFonts w:ascii="Arial" w:cs="Arial" w:eastAsia="Arial" w:hAnsi="Arial"/>
          <w:sz w:val="18"/>
          <w:szCs w:val="18"/>
          <w:color w:val="auto"/>
        </w:rPr>
        <w:t>. Borrowers shall pay to Agent, for the account of Agent, as and when due and payable under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Fee Letter, the fees set forth in the Agent Fee Letter.</w:t>
      </w:r>
    </w:p>
    <w:p>
      <w:pPr>
        <w:spacing w:after="0" w:line="161" w:lineRule="exact"/>
        <w:rPr>
          <w:rFonts w:ascii="Arial" w:cs="Arial" w:eastAsia="Arial" w:hAnsi="Arial"/>
          <w:sz w:val="18"/>
          <w:szCs w:val="18"/>
          <w:color w:val="auto"/>
        </w:rPr>
      </w:pPr>
    </w:p>
    <w:p>
      <w:pPr>
        <w:jc w:val="both"/>
        <w:ind w:left="340" w:firstLine="1289"/>
        <w:spacing w:after="0" w:line="272" w:lineRule="auto"/>
        <w:tabs>
          <w:tab w:leader="none" w:pos="2521" w:val="left"/>
        </w:tabs>
        <w:numPr>
          <w:ilvl w:val="0"/>
          <w:numId w:val="369"/>
        </w:numPr>
        <w:rPr>
          <w:rFonts w:ascii="Arial" w:cs="Arial" w:eastAsia="Arial" w:hAnsi="Arial"/>
          <w:sz w:val="17"/>
          <w:szCs w:val="17"/>
          <w:color w:val="auto"/>
        </w:rPr>
      </w:pPr>
      <w:r>
        <w:rPr>
          <w:rFonts w:ascii="Arial" w:cs="Arial" w:eastAsia="Arial" w:hAnsi="Arial"/>
          <w:sz w:val="17"/>
          <w:szCs w:val="17"/>
          <w:b w:val="1"/>
          <w:bCs w:val="1"/>
          <w:color w:val="auto"/>
        </w:rPr>
        <w:t>Unused Line Fee</w:t>
      </w:r>
      <w:r>
        <w:rPr>
          <w:rFonts w:ascii="Arial" w:cs="Arial" w:eastAsia="Arial" w:hAnsi="Arial"/>
          <w:sz w:val="17"/>
          <w:szCs w:val="17"/>
          <w:color w:val="auto"/>
        </w:rPr>
        <w:t>. Borrowers shall pay to Agent, for the ratable account of (i) the Revolving Lenders, an unused line fee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amount equal to the Applicable Unused Line Fee Percentage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multiplied by</w:t>
      </w:r>
      <w:r>
        <w:rPr>
          <w:rFonts w:ascii="Arial" w:cs="Arial" w:eastAsia="Arial" w:hAnsi="Arial"/>
          <w:sz w:val="17"/>
          <w:szCs w:val="17"/>
          <w:color w:val="auto"/>
        </w:rPr>
        <w:t xml:space="preserve"> the result of (A) the aggregate amount of the Revolver Commitments,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(B) the Average Revolver Usage in respect of such Revolver Commitments during the immediately preceding month (or portion thereof), and (ii) the FILO Lenders, an unused line fee (collectively with the fee in the foregoing clause (i), the "Unused Line Fee") in an amount equal to the Applicable Unused Line Fee Percentage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multiplied by</w:t>
      </w:r>
      <w:r>
        <w:rPr>
          <w:rFonts w:ascii="Arial" w:cs="Arial" w:eastAsia="Arial" w:hAnsi="Arial"/>
          <w:sz w:val="17"/>
          <w:szCs w:val="17"/>
          <w:color w:val="auto"/>
        </w:rPr>
        <w:t xml:space="preserve"> the result of (A) the aggregate amount of the FILO Commitments,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(B) the Average FILO Usage in respect of such FILO Commitments during the immediately preceding month (or portion thereof), which Unused Line Fee shall be due and payable, in arrears, on the third day of each month from and after the Closing Date up to the third day of the month prior to the date on which the Obligations are paid in full and on the date on which the Obligations are paid in full.</w:t>
      </w:r>
    </w:p>
    <w:p>
      <w:pPr>
        <w:spacing w:after="0" w:line="172" w:lineRule="exact"/>
        <w:rPr>
          <w:rFonts w:ascii="Arial" w:cs="Arial" w:eastAsia="Arial" w:hAnsi="Arial"/>
          <w:sz w:val="17"/>
          <w:szCs w:val="17"/>
          <w:color w:val="auto"/>
        </w:rPr>
      </w:pPr>
    </w:p>
    <w:p>
      <w:pPr>
        <w:jc w:val="both"/>
        <w:ind w:left="340" w:firstLine="1289"/>
        <w:spacing w:after="0" w:line="258" w:lineRule="auto"/>
        <w:tabs>
          <w:tab w:leader="none" w:pos="2592"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Field Examination and Other Fees</w:t>
      </w:r>
      <w:r>
        <w:rPr>
          <w:rFonts w:ascii="Arial" w:cs="Arial" w:eastAsia="Arial" w:hAnsi="Arial"/>
          <w:sz w:val="18"/>
          <w:szCs w:val="18"/>
          <w:color w:val="auto"/>
        </w:rPr>
        <w:t>. Subject to any limitations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5.7(c)</w:t>
      </w:r>
      <w:r>
        <w:rPr>
          <w:rFonts w:ascii="Arial" w:cs="Arial" w:eastAsia="Arial" w:hAnsi="Arial"/>
          <w:sz w:val="18"/>
          <w:szCs w:val="18"/>
          <w:color w:val="auto"/>
        </w:rPr>
        <w:t>, Borrowers shall pay to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field examination, appraisal, and valuation fees and charges, as and when incurred or chargeable, as follows (i) a fee of $1,000 per day, per examiner, </w:t>
      </w:r>
      <w:r>
        <w:rPr>
          <w:rFonts w:ascii="Arial" w:cs="Arial" w:eastAsia="Arial" w:hAnsi="Arial"/>
          <w:sz w:val="18"/>
          <w:szCs w:val="18"/>
          <w:i w:val="1"/>
          <w:iCs w:val="1"/>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out-of-pocket expenses (including travel, meals, and lodging) for each field examination of any Loan Party or its Subsidiaries performed</w:t>
      </w:r>
      <w:r>
        <w:rPr>
          <w:rFonts w:ascii="Arial" w:cs="Arial" w:eastAsia="Arial" w:hAnsi="Arial"/>
          <w:sz w:val="18"/>
          <w:szCs w:val="18"/>
          <w:i w:val="1"/>
          <w:iCs w:val="1"/>
          <w:color w:val="auto"/>
        </w:rPr>
        <w:t xml:space="preserve"> </w:t>
      </w:r>
      <w:r>
        <w:rPr>
          <w:rFonts w:ascii="Arial" w:cs="Arial" w:eastAsia="Arial" w:hAnsi="Arial"/>
          <w:sz w:val="18"/>
          <w:szCs w:val="18"/>
          <w:color w:val="auto"/>
        </w:rPr>
        <w:t>by or on behalf of Agent, and (ii) the actual fees, charges or expenses paid or incurred by Agent if it elects to employ the services of one or more third Persons to conduct field examinations or appraise the Collateral, or any portion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3" w:name="page324"/>
    <w:bookmarkEnd w:id="323"/>
    <w:p>
      <w:pPr>
        <w:ind w:left="320"/>
        <w:spacing w:after="0"/>
        <w:tabs>
          <w:tab w:leader="none" w:pos="13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1289"/>
        <w:spacing w:after="0" w:line="284" w:lineRule="auto"/>
        <w:tabs>
          <w:tab w:leader="none" w:pos="2171"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upon the request of a Borrower Group made in accordance herewith, and prior to the Maturity Date, each Issuing Bank agrees to issue a requested standby Letter of Credit or a sight commercial Letter of Credit for the account of such Borrower Group (with such Letters of Credit being available to support obligations of any Loan Party or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DBNY and Barclays shall only be required to issue standby Letters of Credit and (y) no Issuing Bank shall be required to issue Letters of Credit in an aggregate amount at any time outstanding which shall exceed such Issuing Bank's Commitment without its consent. By submitting a request to an Issuing Bank for the issuance of a Letter of Credit, a Borrower Group shall be deemed to have requested that such Issuing Bank issue the requested Letter of Credit for the account of such Borrower Group. Each request by a Borrower Group for the issuance of a Letter of Credit, or the amendment, renewal, or extension of any outstanding Letter of Credit, shall be (i) irrevocable and made in writing by an Authorized Person, (ii) delivered to Agent and the applicable Issuing Bank via telefacsimile or other electronic method of transmission reasonably acceptable to Agent and such Issuing Bank and reasonably in advance of the requested date of issuance, amendment, renewal, or extension (it being understood that, in the case of the Closing Date Letters of Credit, one Business Day before the Closing Date shall be considered reasonably advance notice), and (iii) subject to the applicable Issuing Bank's authentication procedures with results reasonably satisfactory to such Issuing Bank. Each such request shall be in form and substance reasonably satisfactory to Agent and the applicable Issuing Bank and (i) shall specify (A) the amount and currency of such Letter of Credit, which shall be in Dollars or an Alternative Currency,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reasonably necessary to prepare, amend, renew, or extend such Letter of Credit, and (ii) shall be accompanied by such Issuer Documents as Agent or the applicable Issuing Bank may request or require, to the extent that such requests or requirements are consistent with the Issuer Documents that such Issuing Bank generally requests for Letters of Credit in similar circumstances. Each Issuing Bank's records of the content of any such request will be conclusive. Anything contained herein to the contrary notwithstanding, an Issuing Bank may, but shall not be obligated to, issue a Letter of Credit that supports the obligations of a Loan Party or one of its Subsidiaries in respect of (x) a lease of real property to the extent that the face amount of such Letter of Credit exceeds the highest rent (including all rent-like charges) payable under such lease for a period of one year, or (y) an employment contract to the extent that the face amount of such Letter of Credit exceeds the highest compensation payable under such contract for a period of one year. For purposes of this Agreement, a Letter of Credit shall be considered outstanding if it has not yet been cancelled or if prior to cancellation a drawing was made that has not yet been honored or refused. If a Letter of Credit by its terms provides for any automatic increase in the amount available to be drawn thereunder, then for purposes of this Agreement the outstanding amount of such Letter of Credit shall be deemed to include the amount of such increase even if it has not yet taken effect (and, accordingly, the amount of such increase shall be taken into account in computing the Letter of Credit Exposure, the amount of any unused Commitment and fees).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324" w:name="page325"/>
    <w:bookmarkEnd w:id="324"/>
    <w:p>
      <w:pPr>
        <w:ind w:left="340" w:right="20" w:firstLine="1289"/>
        <w:spacing w:after="0" w:line="277" w:lineRule="auto"/>
        <w:tabs>
          <w:tab w:leader="none" w:pos="262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Issuing Bank shall have any obligation to issue or amend a Letter of Credit if any of the following would result after giving effect to the requested issuance or amendment:</w:t>
      </w:r>
    </w:p>
    <w:p>
      <w:pPr>
        <w:spacing w:after="0" w:line="170" w:lineRule="exact"/>
        <w:rPr>
          <w:rFonts w:ascii="Arial" w:cs="Arial" w:eastAsia="Arial" w:hAnsi="Arial"/>
          <w:sz w:val="18"/>
          <w:szCs w:val="18"/>
          <w:color w:val="auto"/>
        </w:rPr>
      </w:pPr>
    </w:p>
    <w:p>
      <w:pPr>
        <w:ind w:firstLine="1953"/>
        <w:spacing w:after="0" w:line="277" w:lineRule="auto"/>
        <w:tabs>
          <w:tab w:leader="none" w:pos="2844"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the Letter of Credit Usage would exceed the Letter of Credit Sublimit or (B) the Dollar equivalent of such Issuing Bank's issued Letters of Credit hereunder would exceed such Issuing Bank's pro rata share of the Letter of Credit Sublimit, or</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Facility Usage would exceed the Line Cap, or</w:t>
      </w:r>
    </w:p>
    <w:p>
      <w:pPr>
        <w:spacing w:after="0" w:line="225" w:lineRule="exact"/>
        <w:rPr>
          <w:rFonts w:ascii="Arial" w:cs="Arial" w:eastAsia="Arial" w:hAnsi="Arial"/>
          <w:sz w:val="18"/>
          <w:szCs w:val="18"/>
          <w:color w:val="auto"/>
        </w:rPr>
      </w:pPr>
    </w:p>
    <w:p>
      <w:pPr>
        <w:ind w:firstLine="1953"/>
        <w:spacing w:after="0" w:line="277" w:lineRule="auto"/>
        <w:tabs>
          <w:tab w:leader="none" w:pos="309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with respect to Revolving Letters of Credit, the Revolver Usage would exceed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(A) the Maximum Revolver Amount and (B) the Aggregate Borrowing Base, or</w:t>
      </w:r>
    </w:p>
    <w:p>
      <w:pPr>
        <w:spacing w:after="0" w:line="170" w:lineRule="exact"/>
        <w:rPr>
          <w:rFonts w:ascii="Arial" w:cs="Arial" w:eastAsia="Arial" w:hAnsi="Arial"/>
          <w:sz w:val="18"/>
          <w:szCs w:val="18"/>
          <w:color w:val="auto"/>
        </w:rPr>
      </w:pPr>
    </w:p>
    <w:p>
      <w:pPr>
        <w:ind w:firstLine="1953"/>
        <w:spacing w:after="0" w:line="277" w:lineRule="auto"/>
        <w:tabs>
          <w:tab w:leader="none" w:pos="281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with respect to FILO Letters of Credit, FILO Usage would exceed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(A) the FILO Borrowing Base, and (B) the Maximum FILO Amount, unless such excess is able to be reallocated as Revolver Usage, or</w:t>
      </w:r>
    </w:p>
    <w:p>
      <w:pPr>
        <w:spacing w:after="0" w:line="170" w:lineRule="exact"/>
        <w:rPr>
          <w:rFonts w:ascii="Arial" w:cs="Arial" w:eastAsia="Arial" w:hAnsi="Arial"/>
          <w:sz w:val="18"/>
          <w:szCs w:val="18"/>
          <w:color w:val="auto"/>
        </w:rPr>
      </w:pPr>
    </w:p>
    <w:p>
      <w:pPr>
        <w:ind w:firstLine="1953"/>
        <w:spacing w:after="0" w:line="277" w:lineRule="auto"/>
        <w:tabs>
          <w:tab w:leader="none" w:pos="298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with respect to Joint Letters of Credit issued pursuant to a Joint Revolver Commitment, the Joint Revolver Usage would exceed the Joint Borrowing Base, or</w:t>
      </w:r>
    </w:p>
    <w:p>
      <w:pPr>
        <w:spacing w:after="0" w:line="170" w:lineRule="exact"/>
        <w:rPr>
          <w:rFonts w:ascii="Arial" w:cs="Arial" w:eastAsia="Arial" w:hAnsi="Arial"/>
          <w:sz w:val="18"/>
          <w:szCs w:val="18"/>
          <w:color w:val="auto"/>
        </w:rPr>
      </w:pPr>
    </w:p>
    <w:p>
      <w:pPr>
        <w:ind w:right="20" w:firstLine="1953"/>
        <w:spacing w:after="0" w:line="277" w:lineRule="auto"/>
        <w:tabs>
          <w:tab w:leader="none" w:pos="2898" w:val="left"/>
        </w:tabs>
        <w:numPr>
          <w:ilvl w:val="1"/>
          <w:numId w:val="371"/>
        </w:numPr>
        <w:rPr>
          <w:rFonts w:ascii="Arial" w:cs="Arial" w:eastAsia="Arial" w:hAnsi="Arial"/>
          <w:sz w:val="18"/>
          <w:szCs w:val="18"/>
          <w:color w:val="auto"/>
        </w:rPr>
      </w:pPr>
      <w:r>
        <w:rPr>
          <w:rFonts w:ascii="Arial" w:cs="Arial" w:eastAsia="Arial" w:hAnsi="Arial"/>
          <w:sz w:val="18"/>
          <w:szCs w:val="18"/>
          <w:color w:val="auto"/>
        </w:rPr>
        <w:t>with respect to German Letters of Credit issued pursuant to a German Revolver Commitment, the German Revolver Usage would exceed lesser of the German Borrowing Base and the German Sublimit, or</w:t>
      </w:r>
    </w:p>
    <w:p>
      <w:pPr>
        <w:spacing w:after="0" w:line="170" w:lineRule="exact"/>
        <w:rPr>
          <w:rFonts w:ascii="Arial" w:cs="Arial" w:eastAsia="Arial" w:hAnsi="Arial"/>
          <w:sz w:val="18"/>
          <w:szCs w:val="18"/>
          <w:color w:val="auto"/>
        </w:rPr>
      </w:pPr>
    </w:p>
    <w:p>
      <w:pPr>
        <w:ind w:firstLine="1953"/>
        <w:spacing w:after="0" w:line="277" w:lineRule="auto"/>
        <w:tabs>
          <w:tab w:leader="none" w:pos="2889"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with respect to Swiss Letters of Credit issued pursuant to a Swiss Revolver Commitment, the Swiss Revolver Usage would exceed </w:t>
      </w:r>
      <w:r>
        <w:rPr>
          <w:rFonts w:ascii="Arial" w:cs="Arial" w:eastAsia="Arial" w:hAnsi="Arial"/>
          <w:sz w:val="18"/>
          <w:szCs w:val="18"/>
          <w:i w:val="1"/>
          <w:iCs w:val="1"/>
          <w:color w:val="auto"/>
        </w:rPr>
        <w:t>the lesser of</w:t>
      </w:r>
      <w:r>
        <w:rPr>
          <w:rFonts w:ascii="Arial" w:cs="Arial" w:eastAsia="Arial" w:hAnsi="Arial"/>
          <w:sz w:val="18"/>
          <w:szCs w:val="18"/>
          <w:color w:val="auto"/>
        </w:rPr>
        <w:t xml:space="preserve"> the Swiss Borrowing Base and the Swiss Sublimit, or</w:t>
      </w:r>
    </w:p>
    <w:p>
      <w:pPr>
        <w:spacing w:after="0" w:line="170" w:lineRule="exact"/>
        <w:rPr>
          <w:rFonts w:ascii="Arial" w:cs="Arial" w:eastAsia="Arial" w:hAnsi="Arial"/>
          <w:sz w:val="18"/>
          <w:szCs w:val="18"/>
          <w:color w:val="auto"/>
        </w:rPr>
      </w:pPr>
    </w:p>
    <w:p>
      <w:pPr>
        <w:ind w:firstLine="1953"/>
        <w:spacing w:after="0" w:line="277" w:lineRule="auto"/>
        <w:tabs>
          <w:tab w:leader="none" w:pos="2975" w:val="left"/>
        </w:tabs>
        <w:numPr>
          <w:ilvl w:val="1"/>
          <w:numId w:val="371"/>
        </w:numPr>
        <w:rPr>
          <w:rFonts w:ascii="Arial" w:cs="Arial" w:eastAsia="Arial" w:hAnsi="Arial"/>
          <w:sz w:val="18"/>
          <w:szCs w:val="18"/>
          <w:color w:val="auto"/>
        </w:rPr>
      </w:pPr>
      <w:r>
        <w:rPr>
          <w:rFonts w:ascii="Arial" w:cs="Arial" w:eastAsia="Arial" w:hAnsi="Arial"/>
          <w:sz w:val="18"/>
          <w:szCs w:val="18"/>
          <w:color w:val="auto"/>
        </w:rPr>
        <w:t>with respect to Joint Letters of Credit issued pursuant to a Joint FILO Commitment, the Joint FILO Usage would exceed the Joint FILO Borrowing Base, unless such excess is able to be reallocated as Joint Revolver Usage, or</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91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with respect to German Letters of Credit issued pursuant to a German FILO Commitment, the German FILO Usage would exceed lesser of the German FILO Borrowing Base and the German Sublimit, unless such excess is able to be reallocated as German Revolver Usage, or</w:t>
      </w:r>
    </w:p>
    <w:p>
      <w:pPr>
        <w:spacing w:after="0" w:line="181" w:lineRule="exact"/>
        <w:rPr>
          <w:rFonts w:ascii="Arial" w:cs="Arial" w:eastAsia="Arial" w:hAnsi="Arial"/>
          <w:sz w:val="18"/>
          <w:szCs w:val="18"/>
          <w:color w:val="auto"/>
        </w:rPr>
      </w:pPr>
    </w:p>
    <w:p>
      <w:pPr>
        <w:ind w:firstLine="1953"/>
        <w:spacing w:after="0" w:line="342" w:lineRule="auto"/>
        <w:tabs>
          <w:tab w:leader="none" w:pos="2937" w:val="left"/>
        </w:tabs>
        <w:numPr>
          <w:ilvl w:val="1"/>
          <w:numId w:val="371"/>
        </w:numPr>
        <w:rPr>
          <w:rFonts w:ascii="Arial" w:cs="Arial" w:eastAsia="Arial" w:hAnsi="Arial"/>
          <w:sz w:val="16"/>
          <w:szCs w:val="16"/>
          <w:color w:val="auto"/>
        </w:rPr>
      </w:pPr>
      <w:r>
        <w:rPr>
          <w:rFonts w:ascii="Arial" w:cs="Arial" w:eastAsia="Arial" w:hAnsi="Arial"/>
          <w:sz w:val="16"/>
          <w:szCs w:val="16"/>
          <w:color w:val="auto"/>
        </w:rPr>
        <w:t xml:space="preserve">with respect to Swiss Letters of Credit issued pursuant to a Swiss FILO Commitment, the Swiss FILO Usage would exceed </w:t>
      </w:r>
      <w:r>
        <w:rPr>
          <w:rFonts w:ascii="Arial" w:cs="Arial" w:eastAsia="Arial" w:hAnsi="Arial"/>
          <w:sz w:val="16"/>
          <w:szCs w:val="16"/>
          <w:i w:val="1"/>
          <w:iCs w:val="1"/>
          <w:color w:val="auto"/>
        </w:rPr>
        <w:t>the lesser of</w:t>
      </w:r>
      <w:r>
        <w:rPr>
          <w:rFonts w:ascii="Arial" w:cs="Arial" w:eastAsia="Arial" w:hAnsi="Arial"/>
          <w:sz w:val="16"/>
          <w:szCs w:val="16"/>
          <w:color w:val="auto"/>
        </w:rPr>
        <w:t xml:space="preserve"> the Swiss FILO Borrowing Base and the Swiss Sublimit, unless such excess is able to be reallocated as Swiss Revolver Usage.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5" w:name="page326"/>
    <w:bookmarkEnd w:id="325"/>
    <w:p>
      <w:pPr>
        <w:jc w:val="both"/>
        <w:ind w:firstLine="1289"/>
        <w:spacing w:after="0" w:line="269" w:lineRule="auto"/>
        <w:tabs>
          <w:tab w:leader="none" w:pos="223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In the event there is a Defaulting Lender as of the date of any request by a Borrower Group for the issuance of a Letter of Credit, no Issuing Bank shall be required to issue or arrange for such Letter of Credit to the extent (i) the Defaulting Lender's Letter of Credit Exposure with respect to such Letter of Credit may not be reallocated pursuant to </w:t>
      </w:r>
      <w:r>
        <w:rPr>
          <w:rFonts w:ascii="Arial" w:cs="Arial" w:eastAsia="Arial" w:hAnsi="Arial"/>
          <w:sz w:val="17"/>
          <w:szCs w:val="17"/>
          <w:u w:val="single" w:color="auto"/>
          <w:color w:val="auto"/>
        </w:rPr>
        <w:t>Section 2.3(g)(ii)</w:t>
      </w:r>
      <w:r>
        <w:rPr>
          <w:rFonts w:ascii="Arial" w:cs="Arial" w:eastAsia="Arial" w:hAnsi="Arial"/>
          <w:sz w:val="17"/>
          <w:szCs w:val="17"/>
          <w:color w:val="auto"/>
        </w:rPr>
        <w:t xml:space="preserve">, or (ii) the applicable Issuing Bank has not otherwise entered into arrangements reasonably satisfactory to it and Borrowers to eliminate such Issuing Bank's risk with respect to the participation in such Letter of Credit of the Defaulting Lender, which arrangements may include such Borrower Group cash collateralizing such Defaulting Lender's Letter of Credit Exposure in accordance with </w:t>
      </w:r>
      <w:r>
        <w:rPr>
          <w:rFonts w:ascii="Arial" w:cs="Arial" w:eastAsia="Arial" w:hAnsi="Arial"/>
          <w:sz w:val="17"/>
          <w:szCs w:val="17"/>
          <w:u w:val="single" w:color="auto"/>
          <w:color w:val="auto"/>
        </w:rPr>
        <w:t>Section 2.3(g)(ii)</w:t>
      </w:r>
      <w:r>
        <w:rPr>
          <w:rFonts w:ascii="Arial" w:cs="Arial" w:eastAsia="Arial" w:hAnsi="Arial"/>
          <w:sz w:val="17"/>
          <w:szCs w:val="17"/>
          <w:color w:val="auto"/>
        </w:rPr>
        <w:t>. Additionally, no Issuing Bank shall have any obligation to issue or extend a Letter of Credit if (A) 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(B) the issuance of such Letter of Credit would violate one or more policies of such Issuing Bank applicable to letters of credit generally, or (C) if amounts demanded to be paid under any Letter of Credit will not or may not be in Dollars or an Alternative Currency.</w:t>
      </w:r>
    </w:p>
    <w:p>
      <w:pPr>
        <w:spacing w:after="0" w:line="179" w:lineRule="exact"/>
        <w:rPr>
          <w:rFonts w:ascii="Arial" w:cs="Arial" w:eastAsia="Arial" w:hAnsi="Arial"/>
          <w:sz w:val="17"/>
          <w:szCs w:val="17"/>
          <w:color w:val="auto"/>
        </w:rPr>
      </w:pPr>
    </w:p>
    <w:p>
      <w:pPr>
        <w:jc w:val="both"/>
        <w:ind w:firstLine="1289"/>
        <w:spacing w:after="0" w:line="284" w:lineRule="auto"/>
        <w:tabs>
          <w:tab w:leader="none" w:pos="223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Each Issuing Bank (other than Wells Fargo or any of its Affiliates) shall notify Agent in writing no later than the Business Day prior to the Business Day on which such Issuing Bank issues any Letter of Credit. In addition, each Issuing Bank (other than Wells Fargo or any of its Affiliates) shall, on the first Business Day of each week, submit to Agent a report detailing the daily undrawn amount of each Letter of Credit issued by such Issuing Bank during the prior calendar week. Borrowers and the Lender Group hereby acknowledge and agree that all Existing Letters of Credit shall constitute Letters of Credit under this Agreement on and after the Closing Date with the same effect as if such Existing Letters of Credit were issued by an Issuing Bank at the request of Borrowers (regardless of whether one of the Borrowers, another member of the Borrower Group, or an Affiliate thereof was the requesting entity or applicant thereof) on the Closing Date and that such Existing Letters of Credit shall be subject to all provisions contained herein (including, without limitation,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be secured by the Collateral pursuant to the Loan Documents. Each issuer of an Existing Letter of Credit shall be deemed an "Issuing Bank" with respect to such Existing Letter of Credit. Each Letter of Credit shall be in form and substance reasonably acceptable to the applicable Issuing Bank, including the requirement that the amounts payable thereunder must be payable in Dollars or an Alternative Currency. If any Issuing Bank makes a payment under a Letter of Credit, such Issuing Bank shall notify the applicable Borrower Group and Agent thereof. In the case of a Letter of Credit denominated in an Alternative Currency, the applicable Borrower Group shall reimburse the applicable Issuing Bank in in Dollars in an amount equal to the Dollar equivalent of such Alternative Currency (as converted at the Spot Rate as determined by Agent, which calculation shall be deemed correct absent manifest error), unless such Issuing Bank (at its option) shall have specified in such notice that it will require reimbursement in the applicable Alternative Currency. Subject to the last sentence of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the applicable Borrower Group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or a FILO Loan, as applicable, for the account of such Borrower Group hereunder (notwithstanding any failure to satisfy any condition precedent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initially, shall bear interest at the rate then applicable to Revolving Loans and FILO Loans, as applicable, that are Base Rate Loans. If such Letter of Credit Disbursement is made in an Alternative Currency, the amount of such Letter of Credit Disbursement shall be converted into Dollars at the Spot Rate (as determined by Agent, which calculation shall be deemed correct absent manifest error) on such date for purposes of determining the amount of such Revolving Loan or FILO Loan, as applicable. If a Letter of Credit Disbursement is deemed to be a Revolving Loan or FILO Loan, as applicable, for a Borrower Group as provided above, such Borrower Group's obligation to pay the amount of such Letter of Credit Disbursement to the applicable Issuing Bank shall be automatically converted into an obligation to pay the resulting Revolving Loan or FILO Loan, as applicable, subject to the last sentence of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Promptly following receipt by Agent of any payment from a Borrower Group pursuant to this paragraph, Agent shall distribute such payment to the applicable Issuing Bank or, to the extent that Lenders have made payments pursuant to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to reimburse the applicable Issuing Bank, then to such Lenders and applicable Issuing Bank as their interests may appear.</w:t>
      </w: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26" w:name="page327"/>
    <w:bookmarkEnd w:id="326"/>
    <w:p>
      <w:pPr>
        <w:jc w:val="both"/>
        <w:ind w:firstLine="1289"/>
        <w:spacing w:after="0" w:line="284" w:lineRule="auto"/>
        <w:tabs>
          <w:tab w:leader="none" w:pos="225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Promptly following receipt of a notice of a Letter of Credit Disbursement with respect to a Letter of Credit issued for the account of a Borrower Group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each applicable Lender agrees to fund its Pro Rata Share of any Facility Loan deemed made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on the same terms and conditions as if such Borrower Group had requested the amount thereof as a Facility Loan and Agent shall promptly pay to the applicable Issuing Bank the amounts so received by it from such Lenders. By the issuance of a Letter of Credit (or an amendment, renewal, or extension of a Letter of Credit) for the account of a Borrower Group and without any further action on the part of any Issuing Bank or the applicable Lenders, the applicable Issuing Bank shall be deemed to have granted to each applicable Lender, and each applicable Lender shall be deemed to have purchased, a participation in each Letter of Credit issued by such Issuing Bank, in an amount equal to its Pro Rata Share of such Letter of Credit, and each such Lender agrees to pay to Agent, for the account of such Issuing Bank, such Lender's Pro Rata Share of any Letter of Credit Disbursement made by such Issuing Bank under the applicable Letter of Credit (in the case of a Letter of Credit Disbursement made in an Alternative Currency, in the equivalent in Dollars calculated at the Spot Rate (as determined by Agent, which calculation shall be deemed correct absent manifest error)). In consideration and in furtherance of the foregoing, each Lender hereby absolutely and unconditionally agrees to pay to Agent, for the account of the applicable Issuing Bank, such Lender's Pro Rata Share of each Letter of Credit Disbursement made by such Issuing Bank and not reimbursed by the applicable Borrower Group on the date due as provided in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or of any reimbursement payment that is required to be refunded (or that Agent or such Issuing Bank elects, based upon the advice of counsel, to refund) to such Borrower Group for any reason. Each Lender acknowledges and agrees that its obligation to deliver to Agent, for the account of an Issuing Bank, an amount equal to its respective Pro Rata Share of each Letter of Credit Disbursement pursuant to this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If any such Lender fails to make available to Agent the amount of such Lender's Pro Rata Share of a Letter of Credit Disbursement as provided in this Section, such Lender shall be deemed to be a Defaulting Lender and Agent (for the account of the applicable Issuing Bank) shall be entitled to recover such amount on demand from such Lender together with interest thereon at the Defaulting Lender Rate until paid in full. Notwithstanding the foregoing, to the extent that any Letter of Credit is issued at a time when the then outstanding FILO Usage is less than the FILO Subline Amount, participations in any Letter of Credit shall be deemed to be acquired first, by the FILO Lenders in accordance with their respective FILO Commitments until no such availability remains thereunder and second, by the Revolving Lenders in accordance with their respective Revolving Commitments.</w:t>
      </w:r>
    </w:p>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327" w:name="page328"/>
    <w:bookmarkEnd w:id="327"/>
    <w:p>
      <w:pPr>
        <w:jc w:val="both"/>
        <w:ind w:left="340" w:firstLine="1289"/>
        <w:spacing w:after="0" w:line="271" w:lineRule="auto"/>
        <w:tabs>
          <w:tab w:leader="none" w:pos="2631" w:val="left"/>
        </w:tabs>
        <w:numPr>
          <w:ilvl w:val="0"/>
          <w:numId w:val="374"/>
        </w:numPr>
        <w:rPr>
          <w:rFonts w:ascii="Arial" w:cs="Arial" w:eastAsia="Arial" w:hAnsi="Arial"/>
          <w:sz w:val="17"/>
          <w:szCs w:val="17"/>
          <w:color w:val="auto"/>
        </w:rPr>
      </w:pPr>
      <w:r>
        <w:rPr>
          <w:rFonts w:ascii="Arial" w:cs="Arial" w:eastAsia="Arial" w:hAnsi="Arial"/>
          <w:sz w:val="17"/>
          <w:szCs w:val="17"/>
          <w:color w:val="auto"/>
        </w:rPr>
        <w:t>Each Borrower Group agrees to indemnify, defend and hold harmless each member of the Lender Group (including each Issuing Bank and its branches, Affiliates, and correspondents) and each such Person's respective directors, officers, employees, attorneys and agents (each, including each Issuing Bank, a "</w:t>
      </w:r>
      <w:r>
        <w:rPr>
          <w:rFonts w:ascii="Arial" w:cs="Arial" w:eastAsia="Arial" w:hAnsi="Arial"/>
          <w:sz w:val="17"/>
          <w:szCs w:val="17"/>
          <w:u w:val="single" w:color="auto"/>
          <w:color w:val="auto"/>
        </w:rPr>
        <w:t>Letter of Credit Related Person</w:t>
      </w:r>
      <w:r>
        <w:rPr>
          <w:rFonts w:ascii="Arial" w:cs="Arial" w:eastAsia="Arial" w:hAnsi="Arial"/>
          <w:sz w:val="17"/>
          <w:szCs w:val="17"/>
          <w:color w:val="auto"/>
        </w:rPr>
        <w:t>")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(except for Taxes unless such Taxes represent losses, claims or damages arising from any non-Tax claim) (the "</w:t>
      </w:r>
      <w:r>
        <w:rPr>
          <w:rFonts w:ascii="Arial" w:cs="Arial" w:eastAsia="Arial" w:hAnsi="Arial"/>
          <w:sz w:val="17"/>
          <w:szCs w:val="17"/>
          <w:u w:val="single" w:color="auto"/>
          <w:color w:val="auto"/>
        </w:rPr>
        <w:t>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Indemnified Costs</w:t>
      </w:r>
      <w:r>
        <w:rPr>
          <w:rFonts w:ascii="Arial" w:cs="Arial" w:eastAsia="Arial" w:hAnsi="Arial"/>
          <w:sz w:val="17"/>
          <w:szCs w:val="17"/>
          <w:color w:val="auto"/>
        </w:rPr>
        <w:t>"), and which arise out of or in connection with, or as a result of:</w:t>
      </w:r>
    </w:p>
    <w:p>
      <w:pPr>
        <w:spacing w:after="0" w:line="178" w:lineRule="exact"/>
        <w:rPr>
          <w:rFonts w:ascii="Arial" w:cs="Arial" w:eastAsia="Arial" w:hAnsi="Arial"/>
          <w:sz w:val="17"/>
          <w:szCs w:val="17"/>
          <w:color w:val="auto"/>
        </w:rPr>
      </w:pPr>
    </w:p>
    <w:p>
      <w:pPr>
        <w:ind w:left="2880" w:hanging="927"/>
        <w:spacing w:after="0"/>
        <w:tabs>
          <w:tab w:leader="none" w:pos="28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Letter of Credit for the account of such Borrower Group or any pre-advice of its issuance;</w:t>
      </w:r>
    </w:p>
    <w:p>
      <w:pPr>
        <w:spacing w:after="0" w:line="225" w:lineRule="exact"/>
        <w:rPr>
          <w:rFonts w:ascii="Arial" w:cs="Arial" w:eastAsia="Arial" w:hAnsi="Arial"/>
          <w:sz w:val="18"/>
          <w:szCs w:val="18"/>
          <w:color w:val="auto"/>
        </w:rPr>
      </w:pPr>
    </w:p>
    <w:p>
      <w:pPr>
        <w:ind w:firstLine="1953"/>
        <w:spacing w:after="0" w:line="277" w:lineRule="auto"/>
        <w:tabs>
          <w:tab w:leader="none" w:pos="2921"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transfer, sale, delivery, surrender or endorsement (or lack thereof) of any Drawing Document at any time(s) held by any such Letter of Credit Related Person in connection with any Letter of Credit for the account of such Borrower Group;</w:t>
      </w:r>
    </w:p>
    <w:p>
      <w:pPr>
        <w:spacing w:after="0" w:line="170" w:lineRule="exact"/>
        <w:rPr>
          <w:rFonts w:ascii="Arial" w:cs="Arial" w:eastAsia="Arial" w:hAnsi="Arial"/>
          <w:sz w:val="18"/>
          <w:szCs w:val="18"/>
          <w:color w:val="auto"/>
        </w:rPr>
      </w:pPr>
    </w:p>
    <w:p>
      <w:pPr>
        <w:jc w:val="both"/>
        <w:ind w:firstLine="1953"/>
        <w:spacing w:after="0" w:line="286" w:lineRule="auto"/>
        <w:tabs>
          <w:tab w:leader="none" w:pos="2926" w:val="left"/>
        </w:tabs>
        <w:numPr>
          <w:ilvl w:val="1"/>
          <w:numId w:val="374"/>
        </w:numPr>
        <w:rPr>
          <w:rFonts w:ascii="Arial" w:cs="Arial" w:eastAsia="Arial" w:hAnsi="Arial"/>
          <w:sz w:val="17"/>
          <w:szCs w:val="17"/>
          <w:color w:val="auto"/>
        </w:rPr>
      </w:pPr>
      <w:r>
        <w:rPr>
          <w:rFonts w:ascii="Arial" w:cs="Arial" w:eastAsia="Arial" w:hAnsi="Arial"/>
          <w:sz w:val="17"/>
          <w:szCs w:val="17"/>
          <w:color w:val="auto"/>
        </w:rPr>
        <w:t>any action or proceeding arising out of, or in connection with, any Letter of Credit for the account of such Borrower Group (whether administrative, judicial or in connection with arbitration), including any action or proceeding to compel or restrain any presentation or payment under any such Letter of Credit, or for the wrongful dishonor of, or honoring a presentation under, any such Letter of Credit;</w:t>
      </w:r>
    </w:p>
    <w:p>
      <w:pPr>
        <w:spacing w:after="0" w:line="165" w:lineRule="exact"/>
        <w:rPr>
          <w:rFonts w:ascii="Arial" w:cs="Arial" w:eastAsia="Arial" w:hAnsi="Arial"/>
          <w:sz w:val="17"/>
          <w:szCs w:val="17"/>
          <w:color w:val="auto"/>
        </w:rPr>
      </w:pPr>
    </w:p>
    <w:p>
      <w:pPr>
        <w:ind w:left="3060" w:hanging="1107"/>
        <w:spacing w:after="0"/>
        <w:tabs>
          <w:tab w:leader="none" w:pos="306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any independent undertakings issued by the beneficiary of any Letter of Credit for the account of such Borrower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210" w:lineRule="exact"/>
        <w:rPr>
          <w:rFonts w:ascii="Arial" w:cs="Arial" w:eastAsia="Arial" w:hAnsi="Arial"/>
          <w:sz w:val="16"/>
          <w:szCs w:val="16"/>
          <w:color w:val="auto"/>
        </w:rPr>
      </w:pPr>
    </w:p>
    <w:p>
      <w:pPr>
        <w:jc w:val="both"/>
        <w:ind w:firstLine="1953"/>
        <w:spacing w:after="0" w:line="312" w:lineRule="auto"/>
        <w:tabs>
          <w:tab w:leader="none" w:pos="2843"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any unauthorized instruction or request made to the applicable Issuing Bank in connection with any Letter of Credit or requested Letter of Credit for the account of such Borrower Group, or any error, omission, interruption or delay in such instruction or request, whether transmitted by mail, courier, electronic transmission, SWIFT, or any other telecommunication including communications through a correspondent;</w:t>
      </w:r>
    </w:p>
    <w:p>
      <w:pPr>
        <w:spacing w:after="0" w:line="146" w:lineRule="exact"/>
        <w:rPr>
          <w:rFonts w:ascii="Arial" w:cs="Arial" w:eastAsia="Arial" w:hAnsi="Arial"/>
          <w:sz w:val="16"/>
          <w:szCs w:val="16"/>
          <w:color w:val="auto"/>
        </w:rPr>
      </w:pPr>
    </w:p>
    <w:p>
      <w:pPr>
        <w:ind w:left="2840" w:hanging="887"/>
        <w:spacing w:after="0"/>
        <w:tabs>
          <w:tab w:leader="none" w:pos="28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 adviser, confirmer or other nominated person seeking to be reimbursed, indemnified or compensated;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8" w:name="page329"/>
    <w:bookmarkEnd w:id="328"/>
    <w:p>
      <w:pPr>
        <w:ind w:right="20" w:firstLine="1953"/>
        <w:spacing w:after="0" w:line="277" w:lineRule="auto"/>
        <w:tabs>
          <w:tab w:leader="none" w:pos="295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third party seeking to enforce the rights of an applicant, beneficiary, nominated person, transferee, assignee of proceeds of any Letter of Credit for the account of such Borrower Group or holder of an instrument or document;</w:t>
      </w:r>
    </w:p>
    <w:p>
      <w:pPr>
        <w:spacing w:after="0" w:line="170" w:lineRule="exact"/>
        <w:rPr>
          <w:rFonts w:ascii="Arial" w:cs="Arial" w:eastAsia="Arial" w:hAnsi="Arial"/>
          <w:sz w:val="18"/>
          <w:szCs w:val="18"/>
          <w:color w:val="auto"/>
        </w:rPr>
      </w:pPr>
    </w:p>
    <w:p>
      <w:pPr>
        <w:ind w:right="20" w:firstLine="1953"/>
        <w:spacing w:after="0" w:line="277" w:lineRule="auto"/>
        <w:tabs>
          <w:tab w:leader="none" w:pos="285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fraud, forgery or illegal action of parties in connection with any Letter of Credit for the account of such Borrower Group other than the Letter of Credit Related Person;</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319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prohibition on payment or delay in payment of any amount payable by the applicable Issuing Bank to a beneficiary or transferee beneficiary of a Letter of Credit for the account of such Borrower Group arising out of Anti-Corruption Laws, Anti-Money Laundering Laws, or Sanctions;</w:t>
      </w:r>
    </w:p>
    <w:p>
      <w:pPr>
        <w:spacing w:after="0" w:line="181" w:lineRule="exact"/>
        <w:rPr>
          <w:rFonts w:ascii="Arial" w:cs="Arial" w:eastAsia="Arial" w:hAnsi="Arial"/>
          <w:sz w:val="18"/>
          <w:szCs w:val="18"/>
          <w:color w:val="auto"/>
        </w:rPr>
      </w:pPr>
    </w:p>
    <w:p>
      <w:pPr>
        <w:ind w:left="3100" w:hanging="1147"/>
        <w:spacing w:after="0"/>
        <w:tabs>
          <w:tab w:leader="none" w:pos="310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applicable Issuing Bank's performance of the obligations of a confirming institution or entity that wrongfully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dishonors a confirmation;</w:t>
      </w:r>
    </w:p>
    <w:p>
      <w:pPr>
        <w:spacing w:after="0" w:line="210" w:lineRule="exact"/>
        <w:rPr>
          <w:rFonts w:ascii="Arial" w:cs="Arial" w:eastAsia="Arial" w:hAnsi="Arial"/>
          <w:sz w:val="17"/>
          <w:szCs w:val="17"/>
          <w:color w:val="auto"/>
        </w:rPr>
      </w:pPr>
    </w:p>
    <w:p>
      <w:pPr>
        <w:ind w:left="2960" w:hanging="1007"/>
        <w:spacing w:after="0"/>
        <w:tabs>
          <w:tab w:leader="none" w:pos="296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any foreign language translation provided to the applicable Issuing Bank in connection with any Letter of Credit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account of such Borrower Group;</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92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foreign law or usage as it relates to the applicable Issuing Bank's issuance of a Letter of Credit for the account of such Borrower Group in support of a foreign guaranty including the expiration of such guaranty after the related Letter of Credit expiration date and any resulting drawing paid by the applicable Issuing Bank in connection therewith; or</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309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acts or omissions, whether rightful or wrongful, of any present or future de jure or de facto governmental or regulatory authority or cause or event beyond the control of Letter of Credit Related Persons related to any Letter of Credit for the account of such Borrower Group;</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be available to any Letter of Credit Related Person claiming indemnification under clauses (i) through (xiii)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Each Borrower Group hereby agrees to pay the Letter of Credit Related Person claiming indemnity on demand from time to time all amounts owing by such Borrower Group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If and to the extent that the obligations of a Borrower Group under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are unenforceable for any reason, such Borrower Group agrees to make the maximum contribution to the Letter of Credit Indemnified Costs permissible under applicable law. This indemnification provision shall survive termination of this Agreement and all Letters of Credit.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9" w:name="page330"/>
    <w:bookmarkEnd w:id="329"/>
    <w:p>
      <w:pPr>
        <w:jc w:val="both"/>
        <w:ind w:firstLine="1289"/>
        <w:spacing w:after="0" w:line="286" w:lineRule="auto"/>
        <w:tabs>
          <w:tab w:leader="none" w:pos="219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The liability of each Issuing Bank (or any other Letter of Credit Related Person) under, in connection with or arising out of any Letter of Credit (or pre-advice) for the account of a Borrower Group, regardless of the form or legal grounds of the action or proceeding, shall be limited to direct damages suffered by such Borrower Group that are caused directly by such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A Borrower Group's aggregate remedies against any Issuing Bank and any Letter of Credit Related Person for wrongfully honoring a presentation under any Letter of Credit or wrongfully retaining honored Drawing Documents shall in no event exceed the aggregate amount paid by such Borrower Group to such Issuing Bank in respect of the honored presentation in connection with such Letter of Credit under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interest at the rate then applicable to Base Rate Loans hereunder. Each Borrower Group shall take action to avoid and mitigate the amount of any damages claimed against any Issuing Bank or any other Letter of Credit Related Person, including by enforcing its rights against the beneficiaries of the Letters of Credit. Any claim by a Borrower Group under or in connection with any Letter of Credit shall be reduced by an amount equal to </w:t>
      </w:r>
      <w:r>
        <w:rPr>
          <w:rFonts w:ascii="Arial" w:cs="Arial" w:eastAsia="Arial" w:hAnsi="Arial"/>
          <w:sz w:val="16"/>
          <w:szCs w:val="16"/>
          <w:i w:val="1"/>
          <w:iCs w:val="1"/>
          <w:color w:val="auto"/>
        </w:rPr>
        <w:t>the sum of</w:t>
      </w:r>
      <w:r>
        <w:rPr>
          <w:rFonts w:ascii="Arial" w:cs="Arial" w:eastAsia="Arial" w:hAnsi="Arial"/>
          <w:sz w:val="16"/>
          <w:szCs w:val="16"/>
          <w:color w:val="auto"/>
        </w:rPr>
        <w:t xml:space="preserve"> (x) the amount (if any) saved by such Borrower Group as a result of the breach or alleged wrongful conduct complained of, and (y) the amount (if any) of the loss that would have been avoided had such Borrower Group taken all reasonable steps to mitigate any loss, and in case of a claim of wrongful dishonor, by specifically and timely authorizing the applicable Issuing Bank to effect a cure.</w:t>
      </w:r>
    </w:p>
    <w:p>
      <w:pPr>
        <w:spacing w:after="0" w:line="171" w:lineRule="exact"/>
        <w:rPr>
          <w:rFonts w:ascii="Arial" w:cs="Arial" w:eastAsia="Arial" w:hAnsi="Arial"/>
          <w:sz w:val="16"/>
          <w:szCs w:val="16"/>
          <w:color w:val="auto"/>
        </w:rPr>
      </w:pPr>
    </w:p>
    <w:p>
      <w:pPr>
        <w:jc w:val="both"/>
        <w:ind w:firstLine="1289"/>
        <w:spacing w:after="0" w:line="267" w:lineRule="auto"/>
        <w:tabs>
          <w:tab w:leader="none" w:pos="2384" w:val="left"/>
        </w:tabs>
        <w:numPr>
          <w:ilvl w:val="0"/>
          <w:numId w:val="376"/>
        </w:numPr>
        <w:rPr>
          <w:rFonts w:ascii="Arial" w:cs="Arial" w:eastAsia="Arial" w:hAnsi="Arial"/>
          <w:sz w:val="17"/>
          <w:szCs w:val="17"/>
          <w:color w:val="auto"/>
        </w:rPr>
      </w:pPr>
      <w:r>
        <w:rPr>
          <w:rFonts w:ascii="Arial" w:cs="Arial" w:eastAsia="Arial" w:hAnsi="Arial"/>
          <w:sz w:val="17"/>
          <w:szCs w:val="17"/>
          <w:color w:val="auto"/>
        </w:rPr>
        <w:t>Each Borrower Group is responsible for the final text of any Letter of Credit issued for the account of such Borrower Group as issued by an Issuing Bank, irrespective of any assistance such Issuing Bank may provide such as drafting or recommending text or by such Issuing Bank's use or refusal to use text submitted by such Borrower Group. Each Borrower Group understands that the final form of any Letter of Credit issued for the account of such Borrower Group may be subject to such revisions and changes as are deemed reasonably necessary or appropriate by the applicable Issuing Bank, and each Borrower Group hereby consents to such revisions and changes not materially different from the application executed in connection therewith. Each Borrower Group is solely responsible for the suitability of the Letter of Credit for such Borrower Group's purposes. If a Borrower Group requests an Issuing Bank to issue a Letter of Credit for an affiliated or unaffiliated third party (an "</w:t>
      </w:r>
      <w:r>
        <w:rPr>
          <w:rFonts w:ascii="Arial" w:cs="Arial" w:eastAsia="Arial" w:hAnsi="Arial"/>
          <w:sz w:val="17"/>
          <w:szCs w:val="17"/>
          <w:u w:val="single" w:color="auto"/>
          <w:color w:val="auto"/>
        </w:rPr>
        <w:t>Account Party</w:t>
      </w:r>
      <w:r>
        <w:rPr>
          <w:rFonts w:ascii="Arial" w:cs="Arial" w:eastAsia="Arial" w:hAnsi="Arial"/>
          <w:sz w:val="17"/>
          <w:szCs w:val="17"/>
          <w:color w:val="auto"/>
        </w:rPr>
        <w:t>"), (i) such Account Party shall have no rights against such Issuing Bank; (ii) such Borrower Group shall be responsible for the application and obligations under this Agreement; and (iii) communications (including notices) related to the respective Letter of Credit shall be among such Issuing Bank and such Borrower Group. Each Borrower Group will examine the copy of the Letter of Credit issued for the account of such Borrower Group and any other documents sent by an Issuing Bank in connection therewith and shall promptly notify such Issuing Bank (not later than three (3) Business Days following such Borrower Group's receipt of documents from such Issuing Bank) of any non-compliance with such Borrower Group's instructions and of any discrepancy in any document under any presentment or other irregularity. Each Borrower Group understands and agrees that no Issuing Bank is required to extend the expiration date of any Letter of Credit issued for the account of such Borrower Group for any reason. With respect to any Letter of Credit issued for the account of a Borrower Group containing an "automatic amendment" to extend the expiration date of such Letter of Credit, an Issuing Bank, in its sole and absolute discretion, may give notice of nonrenewal of such Letter of Credit and, if such Borrower Group does not at any time want the then current expiration date of such Letter of Credit to be extended, such Borrower Group will so notify Agent and such Issuing Bank at least 30 calendar days before such Issuing Bank is required to notify the beneficiary of such Letter of Credit or any advising bank of such non-extension pursuant to the terms of such Letter of Credit.</w:t>
      </w: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30" w:name="page331"/>
    <w:bookmarkEnd w:id="330"/>
    <w:p>
      <w:pPr>
        <w:ind w:left="340" w:firstLine="1289"/>
        <w:spacing w:after="0" w:line="342" w:lineRule="auto"/>
        <w:tabs>
          <w:tab w:leader="none" w:pos="2693"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Each Borrower Group's reimbursement and payment obligations under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are absolute, unconditional and irrevocable and shall be performed strictly in accordance with the terms of this Agreement under any and all circumstances whatsoever, including:</w:t>
      </w:r>
    </w:p>
    <w:p>
      <w:pPr>
        <w:spacing w:after="0" w:line="123" w:lineRule="exact"/>
        <w:rPr>
          <w:rFonts w:ascii="Arial" w:cs="Arial" w:eastAsia="Arial" w:hAnsi="Arial"/>
          <w:sz w:val="16"/>
          <w:szCs w:val="16"/>
          <w:color w:val="auto"/>
        </w:rPr>
      </w:pPr>
    </w:p>
    <w:p>
      <w:pPr>
        <w:ind w:firstLine="1953"/>
        <w:spacing w:after="0" w:line="277" w:lineRule="auto"/>
        <w:tabs>
          <w:tab w:leader="none" w:pos="284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lack of validity, enforceability or legal effect of any Letter of Credit, any Issuer Document, this Agreement, or any Loan Document, or any term or provision therein or herein;</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889" w:val="left"/>
        </w:tabs>
        <w:numPr>
          <w:ilvl w:val="1"/>
          <w:numId w:val="377"/>
        </w:numPr>
        <w:rPr>
          <w:rFonts w:ascii="Arial" w:cs="Arial" w:eastAsia="Arial" w:hAnsi="Arial"/>
          <w:sz w:val="18"/>
          <w:szCs w:val="18"/>
          <w:color w:val="auto"/>
        </w:rPr>
      </w:pPr>
      <w:r>
        <w:rPr>
          <w:rFonts w:ascii="Arial" w:cs="Arial" w:eastAsia="Arial" w:hAnsi="Arial"/>
          <w:sz w:val="18"/>
          <w:szCs w:val="18"/>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86" w:lineRule="exact"/>
        <w:rPr>
          <w:rFonts w:ascii="Arial" w:cs="Arial" w:eastAsia="Arial" w:hAnsi="Arial"/>
          <w:sz w:val="18"/>
          <w:szCs w:val="18"/>
          <w:color w:val="auto"/>
        </w:rPr>
      </w:pPr>
    </w:p>
    <w:p>
      <w:pPr>
        <w:ind w:left="2800" w:hanging="847"/>
        <w:spacing w:after="0"/>
        <w:tabs>
          <w:tab w:leader="none" w:pos="280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Issuing Bank or any of its branches or Affiliates being the beneficiary of any Letter of Credit;</w:t>
      </w:r>
    </w:p>
    <w:p>
      <w:pPr>
        <w:spacing w:after="0" w:line="225" w:lineRule="exact"/>
        <w:rPr>
          <w:rFonts w:ascii="Arial" w:cs="Arial" w:eastAsia="Arial" w:hAnsi="Arial"/>
          <w:sz w:val="18"/>
          <w:szCs w:val="18"/>
          <w:color w:val="auto"/>
        </w:rPr>
      </w:pPr>
    </w:p>
    <w:p>
      <w:pPr>
        <w:ind w:firstLine="1953"/>
        <w:spacing w:after="0" w:line="308" w:lineRule="auto"/>
        <w:tabs>
          <w:tab w:leader="none" w:pos="2898" w:val="left"/>
        </w:tabs>
        <w:numPr>
          <w:ilvl w:val="1"/>
          <w:numId w:val="377"/>
        </w:numPr>
        <w:rPr>
          <w:rFonts w:ascii="Arial" w:cs="Arial" w:eastAsia="Arial" w:hAnsi="Arial"/>
          <w:sz w:val="17"/>
          <w:szCs w:val="17"/>
          <w:color w:val="auto"/>
        </w:rPr>
      </w:pPr>
      <w:r>
        <w:rPr>
          <w:rFonts w:ascii="Arial" w:cs="Arial" w:eastAsia="Arial" w:hAnsi="Arial"/>
          <w:sz w:val="17"/>
          <w:szCs w:val="17"/>
          <w:color w:val="auto"/>
        </w:rPr>
        <w:t>any 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46" w:lineRule="exact"/>
        <w:rPr>
          <w:rFonts w:ascii="Arial" w:cs="Arial" w:eastAsia="Arial" w:hAnsi="Arial"/>
          <w:sz w:val="17"/>
          <w:szCs w:val="17"/>
          <w:color w:val="auto"/>
        </w:rPr>
      </w:pPr>
    </w:p>
    <w:p>
      <w:pPr>
        <w:ind w:firstLine="1953"/>
        <w:spacing w:after="0" w:line="277" w:lineRule="auto"/>
        <w:tabs>
          <w:tab w:leader="none" w:pos="2951"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any Loan Party or any of its Subsidiaries may have at any time against any beneficiary or transferee beneficiary, any assignee of proceeds, any Issuing Bank or any other Person;</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1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Issuing Bank or any correspondent honoring a drawing upon receipt of an electronic presentation under a Letter of Credit requiring the same, regardless of whether the original Drawing Documents arrive at such Issuing Bank's counters or are different from the electronic presentation;</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75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any other event, circumstance or conduct whatsoever, whether or not similar to any of the foregoing that might, but for this </w:t>
      </w:r>
      <w:r>
        <w:rPr>
          <w:rFonts w:ascii="Arial" w:cs="Arial" w:eastAsia="Arial" w:hAnsi="Arial"/>
          <w:sz w:val="18"/>
          <w:szCs w:val="18"/>
          <w:u w:val="single" w:color="auto"/>
          <w:color w:val="auto"/>
        </w:rPr>
        <w:t>Section 2.11(i)</w:t>
      </w:r>
      <w:r>
        <w:rPr>
          <w:rFonts w:ascii="Arial" w:cs="Arial" w:eastAsia="Arial" w:hAnsi="Arial"/>
          <w:sz w:val="18"/>
          <w:szCs w:val="18"/>
          <w:color w:val="auto"/>
        </w:rPr>
        <w:t>, constitute a legal or equitable defense to or discharge of, or provide a right of set-off against, any Borrower's or any of its Subsidiaries' reimbursement and other payment obligations and liabilities, arising under, or in connection with, any Letter of Credit, whether against any Issuing Bank, the beneficiary or any other Person; or</w:t>
      </w:r>
    </w:p>
    <w:p>
      <w:pPr>
        <w:spacing w:after="0" w:line="186" w:lineRule="exact"/>
        <w:rPr>
          <w:rFonts w:ascii="Arial" w:cs="Arial" w:eastAsia="Arial" w:hAnsi="Arial"/>
          <w:sz w:val="18"/>
          <w:szCs w:val="18"/>
          <w:color w:val="auto"/>
        </w:rPr>
      </w:pPr>
    </w:p>
    <w:p>
      <w:pPr>
        <w:ind w:left="2680" w:hanging="727"/>
        <w:spacing w:after="0"/>
        <w:tabs>
          <w:tab w:leader="none" w:pos="26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fact that any Default or Event of Default shall have occurred and be continuing;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2.11(g)</w:t>
      </w:r>
      <w:r>
        <w:rPr>
          <w:rFonts w:ascii="Arial" w:cs="Arial" w:eastAsia="Arial" w:hAnsi="Arial"/>
          <w:sz w:val="18"/>
          <w:szCs w:val="18"/>
          <w:color w:val="auto"/>
        </w:rPr>
        <w:t xml:space="preserve"> above, the foregoing shall not release any Issuing Bank from such liability to such Borrower Group as may be finally determined in a final, non-appealable judgment of a court of competent jurisdiction against such Issuing Bank following reimbursement or payment of the obligations and liabilities, including reimbursement and other payment obligations, of such Borrower Group to such Issuing Bank arising under, or in connection with,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any Letter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1" w:name="page332"/>
    <w:bookmarkEnd w:id="331"/>
    <w:p>
      <w:pPr>
        <w:jc w:val="both"/>
        <w:ind w:left="340" w:firstLine="1289"/>
        <w:spacing w:after="0" w:line="259" w:lineRule="auto"/>
        <w:tabs>
          <w:tab w:leader="none" w:pos="2639" w:val="left"/>
        </w:tabs>
        <w:numPr>
          <w:ilvl w:val="1"/>
          <w:numId w:val="378"/>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no Issuing Bank and no other Letter of Credit Related Person (if applicable) shall be responsible to any Borrower Group for, and an Issuing Bank's rights and remedies against such Borrower Group and the obligation of such Borrower Group to reimburse such Issuing Bank for each drawing under each Letter of Credit issued for the account of such Borrower Group shall not be impaired by:</w:t>
      </w:r>
    </w:p>
    <w:p>
      <w:pPr>
        <w:spacing w:after="0" w:line="186" w:lineRule="exact"/>
        <w:rPr>
          <w:rFonts w:ascii="Arial" w:cs="Arial" w:eastAsia="Arial" w:hAnsi="Arial"/>
          <w:sz w:val="18"/>
          <w:szCs w:val="18"/>
          <w:color w:val="auto"/>
        </w:rPr>
      </w:pPr>
    </w:p>
    <w:p>
      <w:pPr>
        <w:ind w:firstLine="1953"/>
        <w:spacing w:after="0" w:line="277" w:lineRule="auto"/>
        <w:tabs>
          <w:tab w:leader="none" w:pos="2880" w:val="left"/>
        </w:tabs>
        <w:numPr>
          <w:ilvl w:val="2"/>
          <w:numId w:val="378"/>
        </w:numPr>
        <w:rPr>
          <w:rFonts w:ascii="Arial" w:cs="Arial" w:eastAsia="Arial" w:hAnsi="Arial"/>
          <w:sz w:val="18"/>
          <w:szCs w:val="18"/>
          <w:color w:val="auto"/>
        </w:rPr>
      </w:pPr>
      <w:r>
        <w:rPr>
          <w:rFonts w:ascii="Arial" w:cs="Arial" w:eastAsia="Arial" w:hAnsi="Arial"/>
          <w:sz w:val="18"/>
          <w:szCs w:val="18"/>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70" w:lineRule="exact"/>
        <w:rPr>
          <w:rFonts w:ascii="Arial" w:cs="Arial" w:eastAsia="Arial" w:hAnsi="Arial"/>
          <w:sz w:val="18"/>
          <w:szCs w:val="18"/>
          <w:color w:val="auto"/>
        </w:rPr>
      </w:pPr>
    </w:p>
    <w:p>
      <w:pPr>
        <w:ind w:left="3000" w:hanging="1047"/>
        <w:spacing w:after="0"/>
        <w:tabs>
          <w:tab w:leader="none" w:pos="3000" w:val="left"/>
        </w:tabs>
        <w:numPr>
          <w:ilvl w:val="2"/>
          <w:numId w:val="378"/>
        </w:numPr>
        <w:rPr>
          <w:rFonts w:ascii="Arial" w:cs="Arial" w:eastAsia="Arial" w:hAnsi="Arial"/>
          <w:sz w:val="16"/>
          <w:szCs w:val="16"/>
          <w:color w:val="auto"/>
        </w:rPr>
      </w:pPr>
      <w:r>
        <w:rPr>
          <w:rFonts w:ascii="Arial" w:cs="Arial" w:eastAsia="Arial" w:hAnsi="Arial"/>
          <w:sz w:val="16"/>
          <w:szCs w:val="16"/>
          <w:color w:val="auto"/>
        </w:rPr>
        <w:t>honor of a presentation of any Drawing Document that appears on its face to have been signed, presented or issued</w:t>
      </w:r>
    </w:p>
    <w:p>
      <w:pPr>
        <w:spacing w:after="0" w:line="46" w:lineRule="exact"/>
        <w:rPr>
          <w:rFonts w:ascii="Arial" w:cs="Arial" w:eastAsia="Arial" w:hAnsi="Arial"/>
          <w:sz w:val="16"/>
          <w:szCs w:val="16"/>
          <w:color w:val="auto"/>
        </w:rPr>
      </w:pPr>
    </w:p>
    <w:p>
      <w:pPr>
        <w:ind w:firstLine="8"/>
        <w:spacing w:after="0" w:line="261" w:lineRule="auto"/>
        <w:tabs>
          <w:tab w:leader="none" w:pos="29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by any purported successor or transferee of any beneficiary or other Person required to sign, present or issue such Drawing Document or (B) under a new name of the beneficiary;</w:t>
      </w:r>
    </w:p>
    <w:p>
      <w:pPr>
        <w:spacing w:after="0" w:line="183" w:lineRule="exact"/>
        <w:rPr>
          <w:rFonts w:ascii="Arial" w:cs="Arial" w:eastAsia="Arial" w:hAnsi="Arial"/>
          <w:sz w:val="18"/>
          <w:szCs w:val="18"/>
          <w:color w:val="auto"/>
        </w:rPr>
      </w:pPr>
    </w:p>
    <w:p>
      <w:pPr>
        <w:jc w:val="both"/>
        <w:ind w:firstLine="1953"/>
        <w:spacing w:after="0" w:line="264" w:lineRule="auto"/>
        <w:tabs>
          <w:tab w:leader="none" w:pos="3020" w:val="left"/>
        </w:tabs>
        <w:numPr>
          <w:ilvl w:val="2"/>
          <w:numId w:val="379"/>
        </w:numPr>
        <w:rPr>
          <w:rFonts w:ascii="Arial" w:cs="Arial" w:eastAsia="Arial" w:hAnsi="Arial"/>
          <w:sz w:val="18"/>
          <w:szCs w:val="18"/>
          <w:color w:val="auto"/>
        </w:rPr>
      </w:pPr>
      <w:r>
        <w:rPr>
          <w:rFonts w:ascii="Arial" w:cs="Arial" w:eastAsia="Arial" w:hAnsi="Arial"/>
          <w:sz w:val="18"/>
          <w:szCs w:val="18"/>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956" w:val="left"/>
        </w:tabs>
        <w:numPr>
          <w:ilvl w:val="2"/>
          <w:numId w:val="379"/>
        </w:numPr>
        <w:rPr>
          <w:rFonts w:ascii="Arial" w:cs="Arial" w:eastAsia="Arial" w:hAnsi="Arial"/>
          <w:sz w:val="18"/>
          <w:szCs w:val="18"/>
          <w:color w:val="auto"/>
        </w:rPr>
      </w:pPr>
      <w:r>
        <w:rPr>
          <w:rFonts w:ascii="Arial" w:cs="Arial" w:eastAsia="Arial" w:hAnsi="Arial"/>
          <w:sz w:val="18"/>
          <w:szCs w:val="18"/>
          <w:color w:val="auto"/>
        </w:rPr>
        <w:t>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spacing w:after="0" w:line="181" w:lineRule="exact"/>
        <w:rPr>
          <w:rFonts w:ascii="Arial" w:cs="Arial" w:eastAsia="Arial" w:hAnsi="Arial"/>
          <w:sz w:val="18"/>
          <w:szCs w:val="18"/>
          <w:color w:val="auto"/>
        </w:rPr>
      </w:pPr>
    </w:p>
    <w:p>
      <w:pPr>
        <w:ind w:firstLine="1953"/>
        <w:spacing w:after="0" w:line="277" w:lineRule="auto"/>
        <w:tabs>
          <w:tab w:leader="none" w:pos="2964" w:val="left"/>
        </w:tabs>
        <w:numPr>
          <w:ilvl w:val="2"/>
          <w:numId w:val="379"/>
        </w:numPr>
        <w:rPr>
          <w:rFonts w:ascii="Arial" w:cs="Arial" w:eastAsia="Arial" w:hAnsi="Arial"/>
          <w:sz w:val="18"/>
          <w:szCs w:val="18"/>
          <w:color w:val="auto"/>
        </w:rPr>
      </w:pPr>
      <w:r>
        <w:rPr>
          <w:rFonts w:ascii="Arial" w:cs="Arial" w:eastAsia="Arial" w:hAnsi="Arial"/>
          <w:sz w:val="18"/>
          <w:szCs w:val="18"/>
          <w:color w:val="auto"/>
        </w:rPr>
        <w:t>acting upon any instruction or request relative to a Letter of Credit or requested Letter of Credit that the applicable Issuing Bank in good faith believes to have been given by a Person authorized to give such instruction or request;</w:t>
      </w:r>
    </w:p>
    <w:p>
      <w:pPr>
        <w:spacing w:after="0" w:line="170" w:lineRule="exact"/>
        <w:rPr>
          <w:rFonts w:ascii="Arial" w:cs="Arial" w:eastAsia="Arial" w:hAnsi="Arial"/>
          <w:sz w:val="18"/>
          <w:szCs w:val="18"/>
          <w:color w:val="auto"/>
        </w:rPr>
      </w:pPr>
    </w:p>
    <w:p>
      <w:pPr>
        <w:jc w:val="both"/>
        <w:ind w:right="20" w:firstLine="1953"/>
        <w:spacing w:after="0" w:line="264" w:lineRule="auto"/>
        <w:tabs>
          <w:tab w:leader="none" w:pos="3159" w:val="left"/>
        </w:tabs>
        <w:numPr>
          <w:ilvl w:val="2"/>
          <w:numId w:val="379"/>
        </w:numPr>
        <w:rPr>
          <w:rFonts w:ascii="Arial" w:cs="Arial" w:eastAsia="Arial" w:hAnsi="Arial"/>
          <w:sz w:val="18"/>
          <w:szCs w:val="18"/>
          <w:color w:val="auto"/>
        </w:rPr>
      </w:pPr>
      <w:r>
        <w:rPr>
          <w:rFonts w:ascii="Arial" w:cs="Arial" w:eastAsia="Arial" w:hAnsi="Arial"/>
          <w:sz w:val="18"/>
          <w:szCs w:val="18"/>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988" w:val="left"/>
        </w:tabs>
        <w:numPr>
          <w:ilvl w:val="2"/>
          <w:numId w:val="379"/>
        </w:numPr>
        <w:rPr>
          <w:rFonts w:ascii="Arial" w:cs="Arial" w:eastAsia="Arial" w:hAnsi="Arial"/>
          <w:sz w:val="18"/>
          <w:szCs w:val="18"/>
          <w:color w:val="auto"/>
        </w:rPr>
      </w:pPr>
      <w:r>
        <w:rPr>
          <w:rFonts w:ascii="Arial" w:cs="Arial" w:eastAsia="Arial" w:hAnsi="Arial"/>
          <w:sz w:val="18"/>
          <w:szCs w:val="18"/>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81" w:lineRule="exact"/>
        <w:rPr>
          <w:rFonts w:ascii="Arial" w:cs="Arial" w:eastAsia="Arial" w:hAnsi="Arial"/>
          <w:sz w:val="18"/>
          <w:szCs w:val="18"/>
          <w:color w:val="auto"/>
        </w:rPr>
      </w:pPr>
    </w:p>
    <w:p>
      <w:pPr>
        <w:ind w:firstLine="1953"/>
        <w:spacing w:after="0" w:line="277" w:lineRule="auto"/>
        <w:tabs>
          <w:tab w:leader="none" w:pos="2885" w:val="left"/>
        </w:tabs>
        <w:numPr>
          <w:ilvl w:val="2"/>
          <w:numId w:val="379"/>
        </w:numPr>
        <w:rPr>
          <w:rFonts w:ascii="Arial" w:cs="Arial" w:eastAsia="Arial" w:hAnsi="Arial"/>
          <w:sz w:val="18"/>
          <w:szCs w:val="18"/>
          <w:color w:val="auto"/>
        </w:rPr>
      </w:pPr>
      <w:r>
        <w:rPr>
          <w:rFonts w:ascii="Arial" w:cs="Arial" w:eastAsia="Arial" w:hAnsi="Arial"/>
          <w:sz w:val="18"/>
          <w:szCs w:val="18"/>
          <w:color w:val="auto"/>
        </w:rPr>
        <w:t>assertion or waiver of any provision of the ISP or UCP that primarily benefits an issuer of a letter of credit, including any requirement that any Drawing Document be presented to it at a particular hour or place;</w:t>
      </w:r>
    </w:p>
    <w:p>
      <w:pPr>
        <w:spacing w:after="0" w:line="170" w:lineRule="exact"/>
        <w:rPr>
          <w:rFonts w:ascii="Arial" w:cs="Arial" w:eastAsia="Arial" w:hAnsi="Arial"/>
          <w:sz w:val="18"/>
          <w:szCs w:val="18"/>
          <w:color w:val="auto"/>
        </w:rPr>
      </w:pPr>
    </w:p>
    <w:p>
      <w:pPr>
        <w:ind w:right="20" w:firstLine="1953"/>
        <w:spacing w:after="0" w:line="277" w:lineRule="auto"/>
        <w:tabs>
          <w:tab w:leader="none" w:pos="2861" w:val="left"/>
        </w:tabs>
        <w:numPr>
          <w:ilvl w:val="2"/>
          <w:numId w:val="379"/>
        </w:numPr>
        <w:rPr>
          <w:rFonts w:ascii="Arial" w:cs="Arial" w:eastAsia="Arial" w:hAnsi="Arial"/>
          <w:sz w:val="18"/>
          <w:szCs w:val="18"/>
          <w:color w:val="auto"/>
        </w:rPr>
      </w:pPr>
      <w:r>
        <w:rPr>
          <w:rFonts w:ascii="Arial" w:cs="Arial" w:eastAsia="Arial" w:hAnsi="Arial"/>
          <w:sz w:val="18"/>
          <w:szCs w:val="18"/>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32" w:name="page333"/>
    <w:bookmarkEnd w:id="332"/>
    <w:p>
      <w:pPr>
        <w:ind w:firstLine="1953"/>
        <w:spacing w:after="0" w:line="277" w:lineRule="auto"/>
        <w:tabs>
          <w:tab w:leader="none" w:pos="311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acting or failing to act as required or permitted under Standard Letter of Credit Practice applicable to where the applicable Issuing Bank has issued, confirmed, advised or negotiated such Letter of Credit, as the case may be;</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9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honor of a presentation after the expiration date of any Letter of Credit notwithstanding that a presentation was made prior to such expiration date and dishonored by the applicable Issuing Bank if subsequently such Issuing Bank or any court or other finder of fact determines such presentation should have been honored;</w:t>
      </w:r>
    </w:p>
    <w:p>
      <w:pPr>
        <w:spacing w:after="0" w:line="181" w:lineRule="exact"/>
        <w:rPr>
          <w:rFonts w:ascii="Arial" w:cs="Arial" w:eastAsia="Arial" w:hAnsi="Arial"/>
          <w:sz w:val="18"/>
          <w:szCs w:val="18"/>
          <w:color w:val="auto"/>
        </w:rPr>
      </w:pPr>
    </w:p>
    <w:p>
      <w:pPr>
        <w:ind w:left="3020" w:hanging="1067"/>
        <w:spacing w:after="0"/>
        <w:tabs>
          <w:tab w:leader="none" w:pos="302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dishonor of any presentation that does not strictly comply or that is fraudulent, forged or otherwise not entitled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honor; or</w:t>
      </w:r>
    </w:p>
    <w:p>
      <w:pPr>
        <w:spacing w:after="0" w:line="210" w:lineRule="exact"/>
        <w:rPr>
          <w:rFonts w:ascii="Arial" w:cs="Arial" w:eastAsia="Arial" w:hAnsi="Arial"/>
          <w:sz w:val="16"/>
          <w:szCs w:val="16"/>
          <w:color w:val="auto"/>
        </w:rPr>
      </w:pPr>
    </w:p>
    <w:p>
      <w:pPr>
        <w:ind w:firstLine="1953"/>
        <w:spacing w:after="0" w:line="277" w:lineRule="auto"/>
        <w:tabs>
          <w:tab w:leader="none" w:pos="285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honor of a presentation that is subsequently determined by the applicable Issuing Bank to have been made in violation of international, federal, state or local restrictions on the transaction of business with certain prohibited Persons.</w:t>
      </w:r>
    </w:p>
    <w:p>
      <w:pPr>
        <w:spacing w:after="0" w:line="170" w:lineRule="exact"/>
        <w:rPr>
          <w:rFonts w:ascii="Arial" w:cs="Arial" w:eastAsia="Arial" w:hAnsi="Arial"/>
          <w:sz w:val="18"/>
          <w:szCs w:val="18"/>
          <w:color w:val="auto"/>
        </w:rPr>
      </w:pPr>
    </w:p>
    <w:p>
      <w:pPr>
        <w:jc w:val="both"/>
        <w:ind w:left="340" w:firstLine="1289"/>
        <w:spacing w:after="0" w:line="270" w:lineRule="auto"/>
        <w:tabs>
          <w:tab w:leader="none" w:pos="2845"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Each Borrower Group shall pay immediately upon demand to Agent for the account of each Issuing Bank as non-refundable fees, commissions, and charges (it being acknowledged and agreed that any charging of such fees, commissions, and charges to the applicable Loan Account pursuant to the provisions of </w:t>
      </w:r>
      <w:r>
        <w:rPr>
          <w:rFonts w:ascii="Arial" w:cs="Arial" w:eastAsia="Arial" w:hAnsi="Arial"/>
          <w:sz w:val="17"/>
          <w:szCs w:val="17"/>
          <w:u w:val="single" w:color="auto"/>
          <w:color w:val="auto"/>
        </w:rPr>
        <w:t>Section 2.6(d)</w:t>
      </w:r>
      <w:r>
        <w:rPr>
          <w:rFonts w:ascii="Arial" w:cs="Arial" w:eastAsia="Arial" w:hAnsi="Arial"/>
          <w:sz w:val="17"/>
          <w:szCs w:val="17"/>
          <w:color w:val="auto"/>
        </w:rPr>
        <w:t xml:space="preserve"> shall be deemed to constitute a demand for payment thereof for the purposes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2.11(k))</w:t>
      </w:r>
      <w:r>
        <w:rPr>
          <w:rFonts w:ascii="Arial" w:cs="Arial" w:eastAsia="Arial" w:hAnsi="Arial"/>
          <w:sz w:val="17"/>
          <w:szCs w:val="17"/>
          <w:color w:val="auto"/>
        </w:rPr>
        <w:t xml:space="preserve">: (i) a fronting fee which shall be imposed by Issuing Bank equal to 0.125%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multiplied by</w:t>
      </w:r>
      <w:r>
        <w:rPr>
          <w:rFonts w:ascii="Arial" w:cs="Arial" w:eastAsia="Arial" w:hAnsi="Arial"/>
          <w:sz w:val="17"/>
          <w:szCs w:val="17"/>
          <w:color w:val="auto"/>
        </w:rPr>
        <w:t xml:space="preserve"> the average amount of the Letter of Credit Usage attributable to Letters of Credit issued by such Issuing Bank for the account of such Borrower Group during the immediately preceding quarter, </w:t>
      </w:r>
      <w:r>
        <w:rPr>
          <w:rFonts w:ascii="Arial" w:cs="Arial" w:eastAsia="Arial" w:hAnsi="Arial"/>
          <w:sz w:val="17"/>
          <w:szCs w:val="17"/>
          <w:i w:val="1"/>
          <w:iCs w:val="1"/>
          <w:u w:val="single" w:color="auto"/>
          <w:color w:val="auto"/>
        </w:rPr>
        <w:t>plus</w:t>
      </w:r>
      <w:r>
        <w:rPr>
          <w:rFonts w:ascii="Arial" w:cs="Arial" w:eastAsia="Arial" w:hAnsi="Arial"/>
          <w:sz w:val="17"/>
          <w:szCs w:val="17"/>
          <w:i w:val="1"/>
          <w:iCs w:val="1"/>
          <w:color w:val="auto"/>
        </w:rPr>
        <w:t xml:space="preserve"> </w:t>
      </w:r>
      <w:r>
        <w:rPr>
          <w:rFonts w:ascii="Arial" w:cs="Arial" w:eastAsia="Arial" w:hAnsi="Arial"/>
          <w:sz w:val="17"/>
          <w:szCs w:val="17"/>
          <w:color w:val="auto"/>
        </w:rPr>
        <w:t>(ii) any and all other customary commissions, fees and charges then in effect imposed by, and any and all expenses incurred by, such Issuing Bank,</w:t>
      </w:r>
      <w:r>
        <w:rPr>
          <w:rFonts w:ascii="Arial" w:cs="Arial" w:eastAsia="Arial" w:hAnsi="Arial"/>
          <w:sz w:val="17"/>
          <w:szCs w:val="17"/>
          <w:i w:val="1"/>
          <w:iCs w:val="1"/>
          <w:color w:val="auto"/>
        </w:rPr>
        <w:t xml:space="preserve"> </w:t>
      </w:r>
      <w:r>
        <w:rPr>
          <w:rFonts w:ascii="Arial" w:cs="Arial" w:eastAsia="Arial" w:hAnsi="Arial"/>
          <w:sz w:val="17"/>
          <w:szCs w:val="17"/>
          <w:color w:val="auto"/>
        </w:rPr>
        <w:t>or by any adviser, confirming institution or entity or other nominated person, relating to such Letters of Credit, at the time of issuance of any such Letter of Credit and upon the occurrence of any other activity with respect to any such Letter of Credit (including transfers, assignments of proceeds, amendments, drawings, renewals or cancellations).</w:t>
      </w:r>
    </w:p>
    <w:p>
      <w:pPr>
        <w:spacing w:after="0" w:line="181" w:lineRule="exact"/>
        <w:rPr>
          <w:rFonts w:ascii="Arial" w:cs="Arial" w:eastAsia="Arial" w:hAnsi="Arial"/>
          <w:sz w:val="17"/>
          <w:szCs w:val="17"/>
          <w:color w:val="auto"/>
        </w:rPr>
      </w:pPr>
    </w:p>
    <w:p>
      <w:pPr>
        <w:jc w:val="both"/>
        <w:ind w:left="340" w:firstLine="1289"/>
        <w:spacing w:after="0" w:line="264" w:lineRule="auto"/>
        <w:tabs>
          <w:tab w:leader="none" w:pos="259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If by reason of (x) any Change in Law, or (y) compliance by any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81" w:lineRule="exact"/>
        <w:rPr>
          <w:rFonts w:ascii="Arial" w:cs="Arial" w:eastAsia="Arial" w:hAnsi="Arial"/>
          <w:sz w:val="18"/>
          <w:szCs w:val="18"/>
          <w:color w:val="auto"/>
        </w:rPr>
      </w:pPr>
    </w:p>
    <w:p>
      <w:pPr>
        <w:ind w:left="3120" w:hanging="1167"/>
        <w:spacing w:after="0"/>
        <w:tabs>
          <w:tab w:leader="none" w:pos="312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any reserve, deposit, or similar requirement is or shall be imposed or modified in respect of any Letter of Credit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issued or caused to be issued hereunder or hereby, or any Loans or obligations to make Loans hereunder or hereby, or</w:t>
      </w:r>
    </w:p>
    <w:p>
      <w:pPr>
        <w:spacing w:after="0" w:line="210" w:lineRule="exact"/>
        <w:rPr>
          <w:rFonts w:ascii="Arial" w:cs="Arial" w:eastAsia="Arial" w:hAnsi="Arial"/>
          <w:sz w:val="16"/>
          <w:szCs w:val="16"/>
          <w:color w:val="auto"/>
        </w:rPr>
      </w:pPr>
    </w:p>
    <w:p>
      <w:pPr>
        <w:ind w:firstLine="1953"/>
        <w:spacing w:after="0" w:line="277" w:lineRule="auto"/>
        <w:tabs>
          <w:tab w:leader="none" w:pos="2939"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there shall be imposed on any Issuing Bank or any other member of the Lender Group any other condition regarding any Letter of Credit, Loans, or obligations to make Loans hereunder,</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the result of the foregoing is to increase, directly or indirectly, the cost to any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Borrowers, and the Borrower Group obligated to such Issuing Bank shall pay within 30 days after demand therefor, such amounts as Agent may specify to be necessary to compensate the applicable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Borrowers shall not be required to provide any compensation pursuant to this </w:t>
      </w:r>
      <w:r>
        <w:rPr>
          <w:rFonts w:ascii="Arial" w:cs="Arial" w:eastAsia="Arial" w:hAnsi="Arial"/>
          <w:sz w:val="17"/>
          <w:szCs w:val="17"/>
          <w:u w:val="single" w:color="auto"/>
          <w:color w:val="auto"/>
        </w:rPr>
        <w:t>Section 2.11(l)</w:t>
      </w:r>
      <w:r>
        <w:rPr>
          <w:rFonts w:ascii="Arial" w:cs="Arial" w:eastAsia="Arial" w:hAnsi="Arial"/>
          <w:sz w:val="17"/>
          <w:szCs w:val="17"/>
          <w:color w:val="auto"/>
        </w:rPr>
        <w:t xml:space="preserve">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7"/>
          <w:szCs w:val="17"/>
          <w:u w:val="single" w:color="auto"/>
          <w:color w:val="auto"/>
        </w:rPr>
        <w:t>Section 2.11(l)</w:t>
      </w:r>
      <w:r>
        <w:rPr>
          <w:rFonts w:ascii="Arial" w:cs="Arial" w:eastAsia="Arial" w:hAnsi="Arial"/>
          <w:sz w:val="17"/>
          <w:szCs w:val="17"/>
          <w:color w:val="auto"/>
        </w:rPr>
        <w:t>, as set forth in a certificate setting forth the calculation thereof in reasonable detail, shall, in the absence of manifest or demonstrable error, be final and conclusive and binding on all of the parties hereto.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3" w:name="page334"/>
    <w:bookmarkEnd w:id="333"/>
    <w:p>
      <w:pPr>
        <w:jc w:val="both"/>
        <w:ind w:firstLine="1289"/>
        <w:spacing w:after="0" w:line="270" w:lineRule="auto"/>
        <w:tabs>
          <w:tab w:leader="none" w:pos="2209" w:val="left"/>
        </w:tabs>
        <w:numPr>
          <w:ilvl w:val="0"/>
          <w:numId w:val="382"/>
        </w:numPr>
        <w:rPr>
          <w:rFonts w:ascii="Arial" w:cs="Arial" w:eastAsia="Arial" w:hAnsi="Arial"/>
          <w:sz w:val="17"/>
          <w:szCs w:val="17"/>
          <w:color w:val="auto"/>
        </w:rPr>
      </w:pPr>
      <w:r>
        <w:rPr>
          <w:rFonts w:ascii="Arial" w:cs="Arial" w:eastAsia="Arial" w:hAnsi="Arial"/>
          <w:sz w:val="17"/>
          <w:szCs w:val="17"/>
          <w:color w:val="auto"/>
        </w:rPr>
        <w:t>Each standby Letter of Credit shall expire not later than the date that is five Business Days prior to the Maturity Date (the "</w:t>
      </w:r>
      <w:r>
        <w:rPr>
          <w:rFonts w:ascii="Arial" w:cs="Arial" w:eastAsia="Arial" w:hAnsi="Arial"/>
          <w:sz w:val="17"/>
          <w:szCs w:val="17"/>
          <w:u w:val="single" w:color="auto"/>
          <w:color w:val="auto"/>
        </w:rPr>
        <w:t>L/C 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any Borrower Group may request that an Issuing Bank issue on or prior to such date a Letter of Credit with an expiration date that is beyond the L/C Expiration Date (including as a result of an automatic renewal of a Letter of Credit for an additional period that would end after the L/C Expiration Date) (each such Letter of Credit, an "</w:t>
      </w:r>
      <w:r>
        <w:rPr>
          <w:rFonts w:ascii="Arial" w:cs="Arial" w:eastAsia="Arial" w:hAnsi="Arial"/>
          <w:sz w:val="17"/>
          <w:szCs w:val="17"/>
          <w:u w:val="single" w:color="auto"/>
          <w:color w:val="auto"/>
        </w:rPr>
        <w:t>Extended Expiration Letter of Credit</w:t>
      </w:r>
      <w:r>
        <w:rPr>
          <w:rFonts w:ascii="Arial" w:cs="Arial" w:eastAsia="Arial" w:hAnsi="Arial"/>
          <w:sz w:val="17"/>
          <w:szCs w:val="17"/>
          <w:color w:val="auto"/>
        </w:rPr>
        <w:t>"), and such Issuing Bank may in its sole discretion, without the consent of Agent or any of the Lenders, agree to issue such Extended Expiration Letter of Credit (it being understood that no Issuing Bank shall be obligated to issue any Extended Expiration Letter of Credit). No Extended Expiration Letter of Credit may be issued after the L/C Expiration Date. With respect to any Letter of Credit which extends beyond the Maturity Date, Letter of Credit Collateralization shall be provided therefor on or before the L/C Expiration Date. Each commercial Letter of Credit shall expire on the earlier of (i) 120 days after the date of the issuance of such commercial Letter of Credit and (ii) five Business Days prior to the Maturity Date.</w:t>
      </w:r>
    </w:p>
    <w:p>
      <w:pPr>
        <w:spacing w:after="0" w:line="181" w:lineRule="exact"/>
        <w:rPr>
          <w:rFonts w:ascii="Arial" w:cs="Arial" w:eastAsia="Arial" w:hAnsi="Arial"/>
          <w:sz w:val="17"/>
          <w:szCs w:val="17"/>
          <w:color w:val="auto"/>
        </w:rPr>
      </w:pPr>
    </w:p>
    <w:p>
      <w:pPr>
        <w:jc w:val="both"/>
        <w:ind w:firstLine="1289"/>
        <w:spacing w:after="0" w:line="270" w:lineRule="auto"/>
        <w:tabs>
          <w:tab w:leader="none" w:pos="219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 xml:space="preserve">If (i) any Event of Default shall occur and be continuing, or (ii) Excess Availability shall at any time be less than zero, then on the Business Day following the date when the Administrative Borrower receives notice from Agent or the Required Lenders (or, if the maturity of the Obligations has been accelerated, Lenders with Letter of Credit Exposure representing greater than 50% of the total Letter Credit Exposure) demanding Letter of Credit Collateralization pursuant to this </w:t>
      </w:r>
      <w:r>
        <w:rPr>
          <w:rFonts w:ascii="Arial" w:cs="Arial" w:eastAsia="Arial" w:hAnsi="Arial"/>
          <w:sz w:val="17"/>
          <w:szCs w:val="17"/>
          <w:u w:val="single" w:color="auto"/>
          <w:color w:val="auto"/>
        </w:rPr>
        <w:t>Section 2.11(n)</w:t>
      </w:r>
      <w:r>
        <w:rPr>
          <w:rFonts w:ascii="Arial" w:cs="Arial" w:eastAsia="Arial" w:hAnsi="Arial"/>
          <w:sz w:val="17"/>
          <w:szCs w:val="17"/>
          <w:color w:val="auto"/>
        </w:rPr>
        <w:t xml:space="preserve"> upon such demand, each Borrower Group shall provide Letter of Credit Collateralization with respect to the then existing Letter of Credit Usage of such Borrower Group. If a Borrower Group fails to provide Letter of Credit Collateralization as required by this </w:t>
      </w:r>
      <w:r>
        <w:rPr>
          <w:rFonts w:ascii="Arial" w:cs="Arial" w:eastAsia="Arial" w:hAnsi="Arial"/>
          <w:sz w:val="17"/>
          <w:szCs w:val="17"/>
          <w:u w:val="single" w:color="auto"/>
          <w:color w:val="auto"/>
        </w:rPr>
        <w:t>Section 2.11(n)</w:t>
      </w:r>
      <w:r>
        <w:rPr>
          <w:rFonts w:ascii="Arial" w:cs="Arial" w:eastAsia="Arial" w:hAnsi="Arial"/>
          <w:sz w:val="17"/>
          <w:szCs w:val="17"/>
          <w:color w:val="auto"/>
        </w:rPr>
        <w:t xml:space="preserve">, the Lenders may (and, upon direction of Agent, shall) advance, as Facility Loans the amount of the cash collateral required pursuant to the Letter of Credit Collateralization provision so that the then existing Letter of Credit Usage of such Borrower Group is cash collateralized in accordance with the Letter of Credit Collateralization provision (whether or not the Commitments have terminated, an Overadvance exists or the conditions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are satisfied).</w:t>
      </w:r>
    </w:p>
    <w:p>
      <w:pPr>
        <w:spacing w:after="0" w:line="181" w:lineRule="exact"/>
        <w:rPr>
          <w:rFonts w:ascii="Arial" w:cs="Arial" w:eastAsia="Arial" w:hAnsi="Arial"/>
          <w:sz w:val="17"/>
          <w:szCs w:val="17"/>
          <w:color w:val="auto"/>
        </w:rPr>
      </w:pPr>
    </w:p>
    <w:p>
      <w:pPr>
        <w:jc w:val="both"/>
        <w:ind w:firstLine="1289"/>
        <w:spacing w:after="0" w:line="264" w:lineRule="auto"/>
        <w:tabs>
          <w:tab w:leader="none" w:pos="2222"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Unless otherwise expressly agreed by the applicable Issuing Bank and a Borrower Group when a Letter of Credit is issued (including any such agreement applicable to an Existing Letter of Credit), (i) the rules of the ISP shall apply to each standby Letter of Credit, and (ii) the rules of the UCP shall apply to each commercial Letter of Credit.</w:t>
      </w:r>
    </w:p>
    <w:p>
      <w:pPr>
        <w:spacing w:after="0" w:line="181" w:lineRule="exact"/>
        <w:rPr>
          <w:rFonts w:ascii="Arial" w:cs="Arial" w:eastAsia="Arial" w:hAnsi="Arial"/>
          <w:sz w:val="18"/>
          <w:szCs w:val="18"/>
          <w:color w:val="auto"/>
        </w:rPr>
      </w:pPr>
    </w:p>
    <w:p>
      <w:pPr>
        <w:ind w:firstLine="1289"/>
        <w:spacing w:after="0" w:line="277" w:lineRule="auto"/>
        <w:tabs>
          <w:tab w:leader="none" w:pos="2222"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Issuing Bank shall be deemed to have acted with due diligence and reasonable care if such Issuing Bank's conduct is in accordance with Standard Letter of Credit Practice or in accordance with this Agreement.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34" w:name="page335"/>
    <w:bookmarkEnd w:id="334"/>
    <w:p>
      <w:pPr>
        <w:jc w:val="both"/>
        <w:ind w:firstLine="1289"/>
        <w:spacing w:after="0" w:line="259" w:lineRule="auto"/>
        <w:tabs>
          <w:tab w:leader="none" w:pos="238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In the event of a direct conflict between 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control and govern.</w:t>
      </w:r>
    </w:p>
    <w:p>
      <w:pPr>
        <w:spacing w:after="0" w:line="186" w:lineRule="exact"/>
        <w:rPr>
          <w:rFonts w:ascii="Arial" w:cs="Arial" w:eastAsia="Arial" w:hAnsi="Arial"/>
          <w:sz w:val="18"/>
          <w:szCs w:val="18"/>
          <w:color w:val="auto"/>
        </w:rPr>
      </w:pPr>
    </w:p>
    <w:p>
      <w:pPr>
        <w:ind w:right="20" w:firstLine="1289"/>
        <w:spacing w:after="0" w:line="277" w:lineRule="auto"/>
        <w:tabs>
          <w:tab w:leader="none" w:pos="24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survive the termination of this Agreement and the repayment in full of the Obligations with respect to any Letters of Credit that remain outstanding.</w:t>
      </w:r>
    </w:p>
    <w:p>
      <w:pPr>
        <w:spacing w:after="0" w:line="170" w:lineRule="exact"/>
        <w:rPr>
          <w:rFonts w:ascii="Arial" w:cs="Arial" w:eastAsia="Arial" w:hAnsi="Arial"/>
          <w:sz w:val="18"/>
          <w:szCs w:val="18"/>
          <w:color w:val="auto"/>
        </w:rPr>
      </w:pPr>
    </w:p>
    <w:p>
      <w:pPr>
        <w:jc w:val="both"/>
        <w:ind w:firstLine="1289"/>
        <w:spacing w:after="0" w:line="289" w:lineRule="auto"/>
        <w:tabs>
          <w:tab w:leader="none" w:pos="2368"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At each Borrower Group's costs and expense, such Borrower Group shall execute and deliver to the applicable Issuing Bank such additional certificates, instruments and/or documents and take such additional action as may be reasonably requested by such Issuing Bank to enable such Issuing Bank to issue any Letter of Credit for the account of such Borrower Group pursuant to this Agreement and related Issuer Document, to protect, exercise and/or enforce such Issuing Banks' rights and interests under this Agreement or to give effect to the terms and provisions of this Agreement or any Issuer Document. Each Borrower Group irrevocably appoints each Issuing Bank as its attorney-in-fact and authorizes each Issuing Bank, without notice to such Borrower Group, to execute and deliver ancillary documents and letters customary in the letter of credit business that may include but are not limited to advisements, indemnities, checks, bills of exchange and issuance documents. The power of attorney granted by each Borrower Group is limited solely to such actions related to the issuance, confirmation or amendment of any Letter of Credit for the account of such Borrower Group and to ancillary documents or letters customary in the letter of credit business. This appointment is coupled with an interest.</w:t>
      </w:r>
    </w:p>
    <w:p>
      <w:pPr>
        <w:spacing w:after="0" w:line="166" w:lineRule="exact"/>
        <w:rPr>
          <w:rFonts w:ascii="Arial" w:cs="Arial" w:eastAsia="Arial" w:hAnsi="Arial"/>
          <w:sz w:val="16"/>
          <w:szCs w:val="16"/>
          <w:color w:val="auto"/>
        </w:rPr>
      </w:pPr>
    </w:p>
    <w:p>
      <w:pPr>
        <w:jc w:val="both"/>
        <w:ind w:firstLine="1289"/>
        <w:spacing w:after="0" w:line="291" w:lineRule="auto"/>
        <w:tabs>
          <w:tab w:leader="none" w:pos="2488"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Any Issuing Bank may at any time give notice of its resignation to Agent, the Lenders, the other Issuing Banks and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such resignation is in connection with a permitted assignment of such Issuing Bank's rights and obligations under this Agreement or due to a regulatory issue, notice must be delivered no less than thirty (30) days in advance of such resignation and prior to the date of such resignation, the applicable Issuing Bank shall have identified another Lender reasonably acceptable to Borrowers and Agent that has agreed to act as a replacement Issuing Bank hereunder and in connection therewith such resigning Issuing Bank (i) shall not be required to issue any further Letters of Credit and (ii) shall maintain all of its rights as Issuing Bank with respect to any Letters of Credit issued by it prior to the date of such resignation so long as such Letters of Credit remain outstanding and are not otherwise subject to Letter of Credit Collateralization in accordance with the terms herein.</w:t>
      </w: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335" w:name="page336"/>
    <w:bookmarkEnd w:id="335"/>
    <w:p>
      <w:pPr>
        <w:ind w:left="660"/>
        <w:spacing w:after="0"/>
        <w:tabs>
          <w:tab w:leader="none" w:pos="17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b w:val="1"/>
          <w:bCs w:val="1"/>
          <w:u w:val="single" w:color="auto"/>
          <w:color w:val="auto"/>
        </w:rPr>
        <w:t>LIBOR Option</w:t>
      </w:r>
      <w:r>
        <w:rPr>
          <w:rFonts w:ascii="Arial" w:cs="Arial" w:eastAsia="Arial" w:hAnsi="Arial"/>
          <w:sz w:val="17"/>
          <w:szCs w:val="17"/>
          <w:color w:val="auto"/>
        </w:rPr>
        <w:t>.</w:t>
      </w:r>
    </w:p>
    <w:p>
      <w:pPr>
        <w:spacing w:after="0" w:line="225" w:lineRule="exact"/>
        <w:rPr>
          <w:sz w:val="20"/>
          <w:szCs w:val="20"/>
          <w:color w:val="auto"/>
        </w:rPr>
      </w:pPr>
    </w:p>
    <w:p>
      <w:pPr>
        <w:jc w:val="both"/>
        <w:ind w:left="340" w:firstLine="1289"/>
        <w:spacing w:after="0" w:line="287" w:lineRule="auto"/>
        <w:tabs>
          <w:tab w:leader="none" w:pos="2768" w:val="left"/>
        </w:tabs>
        <w:numPr>
          <w:ilvl w:val="0"/>
          <w:numId w:val="384"/>
        </w:numPr>
        <w:rPr>
          <w:rFonts w:ascii="Arial" w:cs="Arial" w:eastAsia="Arial" w:hAnsi="Arial"/>
          <w:sz w:val="16"/>
          <w:szCs w:val="16"/>
          <w:color w:val="auto"/>
        </w:rPr>
      </w:pPr>
      <w:r>
        <w:rPr>
          <w:rFonts w:ascii="Arial" w:cs="Arial" w:eastAsia="Arial" w:hAnsi="Arial"/>
          <w:sz w:val="16"/>
          <w:szCs w:val="16"/>
          <w:b w:val="1"/>
          <w:bCs w:val="1"/>
          <w:color w:val="auto"/>
        </w:rPr>
        <w:t>Interest and Interest Payment Dates</w:t>
      </w:r>
      <w:r>
        <w:rPr>
          <w:rFonts w:ascii="Arial" w:cs="Arial" w:eastAsia="Arial" w:hAnsi="Arial"/>
          <w:sz w:val="16"/>
          <w:szCs w:val="16"/>
          <w:color w:val="auto"/>
        </w:rPr>
        <w:t>. In lieu of having interest charged at the rate based upon the Base Rate,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Group shall have the option,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below (the "</w:t>
      </w:r>
      <w:r>
        <w:rPr>
          <w:rFonts w:ascii="Arial" w:cs="Arial" w:eastAsia="Arial" w:hAnsi="Arial"/>
          <w:sz w:val="16"/>
          <w:szCs w:val="16"/>
          <w:u w:val="single" w:color="auto"/>
          <w:color w:val="auto"/>
        </w:rPr>
        <w:t>LIBOR Option</w:t>
      </w:r>
      <w:r>
        <w:rPr>
          <w:rFonts w:ascii="Arial" w:cs="Arial" w:eastAsia="Arial" w:hAnsi="Arial"/>
          <w:sz w:val="16"/>
          <w:szCs w:val="16"/>
          <w:color w:val="auto"/>
        </w:rPr>
        <w:t xml:space="preserve">") to have interest on all or a portion of the Revolving Loans or the FILO Loans made to such Borrower Group be charged (whether at the time when made (unless otherwise provided herein), upon conversion from a Base Rate Loan to a LIBOR Rate Loan, or upon continuation of a LIBOR Rate Loan as a LIBOR Rate Loan) at a rate of interest based upon the LIBOR Rate. Interest on LIBOR Rate Loans shall be payable on the earliest of (i) the last day of the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 On the last day of each applicable Interest Period, unless a Borrower Group has properly exercised the LIBOR Option with respect thereto, the interest rate applicable to such LIBOR Rate Loan automatically shall convert to the rate of interest then applicable to Base Rate Loans of the same type hereunder. At any time that an Event of Default has occurred and is continuing, at the written election of Agent or the Required Lenders, Borrowers no longer shall have the option to request that Revolving Loans or FILO Loans bear interest at a rate based upon the LIBOR Rate.</w:t>
      </w:r>
    </w:p>
    <w:p>
      <w:pPr>
        <w:spacing w:after="0" w:line="168" w:lineRule="exact"/>
        <w:rPr>
          <w:rFonts w:ascii="Arial" w:cs="Arial" w:eastAsia="Arial" w:hAnsi="Arial"/>
          <w:sz w:val="16"/>
          <w:szCs w:val="16"/>
          <w:color w:val="auto"/>
        </w:rPr>
      </w:pPr>
    </w:p>
    <w:p>
      <w:pPr>
        <w:ind w:left="2520" w:hanging="891"/>
        <w:spacing w:after="0"/>
        <w:tabs>
          <w:tab w:leader="none" w:pos="252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LIBOR Election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54" w:lineRule="auto"/>
        <w:tabs>
          <w:tab w:leader="none" w:pos="310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Borrowers may, at any time and from time to time, so long as Borrowers have not received a notice from Agent (which notice Agent may elect to give or not give in its discretion unless Agent is directed to give such notice by the Required Lenders, in which case, it shall give the notice to Borrowers), after the occurrence and during the continuance of an Event of Default, to terminate the right of Borrowers to exercise the LIBOR Option during the continuance of such Event of Default, elect to exercise the LIBOR Option by notifying Agent prior to 1:00 p.m. at least three Business Days prior to the commencement of the proposed Interest Period (the "</w:t>
      </w:r>
      <w:r>
        <w:rPr>
          <w:rFonts w:ascii="Arial" w:cs="Arial" w:eastAsia="Arial" w:hAnsi="Arial"/>
          <w:sz w:val="18"/>
          <w:szCs w:val="18"/>
          <w:u w:val="single" w:color="auto"/>
          <w:color w:val="auto"/>
        </w:rPr>
        <w:t>LIBOR Deadline</w:t>
      </w:r>
      <w:r>
        <w:rPr>
          <w:rFonts w:ascii="Arial" w:cs="Arial" w:eastAsia="Arial" w:hAnsi="Arial"/>
          <w:sz w:val="18"/>
          <w:szCs w:val="18"/>
          <w:color w:val="auto"/>
        </w:rPr>
        <w:t>"). Notice of a Borrower Group's election of the LIBOR Option for a permitted portion of the Revolving Loans or the FILO Loans made to such Borrower Group and an Interest Period pursuant to this Section shall be made by delivery to Agent of a LIBOR Notice received by Agent before the LIBOR Deadline. Promptly upon its receipt of each such LIBOR Notice, Agent shall provide a copy thereof to each of the affected Lenders.</w:t>
      </w:r>
    </w:p>
    <w:p>
      <w:pPr>
        <w:spacing w:after="0" w:line="192" w:lineRule="exact"/>
        <w:rPr>
          <w:rFonts w:ascii="Arial" w:cs="Arial" w:eastAsia="Arial" w:hAnsi="Arial"/>
          <w:sz w:val="18"/>
          <w:szCs w:val="18"/>
          <w:color w:val="auto"/>
        </w:rPr>
      </w:pPr>
    </w:p>
    <w:p>
      <w:pPr>
        <w:jc w:val="both"/>
        <w:ind w:firstLine="1953"/>
        <w:spacing w:after="0" w:line="253" w:lineRule="auto"/>
        <w:tabs>
          <w:tab w:leader="none" w:pos="306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Each LIBOR Notice shall be irrevocable and binding on the applicable Borrower Group. In connection with each LIBOR Rate Loan, each Borrower Group shall indemnify, defend, and hold Agent and the Lenders harmless against any loss, cost, or expense actually incurred by Agent or any Lender as a result of (A) the payment or required assignment of any principal of any LIBOR Rate Loan other than on the last day of an Interest Period applicable thereto (including as a result of an Event of Default), (B) the conversion of any LIBOR Rate Loan other than on the last day of the Interest Period applicable thereto, or (C) the failure to borrow, convert, continue or prepay any LIBOR Rate Loan on the date specified in any LIBOR Notice delivered pursuant hereto (such losses, costs, or expenses, "</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A certificate of Agent or a Lender delivered to the applicable Borrower Group setting forth in reasonable detail any amount or amounts that Agent or such Lender is entitled to receive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be conclusive absent manifest error. The applicable Borrower Group shall pay such amount to Agent or the Lender, as applicable, within 30 days of the date of its receipt of such certificate.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6" w:name="page337"/>
    <w:bookmarkEnd w:id="336"/>
    <w:p>
      <w:pPr>
        <w:ind w:firstLine="1953"/>
        <w:spacing w:after="0" w:line="277" w:lineRule="auto"/>
        <w:tabs>
          <w:tab w:leader="none" w:pos="2836" w:val="left"/>
        </w:tabs>
        <w:numPr>
          <w:ilvl w:val="1"/>
          <w:numId w:val="385"/>
        </w:numPr>
        <w:rPr>
          <w:rFonts w:ascii="Arial" w:cs="Arial" w:eastAsia="Arial" w:hAnsi="Arial"/>
          <w:sz w:val="18"/>
          <w:szCs w:val="18"/>
          <w:color w:val="auto"/>
        </w:rPr>
      </w:pPr>
      <w:r>
        <w:rPr>
          <w:rFonts w:ascii="Arial" w:cs="Arial" w:eastAsia="Arial" w:hAnsi="Arial"/>
          <w:sz w:val="18"/>
          <w:szCs w:val="18"/>
          <w:color w:val="auto"/>
        </w:rPr>
        <w:t>Unless Agent, in its sole discretion, agrees otherwise, Borrowers shall have not more than five LIBOR Rate Loans in effect at any given time. Borrowers may only exercise the LIBOR Option for proposed LIBOR Rate Loans of at least $1,000,000.</w:t>
      </w:r>
    </w:p>
    <w:p>
      <w:pPr>
        <w:spacing w:after="0" w:line="166" w:lineRule="exact"/>
        <w:rPr>
          <w:rFonts w:ascii="Arial" w:cs="Arial" w:eastAsia="Arial" w:hAnsi="Arial"/>
          <w:sz w:val="18"/>
          <w:szCs w:val="18"/>
          <w:color w:val="auto"/>
        </w:rPr>
      </w:pPr>
    </w:p>
    <w:p>
      <w:pPr>
        <w:jc w:val="both"/>
        <w:ind w:left="340" w:firstLine="1289"/>
        <w:spacing w:after="0" w:line="274" w:lineRule="auto"/>
        <w:tabs>
          <w:tab w:leader="none" w:pos="2605" w:val="left"/>
        </w:tabs>
        <w:numPr>
          <w:ilvl w:val="0"/>
          <w:numId w:val="386"/>
        </w:numPr>
        <w:rPr>
          <w:rFonts w:ascii="Arial" w:cs="Arial" w:eastAsia="Arial" w:hAnsi="Arial"/>
          <w:sz w:val="17"/>
          <w:szCs w:val="17"/>
          <w:color w:val="auto"/>
        </w:rPr>
      </w:pPr>
      <w:r>
        <w:rPr>
          <w:rFonts w:ascii="Arial" w:cs="Arial" w:eastAsia="Arial" w:hAnsi="Arial"/>
          <w:sz w:val="17"/>
          <w:szCs w:val="17"/>
          <w:b w:val="1"/>
          <w:bCs w:val="1"/>
          <w:color w:val="auto"/>
        </w:rPr>
        <w:t>Conversion; Prepayment</w:t>
      </w:r>
      <w:r>
        <w:rPr>
          <w:rFonts w:ascii="Arial" w:cs="Arial" w:eastAsia="Arial" w:hAnsi="Arial"/>
          <w:sz w:val="17"/>
          <w:szCs w:val="17"/>
          <w:color w:val="auto"/>
        </w:rPr>
        <w:t>. Any Borrower Group may convert LIBOR Rate Loans to Base Rate Loans or prepay LIBOR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Rate Loans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LIBOR Rate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or for any other reason, including early termination of the term of this Agreement or acceleration of all or any portion of the Obligations pursuant to the terms hereof, such Borrower Group shall indemnify, defend, and hold Agent and the Lenders and their Participants harmless against any and all Funding Losses in accordance with </w:t>
      </w:r>
      <w:r>
        <w:rPr>
          <w:rFonts w:ascii="Arial" w:cs="Arial" w:eastAsia="Arial" w:hAnsi="Arial"/>
          <w:sz w:val="17"/>
          <w:szCs w:val="17"/>
          <w:u w:val="single" w:color="auto"/>
          <w:color w:val="auto"/>
        </w:rPr>
        <w:t>Section 2.12 (b)(ii)</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2520" w:hanging="891"/>
        <w:spacing w:after="0"/>
        <w:tabs>
          <w:tab w:leader="none" w:pos="2520"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Special Provisions Applicable to LIBOR Rate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89" w:lineRule="auto"/>
        <w:tabs>
          <w:tab w:leader="none" w:pos="288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 xml:space="preserve">The LIBOR Rate may be adjusted by Agent with respect to any Lender on a prospective basis to take into account any additional or increased costs to such Lender of maintaining or obtaining any eurodollar deposits or increased costs (other than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in each case, due to changes in applicable law occurring subsequent to the commencement of the then applicable Interest Period, including any Changes in Law and changes in the reserve requirements imposed by the Board of Governors, which additional or increased costs would increase the cost of funding or maintaining loans bearing interest at the LIBOR Rate. In any such event, the affected Lender shall give the applicable Borrower Group and Agent notice of such a determination and adjustment and Agent promptly shall transmit the notice to each other Lender and, upon its receipt of the notice from the affected Lender, such Borrower Group may, by notice to such affected Lender (A) require such Lender to furnish to such Borrower Group a statement setting forth in reasonable detail the basis for adjusting such LIBOR Rate and the method for determining the amount of such adjustment, or (B) repay the LIBOR Rate Loans of such Lender with respect to which such adjustment is made (together with any amounts due under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67" w:lineRule="exact"/>
        <w:rPr>
          <w:sz w:val="20"/>
          <w:szCs w:val="20"/>
          <w:color w:val="auto"/>
        </w:rPr>
      </w:pPr>
    </w:p>
    <w:p>
      <w:pPr>
        <w:jc w:val="both"/>
        <w:ind w:firstLine="1953"/>
        <w:spacing w:after="0" w:line="291" w:lineRule="auto"/>
        <w:tabs>
          <w:tab w:leader="none" w:pos="286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In the event that any change in market conditions or any Change in Law shall at any time after the date hereof, in the reasonable opinion of any Lender, make it unlawful or impractical for such Lender to fund or maintain LIBOR Rate Loans or to continue such funding or maintaining, or to determine or charge interest rates at the LIBOR Rate, such Lender shall give notice of such changed circumstances to Agent and the applicable Borrower Group and Agent promptly shall transmit the notice to each other Lender and (y) in the case of any LIBOR Rate Loans of such Lender that are outstanding, the date specified in such Lender's notice shall be deemed to be the last day of the Interest Period of such LIBOR Rate Loans, and interest upon the LIBOR Rate Loans of such Lender thereafter shall accrue interest at the rate then applicable to Base Rate Loans, and (z) such Borrower Group shall not be entitled to elect the LIBOR Option until such Lender determines that it would no longer be unlawful or impractical to do so.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7" w:name="page338"/>
    <w:bookmarkEnd w:id="337"/>
    <w:p>
      <w:pPr>
        <w:ind w:left="2760" w:hanging="807"/>
        <w:spacing w:after="0"/>
        <w:tabs>
          <w:tab w:leader="none" w:pos="2760"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Effect of Benchmark Transition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731"/>
        <w:spacing w:after="0" w:line="272" w:lineRule="auto"/>
        <w:tabs>
          <w:tab w:leader="none" w:pos="3557"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Benchmark Replacement</w:t>
      </w:r>
      <w:r>
        <w:rPr>
          <w:rFonts w:ascii="Arial" w:cs="Arial" w:eastAsia="Arial" w:hAnsi="Arial"/>
          <w:sz w:val="17"/>
          <w:szCs w:val="17"/>
          <w:color w:val="auto"/>
        </w:rPr>
        <w:t>. Notwithstanding anything to the contrary herein or in any other Loan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the occurrence of a Benchmark Transition Event or an Early Opt-in Election, as applicable, Agent and Administrative Borrower may amend this Agreement to replace the LIBOR Rate with a Benchmark Replacement. Any such amendment with respect to a Benchmark Transition Event will become effective at 5:00 p.m. on the fifth (5th) Business Day after Agent has posted such proposed amendment to all Lenders and Administrative Borrower so long as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Agent written notice that such Required Lenders accept such amendment. No replacement of the LIBOR Rate with a Benchmark Replacement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2.12(d)(iii)</w:t>
      </w:r>
      <w:r>
        <w:rPr>
          <w:rFonts w:ascii="Arial" w:cs="Arial" w:eastAsia="Arial" w:hAnsi="Arial"/>
          <w:sz w:val="17"/>
          <w:szCs w:val="17"/>
          <w:color w:val="auto"/>
        </w:rPr>
        <w:t xml:space="preserve"> will occur prior to the applicable Benchmark Transition Start Date.</w:t>
      </w:r>
    </w:p>
    <w:p>
      <w:pPr>
        <w:spacing w:after="0" w:line="172" w:lineRule="exact"/>
        <w:rPr>
          <w:rFonts w:ascii="Arial" w:cs="Arial" w:eastAsia="Arial" w:hAnsi="Arial"/>
          <w:sz w:val="17"/>
          <w:szCs w:val="17"/>
          <w:color w:val="auto"/>
        </w:rPr>
      </w:pPr>
    </w:p>
    <w:p>
      <w:pPr>
        <w:jc w:val="both"/>
        <w:ind w:firstLine="2731"/>
        <w:spacing w:after="0" w:line="281" w:lineRule="auto"/>
        <w:tabs>
          <w:tab w:leader="none" w:pos="3646"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Benchmark Replacement Conforming Changes</w:t>
      </w:r>
      <w:r>
        <w:rPr>
          <w:rFonts w:ascii="Arial" w:cs="Arial" w:eastAsia="Arial" w:hAnsi="Arial"/>
          <w:sz w:val="17"/>
          <w:szCs w:val="17"/>
          <w:color w:val="auto"/>
        </w:rPr>
        <w:t>. In connection with the implementation of a Benchmark</w:t>
      </w:r>
      <w:r>
        <w:rPr>
          <w:rFonts w:ascii="Arial" w:cs="Arial" w:eastAsia="Arial" w:hAnsi="Arial"/>
          <w:sz w:val="17"/>
          <w:szCs w:val="17"/>
          <w:b w:val="1"/>
          <w:bCs w:val="1"/>
          <w:color w:val="auto"/>
        </w:rPr>
        <w:t xml:space="preserve"> </w:t>
      </w:r>
      <w:r>
        <w:rPr>
          <w:rFonts w:ascii="Arial" w:cs="Arial" w:eastAsia="Arial" w:hAnsi="Arial"/>
          <w:sz w:val="17"/>
          <w:szCs w:val="17"/>
          <w:color w:val="auto"/>
        </w:rPr>
        <w:t>Replacement, Agent will have the right, in consultation with Administrative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64" w:lineRule="exact"/>
        <w:rPr>
          <w:rFonts w:ascii="Arial" w:cs="Arial" w:eastAsia="Arial" w:hAnsi="Arial"/>
          <w:sz w:val="17"/>
          <w:szCs w:val="17"/>
          <w:color w:val="auto"/>
        </w:rPr>
      </w:pPr>
    </w:p>
    <w:p>
      <w:pPr>
        <w:jc w:val="both"/>
        <w:ind w:firstLine="2731"/>
        <w:spacing w:after="0" w:line="272" w:lineRule="auto"/>
        <w:tabs>
          <w:tab w:leader="none" w:pos="3930"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Notices; Standards for Decisions and Determinations</w:t>
      </w:r>
      <w:r>
        <w:rPr>
          <w:rFonts w:ascii="Arial" w:cs="Arial" w:eastAsia="Arial" w:hAnsi="Arial"/>
          <w:sz w:val="17"/>
          <w:szCs w:val="17"/>
          <w:color w:val="auto"/>
        </w:rPr>
        <w:t>. Agent will promptly notify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and the Lenders of (1) any occurrence of a Benchmark Transition Event or an Early Opt-in Election, as applicable, and its related Benchmark Replacement Date and Benchmark Transition Start Date, (2) the implementation of any Benchmark Replacement, (3) the effectiveness of any Benchmark Replacement Conforming Changes and (4) the commencement or conclusion of any Benchmark Unavailability Period. Any determination, decision or election that may be made by Agent or the Lenders pursuant to this </w:t>
      </w:r>
      <w:r>
        <w:rPr>
          <w:rFonts w:ascii="Arial" w:cs="Arial" w:eastAsia="Arial" w:hAnsi="Arial"/>
          <w:sz w:val="17"/>
          <w:szCs w:val="17"/>
          <w:u w:val="single" w:color="auto"/>
          <w:color w:val="auto"/>
        </w:rPr>
        <w:t>Section 2.12(d)(iii)</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or consultation with any other party hereto, except, in each case, as expressly required pursuant to this </w:t>
      </w:r>
      <w:r>
        <w:rPr>
          <w:rFonts w:ascii="Arial" w:cs="Arial" w:eastAsia="Arial" w:hAnsi="Arial"/>
          <w:sz w:val="17"/>
          <w:szCs w:val="17"/>
          <w:u w:val="single" w:color="auto"/>
          <w:color w:val="auto"/>
        </w:rPr>
        <w:t>Section 2.12(d)(iii)</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2731"/>
        <w:spacing w:after="0" w:line="277" w:lineRule="auto"/>
        <w:tabs>
          <w:tab w:leader="none" w:pos="4192" w:val="left"/>
        </w:tabs>
        <w:numPr>
          <w:ilvl w:val="1"/>
          <w:numId w:val="388"/>
        </w:numPr>
        <w:rPr>
          <w:rFonts w:ascii="Arial" w:cs="Arial" w:eastAsia="Arial" w:hAnsi="Arial"/>
          <w:sz w:val="17"/>
          <w:szCs w:val="17"/>
          <w:color w:val="auto"/>
        </w:rPr>
      </w:pPr>
      <w:r>
        <w:rPr>
          <w:rFonts w:ascii="Arial" w:cs="Arial" w:eastAsia="Arial" w:hAnsi="Arial"/>
          <w:sz w:val="17"/>
          <w:szCs w:val="17"/>
          <w:b w:val="1"/>
          <w:bCs w:val="1"/>
          <w:color w:val="auto"/>
        </w:rPr>
        <w:t>Benchmark Unavailability Period</w:t>
      </w:r>
      <w:r>
        <w:rPr>
          <w:rFonts w:ascii="Arial" w:cs="Arial" w:eastAsia="Arial" w:hAnsi="Arial"/>
          <w:sz w:val="17"/>
          <w:szCs w:val="17"/>
          <w:color w:val="auto"/>
        </w:rPr>
        <w:t>. Upon Administrative Borrower's receipt of notice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of a Benchmark Unavailability Period, Administrative Borrower may revoke any request for a LIBOR Borrowing of, conversion to or continuation of LIBOR Rate Loans to be made, converted or continued during any Benchmark Unavailability Period and, failing that, Administrative Borrower will be deemed to have converted any such request into a request for a Borrowing of or conversion to Base Rate Loans. During any Benchmark Unavailability Period, the component of Base Rate based upon the LIBOR Rate will not be used in any determination of the Base Rate.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8" w:name="page339"/>
    <w:bookmarkEnd w:id="338"/>
    <w:p>
      <w:pPr>
        <w:jc w:val="both"/>
        <w:ind w:firstLine="1289"/>
        <w:spacing w:after="0" w:line="266" w:lineRule="auto"/>
        <w:tabs>
          <w:tab w:leader="none" w:pos="2171"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No Requirement of Matched Funding</w:t>
      </w:r>
      <w:r>
        <w:rPr>
          <w:rFonts w:ascii="Arial" w:cs="Arial" w:eastAsia="Arial" w:hAnsi="Arial"/>
          <w:sz w:val="18"/>
          <w:szCs w:val="18"/>
          <w:color w:val="auto"/>
        </w:rPr>
        <w:t>. Anything to the contrary contained herein notwithstanding, neither Agent,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nor any of their Participants, is required actually to acquire eurodollar deposits to fund or otherwise match fund any Obligation as to which interest accrues at the LIBOR Rate.</w:t>
      </w:r>
    </w:p>
    <w:p>
      <w:pPr>
        <w:spacing w:after="0" w:line="176" w:lineRule="exact"/>
        <w:rPr>
          <w:sz w:val="20"/>
          <w:szCs w:val="20"/>
          <w:color w:val="auto"/>
        </w:rPr>
      </w:pPr>
    </w:p>
    <w:p>
      <w:pPr>
        <w:ind w:left="320"/>
        <w:spacing w:after="0"/>
        <w:tabs>
          <w:tab w:leader="none" w:pos="13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u w:val="single" w:color="auto"/>
          <w:color w:val="auto"/>
        </w:rPr>
        <w:t>Capital Requirements</w:t>
      </w:r>
      <w:r>
        <w:rPr>
          <w:rFonts w:ascii="Arial" w:cs="Arial" w:eastAsia="Arial" w:hAnsi="Arial"/>
          <w:sz w:val="16"/>
          <w:szCs w:val="16"/>
          <w:color w:val="auto"/>
        </w:rPr>
        <w:t>.</w:t>
      </w:r>
    </w:p>
    <w:p>
      <w:pPr>
        <w:spacing w:after="0" w:line="229" w:lineRule="exact"/>
        <w:rPr>
          <w:sz w:val="20"/>
          <w:szCs w:val="20"/>
          <w:color w:val="auto"/>
        </w:rPr>
      </w:pPr>
    </w:p>
    <w:p>
      <w:pPr>
        <w:jc w:val="both"/>
        <w:ind w:firstLine="1289"/>
        <w:spacing w:after="0" w:line="285" w:lineRule="auto"/>
        <w:tabs>
          <w:tab w:leader="none" w:pos="226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If, after the date hereof, Issuing Bank or any Lender with respect to a Borrower Group determines that (i) any Change in Law regarding capital, liquidity or reserve requirements for banks or bank holding companies, or (ii) compliance by Issuing Bank or such Lender, or their respective parent bank holding companies, with any guideline, request or directive of any Governmental Authority regarding capital adequacy or liquidity requirements (whether or not having the force of law), has the effect of reducing the return on Issuing Bank's, such Lender's, or such holding companies' capital or liquidity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or liquidity requirements and assuming the full utilization of such entity's capital) by any amount deemed by Issuing Bank or such Lender to be material, then Issuing Bank or such Lender may notify such Borrower Group and Agent thereof. Following receipt of such notice, such Borrower Group agrees to pay Issuing Bank or such Lender on demand the amount of such reduction of return of capital as and when such reduction is determined, payable within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Group shall be required to compensate Issuing Bank or a Lender pursuant to this Section for any reductions in return incurred more than 180 days prior to the date that Issuing Bank or such Lender notifies such Borrower Group of such Change in Law giving rise to such reductions and of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such claim arises by reason of the Change in Law that is retroactive, then the 180-day period referred to above shall be extended to include the period of retroactive effect thereof.</w:t>
      </w: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339" w:name="page340"/>
    <w:bookmarkEnd w:id="339"/>
    <w:p>
      <w:pPr>
        <w:jc w:val="both"/>
        <w:ind w:left="340" w:firstLine="1289"/>
        <w:spacing w:after="0" w:line="284" w:lineRule="auto"/>
        <w:tabs>
          <w:tab w:leader="none" w:pos="2764" w:val="left"/>
        </w:tabs>
        <w:numPr>
          <w:ilvl w:val="2"/>
          <w:numId w:val="391"/>
        </w:numPr>
        <w:rPr>
          <w:rFonts w:ascii="Arial" w:cs="Arial" w:eastAsia="Arial" w:hAnsi="Arial"/>
          <w:sz w:val="16"/>
          <w:szCs w:val="16"/>
          <w:color w:val="auto"/>
        </w:rPr>
      </w:pPr>
      <w:r>
        <w:rPr>
          <w:rFonts w:ascii="Arial" w:cs="Arial" w:eastAsia="Arial" w:hAnsi="Arial"/>
          <w:sz w:val="16"/>
          <w:szCs w:val="16"/>
          <w:color w:val="auto"/>
        </w:rPr>
        <w:t xml:space="preserve">If Issuing Bank or any Lender with respect to a Borrower Group requests additional or increased costs referred to in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amounts under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 sends a notice under </w:t>
      </w:r>
      <w:r>
        <w:rPr>
          <w:rFonts w:ascii="Arial" w:cs="Arial" w:eastAsia="Arial" w:hAnsi="Arial"/>
          <w:sz w:val="16"/>
          <w:szCs w:val="16"/>
          <w:u w:val="single" w:color="auto"/>
          <w:color w:val="auto"/>
        </w:rPr>
        <w:t>Section 2.12(d)(ii)</w:t>
      </w:r>
      <w:r>
        <w:rPr>
          <w:rFonts w:ascii="Arial" w:cs="Arial" w:eastAsia="Arial" w:hAnsi="Arial"/>
          <w:sz w:val="16"/>
          <w:szCs w:val="16"/>
          <w:color w:val="auto"/>
        </w:rPr>
        <w:t xml:space="preserve"> relative to changed circumstances (such Issuing Bank or Lender, an "</w:t>
      </w:r>
      <w:r>
        <w:rPr>
          <w:rFonts w:ascii="Arial" w:cs="Arial" w:eastAsia="Arial" w:hAnsi="Arial"/>
          <w:sz w:val="16"/>
          <w:szCs w:val="16"/>
          <w:u w:val="single" w:color="auto"/>
          <w:color w:val="auto"/>
        </w:rPr>
        <w:t>Affected Lender</w:t>
      </w:r>
      <w:r>
        <w:rPr>
          <w:rFonts w:ascii="Arial" w:cs="Arial" w:eastAsia="Arial" w:hAnsi="Arial"/>
          <w:sz w:val="16"/>
          <w:szCs w:val="16"/>
          <w:color w:val="auto"/>
        </w:rPr>
        <w:t xml:space="preserve">"),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as applicable, or would eliminate the illegality or impracticality of funding or maintaining LIBOR Rate Loans, and</w:t>
      </w:r>
    </w:p>
    <w:p>
      <w:pPr>
        <w:spacing w:after="0" w:line="4" w:lineRule="exact"/>
        <w:rPr>
          <w:rFonts w:ascii="Arial" w:cs="Arial" w:eastAsia="Arial" w:hAnsi="Arial"/>
          <w:sz w:val="16"/>
          <w:szCs w:val="16"/>
          <w:color w:val="auto"/>
        </w:rPr>
      </w:pPr>
    </w:p>
    <w:p>
      <w:pPr>
        <w:jc w:val="both"/>
        <w:ind w:left="340" w:hanging="8"/>
        <w:spacing w:after="0" w:line="285" w:lineRule="auto"/>
        <w:tabs>
          <w:tab w:leader="none" w:pos="631" w:val="left"/>
        </w:tabs>
        <w:numPr>
          <w:ilvl w:val="1"/>
          <w:numId w:val="392"/>
        </w:numPr>
        <w:rPr>
          <w:rFonts w:ascii="Arial" w:cs="Arial" w:eastAsia="Arial" w:hAnsi="Arial"/>
          <w:sz w:val="16"/>
          <w:szCs w:val="16"/>
          <w:color w:val="auto"/>
        </w:rPr>
      </w:pPr>
      <w:r>
        <w:rPr>
          <w:rFonts w:ascii="Arial" w:cs="Arial" w:eastAsia="Arial" w:hAnsi="Arial"/>
          <w:sz w:val="16"/>
          <w:szCs w:val="16"/>
          <w:color w:val="auto"/>
        </w:rPr>
        <w:t xml:space="preserve">in the reasonable judgment of such Affected Lender, such designation or assignment would not subject it to any material unreimbursed cost or expense and would not otherwise be materially disadvantageous to it. The applicable Borrower Group agrees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such Borrower Group's obligation to pay any future amounts to such Affected Lender pursuant to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or to enable such Borrower Group to obtain LIBOR Rate Loans, then such Borrower Group (without prejudice to any amounts then due to such Affected Lender under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as applicable) may, unless prior to the effective date of any such assignment the Affected Lender withdraws its request for such additional amounts under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2.13(a)</w:t>
      </w:r>
      <w:r>
        <w:rPr>
          <w:rFonts w:ascii="Arial" w:cs="Arial" w:eastAsia="Arial" w:hAnsi="Arial"/>
          <w:sz w:val="16"/>
          <w:szCs w:val="16"/>
          <w:color w:val="auto"/>
        </w:rPr>
        <w:t>, as applicable, or indicates that it is no longer unlawful or impractical to fund or maintain LIBOR Rate Loans, may designate a different Issuing Bank or substitute a Lender or prospective Lender, in each case, reasonably acceptable to Agent to purchase the Obligations owed to such Affected Lender and such Affected Lender's commitments hereunder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168" w:lineRule="exact"/>
        <w:rPr>
          <w:rFonts w:ascii="Arial" w:cs="Arial" w:eastAsia="Arial" w:hAnsi="Arial"/>
          <w:sz w:val="16"/>
          <w:szCs w:val="16"/>
          <w:color w:val="auto"/>
        </w:rPr>
      </w:pPr>
    </w:p>
    <w:p>
      <w:pPr>
        <w:jc w:val="both"/>
        <w:ind w:left="340" w:firstLine="1289"/>
        <w:spacing w:after="0" w:line="293" w:lineRule="auto"/>
        <w:tabs>
          <w:tab w:leader="none" w:pos="2605" w:val="left"/>
        </w:tabs>
        <w:numPr>
          <w:ilvl w:val="2"/>
          <w:numId w:val="39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protection of </w:t>
      </w:r>
      <w:r>
        <w:rPr>
          <w:rFonts w:ascii="Arial" w:cs="Arial" w:eastAsia="Arial" w:hAnsi="Arial"/>
          <w:sz w:val="16"/>
          <w:szCs w:val="16"/>
          <w:u w:val="single" w:color="auto"/>
          <w:color w:val="auto"/>
        </w:rPr>
        <w:t>Sections 2.11(l)</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if it shall not at the time be the general policy or practice of Issuing Bank or such Lender (as the case may be) to demand such compensation in similar circumstances under comparable provisions of other credit agreements, if any.</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CONDITIONS; TERM OF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Conditions Precedent to the Initial Extension of Credit</w:t>
      </w:r>
      <w:r>
        <w:rPr>
          <w:rFonts w:ascii="Arial" w:cs="Arial" w:eastAsia="Arial" w:hAnsi="Arial"/>
          <w:sz w:val="17"/>
          <w:szCs w:val="17"/>
          <w:color w:val="auto"/>
        </w:rPr>
        <w:t xml:space="preserve">. The obligation of each Lender to make the initial extensions of credit provided for hereunder is subject to the fulfillment of each of the conditions precedent set forth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to this Agreement (the making of such initial extensions of credit by a Lender being conclusively deemed to be its satisfaction or waiver of the conditions precedent). In addition to the foregoing, (a) the obligation of each Lender with a German Commitment to make the initial extensions of credit to the German Borrower provided for hereunder is further subject to the fulfillment of each of the conditions precedent set forth on </w:t>
      </w:r>
      <w:r>
        <w:rPr>
          <w:rFonts w:ascii="Arial" w:cs="Arial" w:eastAsia="Arial" w:hAnsi="Arial"/>
          <w:sz w:val="17"/>
          <w:szCs w:val="17"/>
          <w:u w:val="single" w:color="auto"/>
          <w:color w:val="auto"/>
        </w:rPr>
        <w:t>Schedule 3.1(a)</w:t>
      </w:r>
      <w:r>
        <w:rPr>
          <w:rFonts w:ascii="Arial" w:cs="Arial" w:eastAsia="Arial" w:hAnsi="Arial"/>
          <w:sz w:val="17"/>
          <w:szCs w:val="17"/>
          <w:color w:val="auto"/>
        </w:rPr>
        <w:t xml:space="preserve"> to this Agreement (the making of such initial extensions of credit by a Lender with a German Commitment being conclusively deemed to be its satisfaction or waiver of such conditions precedent), and (b) the obligation of each Lender with a Swiss Commitment to make the initial extensions of credit to the Swiss Borrower provided for hereunder is further subject to the fulfillment of each of the conditions precedent set forth on </w:t>
      </w:r>
      <w:r>
        <w:rPr>
          <w:rFonts w:ascii="Arial" w:cs="Arial" w:eastAsia="Arial" w:hAnsi="Arial"/>
          <w:sz w:val="17"/>
          <w:szCs w:val="17"/>
          <w:u w:val="single" w:color="auto"/>
          <w:color w:val="auto"/>
        </w:rPr>
        <w:t>Schedule 3.1(b)</w:t>
      </w:r>
      <w:r>
        <w:rPr>
          <w:rFonts w:ascii="Arial" w:cs="Arial" w:eastAsia="Arial" w:hAnsi="Arial"/>
          <w:sz w:val="17"/>
          <w:szCs w:val="17"/>
          <w:color w:val="auto"/>
        </w:rPr>
        <w:t xml:space="preserve"> to this Agreement (the making of such initial extensions of credit by a Lender with a Swiss Revolving Commitment being conclusively deemed to be its satisfaction or waiver of such conditions precedent).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0" w:name="page341"/>
    <w:bookmarkEnd w:id="340"/>
    <w:p>
      <w:pPr>
        <w:ind w:left="660"/>
        <w:spacing w:after="0"/>
        <w:tabs>
          <w:tab w:leader="none" w:pos="2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Conditions Precedent to all Extensions of Credit</w:t>
      </w:r>
      <w:r>
        <w:rPr>
          <w:rFonts w:ascii="Arial" w:cs="Arial" w:eastAsia="Arial" w:hAnsi="Arial"/>
          <w:sz w:val="16"/>
          <w:szCs w:val="16"/>
          <w:color w:val="auto"/>
        </w:rPr>
        <w:t>. The obligation of the Lender Group (or any member thereof) to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Revolving Loans hereunder (or to extend any other credit hereunder) at any time shall be subject to the following conditions precedent:</w:t>
      </w:r>
    </w:p>
    <w:p>
      <w:pPr>
        <w:spacing w:after="0" w:line="211" w:lineRule="exact"/>
        <w:rPr>
          <w:sz w:val="20"/>
          <w:szCs w:val="20"/>
          <w:color w:val="auto"/>
        </w:rPr>
      </w:pPr>
    </w:p>
    <w:p>
      <w:pPr>
        <w:jc w:val="both"/>
        <w:ind w:left="340" w:firstLine="1289"/>
        <w:spacing w:after="0" w:line="273" w:lineRule="auto"/>
        <w:tabs>
          <w:tab w:leader="none" w:pos="260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representations and warranties of each Loan Party or its Restricted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78" w:lineRule="exact"/>
        <w:rPr>
          <w:rFonts w:ascii="Arial" w:cs="Arial" w:eastAsia="Arial" w:hAnsi="Arial"/>
          <w:sz w:val="17"/>
          <w:szCs w:val="17"/>
          <w:color w:val="auto"/>
        </w:rPr>
      </w:pPr>
    </w:p>
    <w:p>
      <w:pPr>
        <w:ind w:left="340" w:firstLine="1289"/>
        <w:spacing w:after="0" w:line="277" w:lineRule="auto"/>
        <w:tabs>
          <w:tab w:leader="none" w:pos="268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extension of credit, nor shall either result from the making thereof.</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Maturity</w:t>
      </w:r>
      <w:r>
        <w:rPr>
          <w:rFonts w:ascii="Arial" w:cs="Arial" w:eastAsia="Arial" w:hAnsi="Arial"/>
          <w:sz w:val="18"/>
          <w:szCs w:val="18"/>
          <w:color w:val="auto"/>
        </w:rPr>
        <w:t>. The Commitments shall continue in full force and effect for a term ending on the Maturity Date (unless terminated earlier in accordance with the terms hereof).</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Effect of Maturity</w:t>
      </w:r>
      <w:r>
        <w:rPr>
          <w:rFonts w:ascii="Arial" w:cs="Arial" w:eastAsia="Arial" w:hAnsi="Arial"/>
          <w:sz w:val="16"/>
          <w:szCs w:val="16"/>
          <w:color w:val="auto"/>
        </w:rPr>
        <w:t>. On the Maturity Date, all commitments of the Lender Group to provide additional credit hereunder shall 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When all of the Obligations have been paid in full,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1" w:name="page342"/>
    <w:bookmarkEnd w:id="341"/>
    <w:p>
      <w:pPr>
        <w:jc w:val="both"/>
        <w:ind w:firstLine="648"/>
        <w:spacing w:after="0" w:line="29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Early Termination by Borrowers</w:t>
      </w:r>
      <w:r>
        <w:rPr>
          <w:rFonts w:ascii="Arial" w:cs="Arial" w:eastAsia="Arial" w:hAnsi="Arial"/>
          <w:sz w:val="16"/>
          <w:szCs w:val="16"/>
          <w:color w:val="auto"/>
        </w:rPr>
        <w:t>. Borrowers have the option, at any time upon three Business Days prior written notice to Agent, to repay all of the Obligations in full and terminate the Commitments. The foregoing notwithstanding, (a) Borrowers may rescind termination notices relative to proposed payments in full of the Obligations with the proceeds of third party Indebtedness if the closing for such issuance or incurrence does not happen on or before the date of the proposed termination (in which case, a new notice shall be required to be sent in connection with any subsequent termination), and (b) Borrowers may extend the date of termination at any time with the consent of Agent (which consent shall not be unreasonably withheld or delayed).</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Conditions Subsequent</w:t>
      </w:r>
      <w:r>
        <w:rPr>
          <w:rFonts w:ascii="Arial" w:cs="Arial" w:eastAsia="Arial" w:hAnsi="Arial"/>
          <w:sz w:val="17"/>
          <w:szCs w:val="17"/>
          <w:color w:val="auto"/>
        </w:rPr>
        <w:t xml:space="preserve">. The obligation of the Lender Group (or any member thereof) to continue to make Loans (or otherwise extend credit hereunder) is subject to the fulfillment, on or before the date applicable thereto, of the conditions subsequent set forth on </w:t>
      </w:r>
      <w:r>
        <w:rPr>
          <w:rFonts w:ascii="Arial" w:cs="Arial" w:eastAsia="Arial" w:hAnsi="Arial"/>
          <w:sz w:val="17"/>
          <w:szCs w:val="17"/>
          <w:u w:val="single" w:color="auto"/>
          <w:color w:val="auto"/>
        </w:rPr>
        <w:t>Schedule 3.6</w:t>
      </w:r>
      <w:r>
        <w:rPr>
          <w:rFonts w:ascii="Arial" w:cs="Arial" w:eastAsia="Arial" w:hAnsi="Arial"/>
          <w:sz w:val="17"/>
          <w:szCs w:val="17"/>
          <w:color w:val="auto"/>
        </w:rPr>
        <w:t xml:space="preserve"> to this 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 The obligation of the Joint Lender Group (or any member thereof) to make Loans (or otherwise extend credit hereunder) predicated on the assets of a Norwegian Borrowing Base Loan Party is subject to the fulfillment, to the reasonable satisfaction of Agent and each Lender with a Joint Commitment, of each of the conditions precedent set forth on </w:t>
      </w:r>
      <w:r>
        <w:rPr>
          <w:rFonts w:ascii="Arial" w:cs="Arial" w:eastAsia="Arial" w:hAnsi="Arial"/>
          <w:sz w:val="17"/>
          <w:szCs w:val="17"/>
          <w:u w:val="single" w:color="auto"/>
          <w:color w:val="auto"/>
        </w:rPr>
        <w:t>Schedule 3.6(a)</w:t>
      </w:r>
      <w:r>
        <w:rPr>
          <w:rFonts w:ascii="Arial" w:cs="Arial" w:eastAsia="Arial" w:hAnsi="Arial"/>
          <w:sz w:val="17"/>
          <w:szCs w:val="17"/>
          <w:color w:val="auto"/>
        </w:rPr>
        <w:t xml:space="preserve"> to this Agreement (the making of any extension of credit by a Lender with a Joint Commitment being conclusively deemed to be its satisfaction or waiver of such conditions subsequent).</w:t>
      </w:r>
    </w:p>
    <w:p>
      <w:pPr>
        <w:spacing w:after="0" w:line="172" w:lineRule="exact"/>
        <w:rPr>
          <w:sz w:val="20"/>
          <w:szCs w:val="20"/>
          <w:color w:val="auto"/>
        </w:rPr>
      </w:pPr>
    </w:p>
    <w:p>
      <w:pPr>
        <w:ind w:left="660" w:hanging="652"/>
        <w:spacing w:after="0"/>
        <w:tabs>
          <w:tab w:leader="none" w:pos="66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induce the Lender Group to enter into this Agreement, each of Parent and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Loan (or other extension of credit) made thereafter, as though made on and as of the date of such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Due Organization and Qualification; Subsidiaries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97" w:lineRule="auto"/>
        <w:tabs>
          <w:tab w:leader="none" w:pos="261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Each Loan Party and each of its Restricted Subsidiaries (i) is duly organized and existing and, to the extent applicable in the relevant jurisdiction of such Loan Party or Restricted Subsidiary, in good standing under the laws of the jurisdiction of its organization, (ii) is qualified or registered to do business in any jurisdiction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2" w:name="page343"/>
    <w:bookmarkEnd w:id="342"/>
    <w:p>
      <w:pPr>
        <w:jc w:val="both"/>
        <w:ind w:firstLine="1289"/>
        <w:spacing w:after="0" w:line="286" w:lineRule="auto"/>
        <w:tabs>
          <w:tab w:leader="none" w:pos="2222"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4.1(b)</w:t>
      </w:r>
      <w:r>
        <w:rPr>
          <w:rFonts w:ascii="Arial" w:cs="Arial" w:eastAsia="Arial" w:hAnsi="Arial"/>
          <w:sz w:val="17"/>
          <w:szCs w:val="17"/>
          <w:color w:val="auto"/>
        </w:rPr>
        <w:t xml:space="preserve"> to this Agreement is a complete and accurate description of the authorized Equity Interests of Parent as of the Closing Date immediately after giving effect to the Transactions, by class, and, as of the Closing Date immediately after giving effect to the Transactions, a description of the number of shares of each such class that are issued and outstanding.</w:t>
      </w:r>
    </w:p>
    <w:p>
      <w:pPr>
        <w:spacing w:after="0" w:line="165" w:lineRule="exact"/>
        <w:rPr>
          <w:rFonts w:ascii="Arial" w:cs="Arial" w:eastAsia="Arial" w:hAnsi="Arial"/>
          <w:sz w:val="17"/>
          <w:szCs w:val="17"/>
          <w:color w:val="auto"/>
        </w:rPr>
      </w:pPr>
    </w:p>
    <w:p>
      <w:pPr>
        <w:jc w:val="both"/>
        <w:ind w:firstLine="1289"/>
        <w:spacing w:after="0" w:line="297" w:lineRule="auto"/>
        <w:tabs>
          <w:tab w:leader="none" w:pos="2347"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4.1(c)</w:t>
      </w:r>
      <w:r>
        <w:rPr>
          <w:rFonts w:ascii="Arial" w:cs="Arial" w:eastAsia="Arial" w:hAnsi="Arial"/>
          <w:sz w:val="16"/>
          <w:szCs w:val="16"/>
          <w:color w:val="auto"/>
        </w:rPr>
        <w:t xml:space="preserve"> to this Agreement (as such Schedule may be updated from time to time to reflect changes resulting from transactions permitted under this Agreement), is a complete and accurate list of Parent's direct and indirect Subsidiaries, showing, solely in the case of Loan Parties: (i) the number of shares of each class of common and preferred Equity Interests authorized for each of such Loan Party, and (ii) the number and the percentage of the outstanding shares of each class of Equity Interests owned directly by the parent (or parents) of each such Loan Party. All of the outstanding Equity Interests of each Loan Party has been validly issued and is fully paid and non-assessable.</w:t>
      </w:r>
    </w:p>
    <w:p>
      <w:pPr>
        <w:spacing w:after="0" w:line="158" w:lineRule="exact"/>
        <w:rPr>
          <w:rFonts w:ascii="Arial" w:cs="Arial" w:eastAsia="Arial" w:hAnsi="Arial"/>
          <w:sz w:val="16"/>
          <w:szCs w:val="16"/>
          <w:color w:val="auto"/>
        </w:rPr>
      </w:pPr>
    </w:p>
    <w:p>
      <w:pPr>
        <w:jc w:val="both"/>
        <w:ind w:firstLine="1289"/>
        <w:spacing w:after="0" w:line="259" w:lineRule="auto"/>
        <w:tabs>
          <w:tab w:leader="none" w:pos="224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4.1(d)</w:t>
      </w:r>
      <w:r>
        <w:rPr>
          <w:rFonts w:ascii="Arial" w:cs="Arial" w:eastAsia="Arial" w:hAnsi="Arial"/>
          <w:sz w:val="18"/>
          <w:szCs w:val="18"/>
          <w:color w:val="auto"/>
        </w:rPr>
        <w:t xml:space="preserve"> to this Agreement, there are no subscriptions, options, warrants, or calls relating to any shares of any Loan Party's or any of its Subsidiaries' Equity Interests, including any right of conversion or exchange under any outstanding security or other instrument. No Loan Party is subject to any obligation (contingent or otherwise) to repurchase or otherwise acquire or retire any shares of its Equity Interests or any security convertible into or exchangeable for any of its Equity Interests.</w:t>
      </w:r>
    </w:p>
    <w:p>
      <w:pPr>
        <w:spacing w:after="0" w:line="183" w:lineRule="exact"/>
        <w:rPr>
          <w:sz w:val="20"/>
          <w:szCs w:val="20"/>
          <w:color w:val="auto"/>
        </w:rPr>
      </w:pPr>
    </w:p>
    <w:p>
      <w:pPr>
        <w:ind w:left="320"/>
        <w:spacing w:after="0"/>
        <w:tabs>
          <w:tab w:leader="none" w:pos="1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Due Authorization; No Conflict</w:t>
      </w:r>
      <w:r>
        <w:rPr>
          <w:rFonts w:ascii="Arial" w:cs="Arial" w:eastAsia="Arial" w:hAnsi="Arial"/>
          <w:sz w:val="16"/>
          <w:szCs w:val="16"/>
          <w:color w:val="auto"/>
        </w:rPr>
        <w:t>.</w:t>
      </w:r>
    </w:p>
    <w:p>
      <w:pPr>
        <w:spacing w:after="0" w:line="229" w:lineRule="exact"/>
        <w:rPr>
          <w:sz w:val="20"/>
          <w:szCs w:val="20"/>
          <w:color w:val="auto"/>
        </w:rPr>
      </w:pPr>
    </w:p>
    <w:p>
      <w:pPr>
        <w:ind w:firstLine="1289"/>
        <w:spacing w:after="0" w:line="277" w:lineRule="auto"/>
        <w:tabs>
          <w:tab w:leader="none" w:pos="217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As to each Loan Party, the execution, delivery, and performance by such Loan Party of the Loan Documents to which it is a party have been duly authorized by all necessary action on the part of such Loan Party.</w:t>
      </w:r>
    </w:p>
    <w:p>
      <w:pPr>
        <w:spacing w:after="0" w:line="170" w:lineRule="exact"/>
        <w:rPr>
          <w:rFonts w:ascii="Arial" w:cs="Arial" w:eastAsia="Arial" w:hAnsi="Arial"/>
          <w:sz w:val="18"/>
          <w:szCs w:val="18"/>
          <w:color w:val="auto"/>
        </w:rPr>
      </w:pPr>
    </w:p>
    <w:p>
      <w:pPr>
        <w:jc w:val="both"/>
        <w:ind w:firstLine="1289"/>
        <w:spacing w:after="0" w:line="288" w:lineRule="auto"/>
        <w:tabs>
          <w:tab w:leader="none" w:pos="218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As to each Loan Party, the execution, delivery, and performance by such Loan Party of the Loan Documents to which it is a party do not and will not (i) violate any material provision of federal, state, provincial, foreign or local law or regulation applicable to any Loan Party or its Restricted Subsidiaries, the Governing Documents of any Loan Party or its Restricted Subsidiaries, or any order, judgment, or decree of any court or other Governmental Authority binding on any Loan Party or its Restricted Subsidiaries, (ii) conflict with, result in a breach of, or constitute (with due notice or lapse of time or both) a default under any material agreement of any Loan Party or its Restricted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38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43" w:name="page344"/>
    <w:bookmarkEnd w:id="343"/>
    <w:p>
      <w:pPr>
        <w:jc w:val="both"/>
        <w:ind w:firstLine="648"/>
        <w:spacing w:after="0" w:line="25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Governmental Consents</w:t>
      </w:r>
      <w:r>
        <w:rPr>
          <w:rFonts w:ascii="Arial" w:cs="Arial" w:eastAsia="Arial" w:hAnsi="Arial"/>
          <w:sz w:val="18"/>
          <w:szCs w:val="18"/>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spacing w:after="0" w:line="18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u w:val="single" w:color="auto"/>
          <w:color w:val="auto"/>
        </w:rPr>
        <w:t>Binding Obligations; Perfected Liens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59" w:lineRule="auto"/>
        <w:tabs>
          <w:tab w:leader="none" w:pos="264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86" w:lineRule="exact"/>
        <w:rPr>
          <w:rFonts w:ascii="Arial" w:cs="Arial" w:eastAsia="Arial" w:hAnsi="Arial"/>
          <w:sz w:val="18"/>
          <w:szCs w:val="18"/>
          <w:color w:val="auto"/>
        </w:rPr>
      </w:pPr>
    </w:p>
    <w:p>
      <w:pPr>
        <w:jc w:val="both"/>
        <w:ind w:left="340" w:firstLine="1289"/>
        <w:spacing w:after="0" w:line="253" w:lineRule="auto"/>
        <w:tabs>
          <w:tab w:leader="none" w:pos="277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Agent's Liens are validly created, perfected (or any analogous concept to the extent perfection does not apply in the relevant jurisdiction)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not subject to a Control Agreement as permitted by the Loan Document, (vi) as otherwise contemplated by the Collateral Documents, and subject only to the filing of financing statements, the recordation of any Copyright Security Agreement, Patent Security Agreement or Trademark Security Agreement, the recordation of any Mortgages and other filings and recordation contemplated by the Collateral Documents, in each case, in the appropriate filing offices), and first priority Liens, subject only to (a) Permitted Liens and (b) Liens perfected only by possession (including possession of any certificate of title) to the extent Agent has not obtained or does not maintain possession of Collateral secured by such Liens.</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Title to Assets; No Encumbrances</w:t>
      </w:r>
      <w:r>
        <w:rPr>
          <w:rFonts w:ascii="Arial" w:cs="Arial" w:eastAsia="Arial" w:hAnsi="Arial"/>
          <w:sz w:val="17"/>
          <w:szCs w:val="17"/>
          <w:color w:val="auto"/>
        </w:rPr>
        <w:t xml:space="preserve">. Each of the Loan Parties and its Restricted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assets reflected in their most recent financial statements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in each case except for (i) assets disposed of since the date of such financial statements to the extent permitted hereby (ii) Permitted Liens and (iii) minor defects in title that do not interfere with such Loan Party’s ability to conduct its business as currently conducted or to utilize such properties for their intended purpose. All of such assets are free and clear of Liens except for Permitted Liens.</w:t>
      </w:r>
    </w:p>
    <w:p>
      <w:pPr>
        <w:spacing w:after="0" w:line="17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64" w:lineRule="auto"/>
        <w:tabs>
          <w:tab w:leader="none" w:pos="259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to the knowledge of any Borrower, after due inquiry, threatened in writing against a Loan Party or any of its Restricted Subsidiaries that either individually or in the aggregate could reasonably be expected to result in a Material Adverse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4" w:name="page345"/>
    <w:bookmarkEnd w:id="344"/>
    <w:p>
      <w:pPr>
        <w:jc w:val="both"/>
        <w:ind w:left="340" w:firstLine="1289"/>
        <w:spacing w:after="0" w:line="286" w:lineRule="auto"/>
        <w:tabs>
          <w:tab w:leader="none" w:pos="2899"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Schedule 4.6(b)</w:t>
      </w:r>
      <w:r>
        <w:rPr>
          <w:rFonts w:ascii="Arial" w:cs="Arial" w:eastAsia="Arial" w:hAnsi="Arial"/>
          <w:sz w:val="17"/>
          <w:szCs w:val="17"/>
          <w:color w:val="auto"/>
        </w:rPr>
        <w:t xml:space="preserve"> to this Agreement sets forth a complete and accurate description of each of the actions, suits, or proceedings with asserted liabilities in excess of, or that could reasonably be expected to result in a Material Adverse Effect that, as of the Closing Date, is pending or, to the knowledge of any Borrower, after due inquiry, threatened against a Loan Party or any of its Restricted Subsidiaries.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No Loan Party nor any of its Restricted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u w:val="single" w:color="auto"/>
          <w:color w:val="auto"/>
        </w:rPr>
        <w:t>No Material Adverse Effect</w:t>
      </w:r>
      <w:r>
        <w:rPr>
          <w:rFonts w:ascii="Arial" w:cs="Arial" w:eastAsia="Arial" w:hAnsi="Arial"/>
          <w:sz w:val="17"/>
          <w:szCs w:val="17"/>
          <w:color w:val="auto"/>
        </w:rPr>
        <w:t>. All historical financial statements relating to Parent and its consolidated Subsidiaries that have been delivered by Borrowers to Agent have been prepared in accordance with GAAP (except, in the case of unaudited financial statements, for the lack of footnotes and being subject to year-end audit adjustments) and present fairly in all material respects, Parent's and its consolidated Subsidiaries' consolidated financial condition as of the date thereof and results of operations for the period then ended. There has been no material adverse change since July 3, 2019 in the financial condition, business, assets or operations of Parent and its Restricted Subsidiaries, taken as a whole.</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Immediately after the consummation of the transactions to occur on the Closing Date, (a) the Loan Parties, on a consolidated basis, are Solvent, and (b) each of the German Borrower and the Swiss Borrower, individually, is Solvent.</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b w:val="1"/>
          <w:bCs w:val="1"/>
          <w:u w:val="single" w:color="auto"/>
          <w:color w:val="auto"/>
        </w:rPr>
        <w:t>Employee Benefits</w:t>
      </w:r>
      <w:r>
        <w:rPr>
          <w:rFonts w:ascii="Arial" w:cs="Arial" w:eastAsia="Arial" w:hAnsi="Arial"/>
          <w:sz w:val="15"/>
          <w:szCs w:val="15"/>
          <w:color w:val="auto"/>
        </w:rPr>
        <w:t>.</w:t>
      </w:r>
    </w:p>
    <w:p>
      <w:pPr>
        <w:spacing w:after="0" w:line="229" w:lineRule="exact"/>
        <w:rPr>
          <w:sz w:val="20"/>
          <w:szCs w:val="20"/>
          <w:color w:val="auto"/>
        </w:rPr>
      </w:pPr>
    </w:p>
    <w:p>
      <w:pPr>
        <w:jc w:val="both"/>
        <w:ind w:left="340" w:firstLine="1289"/>
        <w:spacing w:after="0" w:line="264" w:lineRule="auto"/>
        <w:tabs>
          <w:tab w:leader="none" w:pos="282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4.10</w:t>
      </w:r>
      <w:r>
        <w:rPr>
          <w:rFonts w:ascii="Arial" w:cs="Arial" w:eastAsia="Arial" w:hAnsi="Arial"/>
          <w:sz w:val="18"/>
          <w:szCs w:val="18"/>
          <w:color w:val="auto"/>
        </w:rPr>
        <w:t>, no Loan Party, none of their Restricted Subsidiaries, nor any of their ERISA Affiliates maintains or contributes to any (i) Benefit Plan, or (ii) Canadian Defined Benefit Plan, nor has any liabilities or obligations in respect of a Canadian Defined Benefit Plan.</w:t>
      </w:r>
    </w:p>
    <w:p>
      <w:pPr>
        <w:spacing w:after="0" w:line="181" w:lineRule="exact"/>
        <w:rPr>
          <w:rFonts w:ascii="Arial" w:cs="Arial" w:eastAsia="Arial" w:hAnsi="Arial"/>
          <w:sz w:val="18"/>
          <w:szCs w:val="18"/>
          <w:color w:val="auto"/>
        </w:rPr>
      </w:pPr>
    </w:p>
    <w:p>
      <w:pPr>
        <w:ind w:left="340" w:firstLine="1289"/>
        <w:spacing w:after="0" w:line="342" w:lineRule="auto"/>
        <w:tabs>
          <w:tab w:leader="none" w:pos="2548" w:val="left"/>
        </w:tabs>
        <w:numPr>
          <w:ilvl w:val="0"/>
          <w:numId w:val="402"/>
        </w:numPr>
        <w:rPr>
          <w:rFonts w:ascii="Arial" w:cs="Arial" w:eastAsia="Arial" w:hAnsi="Arial"/>
          <w:sz w:val="16"/>
          <w:szCs w:val="16"/>
          <w:color w:val="auto"/>
        </w:rPr>
      </w:pPr>
      <w:r>
        <w:rPr>
          <w:rFonts w:ascii="Arial" w:cs="Arial" w:eastAsia="Arial" w:hAnsi="Arial"/>
          <w:sz w:val="16"/>
          <w:szCs w:val="16"/>
          <w:color w:val="auto"/>
        </w:rPr>
        <w:t>Except as could not reasonably be expected to result in a Material Adverse Effect, each Loan Party and each of the ERISA Affiliates has complied in all material respects with ERISA, the IRC and all applicable laws regarding each Employee Benefit Plan and Foreign Plan.</w:t>
      </w:r>
    </w:p>
    <w:p>
      <w:pPr>
        <w:spacing w:after="0" w:line="123" w:lineRule="exact"/>
        <w:rPr>
          <w:rFonts w:ascii="Arial" w:cs="Arial" w:eastAsia="Arial" w:hAnsi="Arial"/>
          <w:sz w:val="16"/>
          <w:szCs w:val="16"/>
          <w:color w:val="auto"/>
        </w:rPr>
      </w:pPr>
    </w:p>
    <w:p>
      <w:pPr>
        <w:jc w:val="both"/>
        <w:ind w:left="340" w:firstLine="1289"/>
        <w:spacing w:after="0" w:line="264" w:lineRule="auto"/>
        <w:tabs>
          <w:tab w:leader="none" w:pos="251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each Employee Benefit Plan and Foreign Plan is, and has been, maintained in substantial compliance with ERISA, the IRC (if applicable), all applicable laws and the terms of each such Employee Benefit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5" w:name="page346"/>
    <w:bookmarkEnd w:id="345"/>
    <w:p>
      <w:pPr>
        <w:jc w:val="both"/>
        <w:ind w:left="340" w:firstLine="1289"/>
        <w:spacing w:after="0" w:line="259" w:lineRule="auto"/>
        <w:tabs>
          <w:tab w:leader="none" w:pos="271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each Employee Benefit Plan that is intended to qualify under Section 401(a) of the IRC has received a favorable determination letter from the Internal Revenue Service or is entitled to rely on an opinion letter provided under a volume submitted program. To the best knowledge of each Loan Party and the ERISA Affiliates after due inquiry, nothing has occurred which would prevent, or cause the loss of, such qualification.</w:t>
      </w:r>
    </w:p>
    <w:p>
      <w:pPr>
        <w:spacing w:after="0" w:line="186" w:lineRule="exact"/>
        <w:rPr>
          <w:rFonts w:ascii="Arial" w:cs="Arial" w:eastAsia="Arial" w:hAnsi="Arial"/>
          <w:sz w:val="18"/>
          <w:szCs w:val="18"/>
          <w:color w:val="auto"/>
        </w:rPr>
      </w:pPr>
    </w:p>
    <w:p>
      <w:pPr>
        <w:ind w:left="340" w:right="20" w:firstLine="1289"/>
        <w:spacing w:after="0" w:line="308" w:lineRule="auto"/>
        <w:tabs>
          <w:tab w:leader="none" w:pos="2632" w:val="left"/>
        </w:tabs>
        <w:numPr>
          <w:ilvl w:val="0"/>
          <w:numId w:val="403"/>
        </w:numPr>
        <w:rPr>
          <w:rFonts w:ascii="Arial" w:cs="Arial" w:eastAsia="Arial" w:hAnsi="Arial"/>
          <w:sz w:val="17"/>
          <w:szCs w:val="17"/>
          <w:color w:val="auto"/>
        </w:rPr>
      </w:pPr>
      <w:r>
        <w:rPr>
          <w:rFonts w:ascii="Arial" w:cs="Arial" w:eastAsia="Arial" w:hAnsi="Arial"/>
          <w:sz w:val="17"/>
          <w:szCs w:val="17"/>
          <w:color w:val="auto"/>
        </w:rPr>
        <w:t>No liability to the PBGC (other than for the payment of current premiums which are not past due) by any Loan Party or ERISA Affiliate has been incurred or is expected by any Loan Party or ERISA Affiliate to be incurred with respect to any Pension Plan.</w:t>
      </w:r>
    </w:p>
    <w:p>
      <w:pPr>
        <w:spacing w:after="0" w:line="146" w:lineRule="exact"/>
        <w:rPr>
          <w:rFonts w:ascii="Arial" w:cs="Arial" w:eastAsia="Arial" w:hAnsi="Arial"/>
          <w:sz w:val="17"/>
          <w:szCs w:val="17"/>
          <w:color w:val="auto"/>
        </w:rPr>
      </w:pPr>
    </w:p>
    <w:p>
      <w:pPr>
        <w:ind w:left="2520" w:hanging="891"/>
        <w:spacing w:after="0"/>
        <w:tabs>
          <w:tab w:leader="none" w:pos="25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Notification Event exists or has occurred in the past six (6) years.</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Loan Party or ERISA Affiliate has provided any security under Section 436 of the IRC.</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Environmental Condition</w:t>
      </w:r>
      <w:r>
        <w:rPr>
          <w:rFonts w:ascii="Arial" w:cs="Arial" w:eastAsia="Arial" w:hAnsi="Arial"/>
          <w:sz w:val="17"/>
          <w:szCs w:val="17"/>
          <w:color w:val="auto"/>
        </w:rPr>
        <w:t>. Except with respect to any matters that, individually or in the aggregate, could not reasonably be expected to result in a Material Adverse Effect, neither Parent nor any of its Subsidiaries (a) has failed to comply with any Environmental Law or to obtain, maintain or comply with any permit, license or other approval required for the conduct of Parent’s or any of its Subsidiaries’ business under any Environmental Law, (b) is liable for any Environmental Liability, (c) has received notice of any claim against or affecting it with respect to any Environmental Liability or (d) has knowledge of any facts or circumstances that would give rise to any Environmental Liability against or affecting it.</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b w:val="1"/>
          <w:bCs w:val="1"/>
          <w:u w:val="single" w:color="auto"/>
          <w:color w:val="auto"/>
        </w:rPr>
        <w:t>Complete Disclosure</w:t>
      </w:r>
      <w:r>
        <w:rPr>
          <w:rFonts w:ascii="Arial" w:cs="Arial" w:eastAsia="Arial" w:hAnsi="Arial"/>
          <w:sz w:val="17"/>
          <w:szCs w:val="17"/>
          <w:color w:val="auto"/>
        </w:rPr>
        <w:t>. All written information heretofore and hereafter furnished by the Loan Parties to Agent or any Lender in connection with this Agreement or any of the other Loan Documents, when considered together with the disclosures made herein, in the other Loan Documents and in the filings made by any Loan Party with the SEC pursuant to the Exchange Act, did not as of the date thereof, and will not as of the date any such information is hereafter furnished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Agent and the Lenders. The Projections delivered to Agent on October 14, 2019 represent, and as of the date on which any other Projections are delivered to Agent, such additional Projections represent, Parent's good faith estimate, on the date such Projections are delivered, of Parent's and its consolidated Subsidiaries' future performance for the periods covered thereby based upon assumptions believed by Parent to be reasonable at the time of the delivery thereof to Agent (it being understood that such Projections are subject to significant uncertainties and contingencies, many of which are beyond the control of Parent and its Subsidiaries, and no assurances can be given that such Projections will be realized, and although reflecting Parent's good faith estimate, projections or forecasts based on methods and assumptions which Parent believed to be reasonable at the time such Projections were prepared, are not to be viewed as facts, and that actual results during the period or periods covered by the Projections may differ materially from projected or estimated results). The information included in the Beneficial Ownership Certification most recently provided to Lenders hereunder is true and correct in all respects.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346" w:name="page347"/>
    <w:bookmarkEnd w:id="346"/>
    <w:p>
      <w:pPr>
        <w:jc w:val="both"/>
        <w:ind w:firstLine="648"/>
        <w:spacing w:after="0" w:line="25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Patriot Act, Etc.</w:t>
      </w:r>
      <w:r>
        <w:rPr>
          <w:rFonts w:ascii="Arial" w:cs="Arial" w:eastAsia="Arial" w:hAnsi="Arial"/>
          <w:sz w:val="18"/>
          <w:szCs w:val="18"/>
          <w:color w:val="auto"/>
        </w:rPr>
        <w:t xml:space="preserve"> To the extent applicable, each Loan Party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(b) the Uniting and Strengthening America by Providing Appropriate Tools Required to Intercept and Obstruct Terrorism (USA Patriot Act of 2001, as amended) (the "</w:t>
      </w:r>
      <w:r>
        <w:rPr>
          <w:rFonts w:ascii="Arial" w:cs="Arial" w:eastAsia="Arial" w:hAnsi="Arial"/>
          <w:sz w:val="18"/>
          <w:szCs w:val="18"/>
          <w:u w:val="single" w:color="auto"/>
          <w:color w:val="auto"/>
        </w:rPr>
        <w:t>Patriot Act</w:t>
      </w:r>
      <w:r>
        <w:rPr>
          <w:rFonts w:ascii="Arial" w:cs="Arial" w:eastAsia="Arial" w:hAnsi="Arial"/>
          <w:sz w:val="18"/>
          <w:szCs w:val="18"/>
          <w:color w:val="auto"/>
        </w:rPr>
        <w:t>"), and (c) all applicable Canadian Anti-Money Laundering &amp; Anti-Terrorism Legislation.</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xml:space="preserve"> to this Agreement is a true and complete list of all Indebtedness for borrowed money of each Loan Party and each of its Restricted Subsidiaries outstanding immediately prior to the Closing Date (other than (i) unsecured Indebtedness permitted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outstanding immediately prior to the Closing Date with respect to any one transaction or a series of related transactions in an amount not to exceed $10,000,000; </w:t>
      </w:r>
      <w:r>
        <w:rPr>
          <w:rFonts w:ascii="Arial" w:cs="Arial" w:eastAsia="Arial" w:hAnsi="Arial"/>
          <w:sz w:val="17"/>
          <w:szCs w:val="17"/>
          <w:u w:val="single" w:color="auto"/>
          <w:color w:val="auto"/>
        </w:rPr>
        <w:t>provided</w:t>
      </w:r>
      <w:r>
        <w:rPr>
          <w:rFonts w:ascii="Arial" w:cs="Arial" w:eastAsia="Arial" w:hAnsi="Arial"/>
          <w:sz w:val="17"/>
          <w:szCs w:val="17"/>
          <w:color w:val="auto"/>
        </w:rPr>
        <w:t>, that all such unsecured Indebtedness, in the aggregate, shall not exceed $10,000,000 and (ii) intercompany Indebtedness among any of Parent and/or any of its Restricted Subsidiaries) that is to remain outstanding immediately after giving effect to the closing hereunder on the Closing Date and such Schedule accurately sets forth the aggregate principal amount of such Indebtedness as of the Closing Date.</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b w:val="1"/>
          <w:bCs w:val="1"/>
          <w:u w:val="single" w:color="auto"/>
          <w:color w:val="auto"/>
        </w:rPr>
        <w:t>Payment of Taxes</w:t>
      </w:r>
      <w:r>
        <w:rPr>
          <w:rFonts w:ascii="Arial" w:cs="Arial" w:eastAsia="Arial" w:hAnsi="Arial"/>
          <w:sz w:val="18"/>
          <w:szCs w:val="18"/>
          <w:color w:val="auto"/>
        </w:rPr>
        <w:t>. Each Loan Party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due and owing pursuant to applicable law, except (a) for Taxes whose amount, applicability or validity is being contested in a Permitted Protest and (b) where the failure to pay such Taxes (collectively for the Loan Parties and the Restricted Subsidiaries, taken as a whole) would not have a Material Adverse Effect.</w:t>
      </w:r>
    </w:p>
    <w:p>
      <w:pPr>
        <w:spacing w:after="0" w:line="188"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b w:val="1"/>
          <w:bCs w:val="1"/>
          <w:u w:val="single" w:color="auto"/>
          <w:color w:val="auto"/>
        </w:rPr>
        <w:t>Margin Stock</w:t>
      </w:r>
      <w:r>
        <w:rPr>
          <w:rFonts w:ascii="Arial" w:cs="Arial" w:eastAsia="Arial" w:hAnsi="Arial"/>
          <w:sz w:val="17"/>
          <w:szCs w:val="17"/>
          <w:color w:val="auto"/>
        </w:rPr>
        <w:t>. Neither any Loan Party nor any of its Restricted Subsidiaries is engaged principally, or as one of its important activities, in the business of extending credit for the purpose of purchasing or carrying any Margin Stock or, as of the Closing Date, owns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color w:val="auto"/>
        </w:rPr>
        <w:t>. No Loan Party nor any of its Restricted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Restricted Subsidiaries is a "registered investment company" or a company "controlled" by a "registered investment company" or a "principal underwriter" of a "registered investment company" as such terms are defined in the Investment Company Act of 1940.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7" w:name="page348"/>
    <w:bookmarkEnd w:id="347"/>
    <w:p>
      <w:pPr>
        <w:jc w:val="both"/>
        <w:ind w:firstLine="648"/>
        <w:spacing w:after="0" w:line="270"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b w:val="1"/>
          <w:bCs w:val="1"/>
          <w:u w:val="single" w:color="auto"/>
          <w:color w:val="auto"/>
        </w:rPr>
        <w:t>OFAC; Sanctions; Anti-Corruption Laws; Anti-Money Laundering Laws</w:t>
      </w:r>
      <w:r>
        <w:rPr>
          <w:rFonts w:ascii="Arial" w:cs="Arial" w:eastAsia="Arial" w:hAnsi="Arial"/>
          <w:sz w:val="17"/>
          <w:szCs w:val="17"/>
          <w:color w:val="auto"/>
        </w:rPr>
        <w:t xml:space="preserve">. No Loan Party or any of its Subsidiaries is in violation of any Sanctions. No Loan Party nor any of its Subsidiaries nor, to the knowledge of such Loan Party, any director, officer, employee, agent or Affiliate of such Loan Party or such Subsidiary (a) except as set forth on </w:t>
      </w:r>
      <w:r>
        <w:rPr>
          <w:rFonts w:ascii="Arial" w:cs="Arial" w:eastAsia="Arial" w:hAnsi="Arial"/>
          <w:sz w:val="17"/>
          <w:szCs w:val="17"/>
          <w:u w:val="single" w:color="auto"/>
          <w:color w:val="auto"/>
        </w:rPr>
        <w:t>Schedule 4.18</w:t>
      </w:r>
      <w:r>
        <w:rPr>
          <w:rFonts w:ascii="Arial" w:cs="Arial" w:eastAsia="Arial" w:hAnsi="Arial"/>
          <w:sz w:val="17"/>
          <w:szCs w:val="17"/>
          <w:color w:val="auto"/>
        </w:rPr>
        <w:t xml:space="preserve">, is a Sanctioned Person or a Sanctioned Entity, (b) has any assets located in Sanctioned Entities, or (c) derives revenues from investments in, or transactions with Sanctioned Persons or Sanctioned Entities. Each of the Loan Parties and its Subsidiaries (other than those set forth on </w:t>
      </w:r>
      <w:r>
        <w:rPr>
          <w:rFonts w:ascii="Arial" w:cs="Arial" w:eastAsia="Arial" w:hAnsi="Arial"/>
          <w:sz w:val="17"/>
          <w:szCs w:val="17"/>
          <w:u w:val="single" w:color="auto"/>
          <w:color w:val="auto"/>
        </w:rPr>
        <w:t>Schedule 4.18</w:t>
      </w:r>
      <w:r>
        <w:rPr>
          <w:rFonts w:ascii="Arial" w:cs="Arial" w:eastAsia="Arial" w:hAnsi="Arial"/>
          <w:sz w:val="17"/>
          <w:szCs w:val="17"/>
          <w:color w:val="auto"/>
        </w:rPr>
        <w:t>) has implemented and maintains in effect policies and procedures designed to ensure compliance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To the extent that any representation contained in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made by any Loan Party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 or section 7 of the German Foreign Trade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 (AWG</w:t>
      </w:r>
      <w:r>
        <w:rPr>
          <w:rFonts w:ascii="Arial" w:cs="Arial" w:eastAsia="Arial" w:hAnsi="Arial"/>
          <w:sz w:val="18"/>
          <w:szCs w:val="18"/>
          <w:color w:val="auto"/>
        </w:rPr>
        <w:t>)) or any similar anti-boycott statute, Agent will, upon the request of the respective Loan Party, enter into bona fide discussions with such Loan Party regarding the implementation of procedures to mitigate any such conflict or violation.</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4.19. </w:t>
      </w:r>
      <w:r>
        <w:rPr>
          <w:rFonts w:ascii="Arial" w:cs="Arial" w:eastAsia="Arial" w:hAnsi="Arial"/>
          <w:sz w:val="17"/>
          <w:szCs w:val="17"/>
          <w:b w:val="1"/>
          <w:bCs w:val="1"/>
          <w:u w:val="single" w:color="auto"/>
          <w:color w:val="auto"/>
        </w:rPr>
        <w:t>Employee and Labor Matters</w:t>
      </w:r>
      <w:r>
        <w:rPr>
          <w:rFonts w:ascii="Arial" w:cs="Arial" w:eastAsia="Arial" w:hAnsi="Arial"/>
          <w:sz w:val="17"/>
          <w:szCs w:val="17"/>
          <w:color w:val="auto"/>
        </w:rPr>
        <w:t>. There is (i) no unfair labor practice complaint pending or, to the knowledge of Parent or any Borrower, threatened against any Loan Party or its Restricted Subsidiaries before any Governmental Authority and no grievance or arbitration proceeding pending or threatened against any Loan Party or its Restricted Subsidiaries which arises out of or under any collective bargaining agreement and that could reasonably be expected to result in a material liability, (ii) no strike, labor dispute, slowdown, stoppage or similar action or grievance pending or threatened in writing against any Loan Party or its Restricted Subsidiaries that could reasonably be expected to result in a material liability, or (iii) to the knowledge of Parent or any Borrower, after due inquiry, no union representation question existing with respect to the employees of any Loan Party or its Restricted Subsidiaries and no union organizing activity taking place with respect to any of the employees of any Loan Party or its Restricted Subsidiaries. None of any Loan Party or its Restricted Subsidiaries has incurred any liability or obligation under the Worker Adjustment and Retraining Notification Act or similar state law, which remains unpaid or unsatisfied. The hours worked and payments made to employees of each Loan Party and its Restricted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or its Restricted Subsidiaries on account of wages and employee health and welfare insurance and other benefits have been paid or accrued as a liability on the books of such Loan Party or Restricted Subsidiary, except where the failure to do so could not, individually or in the aggregate, reasonably be expected to result in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8" w:name="page349"/>
    <w:bookmarkEnd w:id="348"/>
    <w:p>
      <w:pPr>
        <w:jc w:val="both"/>
        <w:ind w:firstLine="648"/>
        <w:spacing w:after="0" w:line="282"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u w:val="single" w:color="auto"/>
          <w:color w:val="auto"/>
        </w:rPr>
        <w:t>Status as a Holding Company</w:t>
      </w:r>
      <w:r>
        <w:rPr>
          <w:rFonts w:ascii="Arial" w:cs="Arial" w:eastAsia="Arial" w:hAnsi="Arial"/>
          <w:sz w:val="18"/>
          <w:szCs w:val="18"/>
          <w:color w:val="auto"/>
        </w:rPr>
        <w:t>. Parent does not have any operating assets or engage in any business other than any customary business of a holding company and ordinary course business operations of Parent in existence prior to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Leases</w:t>
      </w:r>
      <w:r>
        <w:rPr>
          <w:rFonts w:ascii="Arial" w:cs="Arial" w:eastAsia="Arial" w:hAnsi="Arial"/>
          <w:sz w:val="18"/>
          <w:szCs w:val="18"/>
          <w:color w:val="auto"/>
        </w:rPr>
        <w:t>. Each Loan Party and its Restricted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Restricted Subsidiaries exists under any of them.</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b w:val="1"/>
          <w:bCs w:val="1"/>
          <w:u w:val="single" w:color="auto"/>
          <w:color w:val="auto"/>
        </w:rPr>
        <w:t>Eligible Accounts</w:t>
      </w:r>
      <w:r>
        <w:rPr>
          <w:rFonts w:ascii="Arial" w:cs="Arial" w:eastAsia="Arial" w:hAnsi="Arial"/>
          <w:sz w:val="17"/>
          <w:szCs w:val="17"/>
          <w:color w:val="auto"/>
        </w:rPr>
        <w:t>. As to each Account that is identified by the Borrowing Base Loan Parties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a Borrowing Base Loan Party's business, (b) owed to a Borrowing Base Loan Party without any known defenses, disputes, offsets, counterclaims, or rights of return or cancellation, and (c) not excluded as ineligible by virtue of one or more of the excluding criteria (other than any Agent-discretionary criteria) set forth in the definition of Eligible Accounts.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Eligible Inventory</w:t>
      </w:r>
      <w:r>
        <w:rPr>
          <w:rFonts w:ascii="Arial" w:cs="Arial" w:eastAsia="Arial" w:hAnsi="Arial"/>
          <w:sz w:val="18"/>
          <w:szCs w:val="18"/>
          <w:color w:val="auto"/>
        </w:rPr>
        <w:t>. As to each item of Inventory that is identified by the Borrowing Base Loan Parties as Eligible Finished Goods Inventory or Eligible Work-in-Process Inventory in a Borrowing Base Certificate submitted to Agent, such Inventory is (a) of good and merchantable quality, free from known defects, and (b) not excluded as ineligible by virtue of one or more of the excluding criteria (other than any Agent-discretionary criteria) set forth in the definition of Eligible Inventory.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b w:val="1"/>
          <w:bCs w:val="1"/>
          <w:u w:val="single" w:color="auto"/>
          <w:color w:val="auto"/>
        </w:rPr>
        <w:t>Eligible Rental Tools</w:t>
      </w:r>
      <w:r>
        <w:rPr>
          <w:rFonts w:ascii="Arial" w:cs="Arial" w:eastAsia="Arial" w:hAnsi="Arial"/>
          <w:sz w:val="18"/>
          <w:szCs w:val="18"/>
          <w:color w:val="auto"/>
        </w:rPr>
        <w:t>. As to each Rental Tool that is identified by the Domestic Borrowing Base Loan Parties and the Canadian Borrowing Base Loan Parties as Eligible Rental Tools in a Borrowing Base Certificate submitted to Agent, such Rental Tool is (a) of good and merchantable quality, free from known defects, and (b) not excluded as ineligible by virtue of one or more of the excluding criteria (other than any Agent-discretionary criteria) set forth in the definition of Eligible Rental Tools.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Location of Inventory and Rental Tools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the Inventory and Rental Tools of any Loan Party is not stored with a bailee, warehouseman, or similar party and is located only at the locations identified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Schedule may be updated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 or, in each case in the ordinary course of business, at another location for repairs, in-transit or deployed with a customer.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9" w:name="page350"/>
    <w:bookmarkEnd w:id="349"/>
    <w:p>
      <w:pPr>
        <w:ind w:firstLine="648"/>
        <w:spacing w:after="0" w:line="282"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b w:val="1"/>
          <w:bCs w:val="1"/>
          <w:u w:val="single" w:color="auto"/>
          <w:color w:val="auto"/>
        </w:rPr>
        <w:t>Inventory Records</w:t>
      </w:r>
      <w:r>
        <w:rPr>
          <w:rFonts w:ascii="Arial" w:cs="Arial" w:eastAsia="Arial" w:hAnsi="Arial"/>
          <w:sz w:val="18"/>
          <w:szCs w:val="18"/>
          <w:color w:val="auto"/>
        </w:rPr>
        <w:t>. Each Loan Party keeps correct and accurate records in all material respects itemizing and describing the type, quality, and quantity of its and its Restricted Subsidiaries' Inventory and the book value thereof.</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b w:val="1"/>
          <w:bCs w:val="1"/>
          <w:u w:val="single" w:color="auto"/>
          <w:color w:val="auto"/>
        </w:rPr>
        <w:t>Other Documents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72" w:lineRule="auto"/>
        <w:tabs>
          <w:tab w:leader="none" w:pos="2808" w:val="left"/>
        </w:tabs>
        <w:numPr>
          <w:ilvl w:val="0"/>
          <w:numId w:val="404"/>
        </w:numPr>
        <w:rPr>
          <w:rFonts w:ascii="Arial" w:cs="Arial" w:eastAsia="Arial" w:hAnsi="Arial"/>
          <w:sz w:val="17"/>
          <w:szCs w:val="17"/>
          <w:color w:val="auto"/>
        </w:rPr>
      </w:pPr>
      <w:r>
        <w:rPr>
          <w:rFonts w:ascii="Arial" w:cs="Arial" w:eastAsia="Arial" w:hAnsi="Arial"/>
          <w:sz w:val="17"/>
          <w:szCs w:val="17"/>
          <w:color w:val="auto"/>
        </w:rPr>
        <w:t>Borrowers have delivered to Agent a complete and correct copy of the L/C Facility Loan Documents, including all schedules and exhibits thereto, executed on the Closing Date. The execution, delivery and performance of each of the L/C Facility Loan Documents has been duly authorized by all necessary action on the part of each Borrower who is a party thereto. Each L/C Facility Loan Document is the legal, valid and binding obligation of each Borrower who is a party thereto, enforceable against each such Borrower in accordance with its terms, in each case, except (i) as may be limited by applicable bankruptcy, insolvency, reorganization, moratorium or other similar laws relating to or affecting generally the enforcement of creditors' rights, and (ii) the availability of the remedy of specific performance or injunctive or other equitable relief is subject to the discretion of the court before which any proceeding therefor may be brought.</w:t>
      </w:r>
    </w:p>
    <w:p>
      <w:pPr>
        <w:spacing w:after="0" w:line="177" w:lineRule="exact"/>
        <w:rPr>
          <w:rFonts w:ascii="Arial" w:cs="Arial" w:eastAsia="Arial" w:hAnsi="Arial"/>
          <w:sz w:val="17"/>
          <w:szCs w:val="17"/>
          <w:color w:val="auto"/>
        </w:rPr>
      </w:pPr>
    </w:p>
    <w:p>
      <w:pPr>
        <w:jc w:val="both"/>
        <w:ind w:left="340" w:firstLine="1289"/>
        <w:spacing w:after="0" w:line="272" w:lineRule="auto"/>
        <w:tabs>
          <w:tab w:leader="none" w:pos="2562" w:val="left"/>
        </w:tabs>
        <w:numPr>
          <w:ilvl w:val="0"/>
          <w:numId w:val="404"/>
        </w:numPr>
        <w:rPr>
          <w:rFonts w:ascii="Arial" w:cs="Arial" w:eastAsia="Arial" w:hAnsi="Arial"/>
          <w:sz w:val="17"/>
          <w:szCs w:val="17"/>
          <w:color w:val="auto"/>
        </w:rPr>
      </w:pPr>
      <w:r>
        <w:rPr>
          <w:rFonts w:ascii="Arial" w:cs="Arial" w:eastAsia="Arial" w:hAnsi="Arial"/>
          <w:sz w:val="17"/>
          <w:szCs w:val="17"/>
          <w:color w:val="auto"/>
        </w:rPr>
        <w:t>Borrowers have delivered to Agent a complete and correct copy of the Unsecured Notes Indenture, including all schedules and exhibits thereto, executed on the Closing Date. The execution, delivery and performance of the Unsecured Notes Indenture has been duly authorized by all necessary action on the part of each Borrower who is a party thereto. The Unsecured Notes Indenture is the legal, valid and binding obligation of each Borrower who is a party thereto, enforceable against each such Borrower in accordance with its terms, in each case, except (i) as may be limited by applicable bankruptcy, insolvency, reorganization, moratorium or other similar laws relating to or affecting generally the enforcement of creditors' rights, and (ii) the availability of the remedy of specific performance or injunctive or other equitable relief is subject to the discretion of the court before which any proceeding therefor may be brought.</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4.28. </w:t>
      </w:r>
      <w:r>
        <w:rPr>
          <w:rFonts w:ascii="Arial" w:cs="Arial" w:eastAsia="Arial" w:hAnsi="Arial"/>
          <w:sz w:val="17"/>
          <w:szCs w:val="17"/>
          <w:b w:val="1"/>
          <w:bCs w:val="1"/>
          <w:u w:val="single" w:color="auto"/>
          <w:color w:val="auto"/>
        </w:rPr>
        <w:t>Hedge Agreements</w:t>
      </w:r>
      <w:r>
        <w:rPr>
          <w:rFonts w:ascii="Arial" w:cs="Arial" w:eastAsia="Arial" w:hAnsi="Arial"/>
          <w:sz w:val="17"/>
          <w:szCs w:val="17"/>
          <w:color w:val="auto"/>
        </w:rPr>
        <w:t>. On each date that any Hedge Agreement is executed by any Hedge Provider, Borrower and each other Loan Party shall satisfy all eligibility, suitability and other requirements under the Commodity Exchange Act (7 U.S.C. § 1, et seq., as in effect from time to time) and the Commodity Futures Trading Commission regulations relevant to it as a counterparty or guarantor of a Hedge Agreement, as applicable.</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b w:val="1"/>
          <w:bCs w:val="1"/>
          <w:u w:val="single" w:color="auto"/>
          <w:color w:val="auto"/>
        </w:rPr>
        <w:t>Compliance with the Swiss Non-Bank Rules</w:t>
      </w:r>
      <w:r>
        <w:rPr>
          <w:rFonts w:ascii="Arial" w:cs="Arial" w:eastAsia="Arial" w:hAnsi="Arial"/>
          <w:sz w:val="16"/>
          <w:szCs w:val="16"/>
          <w:u w:val="single" w:color="auto"/>
          <w:color w:val="auto"/>
        </w:rPr>
        <w:t>.</w:t>
      </w:r>
    </w:p>
    <w:p>
      <w:pPr>
        <w:spacing w:after="0" w:line="229" w:lineRule="exact"/>
        <w:rPr>
          <w:sz w:val="20"/>
          <w:szCs w:val="20"/>
          <w:color w:val="auto"/>
        </w:rPr>
      </w:pPr>
    </w:p>
    <w:p>
      <w:pPr>
        <w:ind w:left="340" w:firstLine="1289"/>
        <w:spacing w:after="0" w:line="308" w:lineRule="auto"/>
        <w:tabs>
          <w:tab w:leader="none" w:pos="253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 xml:space="preserve">Each Swiss Loan Party is in compliance with the Swiss Non-Bank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Swiss Loan Party shall not be in breach of this representation if the permitted number of Swiss Non-Qualifying Lenders is exceeded solely by reason of:</w:t>
      </w:r>
    </w:p>
    <w:p>
      <w:pPr>
        <w:spacing w:after="0" w:line="146" w:lineRule="exact"/>
        <w:rPr>
          <w:rFonts w:ascii="Arial" w:cs="Arial" w:eastAsia="Arial" w:hAnsi="Arial"/>
          <w:sz w:val="17"/>
          <w:szCs w:val="17"/>
          <w:color w:val="auto"/>
        </w:rPr>
      </w:pPr>
    </w:p>
    <w:p>
      <w:pPr>
        <w:ind w:left="2880" w:hanging="927"/>
        <w:spacing w:after="0"/>
        <w:tabs>
          <w:tab w:leader="none" w:pos="28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180" w:hanging="1227"/>
        <w:spacing w:after="0"/>
        <w:tabs>
          <w:tab w:leader="none" w:pos="318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a confirmation made by one or more Lenders or Participants to be one single Swiss Non-Qualifying Lender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incorrect;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0" w:name="page351"/>
    <w:bookmarkEnd w:id="350"/>
    <w:p>
      <w:pPr>
        <w:ind w:firstLine="1953"/>
        <w:spacing w:after="0" w:line="277" w:lineRule="auto"/>
        <w:tabs>
          <w:tab w:leader="none" w:pos="287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is confirmed to be a Swiss Qualifying Lender) as a result of any reason attributable to such Lender or Participant; or</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an assignment or participation of any Commitments under this Agreement to a Swiss Non-Qualifying Lender after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occurrence of an Event of Default.</w:t>
      </w:r>
    </w:p>
    <w:p>
      <w:pPr>
        <w:spacing w:after="0" w:line="211" w:lineRule="exact"/>
        <w:rPr>
          <w:sz w:val="20"/>
          <w:szCs w:val="20"/>
          <w:color w:val="auto"/>
        </w:rPr>
      </w:pPr>
    </w:p>
    <w:p>
      <w:pPr>
        <w:ind w:left="340" w:firstLine="1289"/>
        <w:spacing w:after="0" w:line="277" w:lineRule="auto"/>
        <w:tabs>
          <w:tab w:leader="none" w:pos="280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4.29</w:t>
      </w:r>
      <w:r>
        <w:rPr>
          <w:rFonts w:ascii="Arial" w:cs="Arial" w:eastAsia="Arial" w:hAnsi="Arial"/>
          <w:sz w:val="18"/>
          <w:szCs w:val="18"/>
          <w:color w:val="auto"/>
        </w:rPr>
        <w:t>, each Swiss Loan Party shall assume that the aggregate number of Lenders or Participants under this Agreement which are Swiss Non-Qualifying Lenders is ten (10).</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b w:val="1"/>
          <w:bCs w:val="1"/>
          <w:u w:val="single" w:color="auto"/>
          <w:color w:val="auto"/>
        </w:rPr>
        <w:t>Centre of Main Interest</w:t>
      </w:r>
      <w:r>
        <w:rPr>
          <w:rFonts w:ascii="Arial" w:cs="Arial" w:eastAsia="Arial" w:hAnsi="Arial"/>
          <w:sz w:val="18"/>
          <w:szCs w:val="18"/>
          <w:color w:val="auto"/>
        </w:rPr>
        <w:t>. For the purposes of the Insolvency Regulation, the "centre of main interests" of any Person incorporated in the Netherlands, is situated in its jurisdiction of incorporation and it has no "establishment" (as that term is used in Article 2(10) of the Insolvency Regulation) in any other jurisdiction.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b w:val="1"/>
          <w:bCs w:val="1"/>
          <w:u w:val="single" w:color="auto"/>
          <w:color w:val="auto"/>
        </w:rPr>
        <w:t>Dutch Fiscal Unity</w:t>
      </w:r>
      <w:r>
        <w:rPr>
          <w:rFonts w:ascii="Arial" w:cs="Arial" w:eastAsia="Arial" w:hAnsi="Arial"/>
          <w:sz w:val="18"/>
          <w:szCs w:val="18"/>
          <w:color w:val="auto"/>
        </w:rPr>
        <w:t>. Any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 Loan Party forms part of, consist of Loan Parties and/or Restricted Subsidiaries only.</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b w:val="1"/>
          <w:bCs w:val="1"/>
          <w:u w:val="single" w:color="auto"/>
          <w:color w:val="auto"/>
        </w:rPr>
        <w:t>Tax Residency</w:t>
      </w:r>
      <w:r>
        <w:rPr>
          <w:rFonts w:ascii="Arial" w:cs="Arial" w:eastAsia="Arial" w:hAnsi="Arial"/>
          <w:sz w:val="17"/>
          <w:szCs w:val="17"/>
          <w:color w:val="auto"/>
        </w:rPr>
        <w:t>. Each Loan Party organized under the laws of the Netherlands is resident for tax purposes in the Netherlands only and does not have a permanent establishment or other taxable presence outside the Netherlands, unless with the prior written consent of Agent.</w:t>
      </w:r>
    </w:p>
    <w:p>
      <w:pPr>
        <w:spacing w:after="0" w:line="138" w:lineRule="exact"/>
        <w:rPr>
          <w:sz w:val="20"/>
          <w:szCs w:val="20"/>
          <w:color w:val="auto"/>
        </w:rPr>
      </w:pPr>
    </w:p>
    <w:p>
      <w:pPr>
        <w:ind w:left="660" w:hanging="652"/>
        <w:spacing w:after="0"/>
        <w:tabs>
          <w:tab w:leader="none" w:pos="6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Parent and each Borrower covenants and agrees that, until the termination of all of the Commitments and payment in full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Financial Statements, Reports, Certificates</w:t>
      </w:r>
      <w:r>
        <w:rPr>
          <w:rFonts w:ascii="Arial" w:cs="Arial" w:eastAsia="Arial" w:hAnsi="Arial"/>
          <w:sz w:val="16"/>
          <w:szCs w:val="16"/>
          <w:color w:val="auto"/>
        </w:rPr>
        <w:t xml:space="preserve">. Parent and each Borrower (a) will deliver to Agent each of the financial statements, reports, and other items set forth on </w:t>
      </w:r>
      <w:r>
        <w:rPr>
          <w:rFonts w:ascii="Arial" w:cs="Arial" w:eastAsia="Arial" w:hAnsi="Arial"/>
          <w:sz w:val="16"/>
          <w:szCs w:val="16"/>
          <w:u w:val="single" w:color="auto"/>
          <w:color w:val="auto"/>
        </w:rPr>
        <w:t>Schedule 5.1</w:t>
      </w:r>
      <w:r>
        <w:rPr>
          <w:rFonts w:ascii="Arial" w:cs="Arial" w:eastAsia="Arial" w:hAnsi="Arial"/>
          <w:sz w:val="16"/>
          <w:szCs w:val="16"/>
          <w:color w:val="auto"/>
        </w:rPr>
        <w:t xml:space="preserve"> to this Agreement no later than the times specified therein, (b) agree that no Restricted Subsidiary will have a fiscal year different from that of Parent, (c) agree to maintain a system of accounting that enables Parent and Borrowers to produce financial statements in accordance with GAAP, (d) agree that they will, and will cause each other Loan Party to, (i) keep a reporting system that shows all additions, sales, claims, returns, and allowances with respect to their and their Subsidiaries' sales, and (ii) maintain their billing systems and practices substantially as in effect as of the Closing Date and shall only make material modifications thereto in consultation with Agent, and (e) will permit Agent (whether using field examination personnel employed by Agent or employing the services of one or more third Persons) to conduct an on-site review of Borrowers' calculation of the Borrowing Base and all supporting detail used in the calculations thereof (and Parent shall, and shall cause the Borrowing Base Loan Parties to, make available such officers and employees of such Loan Parties as is necessary or reasonably desirable in connection with such review), until Borrowers' successful transition to Agent's electronic reporting system ("</w:t>
      </w:r>
      <w:r>
        <w:rPr>
          <w:rFonts w:ascii="Arial" w:cs="Arial" w:eastAsia="Arial" w:hAnsi="Arial"/>
          <w:sz w:val="16"/>
          <w:szCs w:val="16"/>
          <w:u w:val="single" w:color="auto"/>
          <w:color w:val="auto"/>
        </w:rPr>
        <w:t>ERS</w:t>
      </w:r>
      <w:r>
        <w:rPr>
          <w:rFonts w:ascii="Arial" w:cs="Arial" w:eastAsia="Arial" w:hAnsi="Arial"/>
          <w:sz w:val="16"/>
          <w:szCs w:val="16"/>
          <w:color w:val="auto"/>
        </w:rPr>
        <w:t xml:space="preserve">") for calculation of the Borrowing Base and providing supporting data, for the period from the Closing Date until the earlier of (a) nine months thereafter and (b) Borrowers' successful transition to ERS in the reasonable determination of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of this clause (e) are separate from, and in addition to, the requirements of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Documents required to be delivered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may be delivered electronically and if so delivered, shall be deemed to have been delivered on the date (i) on which Borrowers post such documents, or provide a link thereto on Borrowers' website on the Internet and (ii) on which such documents are posted on Borrowers' behalf on an Internet or intranet website, if any, to which each Lender and Agent have access (whether a commercial, third party or governmental website or whether sponsored by Agent), so long as, in either case, a link to such materials is delivered electronically by Borrowers to Agent within the applicable deadlines.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1" w:name="page352"/>
    <w:bookmarkEnd w:id="351"/>
    <w:p>
      <w:pPr>
        <w:jc w:val="both"/>
        <w:ind w:firstLine="648"/>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Reporting</w:t>
      </w:r>
      <w:r>
        <w:rPr>
          <w:rFonts w:ascii="Arial" w:cs="Arial" w:eastAsia="Arial" w:hAnsi="Arial"/>
          <w:sz w:val="16"/>
          <w:szCs w:val="16"/>
          <w:color w:val="auto"/>
        </w:rPr>
        <w:t xml:space="preserve">. Parent (a) will deliver to Agent (and if so requested by Agent, with copies for each Lender) each of the reports set forth on </w:t>
      </w:r>
      <w:r>
        <w:rPr>
          <w:rFonts w:ascii="Arial" w:cs="Arial" w:eastAsia="Arial" w:hAnsi="Arial"/>
          <w:sz w:val="16"/>
          <w:szCs w:val="16"/>
          <w:u w:val="single" w:color="auto"/>
          <w:color w:val="auto"/>
        </w:rPr>
        <w:t>Schedule 5.2</w:t>
      </w:r>
      <w:r>
        <w:rPr>
          <w:rFonts w:ascii="Arial" w:cs="Arial" w:eastAsia="Arial" w:hAnsi="Arial"/>
          <w:sz w:val="16"/>
          <w:szCs w:val="16"/>
          <w:color w:val="auto"/>
        </w:rPr>
        <w:t xml:space="preserve"> to this Agreement at the times specified therein, and (b) agrees to use commercially reasonable efforts in cooperation with Agent to facilitate and implement a system of electronic collateral reporting in order to provide electronic reporting of each of the items set forth on such Schedule within nine months of the Closing Date. Parent and Borrowers and Agent hereby agree that the delivery of the Borrowing Base Certificate through Agent's electronic platform or portal, subject to Agent's authentication process, by such other electronic method as may be approved by Agent from time to time in its sole discretion, or by such other electronic input of information necessary to calculate the Borrowing Base, as applicable, as may be approved by Agent from time to time in its sole discretion, shall in each case be deemed to satisfy the obligation of Borrowers to deliver such Borrowing Base Certificate, with the same legal effect as if such Borrowing Base Certificate had been manually executed by each Borrowing Base Loan Party and delivered to Agent.</w:t>
      </w:r>
    </w:p>
    <w:p>
      <w:pPr>
        <w:spacing w:after="0" w:line="16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Existence</w:t>
      </w:r>
      <w:r>
        <w:rPr>
          <w:rFonts w:ascii="Arial" w:cs="Arial" w:eastAsia="Arial" w:hAnsi="Arial"/>
          <w:sz w:val="16"/>
          <w:szCs w:val="16"/>
          <w:color w:val="auto"/>
        </w:rPr>
        <w:t xml:space="preserve">. Except as otherwise permitted under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6.5</w:t>
      </w:r>
      <w:r>
        <w:rPr>
          <w:rFonts w:ascii="Arial" w:cs="Arial" w:eastAsia="Arial" w:hAnsi="Arial"/>
          <w:sz w:val="16"/>
          <w:szCs w:val="16"/>
          <w:color w:val="auto"/>
        </w:rPr>
        <w:t>, each Loan Party will, and will cause each of its Restricted Subsidiaries to, at all times preserve and keep in full force and effect such Person's valid existence and, to the extent applicable in the relevant jurisdiction of such Loan Party or Restricted Subsidiary, good standing in its jurisdiction of organization and, except as could not reasonably be expected to result in a Material Adverse Effect, good standing (to the extent applicable in such jurisdictions) with respect to all other jurisdictions in which it is qualified to do business and any rights, franchises, permits, licenses, accreditations, authorizations, or other approvals material to their businesses.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color w:val="auto"/>
        </w:rPr>
        <w:t xml:space="preserve">. Each Loan Party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excepted (except where the failure to so maintain and preserve assets could not reasonably be expected to result in a Material Adverse Effect).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Each Loan Party will, and will cause each of its Restricted Subsidiaries to, pay or discharge or cause to be paid or discharged, before the same shall become delinquent, all Taxes levied or imposed upon such Loan Party or such Restricted Subsidiary, as applicable, or upon the income, profits or property of such Loan Party or such Restricted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2" w:name="page353"/>
    <w:bookmarkEnd w:id="352"/>
    <w:p>
      <w:pPr>
        <w:ind w:left="320"/>
        <w:spacing w:after="0"/>
        <w:tabs>
          <w:tab w:leader="none" w:pos="1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1289"/>
        <w:spacing w:after="0" w:line="268" w:lineRule="auto"/>
        <w:tabs>
          <w:tab w:leader="none" w:pos="238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Each Loan Party will, and will cause each of its Restricted Subsidiaries to, at Borrowers' expense, maintain insurance respecting each of each Loan Party's and its Restricted Subsidiaries' assets wherever located, covering liabilities, losses or damages as are customarily insured against by other Persons engaged in same or similar businesses and similarly situated and located. All such policies of insurance shall be with financially sound and reputable insurance companies acceptable to Agent (it being agreed that, as of the Closing Date, the Loan Parties' existing insurance providers as set forth in the certificates of insurance delivered to Agent on or about the Closing Date shall be deemed to be acceptable to Agent)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Closing Date are acceptable to Agent). All property insurance policies are to be made payable to Agent for the benefit of Agent and the Lenders, as their interests may appear, in case of loss, pursuant to a standard lender's loss payable endorsement with a standard non-contributory "lender" or "secured party" clause and are to contain such other provisions as Agent may reasonably require to fully protect the Lenders' interest in the Collateral and to any payments to be made under such policies. Where customary, all certificates of property and general liability insurance are to be delivered to Agent, with the lender's loss payable and additional insured endorsements in favor of Agent and shall provide for not less than thirty days (ten days in the case of non-payment) prior written notice to Agent of the exercise of any right of cancellation. If any Loan Party or its Restricted Subsidiaries fails to maintain such insurance, Agent may arrange for such insurance, but at Borrowers' expense and without any responsibility on Agent's part for obtaining the insurance, the solvency of the insurance companies, the adequacy of the coverage, or the collection of claims.</w:t>
      </w:r>
    </w:p>
    <w:p>
      <w:pPr>
        <w:spacing w:after="0" w:line="180" w:lineRule="exact"/>
        <w:rPr>
          <w:rFonts w:ascii="Arial" w:cs="Arial" w:eastAsia="Arial" w:hAnsi="Arial"/>
          <w:sz w:val="17"/>
          <w:szCs w:val="17"/>
          <w:color w:val="auto"/>
        </w:rPr>
      </w:pPr>
    </w:p>
    <w:p>
      <w:pPr>
        <w:jc w:val="both"/>
        <w:ind w:firstLine="1289"/>
        <w:spacing w:after="0" w:line="297" w:lineRule="auto"/>
        <w:tabs>
          <w:tab w:leader="none" w:pos="253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Borrowers shall give Agent prompt notice of any loss exceeding $15,000,000 covered by the casualty or business interruption insurance of any Loan Party or its Restricted Subsidiaries.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58" w:lineRule="exact"/>
        <w:rPr>
          <w:rFonts w:ascii="Arial" w:cs="Arial" w:eastAsia="Arial" w:hAnsi="Arial"/>
          <w:sz w:val="16"/>
          <w:szCs w:val="16"/>
          <w:color w:val="auto"/>
        </w:rPr>
      </w:pPr>
    </w:p>
    <w:p>
      <w:pPr>
        <w:jc w:val="both"/>
        <w:ind w:firstLine="1289"/>
        <w:spacing w:after="0" w:line="259" w:lineRule="auto"/>
        <w:tabs>
          <w:tab w:leader="none" w:pos="2319"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If at any time the area in which any Real Property that is subject to a Mortgage is located is designated a "flood hazard area" in any Flood Insurance Rate Map published by the Federal Emergency Management Agency (or any successor agency), obtain flood insurance in such total amount and on terms that are reasonably satisfactory to Agent and all Lenders from time to time, and otherwise comply with the Flood Laws or as is otherwise reasonably satisfactory to Agent and all Lenders.</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353" w:name="page354"/>
    <w:bookmarkEnd w:id="353"/>
    <w:p>
      <w:pPr>
        <w:ind w:left="660"/>
        <w:spacing w:after="0"/>
        <w:tabs>
          <w:tab w:leader="none" w:pos="17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b w:val="1"/>
          <w:bCs w:val="1"/>
          <w:u w:val="single" w:color="auto"/>
          <w:color w:val="auto"/>
        </w:rPr>
        <w:t>Inspection</w:t>
      </w:r>
      <w:r>
        <w:rPr>
          <w:rFonts w:ascii="Arial" w:cs="Arial" w:eastAsia="Arial" w:hAnsi="Arial"/>
          <w:sz w:val="15"/>
          <w:szCs w:val="15"/>
          <w:color w:val="auto"/>
        </w:rPr>
        <w:t>.</w:t>
      </w:r>
    </w:p>
    <w:p>
      <w:pPr>
        <w:spacing w:after="0" w:line="229" w:lineRule="exact"/>
        <w:rPr>
          <w:sz w:val="20"/>
          <w:szCs w:val="20"/>
          <w:color w:val="auto"/>
        </w:rPr>
      </w:pPr>
    </w:p>
    <w:p>
      <w:pPr>
        <w:jc w:val="both"/>
        <w:ind w:left="340" w:firstLine="1289"/>
        <w:spacing w:after="0" w:line="284" w:lineRule="auto"/>
        <w:tabs>
          <w:tab w:leader="none" w:pos="2605" w:val="left"/>
        </w:tabs>
        <w:numPr>
          <w:ilvl w:val="1"/>
          <w:numId w:val="410"/>
        </w:numPr>
        <w:rPr>
          <w:rFonts w:ascii="Arial" w:cs="Arial" w:eastAsia="Arial" w:hAnsi="Arial"/>
          <w:sz w:val="16"/>
          <w:szCs w:val="16"/>
          <w:color w:val="auto"/>
        </w:rPr>
      </w:pPr>
      <w:r>
        <w:rPr>
          <w:rFonts w:ascii="Arial" w:cs="Arial" w:eastAsia="Arial" w:hAnsi="Arial"/>
          <w:sz w:val="16"/>
          <w:szCs w:val="16"/>
          <w:color w:val="auto"/>
        </w:rPr>
        <w:t>Each Loan Party will, and will cause each of its Restricted Subsidiaries to, permit Agent,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accompanies Agent for such visit), and each of their respective accompanying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Arial" w:cs="Arial" w:eastAsia="Arial" w:hAnsi="Arial"/>
          <w:sz w:val="16"/>
          <w:szCs w:val="16"/>
          <w:u w:val="single" w:color="auto"/>
          <w:color w:val="auto"/>
        </w:rPr>
        <w:t>provided</w:t>
      </w:r>
      <w:r>
        <w:rPr>
          <w:rFonts w:ascii="Arial" w:cs="Arial" w:eastAsia="Arial" w:hAnsi="Arial"/>
          <w:sz w:val="16"/>
          <w:szCs w:val="16"/>
          <w:color w:val="auto"/>
        </w:rPr>
        <w:t>, that an authorized representative of a Borrower shall be allowed to be present) at such reasonable times and intervals as Agent may reasonably request and with reasonable prior notice to Borrowers and during regular business hours, and, at any time following the date that is eighteen (18) months after the Closing Date, no more often than twice in the aggregate for Agent and Lenders in any twelve (12) consecutive month period (unless an Event of Default has occurred and is continuing, in which case such twelve</w:t>
      </w:r>
    </w:p>
    <w:p>
      <w:pPr>
        <w:spacing w:after="0" w:line="2" w:lineRule="exact"/>
        <w:rPr>
          <w:rFonts w:ascii="Arial" w:cs="Arial" w:eastAsia="Arial" w:hAnsi="Arial"/>
          <w:sz w:val="16"/>
          <w:szCs w:val="16"/>
          <w:color w:val="auto"/>
        </w:rPr>
      </w:pPr>
    </w:p>
    <w:p>
      <w:pPr>
        <w:jc w:val="both"/>
        <w:ind w:left="340" w:right="20" w:hanging="8"/>
        <w:spacing w:after="0" w:line="255" w:lineRule="auto"/>
        <w:tabs>
          <w:tab w:leader="none" w:pos="69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month limitation shall not apply), at Borrowers' expense, subject to the limitations set forth below in </w:t>
      </w:r>
      <w:r>
        <w:rPr>
          <w:rFonts w:ascii="Arial" w:cs="Arial" w:eastAsia="Arial" w:hAnsi="Arial"/>
          <w:sz w:val="18"/>
          <w:szCs w:val="18"/>
          <w:u w:val="single" w:color="auto"/>
          <w:color w:val="auto"/>
        </w:rPr>
        <w:t>Section 5.7(c)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8"/>
          <w:szCs w:val="18"/>
          <w:u w:val="single" w:color="auto"/>
          <w:color w:val="auto"/>
        </w:rPr>
        <w:t>Section 17.9</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340" w:firstLine="1289"/>
        <w:spacing w:after="0" w:line="259" w:lineRule="auto"/>
        <w:tabs>
          <w:tab w:leader="none" w:pos="2643" w:val="left"/>
        </w:tabs>
        <w:numPr>
          <w:ilvl w:val="1"/>
          <w:numId w:val="411"/>
        </w:numPr>
        <w:rPr>
          <w:rFonts w:ascii="Arial" w:cs="Arial" w:eastAsia="Arial" w:hAnsi="Arial"/>
          <w:sz w:val="18"/>
          <w:szCs w:val="18"/>
          <w:color w:val="auto"/>
        </w:rPr>
      </w:pPr>
      <w:r>
        <w:rPr>
          <w:rFonts w:ascii="Arial" w:cs="Arial" w:eastAsia="Arial" w:hAnsi="Arial"/>
          <w:sz w:val="18"/>
          <w:szCs w:val="18"/>
          <w:color w:val="auto"/>
        </w:rPr>
        <w:t xml:space="preserve">Each Loan Party will, and will cause each of its Restricted Subsidiaries to, permit Agent and each of its duly authorized representatives or agents to conduct field examinations, appraisals or valuations at such reasonable times and intervals as Agent may reasonably request, at Borrowers' expense, with reasonable prior notice to Borrowers and during regular business hours, subject to the limitations set forth below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5.7(c)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340" w:firstLine="1289"/>
        <w:spacing w:after="0" w:line="253" w:lineRule="auto"/>
        <w:tabs>
          <w:tab w:leader="none" w:pos="2741" w:val="left"/>
        </w:tabs>
        <w:numPr>
          <w:ilvl w:val="1"/>
          <w:numId w:val="411"/>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during a calendar year, Borrowers shall not be obligated to reimburse Agent for more than (i) one field examination in such calendar year (increasing to two field examinations if an Increased Reporting Event has occurred during such calendar year), (ii) except for one additional post-closing desktop inventory appraisal update related to any fresh-start accounting adjustments, which may be required at Agent's discretion, one inventory appraisal in such calendar year (increasing to two inventory appraisals if an Increased Reporting Event has occurred during such calendar year), and (iii) except for one additional post-closing desktop tooling appraisal update related to any fresh-start accounting adjustments, which may be required at Agent's discretion, one tooling appraisal in such calendar year (increasing to two tooling appraisals if an Increased Reporting Event has occurred during such calendar year), in each case, except for field examinations and appraisals conducted prior to the Closing Date or, at Borrowers' option, in connection with a proposed Permitted Acquisition (whether or not consummated).</w:t>
      </w:r>
    </w:p>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Compliance with Laws; Material Agreements</w:t>
      </w:r>
      <w:r>
        <w:rPr>
          <w:rFonts w:ascii="Arial" w:cs="Arial" w:eastAsia="Arial" w:hAnsi="Arial"/>
          <w:sz w:val="18"/>
          <w:szCs w:val="18"/>
          <w:color w:val="auto"/>
        </w:rPr>
        <w:t>. Each Loan Party will, and will cause each of its Restricted Subsidiaries to, (a)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 and (b) perform in all material respects its obligations under material agreements to which it is a party, except where the failure to do so, individually or in the aggregate, could not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4" w:name="page355"/>
    <w:bookmarkEnd w:id="354"/>
    <w:p>
      <w:pPr>
        <w:jc w:val="both"/>
        <w:ind w:firstLine="648"/>
        <w:spacing w:after="0" w:line="282"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 Except where any failure to do so, individually or in the aggregate, could not reasonably be expected to result in a Material Adverse Effect, each Loan Party will, and will cause each of its Restricted Subsidiaries to comply with applicable Environmental Laws.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Disclosure Updates</w:t>
      </w:r>
      <w:r>
        <w:rPr>
          <w:rFonts w:ascii="Arial" w:cs="Arial" w:eastAsia="Arial" w:hAnsi="Arial"/>
          <w:sz w:val="18"/>
          <w:szCs w:val="18"/>
          <w:color w:val="auto"/>
        </w:rPr>
        <w:t>. Each Loan Party will, promptly and in no event later than five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b w:val="1"/>
          <w:bCs w:val="1"/>
          <w:u w:val="single" w:color="auto"/>
          <w:color w:val="auto"/>
        </w:rPr>
        <w:t>Additional Guarantors; Additional Collateral; Additional Specified Jurisdictions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68" w:lineRule="auto"/>
        <w:tabs>
          <w:tab w:leader="none" w:pos="2659"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If (i) as of the time of delivery of a Compliance Certificate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under the L/C Facility or any other third party Indebtedness for borrowed money of a Loan Party in an aggregate principal amount in excess of $20,000,000, Parent shall (A) with respect to a determination made pursuant to clause (a)(i) above, within 45 days (or such later date as may be agreed upon by Agent) after such determination (or, in the case of a Material Specified Subsidiary organized in a new Specified Jurisdiction, 45 days after Agent designates such new Specified Jurisdiction pursuant to </w:t>
      </w:r>
      <w:r>
        <w:rPr>
          <w:rFonts w:ascii="Arial" w:cs="Arial" w:eastAsia="Arial" w:hAnsi="Arial"/>
          <w:sz w:val="17"/>
          <w:szCs w:val="17"/>
          <w:u w:val="single" w:color="auto"/>
          <w:color w:val="auto"/>
        </w:rPr>
        <w:t>Section 5.11(b)</w:t>
      </w:r>
      <w:r>
        <w:rPr>
          <w:rFonts w:ascii="Arial" w:cs="Arial" w:eastAsia="Arial" w:hAnsi="Arial"/>
          <w:sz w:val="17"/>
          <w:szCs w:val="17"/>
          <w:color w:val="auto"/>
        </w:rPr>
        <w:t xml:space="preserve">, as such time period may be extended by Agent in its sole discretion) or (B) with respect any Guarantee provided pursuant to clause (a)(ii) immediately above, contemporaneously with the provision of such Guarantee, cause such Restricted Subsidiary to (1) become a Guarantor by delivering to Agent a duly executed Guaranty Agreement or supplement to a Guaranty Agreement or such other document as Agent shall deem appropriate for such purpose, (2) deliver to Agent such opinions (including an opinion as to such Guarantor's ability to guarantee the Obligations pursuant to such Guaranty Agreement, supplement or other document and to grant Liens to secure the Obligations), organizational and authorization documents and certificates of the type referred to in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to this Agreement as may be reasonably requested by Agent, (3) deliver to Agent such other documents as may be reasonably requested by Agent, all in form, content and scope reasonably satisfactory to Agent, and (4) the requirements of the last sentence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shall have been satisfied.</w:t>
      </w:r>
    </w:p>
    <w:p>
      <w:pPr>
        <w:spacing w:after="0" w:line="185" w:lineRule="exact"/>
        <w:rPr>
          <w:rFonts w:ascii="Arial" w:cs="Arial" w:eastAsia="Arial" w:hAnsi="Arial"/>
          <w:sz w:val="17"/>
          <w:szCs w:val="17"/>
          <w:color w:val="auto"/>
        </w:rPr>
      </w:pPr>
    </w:p>
    <w:p>
      <w:pPr>
        <w:jc w:val="both"/>
        <w:ind w:left="340" w:firstLine="1289"/>
        <w:spacing w:after="0" w:line="259" w:lineRule="auto"/>
        <w:tabs>
          <w:tab w:leader="none" w:pos="267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If, in the most recent Compliance Certificate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Parent identifies any Material Specified Subsidiary that is organized in a jurisdiction that is not a then existing Specified Jurisdiction or an Excluded Jurisdiction, then Agent shall have the right to designate such jurisdiction as a Specified Jurisdiction by providing written notice of such designation to Parent, which designation shall be deemed to take effect on the Business Day such designation is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5" w:name="page356"/>
    <w:bookmarkEnd w:id="355"/>
    <w:p>
      <w:pPr>
        <w:jc w:val="both"/>
        <w:ind w:firstLine="1289"/>
        <w:spacing w:after="0" w:line="288" w:lineRule="auto"/>
        <w:tabs>
          <w:tab w:leader="none" w:pos="2319"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As promptly as possible but in any event within 45 days (or such later date as may be agreed upon by Agent) after any Person becomes a Loan Party pursuant to </w:t>
      </w:r>
      <w:r>
        <w:rPr>
          <w:rFonts w:ascii="Arial" w:cs="Arial" w:eastAsia="Arial" w:hAnsi="Arial"/>
          <w:sz w:val="16"/>
          <w:szCs w:val="16"/>
          <w:u w:val="single" w:color="auto"/>
          <w:color w:val="auto"/>
        </w:rPr>
        <w:t>Section 5.11(a)</w:t>
      </w:r>
      <w:r>
        <w:rPr>
          <w:rFonts w:ascii="Arial" w:cs="Arial" w:eastAsia="Arial" w:hAnsi="Arial"/>
          <w:sz w:val="16"/>
          <w:szCs w:val="16"/>
          <w:color w:val="auto"/>
        </w:rPr>
        <w:t xml:space="preserve"> or otherwise, Parent shall cause (i) such Person to deliver to Agent Collateral Documents (or one or more joinders thereto) reasonably satisfactory to Agent pursuant to which such Person grants to Agent a Lien on substantially all of its assets (other than Excluded Assets) and agrees to be bound by the terms and provisions thereof and (ii) all of the issued and outstanding Equity Interests of such Loan Party to be subject to a perfected (or any analogous concept to the extent perfection does not apply in the relevant jurisdiction) Lien, with the priority as set forth in the Intercreditor Agreement, in favor of Agent to secure the Obligations in accordance with the terms and conditions of, and subject to the exceptions set forth in, the Collateral Documents or such other pledge and security documents as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Agent, by appropriate corporate resolutions, other corporate documentation and legal opinions in form and substance reasonably satisfactory to Agent and its counsel.</w:t>
      </w:r>
    </w:p>
    <w:p>
      <w:pPr>
        <w:spacing w:after="0" w:line="169" w:lineRule="exact"/>
        <w:rPr>
          <w:rFonts w:ascii="Arial" w:cs="Arial" w:eastAsia="Arial" w:hAnsi="Arial"/>
          <w:sz w:val="16"/>
          <w:szCs w:val="16"/>
          <w:color w:val="auto"/>
        </w:rPr>
      </w:pPr>
    </w:p>
    <w:p>
      <w:pPr>
        <w:jc w:val="both"/>
        <w:ind w:firstLine="1289"/>
        <w:spacing w:after="0" w:line="268" w:lineRule="auto"/>
        <w:tabs>
          <w:tab w:leader="none" w:pos="223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As promptly as possible but in any event within 45 days (or such later date as may be agreed upon by Agent) after (i) any Loan Party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such Loan Party shall cause such personal property to be subject to a perfected (or any analogous concept to the extent perfection does not apply in the relevant jurisdiction) Lien, with the priority as set forth in the Intercreditor Agreement, in favor of Agent for the benefit of the Lender Group and the Bank Product Providers to secure the Obligations in accordance with the terms and conditions of, and subject to the exceptions set forth in, the Collateral Documents, subject in any case to Permitted Liens and (ii) to the extent not covered by clause (i) immediately above, any Loan Party acquires or holds Equity Interests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such Loan Party shall cause all of the issued and outstanding Equity Interests of each Pledged Subsidiary to be subject to a perfected (or any analogous concept to the extent perfection does not apply in the relevant jurisdiction) Lien, with the priority as set forth in the Intercreditor Agreement, in favor of Agent to secure the Obligations in accordance with the terms and conditions of, and subject to the exceptions set forth in, the Collateral Documents or such other pledge and security documents as Agent shall reasonably request, subject in any case to Liens created under the Loan Documents, and restrictions on transfer imposed by applicable securities laws and other Liens permitted hereunder that arise by operation of law.</w:t>
      </w:r>
    </w:p>
    <w:p>
      <w:pPr>
        <w:spacing w:after="0" w:line="183" w:lineRule="exact"/>
        <w:rPr>
          <w:rFonts w:ascii="Arial" w:cs="Arial" w:eastAsia="Arial" w:hAnsi="Arial"/>
          <w:sz w:val="17"/>
          <w:szCs w:val="17"/>
          <w:color w:val="auto"/>
        </w:rPr>
      </w:pPr>
    </w:p>
    <w:p>
      <w:pPr>
        <w:jc w:val="both"/>
        <w:ind w:firstLine="1289"/>
        <w:spacing w:after="0" w:line="264" w:lineRule="auto"/>
        <w:tabs>
          <w:tab w:leader="none" w:pos="22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to this Agreement, within 180 days after the Closing Date (or such later date as Agent may agree in its sole discretion), Parent shall, and shall cause each Loan Party that owns Material Real Property as of the Closing Date to, deliver a negative pledge agreement, in recordable form, with respect to such Material Real Property.</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56" w:name="page357"/>
    <w:bookmarkEnd w:id="356"/>
    <w:p>
      <w:pPr>
        <w:jc w:val="both"/>
        <w:ind w:firstLine="1289"/>
        <w:spacing w:after="0" w:line="269" w:lineRule="auto"/>
        <w:tabs>
          <w:tab w:leader="none" w:pos="2264"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If any Material Real Property is acquired by any Loan Party after the Closing Date, Parent will notify Agent thereof, and, within 180 days after such acquisition (or such later date as Agent may agree in its sole discretion), Parent shall deliver a negative pledge agreement, in recordable form, with respect to such Real Property. Following a request of Agent to Administrative Borrower, within 180 days of such request (or such later date as Agent may agree in its sole discretion), Parent shall, and shall cause each Loan Party that owns Material Real Property to, deliver the requested Mortgages and Mortgage Instruments. Notwithstanding the foregoing, Agent may waive the Mortgage and Mortgage Instrument requirement contained in this </w:t>
      </w:r>
      <w:r>
        <w:rPr>
          <w:rFonts w:ascii="Arial" w:cs="Arial" w:eastAsia="Arial" w:hAnsi="Arial"/>
          <w:sz w:val="17"/>
          <w:szCs w:val="17"/>
          <w:u w:val="single" w:color="auto"/>
          <w:color w:val="auto"/>
        </w:rPr>
        <w:t>Section 5.11(f)</w:t>
      </w:r>
      <w:r>
        <w:rPr>
          <w:rFonts w:ascii="Arial" w:cs="Arial" w:eastAsia="Arial" w:hAnsi="Arial"/>
          <w:sz w:val="17"/>
          <w:szCs w:val="17"/>
          <w:color w:val="auto"/>
        </w:rPr>
        <w:t xml:space="preserve"> with respect to any parcel of Material Real Property if, as a result of flood, environmental or other due diligence conducted with respect to such Material Real Property, Agent determines that the cost of, or risk associated with, obtaining a Mortgage with respect to such Material Real Property is excessive in relation to the benefit to the Lender Group and Bank Product Providers of the security to be afforded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82" w:lineRule="exact"/>
        <w:rPr>
          <w:rFonts w:ascii="Arial" w:cs="Arial" w:eastAsia="Arial" w:hAnsi="Arial"/>
          <w:sz w:val="17"/>
          <w:szCs w:val="17"/>
          <w:color w:val="auto"/>
        </w:rPr>
      </w:pPr>
    </w:p>
    <w:p>
      <w:pPr>
        <w:ind w:left="2180" w:hanging="891"/>
        <w:spacing w:after="0"/>
        <w:tabs>
          <w:tab w:leader="none" w:pos="21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289"/>
        <w:spacing w:after="0" w:line="269" w:lineRule="auto"/>
        <w:tabs>
          <w:tab w:leader="none" w:pos="2208"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At any time, at its option, and with the consent of Agent (such consent not to be unreasonably withheld or delayed), Parent may cause any Subsidiary to (i) become a Guarantor by delivering to Agent a duly executed Guaranty Agreement or supplement to a Guaranty Agreement or such other document as Agent shall deem appropriate for such purpose, (ii) deliver to Agent such opinions (including an opinion as to such Guarantor's ability to guarantee the Obligations pursuant to such Guaranty Agreement, supplement or other document and to grant Liens to secure the Obligations), organizational and authorization documents and certificates of the type referred to in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to this Agreement as may be reasonably requested by Agent, including a certificate of a Principal Financial Officer of Parent with supporting information certifying as to such Guarantor's ability to guarantee the Obligations pursuant to such Guaranty Agreement, supplement or other document, which certificate shall be in form and substance reasonably satisfactory to Agent, (iii) comply with last sentence of </w:t>
      </w:r>
      <w:r>
        <w:rPr>
          <w:rFonts w:ascii="Arial" w:cs="Arial" w:eastAsia="Arial" w:hAnsi="Arial"/>
          <w:sz w:val="17"/>
          <w:szCs w:val="17"/>
          <w:u w:val="single" w:color="auto"/>
          <w:color w:val="auto"/>
        </w:rPr>
        <w:t>Section 5.12</w:t>
      </w:r>
      <w:r>
        <w:rPr>
          <w:rFonts w:ascii="Arial" w:cs="Arial" w:eastAsia="Arial" w:hAnsi="Arial"/>
          <w:sz w:val="17"/>
          <w:szCs w:val="17"/>
          <w:color w:val="auto"/>
        </w:rPr>
        <w:t>, and (iv) deliver to Agent such other documents as may be reasonably requested by Agent, all in form, content and scope reasonably satisfactory to Agent (any such Subsidiary, an "</w:t>
      </w:r>
      <w:r>
        <w:rPr>
          <w:rFonts w:ascii="Arial" w:cs="Arial" w:eastAsia="Arial" w:hAnsi="Arial"/>
          <w:sz w:val="17"/>
          <w:szCs w:val="17"/>
          <w:u w:val="single" w:color="auto"/>
          <w:color w:val="auto"/>
        </w:rPr>
        <w:t>Added Guarantor</w:t>
      </w:r>
      <w:r>
        <w:rPr>
          <w:rFonts w:ascii="Arial" w:cs="Arial" w:eastAsia="Arial" w:hAnsi="Arial"/>
          <w:sz w:val="17"/>
          <w:szCs w:val="17"/>
          <w:color w:val="auto"/>
        </w:rPr>
        <w:t>"). Notwithstanding anything to the contrary herein, no Added Guarantor shall become a party to any Collateral Document except as elected by Parent and consented to by Agent.</w:t>
      </w:r>
    </w:p>
    <w:p>
      <w:pPr>
        <w:spacing w:after="0" w:line="182" w:lineRule="exact"/>
        <w:rPr>
          <w:rFonts w:ascii="Arial" w:cs="Arial" w:eastAsia="Arial" w:hAnsi="Arial"/>
          <w:sz w:val="17"/>
          <w:szCs w:val="17"/>
          <w:color w:val="auto"/>
        </w:rPr>
      </w:pPr>
    </w:p>
    <w:p>
      <w:pPr>
        <w:ind w:left="2620" w:hanging="1331"/>
        <w:spacing w:after="0"/>
        <w:tabs>
          <w:tab w:leader="none" w:pos="262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Any document, agreement, or instrument executed or issued pursuant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constitute a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anything to the contrary in this Agreement or any other Loan Document, WOFS Assurance's liability shall be limited or extinguished, as applicable, to the extent necessary to ensure that WOFS Assurance, at all times, meets its minimum solvency margin and liquidity ratio pursuant to the Insurance Act 1978 of Bermuda (the "</w:t>
      </w:r>
      <w:r>
        <w:rPr>
          <w:rFonts w:ascii="Arial" w:cs="Arial" w:eastAsia="Arial" w:hAnsi="Arial"/>
          <w:sz w:val="16"/>
          <w:szCs w:val="16"/>
          <w:u w:val="single" w:color="auto"/>
          <w:color w:val="auto"/>
        </w:rPr>
        <w:t>Insurance Act</w:t>
      </w:r>
      <w:r>
        <w:rPr>
          <w:rFonts w:ascii="Arial" w:cs="Arial" w:eastAsia="Arial" w:hAnsi="Arial"/>
          <w:sz w:val="16"/>
          <w:szCs w:val="16"/>
          <w:color w:val="auto"/>
        </w:rPr>
        <w:t>") and remains in compliance with sections 31A through 31C of the Insurance Act.</w:t>
      </w: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57" w:name="page358"/>
    <w:bookmarkEnd w:id="357"/>
    <w:p>
      <w:pPr>
        <w:jc w:val="both"/>
        <w:ind w:firstLine="648"/>
        <w:spacing w:after="0" w:line="284"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Arial" w:cs="Arial" w:eastAsia="Arial" w:hAnsi="Arial"/>
          <w:sz w:val="16"/>
          <w:szCs w:val="16"/>
          <w:u w:val="single" w:color="auto"/>
          <w:color w:val="auto"/>
        </w:rPr>
        <w:t>Additional Documents</w:t>
      </w:r>
      <w:r>
        <w:rPr>
          <w:rFonts w:ascii="Arial" w:cs="Arial" w:eastAsia="Arial" w:hAnsi="Arial"/>
          <w:sz w:val="16"/>
          <w:szCs w:val="16"/>
          <w:color w:val="auto"/>
        </w:rPr>
        <w:t xml:space="preserve">") that Agent may reasonably request in form and substance reasonably satisfactory to Agent, to create, perfect, and continue perfected (or any analogous concept to the extent perfection does not apply in the relevant jurisdiction) or to better perfect Agent's Liens in all of the assets of each of the Loan Parties (whether now owned or hereafter arising or acquired, tangible or intangible, real or personal) (other than any Excluded Assets) pursuant to Section 2 of the Domestic Security Agreement), to create and perfect Liens in favor of Agent in any Material Real Property acquired by any other Loan Party, and in order to fully consummate all of the transactions contemplated hereby and under the other Loan Documents. To the maximum extent permitted by applicable law, if any Borrower or any other Loan Party refuses or fails to execute or deliver any reasonably requested Additional Documents within a reasonable period of time not to exceed ten Business Days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the Loan Parties (other than Excluded Assets), including all of the outstanding capital Equity Interests of each Borrower and its Subsidiaries owned by a Loan Party (in each case, other than Excluded Assets and with respect to any assets expressly excluded from the Collateral (as defined in the Domestic Security Agreement) pursuant to the Domestic Security Agreement or excluded pursuant to other Collateral Documents). Notwithstanding anything to the contrary contained herein (including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hereof and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in any other Loan Document, (x) Agent shall not accept delivery of any Mortgage from any Loan Party unless each of the Lenders has received 45 days prior written notice thereof and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Agent shall not accept delivery of any joinder to any Loan Document with respect to any Surviving Person that is the New Weatherford Parent, or Subsidiary of any Loan Party that is not a Loan Party, if such Surviving Person or Subsidiary that qualifies as a "legal entity customer" under the Beneficial Ownership Regulation unless such Surviving Person or Subsidiary has delivered a Beneficial Ownership Certification in relation to such Surviving Person or Subsidiary and each Lender shall have completed its Patriot Act searches, OFAC/PEP searches and customary individual background checks for such Surviving Person or Subsidiary, the results of which shall be satisfactory to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Default or Event of Default that results from any delay by the Agent or any Lender with respect to the delivery, execution or effectiveness of any Loan Document or other deliverable in connection with clauses (x) and (y) hereinabove shall not be deemed to be a Default or Event of Default hereunder.</w:t>
      </w:r>
    </w:p>
    <w:p>
      <w:pPr>
        <w:spacing w:after="0" w:line="3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Lender Meetings</w:t>
      </w:r>
      <w:r>
        <w:rPr>
          <w:rFonts w:ascii="Arial" w:cs="Arial" w:eastAsia="Arial" w:hAnsi="Arial"/>
          <w:sz w:val="18"/>
          <w:szCs w:val="18"/>
          <w:color w:val="auto"/>
        </w:rPr>
        <w:t>. Parent will, within 90 days after the close of each Fiscal Year of Parent, at the request of Agent or of the Required Lenders and upon reasonable prior notice, hold a conference call (at a mutually agreeable time) with all Lenders who choose to attend such conference call on which conference call shall be reviewed the financial results of the previous Fiscal Year and the financial condition of the Loan Parties and their Subsidiaries and the projections presented for the current Fiscal Year of Parent.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8" w:name="page359"/>
    <w:bookmarkEnd w:id="358"/>
    <w:p>
      <w:pPr>
        <w:jc w:val="both"/>
        <w:ind w:firstLine="648"/>
        <w:spacing w:after="0" w:line="285"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u w:val="single" w:color="auto"/>
          <w:color w:val="auto"/>
        </w:rPr>
        <w:t>Location of Inventory and Rental Tools; Chief Executive Office</w:t>
      </w:r>
      <w:r>
        <w:rPr>
          <w:rFonts w:ascii="Arial" w:cs="Arial" w:eastAsia="Arial" w:hAnsi="Arial"/>
          <w:sz w:val="16"/>
          <w:szCs w:val="16"/>
          <w:color w:val="auto"/>
        </w:rPr>
        <w:t xml:space="preserve">. Each Loan Party will keep its Inventory and Rental Tools, in each case with a net book value in excess of $500,000, and except to the extent that such Inventory or Rental Tools are, in the ordinary course of business, at another location for repairs, in-transit or deployed with a customer, only at the locations identified on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to this Agreement, as such Schedule is updated from time to time pursuant to the Borrowing Base reporting package delivered pursuant to clauses (f) and (h) of </w:t>
      </w:r>
      <w:r>
        <w:rPr>
          <w:rFonts w:ascii="Arial" w:cs="Arial" w:eastAsia="Arial" w:hAnsi="Arial"/>
          <w:sz w:val="16"/>
          <w:szCs w:val="16"/>
          <w:u w:val="single" w:color="auto"/>
          <w:color w:val="auto"/>
        </w:rPr>
        <w:t>Schedule 5.2</w:t>
      </w:r>
      <w:r>
        <w:rPr>
          <w:rFonts w:ascii="Arial" w:cs="Arial" w:eastAsia="Arial" w:hAnsi="Arial"/>
          <w:sz w:val="16"/>
          <w:szCs w:val="16"/>
          <w:color w:val="auto"/>
        </w:rPr>
        <w:t xml:space="preserve"> or, in the case of assets not included in the Borrowing Base, as such Schedule is updated by written notice to Agent on or before the date such assets are moved to such new location. With respect to such Inventory or Rental Tools required to be kept at a location identified on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with a net book value in excess of $20,000,000 (taken together, in each case to the extent related to assets of the type included in the Borrowing Base, with any sale or other transfer of such assets in connection with Permitted Factoring Transactions, other movement of such assets of the type described in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Indebtedness of the type described in </w:t>
      </w:r>
      <w:r>
        <w:rPr>
          <w:rFonts w:ascii="Arial" w:cs="Arial" w:eastAsia="Arial" w:hAnsi="Arial"/>
          <w:sz w:val="16"/>
          <w:szCs w:val="16"/>
          <w:u w:val="single" w:color="auto"/>
          <w:color w:val="auto"/>
        </w:rPr>
        <w:t>Section 6.1(f)</w:t>
      </w:r>
      <w:r>
        <w:rPr>
          <w:rFonts w:ascii="Arial" w:cs="Arial" w:eastAsia="Arial" w:hAnsi="Arial"/>
          <w:sz w:val="16"/>
          <w:szCs w:val="16"/>
          <w:color w:val="auto"/>
        </w:rPr>
        <w:t xml:space="preserve"> that involves such assets, Disposition of the types described in the last paragraph of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that involves such assets, Investment of the type described in </w:t>
      </w:r>
      <w:r>
        <w:rPr>
          <w:rFonts w:ascii="Arial" w:cs="Arial" w:eastAsia="Arial" w:hAnsi="Arial"/>
          <w:sz w:val="16"/>
          <w:szCs w:val="16"/>
          <w:u w:val="single" w:color="auto"/>
          <w:color w:val="auto"/>
        </w:rPr>
        <w:t>Section 6.6(n)</w:t>
      </w:r>
      <w:r>
        <w:rPr>
          <w:rFonts w:ascii="Arial" w:cs="Arial" w:eastAsia="Arial" w:hAnsi="Arial"/>
          <w:sz w:val="16"/>
          <w:szCs w:val="16"/>
          <w:color w:val="auto"/>
        </w:rPr>
        <w:t xml:space="preserve"> that involves such assets and Restricted Payment of the type described in </w:t>
      </w:r>
      <w:r>
        <w:rPr>
          <w:rFonts w:ascii="Arial" w:cs="Arial" w:eastAsia="Arial" w:hAnsi="Arial"/>
          <w:sz w:val="16"/>
          <w:szCs w:val="16"/>
          <w:u w:val="single" w:color="auto"/>
          <w:color w:val="auto"/>
        </w:rPr>
        <w:t>Section 6.8(k)</w:t>
      </w:r>
      <w:r>
        <w:rPr>
          <w:rFonts w:ascii="Arial" w:cs="Arial" w:eastAsia="Arial" w:hAnsi="Arial"/>
          <w:sz w:val="16"/>
          <w:szCs w:val="16"/>
          <w:color w:val="auto"/>
        </w:rPr>
        <w:t xml:space="preserve"> that involves such assets, in each case made during such month or, if applicable, since the date of the most recently delivered Borrowing Base Certificate during such month) that are moved to any such new location that is outside of the United States, or inside of the United States with respect to a Loan Party that is not a Domestic Loan Party, Administrative Borrower shall deliver an updated Borrowing Base Certificate to Agent no later than the third Business Day following any such movement, reflecting the removal of such assets from the Borrowing Base (or other applicable adjustment, if any), and such transaction shall be permitted only to the extent no Overadvance results therefrom. The Loan Parties will keep their respective chief executive offices only at the locations identified on Exhibit "A" to the Domestic Security Agreement, unless such Loan Party shall have given Agent not less than ten days' (or such shorter period as Agent may agree) prior written notice of such change. Each Loan Party will use its commercially reasonable efforts to obtain Collateral Access Agreements for each of the locations identified for Collateral Access Agreements on Exhibit "A" to the Domestic Security Agreement and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to this Agreement.</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u w:val="single" w:color="auto"/>
          <w:color w:val="auto"/>
        </w:rPr>
        <w:t>OFAC; Sanctions; Anti-Corruption Laws; Anti-Money Laundering Laws</w:t>
      </w:r>
      <w:r>
        <w:rPr>
          <w:rFonts w:ascii="Arial" w:cs="Arial" w:eastAsia="Arial" w:hAnsi="Arial"/>
          <w:sz w:val="18"/>
          <w:szCs w:val="18"/>
          <w:color w:val="auto"/>
        </w:rPr>
        <w:t xml:space="preserve">. Each Loan Party will, and will cause each of its Subsidiaries to comply with all applicable Sanctions, Anti-Corruption Laws and Anti-Money Laundering Laws. Each of the Loan Parties and its Subsidiaries (other than those set forth on </w:t>
      </w:r>
      <w:r>
        <w:rPr>
          <w:rFonts w:ascii="Arial" w:cs="Arial" w:eastAsia="Arial" w:hAnsi="Arial"/>
          <w:sz w:val="18"/>
          <w:szCs w:val="18"/>
          <w:u w:val="single" w:color="auto"/>
          <w:color w:val="auto"/>
        </w:rPr>
        <w:t>Schedule 4.18</w:t>
      </w:r>
      <w:r>
        <w:rPr>
          <w:rFonts w:ascii="Arial" w:cs="Arial" w:eastAsia="Arial" w:hAnsi="Arial"/>
          <w:sz w:val="18"/>
          <w:szCs w:val="18"/>
          <w:color w:val="auto"/>
        </w:rPr>
        <w:t>)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To the extent that any obligation contained in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made by any Loan Party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 or section 7 of the German Foreign Trade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 (AWG</w:t>
      </w:r>
      <w:r>
        <w:rPr>
          <w:rFonts w:ascii="Arial" w:cs="Arial" w:eastAsia="Arial" w:hAnsi="Arial"/>
          <w:sz w:val="18"/>
          <w:szCs w:val="18"/>
          <w:color w:val="auto"/>
        </w:rPr>
        <w:t>)) or any similar anti-boycott statute, Agent will, upon the request of the respective Loan Party, enter into bona fide discussions with such Loan Party regarding the implementation of procedures to mitigate any such conflict or violation.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9" w:name="page360"/>
    <w:bookmarkEnd w:id="359"/>
    <w:p>
      <w:pPr>
        <w:jc w:val="both"/>
        <w:ind w:firstLine="648"/>
        <w:spacing w:after="0" w:line="284"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b w:val="1"/>
          <w:bCs w:val="1"/>
          <w:u w:val="single" w:color="auto"/>
          <w:color w:val="auto"/>
        </w:rPr>
        <w:t>Compliance with ERISA and the IRC</w:t>
      </w:r>
      <w:r>
        <w:rPr>
          <w:rFonts w:ascii="Arial" w:cs="Arial" w:eastAsia="Arial" w:hAnsi="Arial"/>
          <w:sz w:val="16"/>
          <w:szCs w:val="16"/>
          <w:color w:val="auto"/>
        </w:rPr>
        <w:t xml:space="preserve">. In addition to and without limiting the generality of </w:t>
      </w:r>
      <w:r>
        <w:rPr>
          <w:rFonts w:ascii="Arial" w:cs="Arial" w:eastAsia="Arial" w:hAnsi="Arial"/>
          <w:sz w:val="16"/>
          <w:szCs w:val="16"/>
          <w:u w:val="single" w:color="auto"/>
          <w:color w:val="auto"/>
        </w:rPr>
        <w:t>Section 5.8</w:t>
      </w:r>
      <w:r>
        <w:rPr>
          <w:rFonts w:ascii="Arial" w:cs="Arial" w:eastAsia="Arial" w:hAnsi="Arial"/>
          <w:sz w:val="16"/>
          <w:szCs w:val="16"/>
          <w:color w:val="auto"/>
        </w:rPr>
        <w:t>, each Loan Party will, and will cause its Restricted Subsidiaries to, (a) comply with applicable provisions of law, including ERISA and the IRC, with respect to all Employee Benefit Plans and Foreign Plans, (b) without the prior written consent of Agent and the Required Lenders, not take any action or fail to take action the result of which could result in a Loan Party or ERISA Affiliate incurring liability to the PBGC or to a Multiemployer Plan (other than to pay contributions or premiums payable in the ordinary course), (c) allow any facts or circumstances to exist with respect to one or more Employee Benefit Plans that, in the aggregate, reasonably could be expected to result in a Material Adverse Effect, (d) not participate in any prohibited transaction that could result in a civil penalty excise tax, fiduciary liability or correction obligation under ERISA or the IRC, (e) furnish to Agent upon Agent's written request such additional information about any Employee Benefit Plan for which any Loan Party or ERISA Affiliate could reasonably expect to incur any liability, except in the case of clauses (a), (b),</w:t>
      </w:r>
    </w:p>
    <w:p>
      <w:pPr>
        <w:spacing w:after="0" w:line="5" w:lineRule="exact"/>
        <w:rPr>
          <w:sz w:val="20"/>
          <w:szCs w:val="20"/>
          <w:color w:val="auto"/>
        </w:rPr>
      </w:pPr>
    </w:p>
    <w:p>
      <w:pPr>
        <w:jc w:val="both"/>
        <w:ind w:firstLine="8"/>
        <w:spacing w:after="0" w:line="252" w:lineRule="auto"/>
        <w:tabs>
          <w:tab w:leader="none" w:pos="27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and (e), as could not reasonably be expected to have a Material Adverse Effect. With respect to each Pension Plan (other than a Multiemployer Plan) except as could not reasonably be expected to result in a Material Adverse Effect or a Lien on the assets of the Loan Parties under Section 303(k) or Section 4068 of ERISA or Section 430 of the IRC, the Loan Parties and the ERISA Affiliates shall (i) satisfy in full and in a timely manner, without incurring any late payment or underpayment charge or penalty and without giving rise to any Lien, all of the contribution and funding requirements of the IRC and of ERISA, and (ii) pay, or cause to be paid, to the PBGC in a timely manner, without incurring any late payment or underpayment charge or penalty, all premiums required pursuant to ERISA.</w:t>
      </w:r>
    </w:p>
    <w:p>
      <w:pPr>
        <w:spacing w:after="0" w:line="19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5"/>
          <w:szCs w:val="15"/>
          <w:b w:val="1"/>
          <w:bCs w:val="1"/>
          <w:u w:val="single" w:color="auto"/>
          <w:color w:val="auto"/>
        </w:rPr>
        <w:t>Designation of Unrestricted Subsidiaries; Redesignation of Unrestricted Subsidiaries as Restricted Subsidiaries</w:t>
      </w:r>
      <w:r>
        <w:rPr>
          <w:rFonts w:ascii="Arial" w:cs="Arial" w:eastAsia="Arial" w:hAnsi="Arial"/>
          <w:sz w:val="15"/>
          <w:szCs w:val="15"/>
          <w:color w:val="auto"/>
        </w:rPr>
        <w:t>.</w:t>
      </w:r>
    </w:p>
    <w:p>
      <w:pPr>
        <w:spacing w:after="0" w:line="229" w:lineRule="exact"/>
        <w:rPr>
          <w:sz w:val="20"/>
          <w:szCs w:val="20"/>
          <w:color w:val="auto"/>
        </w:rPr>
      </w:pPr>
    </w:p>
    <w:p>
      <w:pPr>
        <w:ind w:left="2720" w:hanging="1091"/>
        <w:spacing w:after="0"/>
        <w:tabs>
          <w:tab w:leader="none" w:pos="272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Unless designated as an Unrestricted Subsidiary pursuant to this </w:t>
      </w:r>
      <w:r>
        <w:rPr>
          <w:rFonts w:ascii="Arial" w:cs="Arial" w:eastAsia="Arial" w:hAnsi="Arial"/>
          <w:sz w:val="16"/>
          <w:szCs w:val="16"/>
          <w:u w:val="single" w:color="auto"/>
          <w:color w:val="auto"/>
        </w:rPr>
        <w:t>Section 5.17</w:t>
      </w:r>
      <w:r>
        <w:rPr>
          <w:rFonts w:ascii="Arial" w:cs="Arial" w:eastAsia="Arial" w:hAnsi="Arial"/>
          <w:sz w:val="16"/>
          <w:szCs w:val="16"/>
          <w:color w:val="auto"/>
        </w:rPr>
        <w:t>, each Subsidiary shall be classified as a</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Restricted Subsidiary.</w:t>
      </w:r>
    </w:p>
    <w:p>
      <w:pPr>
        <w:spacing w:after="0" w:line="210" w:lineRule="exact"/>
        <w:rPr>
          <w:rFonts w:ascii="Arial" w:cs="Arial" w:eastAsia="Arial" w:hAnsi="Arial"/>
          <w:sz w:val="16"/>
          <w:szCs w:val="16"/>
          <w:color w:val="auto"/>
        </w:rPr>
      </w:pPr>
    </w:p>
    <w:p>
      <w:pPr>
        <w:jc w:val="both"/>
        <w:ind w:left="340" w:firstLine="1289"/>
        <w:spacing w:after="0" w:line="264" w:lineRule="auto"/>
        <w:tabs>
          <w:tab w:leader="none" w:pos="257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Parent designates any Subsidiary as an Unrestricted Subsidiary pursuant to paragraph (c) below, Parent shall be deemed to have made an Investment in such Unrestricted Subsidiary in an amount equal to the fair market value as of the date of such designation of the consolidated assets of such Subsidiary.</w:t>
      </w:r>
    </w:p>
    <w:p>
      <w:pPr>
        <w:spacing w:after="0" w:line="181" w:lineRule="exact"/>
        <w:rPr>
          <w:rFonts w:ascii="Arial" w:cs="Arial" w:eastAsia="Arial" w:hAnsi="Arial"/>
          <w:sz w:val="18"/>
          <w:szCs w:val="18"/>
          <w:color w:val="auto"/>
        </w:rPr>
      </w:pPr>
    </w:p>
    <w:p>
      <w:pPr>
        <w:jc w:val="both"/>
        <w:ind w:left="340" w:firstLine="1289"/>
        <w:spacing w:after="0" w:line="255" w:lineRule="auto"/>
        <w:tabs>
          <w:tab w:leader="none" w:pos="264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Parent may designate, by written notice to Agent, any Subsidiary to be an Unrestricted Subsidiary if (i) before and after giving effect to such designation, no Default or Event of Default shall exist, (ii) Parent shall be in pro forma compliance with the financial covenants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both before and after giving effect to such designation, (iii) the deemed Investment by Parent in such Unrestricted Subsidiary resulting from such designation would be permitted to be made at the time of such designation under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and (iv) such Subsidiary otherwise meets the requirements set forth in the definition of "Unrestricted Subsidiary". Such written notice shall be accompanied by a certificate of a Principal Financial Officer, certifying as to the matters set forth in the preceding sentence.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0" w:name="page361"/>
    <w:bookmarkEnd w:id="360"/>
    <w:p>
      <w:pPr>
        <w:ind w:left="2600" w:hanging="971"/>
        <w:spacing w:after="0"/>
        <w:tabs>
          <w:tab w:leader="none" w:pos="260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Parent may designate any Unrestricted Subsidiary to be a Restricted Subsidiary if, after giving effect to such designation:</w:t>
      </w:r>
    </w:p>
    <w:p>
      <w:pPr>
        <w:spacing w:after="0" w:line="46" w:lineRule="exact"/>
        <w:rPr>
          <w:rFonts w:ascii="Arial" w:cs="Arial" w:eastAsia="Arial" w:hAnsi="Arial"/>
          <w:sz w:val="16"/>
          <w:szCs w:val="16"/>
          <w:color w:val="auto"/>
        </w:rPr>
      </w:pPr>
    </w:p>
    <w:p>
      <w:pPr>
        <w:jc w:val="both"/>
        <w:ind w:left="340" w:hanging="8"/>
        <w:spacing w:after="0" w:line="268" w:lineRule="auto"/>
        <w:tabs>
          <w:tab w:leader="none" w:pos="559" w:val="left"/>
        </w:tabs>
        <w:numPr>
          <w:ilvl w:val="0"/>
          <w:numId w:val="41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Loan Parties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340" w:firstLine="1289"/>
        <w:spacing w:after="0" w:line="264" w:lineRule="auto"/>
        <w:tabs>
          <w:tab w:leader="none" w:pos="2578" w:val="left"/>
        </w:tabs>
        <w:numPr>
          <w:ilvl w:val="1"/>
          <w:numId w:val="418"/>
        </w:numPr>
        <w:rPr>
          <w:rFonts w:ascii="Arial" w:cs="Arial" w:eastAsia="Arial" w:hAnsi="Arial"/>
          <w:sz w:val="18"/>
          <w:szCs w:val="18"/>
          <w:color w:val="auto"/>
        </w:rPr>
      </w:pPr>
      <w:r>
        <w:rPr>
          <w:rFonts w:ascii="Arial" w:cs="Arial" w:eastAsia="Arial" w:hAnsi="Arial"/>
          <w:sz w:val="18"/>
          <w:szCs w:val="18"/>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8"/>
          <w:szCs w:val="18"/>
          <w:u w:val="single" w:color="auto"/>
          <w:color w:val="auto"/>
        </w:rPr>
        <w:t>Section 5.17(d)</w:t>
      </w:r>
      <w:r>
        <w:rPr>
          <w:rFonts w:ascii="Arial" w:cs="Arial" w:eastAsia="Arial" w:hAnsi="Arial"/>
          <w:sz w:val="18"/>
          <w:szCs w:val="18"/>
          <w:color w:val="auto"/>
        </w:rPr>
        <w:t xml:space="preserve"> (in addition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any other relevant provisions herein).</w:t>
      </w:r>
    </w:p>
    <w:p>
      <w:pPr>
        <w:spacing w:after="0" w:line="181" w:lineRule="exact"/>
        <w:rPr>
          <w:rFonts w:ascii="Arial" w:cs="Arial" w:eastAsia="Arial" w:hAnsi="Arial"/>
          <w:sz w:val="18"/>
          <w:szCs w:val="18"/>
          <w:color w:val="auto"/>
        </w:rPr>
      </w:pPr>
    </w:p>
    <w:p>
      <w:pPr>
        <w:ind w:left="340" w:firstLine="1289"/>
        <w:spacing w:after="0" w:line="277" w:lineRule="auto"/>
        <w:tabs>
          <w:tab w:leader="none" w:pos="264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contained herein, no Borrower or Borrowing Base Loan Party may be designated as an Unrestricted Subsidiary.</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b w:val="1"/>
          <w:bCs w:val="1"/>
          <w:u w:val="single" w:color="auto"/>
          <w:color w:val="auto"/>
        </w:rPr>
        <w:t>UK Cash Management Provisions</w:t>
      </w:r>
      <w:r>
        <w:rPr>
          <w:rFonts w:ascii="Arial" w:cs="Arial" w:eastAsia="Arial" w:hAnsi="Arial"/>
          <w:sz w:val="16"/>
          <w:szCs w:val="16"/>
          <w:color w:val="auto"/>
        </w:rPr>
        <w:t>. (a) Subject to paragraph (b) below, Parent and each Borrower will ensure that all of the proceeds of Accounts of the UK Borrowing Base Loan Parties are deposited directly into segregated Collection Accounts (which Collection Accounts shall be located in England or any other jurisdiction satisfactory to Agent in its Permitted Discretion) only containing the proceeds of the Accounts of the UK Borrowing Base Loan Parties, in a manner that is satisfactory to Agent which Collection Accounts, for the avoidance of doubt, shall not be used for general payment purposes.</w:t>
      </w:r>
    </w:p>
    <w:p>
      <w:pPr>
        <w:spacing w:after="0" w:line="155" w:lineRule="exact"/>
        <w:rPr>
          <w:sz w:val="20"/>
          <w:szCs w:val="20"/>
          <w:color w:val="auto"/>
        </w:rPr>
      </w:pPr>
    </w:p>
    <w:p>
      <w:pPr>
        <w:jc w:val="both"/>
        <w:ind w:left="340" w:firstLine="1289"/>
        <w:spacing w:after="0" w:line="264" w:lineRule="auto"/>
        <w:tabs>
          <w:tab w:leader="none" w:pos="2548"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the event that the proceeds of any Account of the UK Borrowing Base Loan Parities are deposited into an account other than a Collection Account, the applicable UK Borrowing Base Loan Party shall hold those proceeds on trust for Agent and as soon as practicable transfer such proceeds into the Collection Account.</w:t>
      </w:r>
    </w:p>
    <w:p>
      <w:pPr>
        <w:spacing w:after="0" w:line="181" w:lineRule="exact"/>
        <w:rPr>
          <w:rFonts w:ascii="Arial" w:cs="Arial" w:eastAsia="Arial" w:hAnsi="Arial"/>
          <w:sz w:val="18"/>
          <w:szCs w:val="18"/>
          <w:color w:val="auto"/>
        </w:rPr>
      </w:pPr>
    </w:p>
    <w:p>
      <w:pPr>
        <w:ind w:left="340" w:firstLine="1289"/>
        <w:spacing w:after="0" w:line="277" w:lineRule="auto"/>
        <w:tabs>
          <w:tab w:leader="none" w:pos="2619"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Agent shall be given sufficient access to each relevant Collection Account to ensure that the provisions of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(iii)(A)</w:t>
      </w:r>
      <w:r>
        <w:rPr>
          <w:rFonts w:ascii="Arial" w:cs="Arial" w:eastAsia="Arial" w:hAnsi="Arial"/>
          <w:sz w:val="18"/>
          <w:szCs w:val="18"/>
          <w:color w:val="auto"/>
        </w:rPr>
        <w:t xml:space="preserve"> are capable of being complied with.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1" w:name="page362"/>
    <w:bookmarkEnd w:id="361"/>
    <w:p>
      <w:pPr>
        <w:jc w:val="both"/>
        <w:ind w:left="8" w:firstLine="1289"/>
        <w:spacing w:after="0" w:line="257" w:lineRule="auto"/>
        <w:tabs>
          <w:tab w:leader="none" w:pos="222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Parent and each Borrower will ensure that each of the Collection Accounts of a UK Borrowing Base Loan Party is subject to a Blocked Account Control Agreement or other equivalent arrangement with similar effect. Any such Blocked Account Control Agreement or equivalent arrangement entered into by UK Borrowing Base Loan Party shall (i) provide Agent with control over such account, with such control being sufficient to obtain a "fixed charge" and (ii) will require, at all times, that the only way funds may be withdrawn from any such Collection Account is by (or on the authorization or instruction of) Agent.</w:t>
      </w:r>
    </w:p>
    <w:p>
      <w:pPr>
        <w:spacing w:after="0" w:line="188" w:lineRule="exact"/>
        <w:rPr>
          <w:rFonts w:ascii="Arial" w:cs="Arial" w:eastAsia="Arial" w:hAnsi="Arial"/>
          <w:sz w:val="18"/>
          <w:szCs w:val="18"/>
          <w:color w:val="auto"/>
        </w:rPr>
      </w:pPr>
    </w:p>
    <w:p>
      <w:pPr>
        <w:jc w:val="both"/>
        <w:ind w:left="8" w:firstLine="1289"/>
        <w:spacing w:after="0" w:line="273" w:lineRule="auto"/>
        <w:tabs>
          <w:tab w:leader="none" w:pos="2314" w:val="left"/>
        </w:tabs>
        <w:numPr>
          <w:ilvl w:val="0"/>
          <w:numId w:val="420"/>
        </w:numPr>
        <w:rPr>
          <w:rFonts w:ascii="Arial" w:cs="Arial" w:eastAsia="Arial" w:hAnsi="Arial"/>
          <w:sz w:val="17"/>
          <w:szCs w:val="17"/>
          <w:color w:val="auto"/>
        </w:rPr>
      </w:pPr>
      <w:r>
        <w:rPr>
          <w:rFonts w:ascii="Arial" w:cs="Arial" w:eastAsia="Arial" w:hAnsi="Arial"/>
          <w:sz w:val="17"/>
          <w:szCs w:val="17"/>
          <w:color w:val="auto"/>
        </w:rPr>
        <w:t>Parent and each Borrower acknowledge that Collection Accounts of the UK Borrowing Base Loan Parties are, as of the Closing Date, denominated in Dollars, Euros and Sterling, and may, after the Closing Date, be denominated in additional currencies. Parent and each Borrower authorize Agent in respect of such Collection Accounts (i) pursuant to any withdrawal pursuant to clause (d)(ii) above, to transfer such amounts on deposit in the Collection Accounts in the applicable currency of the Collection Account to the applicable UK Borrowing Base Loan Party's designated disbursement account at the discretion of Agent, or (ii) at such time as such amounts on deposit in the Collection Accounts are to be applied to the Obligations, to convert any such amounts not denominated in Dollars to Dollars for such application.</w:t>
      </w:r>
    </w:p>
    <w:p>
      <w:pPr>
        <w:spacing w:after="0" w:line="174" w:lineRule="exact"/>
        <w:rPr>
          <w:sz w:val="20"/>
          <w:szCs w:val="20"/>
          <w:color w:val="auto"/>
        </w:rPr>
      </w:pPr>
    </w:p>
    <w:p>
      <w:pPr>
        <w:ind w:left="328"/>
        <w:spacing w:after="0"/>
        <w:tabs>
          <w:tab w:leader="none" w:pos="1387"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b w:val="1"/>
          <w:bCs w:val="1"/>
          <w:u w:val="single" w:color="auto"/>
          <w:color w:val="auto"/>
        </w:rPr>
        <w:t>Collections; Cash Dominion</w:t>
      </w:r>
      <w:r>
        <w:rPr>
          <w:rFonts w:ascii="Arial" w:cs="Arial" w:eastAsia="Arial" w:hAnsi="Arial"/>
          <w:sz w:val="16"/>
          <w:szCs w:val="16"/>
          <w:color w:val="auto"/>
        </w:rPr>
        <w:t>.</w:t>
      </w:r>
    </w:p>
    <w:p>
      <w:pPr>
        <w:spacing w:after="0" w:line="229" w:lineRule="exact"/>
        <w:rPr>
          <w:sz w:val="20"/>
          <w:szCs w:val="20"/>
          <w:color w:val="auto"/>
        </w:rPr>
      </w:pPr>
    </w:p>
    <w:p>
      <w:pPr>
        <w:jc w:val="both"/>
        <w:ind w:left="8" w:firstLine="1289"/>
        <w:spacing w:after="0" w:line="283" w:lineRule="auto"/>
        <w:tabs>
          <w:tab w:leader="none" w:pos="2219" w:val="left"/>
        </w:tabs>
        <w:numPr>
          <w:ilvl w:val="1"/>
          <w:numId w:val="421"/>
        </w:numPr>
        <w:rPr>
          <w:rFonts w:ascii="Arial" w:cs="Arial" w:eastAsia="Arial" w:hAnsi="Arial"/>
          <w:sz w:val="16"/>
          <w:szCs w:val="16"/>
          <w:color w:val="auto"/>
        </w:rPr>
      </w:pPr>
      <w:r>
        <w:rPr>
          <w:rFonts w:ascii="Arial" w:cs="Arial" w:eastAsia="Arial" w:hAnsi="Arial"/>
          <w:sz w:val="16"/>
          <w:szCs w:val="16"/>
          <w:color w:val="auto"/>
        </w:rPr>
        <w:t xml:space="preserve">Parent shall cause each Borrowing Base Loan Party (other than the UK Borrowing Base Loan Parties who shall be subject to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above and other than the BVI Borrowing Base Loan Parties) to (i) establish and maintain cash management services of a type and on terms reasonably satisfactory to Agent at one or more of the banks set forth on </w:t>
      </w:r>
      <w:r>
        <w:rPr>
          <w:rFonts w:ascii="Arial" w:cs="Arial" w:eastAsia="Arial" w:hAnsi="Arial"/>
          <w:sz w:val="16"/>
          <w:szCs w:val="16"/>
          <w:u w:val="single" w:color="auto"/>
          <w:color w:val="auto"/>
        </w:rPr>
        <w:t>Schedule 5.19(a)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BB Controlled Account Bank</w:t>
      </w:r>
      <w:r>
        <w:rPr>
          <w:rFonts w:ascii="Arial" w:cs="Arial" w:eastAsia="Arial" w:hAnsi="Arial"/>
          <w:sz w:val="16"/>
          <w:szCs w:val="16"/>
          <w:color w:val="auto"/>
        </w:rPr>
        <w:t>"), and shall take reasonable steps to ensure that all of its Account Debtors forward payment of the amounts owed by them directly to a Deposit Account (that is not an Excluded Account) of such Borrowing Base Loan Party (each, a "</w:t>
      </w:r>
      <w:r>
        <w:rPr>
          <w:rFonts w:ascii="Arial" w:cs="Arial" w:eastAsia="Arial" w:hAnsi="Arial"/>
          <w:sz w:val="16"/>
          <w:szCs w:val="16"/>
          <w:u w:val="single" w:color="auto"/>
          <w:color w:val="auto"/>
        </w:rPr>
        <w:t>BB Controlled Account</w:t>
      </w:r>
      <w:r>
        <w:rPr>
          <w:rFonts w:ascii="Arial" w:cs="Arial" w:eastAsia="Arial" w:hAnsi="Arial"/>
          <w:sz w:val="16"/>
          <w:szCs w:val="16"/>
          <w:color w:val="auto"/>
        </w:rPr>
        <w:t xml:space="preserve">") (by wire transfer to the applicable BB Controlled Account Bank or to a lockbox maintained by the applicable BB Controlled Account Bank for deposit into such Deposit Account), and (ii) deposit or cause to be deposited promptly, and in any event no later than the first Business Day after the date of receipt thereof, all of their Accounts (including those sent directly by their Account Debtors to a Borrowing Base Loan Party other than the UK Borrowing Base Loan Parties and the BVI Borrowing Base Loan Parties) and proceeds of other Revolver Facility Priority Collateral into a Deposit Account (that is not an Excluded Account). Parent shall cause each BVI Borrowing Base Loan Party and each other Loan Party that is not a Borrowing Base Loan Party to (i) establish and maintain cash management services of a type and on terms reasonably satisfactory to Agent at one or more of the banks set forth on </w:t>
      </w:r>
      <w:r>
        <w:rPr>
          <w:rFonts w:ascii="Arial" w:cs="Arial" w:eastAsia="Arial" w:hAnsi="Arial"/>
          <w:sz w:val="16"/>
          <w:szCs w:val="16"/>
          <w:u w:val="single" w:color="auto"/>
          <w:color w:val="auto"/>
        </w:rPr>
        <w:t>Schedule 5.19(b)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BVI/LP Controlled Account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Bank</w:t>
      </w:r>
      <w:r>
        <w:rPr>
          <w:rFonts w:ascii="Arial" w:cs="Arial" w:eastAsia="Arial" w:hAnsi="Arial"/>
          <w:sz w:val="16"/>
          <w:szCs w:val="16"/>
          <w:color w:val="auto"/>
        </w:rPr>
        <w:t>" and, together with each BB Controlled Account Bank, the "</w:t>
      </w:r>
      <w:r>
        <w:rPr>
          <w:rFonts w:ascii="Arial" w:cs="Arial" w:eastAsia="Arial" w:hAnsi="Arial"/>
          <w:sz w:val="16"/>
          <w:szCs w:val="16"/>
          <w:u w:val="single" w:color="auto"/>
          <w:color w:val="auto"/>
        </w:rPr>
        <w:t>Controlled Account Banks</w:t>
      </w:r>
      <w:r>
        <w:rPr>
          <w:rFonts w:ascii="Arial" w:cs="Arial" w:eastAsia="Arial" w:hAnsi="Arial"/>
          <w:sz w:val="16"/>
          <w:szCs w:val="16"/>
          <w:color w:val="auto"/>
        </w:rPr>
        <w:t>"), and shall take reasonable steps to ensure that all of its Account Debtors (other than Account Debtors who, in the ordinary course of business and consistent with past practices prior to the commencement of the Chapter 11 Cases (x) remit payment to a Specified Ineligible Deposit Account, as the result of goods or services being provided in an Ineligible Jurisdiction, (y) remit payment to a Specified Eligible Deposit Account, as the result of goods or services being provided in an Eligible Jurisdiction, or</w:t>
      </w:r>
    </w:p>
    <w:p>
      <w:pPr>
        <w:spacing w:after="0" w:line="1" w:lineRule="exact"/>
        <w:rPr>
          <w:rFonts w:ascii="Arial" w:cs="Arial" w:eastAsia="Arial" w:hAnsi="Arial"/>
          <w:sz w:val="16"/>
          <w:szCs w:val="16"/>
          <w:color w:val="auto"/>
        </w:rPr>
      </w:pPr>
    </w:p>
    <w:p>
      <w:pPr>
        <w:jc w:val="both"/>
        <w:ind w:left="8" w:hanging="8"/>
        <w:spacing w:after="0" w:line="266" w:lineRule="auto"/>
        <w:tabs>
          <w:tab w:leader="none" w:pos="274" w:val="left"/>
        </w:tabs>
        <w:numPr>
          <w:ilvl w:val="0"/>
          <w:numId w:val="422"/>
        </w:numPr>
        <w:rPr>
          <w:rFonts w:ascii="Arial" w:cs="Arial" w:eastAsia="Arial" w:hAnsi="Arial"/>
          <w:sz w:val="17"/>
          <w:szCs w:val="17"/>
          <w:color w:val="auto"/>
        </w:rPr>
      </w:pPr>
      <w:r>
        <w:rPr>
          <w:rFonts w:ascii="Arial" w:cs="Arial" w:eastAsia="Arial" w:hAnsi="Arial"/>
          <w:sz w:val="17"/>
          <w:szCs w:val="17"/>
          <w:color w:val="auto"/>
        </w:rPr>
        <w:t>solely with respect to Account Debtors making payments to Loan Parties that are not Borrowing Base Loan Parties, remit payment to a Deposit Account that is an Excluded Account by virtue of the Global Cash Account Carve Out, so long as, with respect to this clause (z) during any Cash Dominion Period, Parent and each Borrower shall cause any amounts on deposit in such Excluded Account to remain therein (subject to the requirements of the Global Cash Account Carve Out), or be wired directly to the Agent's Account) forward payment of the amounts owed by them directly to a Deposit Account (that is not an Excluded Account) of the applicable Loan Parties (each, a "</w:t>
      </w:r>
      <w:r>
        <w:rPr>
          <w:rFonts w:ascii="Arial" w:cs="Arial" w:eastAsia="Arial" w:hAnsi="Arial"/>
          <w:sz w:val="17"/>
          <w:szCs w:val="17"/>
          <w:u w:val="single" w:color="auto"/>
          <w:color w:val="auto"/>
        </w:rPr>
        <w:t>BVI/LP Controlled Account</w:t>
      </w:r>
      <w:r>
        <w:rPr>
          <w:rFonts w:ascii="Arial" w:cs="Arial" w:eastAsia="Arial" w:hAnsi="Arial"/>
          <w:sz w:val="17"/>
          <w:szCs w:val="17"/>
          <w:color w:val="auto"/>
        </w:rPr>
        <w:t>" and, together with each BB Controlled Account, each a "</w:t>
      </w:r>
      <w:r>
        <w:rPr>
          <w:rFonts w:ascii="Arial" w:cs="Arial" w:eastAsia="Arial" w:hAnsi="Arial"/>
          <w:sz w:val="17"/>
          <w:szCs w:val="17"/>
          <w:u w:val="single" w:color="auto"/>
          <w:color w:val="auto"/>
        </w:rPr>
        <w:t>Controlled Account</w:t>
      </w:r>
      <w:r>
        <w:rPr>
          <w:rFonts w:ascii="Arial" w:cs="Arial" w:eastAsia="Arial" w:hAnsi="Arial"/>
          <w:sz w:val="17"/>
          <w:szCs w:val="17"/>
          <w:color w:val="auto"/>
        </w:rPr>
        <w:t xml:space="preserve">") (by wire transfer to the applicable BVI/LP Controlled Account Bank or to a lockbox maintained by the applicable BVI/LP Controlled Account Bank for deposit into such Deposit Account), and (ii) deposit or cause to be deposited promptly, and in any event no later than the first Business Day after the date of receipt thereof, all of their Accounts (including those sent directly by their Account Debtors to a BVI Borrowing Base Loan Party or other Loan Party that is not a Borrowing Base Loan Party) and proceeds of other Revolver Facility Priority Collateral into a Deposit Account (that is not an Excluded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this clause (ii), (A) to the extent any such Accounts are remitted to the applicable Loan Party in an Ineligible Jurisdiction as the result of goods or services being provided in an Ineligible Jurisdiction or the proceeds of other Revolver Facility Priority Collateral is located in an Ineligible Jurisdiction in each case in the ordinary course of business and consistent with past practices prior to the commencement of the Chapter 11 Cases, the applicable Loan Party shall deposit or cause to be deposited promptly, and in any event no later than the first Business Day after the date of receipt thereof, such amounts to a Specified Ineligible Deposit Account, and (B) to the extent any such Accounts are remitted to the applicable Loan Party in an Eligible Jurisdiction as the result of goods or services being provided in an Eligible Jurisdiction or the proceeds of other Revolver Facility Priority Collateral is located in an Eligible Jurisdiction in each case in the ordinary course of business and consistent with past practices prior to the commencement of the Chapter 11 Cases, the applicable Loan Party shall deposit or cause to be deposited promptly, and in any event no later than the first Business Day after the date of receipt thereof, such amounts to a Specified Eligible Deposit Account.</w:t>
      </w:r>
    </w:p>
    <w:p>
      <w:pPr>
        <w:spacing w:after="0" w:line="200" w:lineRule="exact"/>
        <w:rPr>
          <w:sz w:val="20"/>
          <w:szCs w:val="20"/>
          <w:color w:val="auto"/>
        </w:rPr>
      </w:pPr>
    </w:p>
    <w:p>
      <w:pPr>
        <w:spacing w:after="0" w:line="20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62" w:name="page363"/>
    <w:bookmarkEnd w:id="362"/>
    <w:p>
      <w:pPr>
        <w:jc w:val="both"/>
        <w:ind w:firstLine="1289"/>
        <w:spacing w:after="0" w:line="255" w:lineRule="auto"/>
        <w:tabs>
          <w:tab w:leader="none" w:pos="242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Parent shall, and shall cause each Loan Party to cause each bank or other financial institution in which a Loan Party maintains a Deposit Account (other than an Excluded Account) to enter into a Deposit Account Control Agreement (or foreign equivalent) with Agent and the L/C Facility Agent, in form and substance reasonably satisfactory to Agent in order to give Agent Control (subject to the terms of the Intercreditor Agreement) of each such Deposit Account within sixty (60) days following the date hereof (or such later date as may be agreed to by Agent in its sole discretion). In the case of deposits maintained with Lenders, the terms of such letter shall be subject to the provisions of this Agreement regarding setoffs.</w:t>
      </w:r>
    </w:p>
    <w:p>
      <w:pPr>
        <w:spacing w:after="0" w:line="193" w:lineRule="exact"/>
        <w:rPr>
          <w:rFonts w:ascii="Arial" w:cs="Arial" w:eastAsia="Arial" w:hAnsi="Arial"/>
          <w:sz w:val="18"/>
          <w:szCs w:val="18"/>
          <w:color w:val="auto"/>
        </w:rPr>
      </w:pPr>
    </w:p>
    <w:p>
      <w:pPr>
        <w:jc w:val="both"/>
        <w:ind w:firstLine="1289"/>
        <w:spacing w:after="0" w:line="270" w:lineRule="auto"/>
        <w:tabs>
          <w:tab w:leader="none" w:pos="2171" w:val="left"/>
        </w:tabs>
        <w:numPr>
          <w:ilvl w:val="0"/>
          <w:numId w:val="423"/>
        </w:numPr>
        <w:rPr>
          <w:rFonts w:ascii="Arial" w:cs="Arial" w:eastAsia="Arial" w:hAnsi="Arial"/>
          <w:sz w:val="17"/>
          <w:szCs w:val="17"/>
          <w:color w:val="auto"/>
        </w:rPr>
      </w:pPr>
      <w:r>
        <w:rPr>
          <w:rFonts w:ascii="Arial" w:cs="Arial" w:eastAsia="Arial" w:hAnsi="Arial"/>
          <w:sz w:val="17"/>
          <w:szCs w:val="17"/>
          <w:color w:val="auto"/>
        </w:rPr>
        <w:t>If, during any Cash Dominion Period, Parent or any other Loan Party has one or more Specified Eligible Deposit Accounts, Parent shall, or shall cause such other Loan Party, as applicable, to provide every two weeks (and, promptly, but in no event later than, two Business Days following the first day of such Cash Dominion Period) a cash certificate (a "</w:t>
      </w:r>
      <w:r>
        <w:rPr>
          <w:rFonts w:ascii="Arial" w:cs="Arial" w:eastAsia="Arial" w:hAnsi="Arial"/>
          <w:sz w:val="17"/>
          <w:szCs w:val="17"/>
          <w:b w:val="1"/>
          <w:bCs w:val="1"/>
          <w:u w:val="single" w:color="auto"/>
          <w:color w:val="auto"/>
        </w:rPr>
        <w:t>Foreign Jurisdiction Cash Certificate</w:t>
      </w:r>
      <w:r>
        <w:rPr>
          <w:rFonts w:ascii="Arial" w:cs="Arial" w:eastAsia="Arial" w:hAnsi="Arial"/>
          <w:sz w:val="17"/>
          <w:szCs w:val="17"/>
          <w:color w:val="auto"/>
        </w:rPr>
        <w:t>") showing the balances of each Specified Eligible Deposit Account and the balances of each Deposit Account that is an Excluded Account by virtue of the Global Cash Account Carve Out. To the extent that the aggregate balance of all amounts on deposit in Specified Eligible Deposit Accounts set forth on any Foreign Jurisdiction Cash Certificate exceeds the then unused capacity of the Global Cash Account Carve Out on the delivery date of such Foreign Jurisdiction Cash Certificate (such excess, the "</w:t>
      </w:r>
      <w:r>
        <w:rPr>
          <w:rFonts w:ascii="Arial" w:cs="Arial" w:eastAsia="Arial" w:hAnsi="Arial"/>
          <w:sz w:val="17"/>
          <w:szCs w:val="17"/>
          <w:b w:val="1"/>
          <w:bCs w:val="1"/>
          <w:u w:val="single" w:color="auto"/>
          <w:color w:val="auto"/>
        </w:rPr>
        <w:t>Required Excess Amount</w:t>
      </w:r>
      <w:r>
        <w:rPr>
          <w:rFonts w:ascii="Arial" w:cs="Arial" w:eastAsia="Arial" w:hAnsi="Arial"/>
          <w:sz w:val="17"/>
          <w:szCs w:val="17"/>
          <w:color w:val="auto"/>
        </w:rPr>
        <w:t>"), the Agent may implement the Foreign Cash Dominion Reserve. During any Cash Dominion Period, Parent shall not, and shall not permit any other Loan Party to, transfer any amounts on deposit in a Specified Eligible Deposit Account to any Restricted Subsidiaries that are not Loan Parties, or to any Unrestricted Subsidiaries.</w:t>
      </w: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63" w:name="page364"/>
    <w:bookmarkEnd w:id="363"/>
    <w:p>
      <w:pPr>
        <w:jc w:val="both"/>
        <w:ind w:left="340" w:firstLine="1289"/>
        <w:spacing w:after="0" w:line="270" w:lineRule="auto"/>
        <w:tabs>
          <w:tab w:leader="none" w:pos="261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Each applicable Deposit Account Control Agreement shall provide, among other things, that (A) the Controlled Account Bank or other depository bank, as applicable, will comply with any instructions originated by Agent directing the disposition of the funds in each Deposit Account (other than an Excluded Account) without further consent by the applicable Loan Party, (B) the Controlled Account Bank or other depository bank waives, subordinates, or agrees not to exercise any rights of setoff or recoupment or any other claim against Deposit Account (other than an Excluded Account) other than for payment of its service fees and other charges directly related to the administration of such Deposit Account and for returned checks or other items of payment, and (C) upon the instruction of Agent (an "</w:t>
      </w:r>
      <w:r>
        <w:rPr>
          <w:rFonts w:ascii="Arial" w:cs="Arial" w:eastAsia="Arial" w:hAnsi="Arial"/>
          <w:sz w:val="17"/>
          <w:szCs w:val="17"/>
          <w:b w:val="1"/>
          <w:bCs w:val="1"/>
          <w:u w:val="single" w:color="auto"/>
          <w:color w:val="auto"/>
        </w:rPr>
        <w:t>Activation Instruction</w:t>
      </w:r>
      <w:r>
        <w:rPr>
          <w:rFonts w:ascii="Arial" w:cs="Arial" w:eastAsia="Arial" w:hAnsi="Arial"/>
          <w:sz w:val="17"/>
          <w:szCs w:val="17"/>
          <w:color w:val="auto"/>
        </w:rPr>
        <w:t>"), subject to the Intercreditor Agreement, the Controlled Account Bank or other depository institution will forward by daily sweep all amounts in each such Deposit Account to the Agent's Account. Agent agrees not to issue an Activation Instruction with respect to any such Deposit Accounts unless a Cash Dominion Trigger Event has occurred at the time such Activation Instruction is issued. Agent agrees to use commercially reasonable efforts to rescind an Activation Instruction (the "</w:t>
      </w:r>
      <w:r>
        <w:rPr>
          <w:rFonts w:ascii="Arial" w:cs="Arial" w:eastAsia="Arial" w:hAnsi="Arial"/>
          <w:sz w:val="17"/>
          <w:szCs w:val="17"/>
          <w:b w:val="1"/>
          <w:bCs w:val="1"/>
          <w:u w:val="single" w:color="auto"/>
          <w:color w:val="auto"/>
        </w:rPr>
        <w:t>Rescission</w:t>
      </w:r>
      <w:r>
        <w:rPr>
          <w:rFonts w:ascii="Arial" w:cs="Arial" w:eastAsia="Arial" w:hAnsi="Arial"/>
          <w:sz w:val="17"/>
          <w:szCs w:val="17"/>
          <w:color w:val="auto"/>
        </w:rPr>
        <w:t>") after any Cash Dominion Period has ended.</w:t>
      </w:r>
    </w:p>
    <w:p>
      <w:pPr>
        <w:spacing w:after="0" w:line="177" w:lineRule="exact"/>
        <w:rPr>
          <w:rFonts w:ascii="Arial" w:cs="Arial" w:eastAsia="Arial" w:hAnsi="Arial"/>
          <w:sz w:val="17"/>
          <w:szCs w:val="17"/>
          <w:color w:val="auto"/>
        </w:rPr>
      </w:pPr>
    </w:p>
    <w:p>
      <w:pPr>
        <w:jc w:val="both"/>
        <w:ind w:left="340" w:firstLine="1289"/>
        <w:spacing w:after="0" w:line="273" w:lineRule="auto"/>
        <w:tabs>
          <w:tab w:leader="none" w:pos="2781"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Administrative Borrower may amend </w:t>
      </w:r>
      <w:r>
        <w:rPr>
          <w:rFonts w:ascii="Arial" w:cs="Arial" w:eastAsia="Arial" w:hAnsi="Arial"/>
          <w:sz w:val="17"/>
          <w:szCs w:val="17"/>
          <w:u w:val="single" w:color="auto"/>
          <w:color w:val="auto"/>
        </w:rPr>
        <w:t>Schedule 5.19(a)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5.19(b)</w:t>
      </w:r>
      <w:r>
        <w:rPr>
          <w:rFonts w:ascii="Arial" w:cs="Arial" w:eastAsia="Arial" w:hAnsi="Arial"/>
          <w:sz w:val="17"/>
          <w:szCs w:val="17"/>
          <w:color w:val="auto"/>
        </w:rPr>
        <w:t xml:space="preserve"> to add or replace a Controlled Account Bank and shall upon such addition or replacement provide to Agent an amended </w:t>
      </w:r>
      <w:r>
        <w:rPr>
          <w:rFonts w:ascii="Arial" w:cs="Arial" w:eastAsia="Arial" w:hAnsi="Arial"/>
          <w:sz w:val="17"/>
          <w:szCs w:val="17"/>
          <w:u w:val="single" w:color="auto"/>
          <w:color w:val="auto"/>
        </w:rPr>
        <w:t>Schedule 5.19(a)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5.19(b)</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such prospective Controlled Account Bank shall be reasonably satisfactory to Agent, and (B) prior to, or substantially contemporaneously with, the time of the opening of such replacement account for a Deposit Account, the applicable Loan Party and such prospective Controlled Account Bank or other financial institution shall have executed and delivered to Agent a Deposit Account Control Agreement in accordance with clause (d) above.</w:t>
      </w:r>
    </w:p>
    <w:p>
      <w:pPr>
        <w:spacing w:after="0" w:line="17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5.20.</w:t>
      </w:r>
      <w:r>
        <w:rPr>
          <w:sz w:val="20"/>
          <w:szCs w:val="20"/>
          <w:color w:val="auto"/>
        </w:rPr>
        <w:tab/>
      </w:r>
      <w:r>
        <w:rPr>
          <w:rFonts w:ascii="Arial" w:cs="Arial" w:eastAsia="Arial" w:hAnsi="Arial"/>
          <w:sz w:val="16"/>
          <w:szCs w:val="16"/>
          <w:b w:val="1"/>
          <w:bCs w:val="1"/>
          <w:u w:val="single" w:color="auto"/>
          <w:color w:val="auto"/>
        </w:rPr>
        <w:t>Compliance with the Swiss Non-Bank Rules</w:t>
      </w:r>
      <w:r>
        <w:rPr>
          <w:rFonts w:ascii="Arial" w:cs="Arial" w:eastAsia="Arial" w:hAnsi="Arial"/>
          <w:sz w:val="16"/>
          <w:szCs w:val="16"/>
          <w:color w:val="auto"/>
        </w:rPr>
        <w:t>.</w:t>
      </w:r>
    </w:p>
    <w:p>
      <w:pPr>
        <w:spacing w:after="0" w:line="229" w:lineRule="exact"/>
        <w:rPr>
          <w:sz w:val="20"/>
          <w:szCs w:val="20"/>
          <w:color w:val="auto"/>
        </w:rPr>
      </w:pPr>
    </w:p>
    <w:p>
      <w:pPr>
        <w:ind w:left="340" w:firstLine="1289"/>
        <w:spacing w:after="0" w:line="277" w:lineRule="auto"/>
        <w:tabs>
          <w:tab w:leader="none" w:pos="252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Each Swiss Loan Party shall comply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Loan Party shall not be in breach of this covenant if the permitted number of Swiss Non-Qualifying Lenders is exceeded solely by reason of:</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 xml:space="preserve">a failure by one or more Lenders or Participants to comply with their obligations under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17.17</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3180" w:hanging="1227"/>
        <w:spacing w:after="0"/>
        <w:tabs>
          <w:tab w:leader="none" w:pos="318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a confirmation made by one or more Lenders or Participants to be one single Swiss Non-Qualifying Lender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incorrect;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64" w:name="page365"/>
    <w:bookmarkEnd w:id="364"/>
    <w:p>
      <w:pPr>
        <w:jc w:val="both"/>
        <w:ind w:firstLine="1953"/>
        <w:spacing w:after="0" w:line="312" w:lineRule="auto"/>
        <w:tabs>
          <w:tab w:leader="none" w:pos="275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46" w:lineRule="exact"/>
        <w:rPr>
          <w:rFonts w:ascii="Arial" w:cs="Arial" w:eastAsia="Arial" w:hAnsi="Arial"/>
          <w:sz w:val="16"/>
          <w:szCs w:val="16"/>
          <w:color w:val="auto"/>
        </w:rPr>
      </w:pPr>
    </w:p>
    <w:p>
      <w:pPr>
        <w:ind w:left="2760" w:hanging="807"/>
        <w:spacing w:after="0"/>
        <w:tabs>
          <w:tab w:leader="none" w:pos="276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an assignment or participation of any Commitments under this Agreement to a Swiss Non-Qualifying Lender after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occurrence of an Event of Default.</w:t>
      </w:r>
    </w:p>
    <w:p>
      <w:pPr>
        <w:spacing w:after="0" w:line="211" w:lineRule="exact"/>
        <w:rPr>
          <w:sz w:val="20"/>
          <w:szCs w:val="20"/>
          <w:color w:val="auto"/>
        </w:rPr>
      </w:pPr>
    </w:p>
    <w:p>
      <w:pPr>
        <w:ind w:left="340" w:firstLine="1289"/>
        <w:spacing w:after="0" w:line="277" w:lineRule="auto"/>
        <w:tabs>
          <w:tab w:leader="none" w:pos="280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5.20</w:t>
      </w:r>
      <w:r>
        <w:rPr>
          <w:rFonts w:ascii="Arial" w:cs="Arial" w:eastAsia="Arial" w:hAnsi="Arial"/>
          <w:sz w:val="18"/>
          <w:szCs w:val="18"/>
          <w:color w:val="auto"/>
        </w:rPr>
        <w:t>, each Swiss Loan Party shall assume that the aggregate number of Lenders or Participants under this Agreement which are Swiss Non-Qualifying Lenders is ten (10).</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Centre of Main Interest</w:t>
      </w:r>
      <w:r>
        <w:rPr>
          <w:rFonts w:ascii="Arial" w:cs="Arial" w:eastAsia="Arial" w:hAnsi="Arial"/>
          <w:sz w:val="18"/>
          <w:szCs w:val="18"/>
          <w:color w:val="auto"/>
        </w:rPr>
        <w:t>. For the purposes of the Insolvency Regulation, the "centre of main interests" of any Loan Party incorporated in the Netherlands, is situated in its jurisdiction of incorporation and it has no "establishment" (as that term is used in Article 2(10) of the Insolvency Regulation) in any other jurisdiction.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b w:val="1"/>
          <w:bCs w:val="1"/>
          <w:u w:val="single" w:color="auto"/>
          <w:color w:val="auto"/>
        </w:rPr>
        <w:t>Dutch Fiscal Unity</w:t>
      </w:r>
      <w:r>
        <w:rPr>
          <w:rFonts w:ascii="Arial" w:cs="Arial" w:eastAsia="Arial" w:hAnsi="Arial"/>
          <w:sz w:val="18"/>
          <w:szCs w:val="18"/>
          <w:color w:val="auto"/>
        </w:rPr>
        <w:t>. Other than with the prior written consent of Agent, a Loan Party shall not form part of any fiscal unity (</w:t>
      </w:r>
      <w:r>
        <w:rPr>
          <w:rFonts w:ascii="Arial" w:cs="Arial" w:eastAsia="Arial" w:hAnsi="Arial"/>
          <w:sz w:val="18"/>
          <w:szCs w:val="18"/>
          <w:i w:val="1"/>
          <w:iCs w:val="1"/>
          <w:color w:val="auto"/>
        </w:rPr>
        <w:t>fiscale</w:t>
      </w:r>
      <w:r>
        <w:rPr>
          <w:rFonts w:ascii="Arial" w:cs="Arial" w:eastAsia="Arial" w:hAnsi="Arial"/>
          <w:sz w:val="18"/>
          <w:szCs w:val="18"/>
          <w:color w:val="auto"/>
        </w:rPr>
        <w:t xml:space="preserve"> </w:t>
      </w:r>
      <w:r>
        <w:rPr>
          <w:rFonts w:ascii="Arial" w:cs="Arial" w:eastAsia="Arial" w:hAnsi="Arial"/>
          <w:sz w:val="18"/>
          <w:szCs w:val="18"/>
          <w:i w:val="1"/>
          <w:iCs w:val="1"/>
          <w:color w:val="auto"/>
        </w:rPr>
        <w:t>eenheid</w:t>
      </w:r>
      <w:r>
        <w:rPr>
          <w:rFonts w:ascii="Arial" w:cs="Arial" w:eastAsia="Arial" w:hAnsi="Arial"/>
          <w:sz w:val="18"/>
          <w:szCs w:val="18"/>
          <w:color w:val="auto"/>
        </w:rPr>
        <w:t>) for Dutch tax purposes, unless such fiscal unity shall consist only of Loan Parties and/or Restricted Subsidiaries.</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b w:val="1"/>
          <w:bCs w:val="1"/>
          <w:u w:val="single" w:color="auto"/>
          <w:color w:val="auto"/>
        </w:rPr>
        <w:t>Tax Residency</w:t>
      </w:r>
      <w:r>
        <w:rPr>
          <w:rFonts w:ascii="Arial" w:cs="Arial" w:eastAsia="Arial" w:hAnsi="Arial"/>
          <w:sz w:val="17"/>
          <w:szCs w:val="17"/>
          <w:color w:val="auto"/>
        </w:rPr>
        <w:t>. Each Loan Party organized under the laws of the Netherlands is resident for tax purposes in the Netherlands only and does not have a permanent establishment or other taxable presence outside the Netherlands, unless with the prior written consent of Agent.</w:t>
      </w:r>
    </w:p>
    <w:p>
      <w:pPr>
        <w:spacing w:after="0" w:line="138" w:lineRule="exact"/>
        <w:rPr>
          <w:sz w:val="20"/>
          <w:szCs w:val="20"/>
          <w:color w:val="auto"/>
        </w:rPr>
      </w:pPr>
    </w:p>
    <w:p>
      <w:pPr>
        <w:ind w:left="660" w:hanging="652"/>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Parent and each Borrower covenants and agrees that, until the termination of all of the Commitments and the payment in full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0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Parent shall not, and shall not permit any Restricted Subsidiary to, create, incur, assume or permit to exist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2500" w:hanging="871"/>
        <w:spacing w:after="0"/>
        <w:tabs>
          <w:tab w:leader="none" w:pos="250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jc w:val="both"/>
        <w:ind w:left="340" w:firstLine="1289"/>
        <w:spacing w:after="0" w:line="264" w:lineRule="auto"/>
        <w:tabs>
          <w:tab w:leader="none" w:pos="2805" w:val="left"/>
        </w:tabs>
        <w:numPr>
          <w:ilvl w:val="1"/>
          <w:numId w:val="429"/>
        </w:numPr>
        <w:rPr>
          <w:rFonts w:ascii="Arial" w:cs="Arial" w:eastAsia="Arial" w:hAnsi="Arial"/>
          <w:sz w:val="18"/>
          <w:szCs w:val="18"/>
          <w:color w:val="auto"/>
        </w:rPr>
      </w:pPr>
      <w:r>
        <w:rPr>
          <w:rFonts w:ascii="Arial" w:cs="Arial" w:eastAsia="Arial" w:hAnsi="Arial"/>
          <w:sz w:val="18"/>
          <w:szCs w:val="18"/>
          <w:color w:val="auto"/>
        </w:rPr>
        <w:t xml:space="preserve">the L/C Facility Obligations and Permitted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(including undrawn or available committed amounts thereunder, taken together, shall not exceed $220,000,000 at any time outstanding;</w:t>
      </w:r>
    </w:p>
    <w:p>
      <w:pPr>
        <w:spacing w:after="0" w:line="181" w:lineRule="exact"/>
        <w:rPr>
          <w:rFonts w:ascii="Arial" w:cs="Arial" w:eastAsia="Arial" w:hAnsi="Arial"/>
          <w:sz w:val="18"/>
          <w:szCs w:val="18"/>
          <w:color w:val="auto"/>
        </w:rPr>
      </w:pPr>
    </w:p>
    <w:p>
      <w:pPr>
        <w:ind w:left="2500" w:hanging="871"/>
        <w:spacing w:after="0"/>
        <w:tabs>
          <w:tab w:leader="none" w:pos="250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Permitted Existing Indebtedness and Permitted Refinancing Indebtedness in respect thereof;</w:t>
      </w:r>
    </w:p>
    <w:p>
      <w:pPr>
        <w:spacing w:after="0" w:line="225" w:lineRule="exact"/>
        <w:rPr>
          <w:rFonts w:ascii="Arial" w:cs="Arial" w:eastAsia="Arial" w:hAnsi="Arial"/>
          <w:sz w:val="18"/>
          <w:szCs w:val="18"/>
          <w:color w:val="auto"/>
        </w:rPr>
      </w:pPr>
    </w:p>
    <w:p>
      <w:pPr>
        <w:jc w:val="both"/>
        <w:ind w:left="340" w:firstLine="1289"/>
        <w:spacing w:after="0" w:line="286" w:lineRule="auto"/>
        <w:tabs>
          <w:tab w:leader="none" w:pos="2656" w:val="left"/>
        </w:tabs>
        <w:numPr>
          <w:ilvl w:val="1"/>
          <w:numId w:val="429"/>
        </w:numPr>
        <w:rPr>
          <w:rFonts w:ascii="Arial" w:cs="Arial" w:eastAsia="Arial" w:hAnsi="Arial"/>
          <w:sz w:val="16"/>
          <w:szCs w:val="16"/>
          <w:color w:val="auto"/>
        </w:rPr>
      </w:pPr>
      <w:r>
        <w:rPr>
          <w:rFonts w:ascii="Arial" w:cs="Arial" w:eastAsia="Arial" w:hAnsi="Arial"/>
          <w:sz w:val="16"/>
          <w:szCs w:val="16"/>
          <w:color w:val="auto"/>
        </w:rPr>
        <w:t>Indebtedness arising from intercompany loans and advances owing by (i) any Loan Party to any other Loan Party, (ii) a Restricted Subsidiary that is not a Loan Party to another Restricted Subsidiary that is not a Loan Party, (iii) any Loan Party (other than Parent) to a Restricted Subsidiary that is not a Loan Party or an Unrestricted Subsidiary, so long as the parties thereto are party to the Intercompany Subordination Agreement, (iv) a Restricted Subsidiary that is not a Loan Party to a Loan Party, so long as in the case of any such loan made pursuant to this clause (iv)</w:t>
      </w:r>
    </w:p>
    <w:p>
      <w:pPr>
        <w:spacing w:after="0" w:line="1" w:lineRule="exact"/>
        <w:rPr>
          <w:rFonts w:ascii="Arial" w:cs="Arial" w:eastAsia="Arial" w:hAnsi="Arial"/>
          <w:sz w:val="16"/>
          <w:szCs w:val="16"/>
          <w:color w:val="auto"/>
        </w:rPr>
      </w:pPr>
    </w:p>
    <w:p>
      <w:pPr>
        <w:jc w:val="both"/>
        <w:ind w:left="340" w:hanging="8"/>
        <w:spacing w:after="0" w:line="287" w:lineRule="auto"/>
        <w:tabs>
          <w:tab w:leader="none" w:pos="64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aggregate amount of all such loans (by type, not by the borrower) made from and after the Closing Date, together with all such loans made from and after the Closing Date pursuant to clause (v) below, does not exceed $55,000,000 outstanding at any one time, (B) at the time of the making of such loan, no Event of Default has occurred and is continuing or would result therefrom, and (C) no Covenant Trigger Event shall have occurred or be continuing immediately after giving effect to each such loan, and (v) a Restricted Subsidiary that is not a Loan Party to an Unrestricted Subsidiary, so long as in the case of any such loan made pursuant to this clause (v) (A) the aggregate amount of all such loans (by type, not by the borrower) made from and after the Closing Date, together with all such loans made from and after the Closing Date pursuant to clause (iv) above, does not exceed $55,000,000 outstanding at any one time, (B) at the time of the making of such loan, no Event of Default has occurred and is continuing or would result therefrom, and (C) no Covenant Trigger Event shall have occurred or be continuing immediately after giving effect to each such loan;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65" w:name="page366"/>
    <w:bookmarkEnd w:id="365"/>
    <w:p>
      <w:pPr>
        <w:ind w:left="2160" w:hanging="871"/>
        <w:spacing w:after="0"/>
        <w:tabs>
          <w:tab w:leader="none" w:pos="21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Unsecured Notes;</w:t>
      </w:r>
    </w:p>
    <w:p>
      <w:pPr>
        <w:spacing w:after="0" w:line="225" w:lineRule="exact"/>
        <w:rPr>
          <w:rFonts w:ascii="Arial" w:cs="Arial" w:eastAsia="Arial" w:hAnsi="Arial"/>
          <w:sz w:val="18"/>
          <w:szCs w:val="18"/>
          <w:color w:val="auto"/>
        </w:rPr>
      </w:pPr>
    </w:p>
    <w:p>
      <w:pPr>
        <w:jc w:val="both"/>
        <w:ind w:firstLine="1289"/>
        <w:spacing w:after="0" w:line="270" w:lineRule="auto"/>
        <w:tabs>
          <w:tab w:leader="none" w:pos="2264"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xml:space="preserve">Indebtedness in the form of Permitted Intercompany Treasury Management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transaction involving assets of the type included in the Borrowing Base with a net book value in excess of $20,000,000 (taken together, in each case to the extent related to assets of the type included in the Borrowing Base, with any sale or other transfer of such assets in connection with Permitted Factoring Transactions, movement of such assets of the type described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other Indebtedness of the type described in this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that involves such assets, Disposition of the types described in the last paragraph of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that involves such assets, Investment of the type described in </w:t>
      </w:r>
      <w:r>
        <w:rPr>
          <w:rFonts w:ascii="Arial" w:cs="Arial" w:eastAsia="Arial" w:hAnsi="Arial"/>
          <w:sz w:val="17"/>
          <w:szCs w:val="17"/>
          <w:u w:val="single" w:color="auto"/>
          <w:color w:val="auto"/>
        </w:rPr>
        <w:t>Section 6.6(n)</w:t>
      </w:r>
      <w:r>
        <w:rPr>
          <w:rFonts w:ascii="Arial" w:cs="Arial" w:eastAsia="Arial" w:hAnsi="Arial"/>
          <w:sz w:val="17"/>
          <w:szCs w:val="17"/>
          <w:color w:val="auto"/>
        </w:rPr>
        <w:t xml:space="preserve"> that involves such assets and Restricted Payment of the type described in </w:t>
      </w:r>
      <w:r>
        <w:rPr>
          <w:rFonts w:ascii="Arial" w:cs="Arial" w:eastAsia="Arial" w:hAnsi="Arial"/>
          <w:sz w:val="17"/>
          <w:szCs w:val="17"/>
          <w:u w:val="single" w:color="auto"/>
          <w:color w:val="auto"/>
        </w:rPr>
        <w:t>Section 6.8(k)</w:t>
      </w:r>
      <w:r>
        <w:rPr>
          <w:rFonts w:ascii="Arial" w:cs="Arial" w:eastAsia="Arial" w:hAnsi="Arial"/>
          <w:sz w:val="17"/>
          <w:szCs w:val="17"/>
          <w:color w:val="auto"/>
        </w:rPr>
        <w:t xml:space="preserve"> that involves such assets, in each case made during such month or, if applicable, since the date of the most recently delivered Borrowing Base Certificate during such month), the Administrative Borrower shall deliver an updated Borrowing Base Certificate to Agent within three Business Days after the consummation of such transaction reflecting the removal of such assets from the Borrowing Base (or other applicable adjustment, if any), and such transaction shall be permitted only to the extent no Overadvance results therefrom;</w:t>
      </w:r>
    </w:p>
    <w:p>
      <w:pPr>
        <w:spacing w:after="0" w:line="177" w:lineRule="exact"/>
        <w:rPr>
          <w:rFonts w:ascii="Arial" w:cs="Arial" w:eastAsia="Arial" w:hAnsi="Arial"/>
          <w:sz w:val="17"/>
          <w:szCs w:val="17"/>
          <w:color w:val="auto"/>
        </w:rPr>
      </w:pPr>
    </w:p>
    <w:p>
      <w:pPr>
        <w:ind w:firstLine="1289"/>
        <w:spacing w:after="0" w:line="277" w:lineRule="auto"/>
        <w:tabs>
          <w:tab w:leader="none" w:pos="218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unsecured guarantees with respect to Indebtedness of any Loan Party or one of its Restricted Subsidiaries, to the extent that the Person that is obligated under such guaranty could have incurred such underlying Indebtedness;</w:t>
      </w:r>
    </w:p>
    <w:p>
      <w:pPr>
        <w:spacing w:after="0" w:line="170" w:lineRule="exact"/>
        <w:rPr>
          <w:rFonts w:ascii="Arial" w:cs="Arial" w:eastAsia="Arial" w:hAnsi="Arial"/>
          <w:sz w:val="18"/>
          <w:szCs w:val="18"/>
          <w:color w:val="auto"/>
        </w:rPr>
      </w:pPr>
    </w:p>
    <w:p>
      <w:pPr>
        <w:jc w:val="both"/>
        <w:ind w:firstLine="1289"/>
        <w:spacing w:after="0" w:line="259" w:lineRule="auto"/>
        <w:tabs>
          <w:tab w:leader="none" w:pos="235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Indebtedness in the form of Permitted Intercompany Specified Transactions, so long as at the time of incurrence (i) no Default or Event of Default then exists or would arise as a result of the applicable transaction and (ii) Excess Availability (exclusive of any availability created pursuant to clause (g) of the definition of Joint Borrowing Base) immediately after giving effect to such proposed payment is not less than $35,000,000;</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66" w:name="page367"/>
    <w:bookmarkEnd w:id="366"/>
    <w:p>
      <w:pPr>
        <w:jc w:val="both"/>
        <w:ind w:firstLine="1289"/>
        <w:spacing w:after="0" w:line="302" w:lineRule="auto"/>
        <w:tabs>
          <w:tab w:leader="none" w:pos="223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Indebtedness of Restricted Subsidiaries in respect of overdrafts, working capital borrowings and facilities, short 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outstanding amount of such Indebtedness does not at any time exceed $200,000,000, and such Indebtedness is not secured by Revolver Facility Priority Collateral;</w:t>
      </w:r>
    </w:p>
    <w:p>
      <w:pPr>
        <w:spacing w:after="0" w:line="154" w:lineRule="exact"/>
        <w:rPr>
          <w:rFonts w:ascii="Arial" w:cs="Arial" w:eastAsia="Arial" w:hAnsi="Arial"/>
          <w:sz w:val="16"/>
          <w:szCs w:val="16"/>
          <w:color w:val="auto"/>
        </w:rPr>
      </w:pPr>
    </w:p>
    <w:p>
      <w:pPr>
        <w:jc w:val="both"/>
        <w:ind w:firstLine="1289"/>
        <w:spacing w:after="0" w:line="271" w:lineRule="auto"/>
        <w:tabs>
          <w:tab w:leader="none" w:pos="263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 xml:space="preserve">unsecured Specified Senior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7"/>
          <w:szCs w:val="17"/>
          <w:u w:val="single" w:color="auto"/>
          <w:color w:val="auto"/>
        </w:rPr>
        <w:t>Section 6.1(j)</w:t>
      </w:r>
      <w:r>
        <w:rPr>
          <w:rFonts w:ascii="Arial" w:cs="Arial" w:eastAsia="Arial" w:hAnsi="Arial"/>
          <w:sz w:val="17"/>
          <w:szCs w:val="17"/>
          <w:color w:val="auto"/>
        </w:rPr>
        <w:t xml:space="preserve"> would not exceed $200,000,000 at any time and (C)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Closing Date, and 3.75 to 1.00 if such Indebtedness is incurred at any time thereafter, and (ii) as of the date of incurrence, such Indebtedness shall have a stated maturity date no sooner than 91 days after the latest to occur of (A) the Maturity Date and (B) the L/C Facility Maturity Date;</w:t>
      </w:r>
    </w:p>
    <w:p>
      <w:pPr>
        <w:spacing w:after="0" w:line="178" w:lineRule="exact"/>
        <w:rPr>
          <w:rFonts w:ascii="Arial" w:cs="Arial" w:eastAsia="Arial" w:hAnsi="Arial"/>
          <w:sz w:val="17"/>
          <w:szCs w:val="17"/>
          <w:color w:val="auto"/>
        </w:rPr>
      </w:pPr>
    </w:p>
    <w:p>
      <w:pPr>
        <w:jc w:val="both"/>
        <w:ind w:firstLine="1289"/>
        <w:spacing w:after="0" w:line="270" w:lineRule="auto"/>
        <w:tabs>
          <w:tab w:leader="none" w:pos="2208" w:val="left"/>
        </w:tabs>
        <w:numPr>
          <w:ilvl w:val="0"/>
          <w:numId w:val="432"/>
        </w:numPr>
        <w:rPr>
          <w:rFonts w:ascii="Arial" w:cs="Arial" w:eastAsia="Arial" w:hAnsi="Arial"/>
          <w:sz w:val="17"/>
          <w:szCs w:val="17"/>
          <w:color w:val="auto"/>
        </w:rPr>
      </w:pPr>
      <w:r>
        <w:rPr>
          <w:rFonts w:ascii="Arial" w:cs="Arial" w:eastAsia="Arial" w:hAnsi="Arial"/>
          <w:sz w:val="17"/>
          <w:szCs w:val="17"/>
          <w:color w:val="auto"/>
        </w:rPr>
        <w:t xml:space="preserve">unsecured Indebtedness incurred by a Loan Party or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Closing Date, and 3.75 to 1.00 if such Indebtedness is incurred at any time thereafter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$45,000,000, as of the date of incurrence, such Indebtedness shall have a stated maturity date no sooner than 91 days after the latest to occur of (A) the Maturity Date and (B) the L/C Facility Maturity Date;</w:t>
      </w:r>
    </w:p>
    <w:p>
      <w:pPr>
        <w:spacing w:after="0" w:line="181" w:lineRule="exact"/>
        <w:rPr>
          <w:rFonts w:ascii="Arial" w:cs="Arial" w:eastAsia="Arial" w:hAnsi="Arial"/>
          <w:sz w:val="17"/>
          <w:szCs w:val="17"/>
          <w:color w:val="auto"/>
        </w:rPr>
      </w:pPr>
    </w:p>
    <w:p>
      <w:pPr>
        <w:jc w:val="both"/>
        <w:ind w:firstLine="1289"/>
        <w:spacing w:after="0" w:line="257" w:lineRule="auto"/>
        <w:tabs>
          <w:tab w:leader="none" w:pos="231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unsecured Subordinated Indebtedness of any Loan Party (other than Subordinated Indebtedness consisting of Guarantees by any Loan Party of Indebtedness incurred pursuant to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latest to occur of (A) the Maturity Date and (B) the L/C Facility Maturity Date;</w:t>
      </w:r>
    </w:p>
    <w:p>
      <w:pPr>
        <w:spacing w:after="0" w:line="188" w:lineRule="exact"/>
        <w:rPr>
          <w:rFonts w:ascii="Arial" w:cs="Arial" w:eastAsia="Arial" w:hAnsi="Arial"/>
          <w:sz w:val="18"/>
          <w:szCs w:val="18"/>
          <w:color w:val="auto"/>
        </w:rPr>
      </w:pPr>
    </w:p>
    <w:p>
      <w:pPr>
        <w:jc w:val="both"/>
        <w:ind w:firstLine="1289"/>
        <w:spacing w:after="0" w:line="255" w:lineRule="auto"/>
        <w:tabs>
          <w:tab w:leader="none" w:pos="215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18"/>
          <w:szCs w:val="18"/>
          <w:u w:val="single" w:color="auto"/>
          <w:color w:val="auto"/>
        </w:rPr>
        <w:t>Section 6.1(m)</w:t>
      </w:r>
      <w:r>
        <w:rPr>
          <w:rFonts w:ascii="Arial" w:cs="Arial" w:eastAsia="Arial" w:hAnsi="Arial"/>
          <w:sz w:val="18"/>
          <w:szCs w:val="18"/>
          <w:color w:val="auto"/>
        </w:rPr>
        <w:t xml:space="preserve"> shall not at any time exceed $175,000,000;</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67" w:name="page368"/>
    <w:bookmarkEnd w:id="367"/>
    <w:p>
      <w:pPr>
        <w:ind w:firstLine="1289"/>
        <w:spacing w:after="0" w:line="277" w:lineRule="auto"/>
        <w:tabs>
          <w:tab w:leader="none" w:pos="222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Indebtedness incurred to finance insurance premiums of any Restricted Subsidiary in the ordinary course of business in an aggregate principal amount not to exceed the amount of such insurance premiums;</w:t>
      </w:r>
    </w:p>
    <w:p>
      <w:pPr>
        <w:spacing w:after="0" w:line="170" w:lineRule="exact"/>
        <w:rPr>
          <w:rFonts w:ascii="Arial" w:cs="Arial" w:eastAsia="Arial" w:hAnsi="Arial"/>
          <w:sz w:val="18"/>
          <w:szCs w:val="18"/>
          <w:color w:val="auto"/>
        </w:rPr>
      </w:pPr>
    </w:p>
    <w:p>
      <w:pPr>
        <w:jc w:val="both"/>
        <w:ind w:firstLine="1289"/>
        <w:spacing w:after="0" w:line="279" w:lineRule="auto"/>
        <w:tabs>
          <w:tab w:leader="none" w:pos="2222" w:val="left"/>
        </w:tabs>
        <w:numPr>
          <w:ilvl w:val="0"/>
          <w:numId w:val="433"/>
        </w:numPr>
        <w:rPr>
          <w:rFonts w:ascii="Arial" w:cs="Arial" w:eastAsia="Arial" w:hAnsi="Arial"/>
          <w:sz w:val="17"/>
          <w:szCs w:val="17"/>
          <w:color w:val="auto"/>
        </w:rPr>
      </w:pPr>
      <w:r>
        <w:rPr>
          <w:rFonts w:ascii="Arial" w:cs="Arial" w:eastAsia="Arial" w:hAnsi="Arial"/>
          <w:sz w:val="17"/>
          <w:szCs w:val="17"/>
          <w:color w:val="auto"/>
        </w:rPr>
        <w:t>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Equity Interests of a Subsidiary, other than guarantees of Indebtedness incurred by any Person acquiring all or any portion of such business, assets or Equity Interests for the purpose of financing or in contemplation of any such acquisition;</w:t>
      </w:r>
    </w:p>
    <w:p>
      <w:pPr>
        <w:spacing w:after="0" w:line="171" w:lineRule="exact"/>
        <w:rPr>
          <w:rFonts w:ascii="Arial" w:cs="Arial" w:eastAsia="Arial" w:hAnsi="Arial"/>
          <w:sz w:val="17"/>
          <w:szCs w:val="17"/>
          <w:color w:val="auto"/>
        </w:rPr>
      </w:pPr>
    </w:p>
    <w:p>
      <w:pPr>
        <w:ind w:left="2180" w:hanging="891"/>
        <w:spacing w:after="0"/>
        <w:tabs>
          <w:tab w:leader="none" w:pos="218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principal amount at any time outstanding pursuant to this </w:t>
      </w:r>
      <w:r>
        <w:rPr>
          <w:rFonts w:ascii="Arial" w:cs="Arial" w:eastAsia="Arial" w:hAnsi="Arial"/>
          <w:sz w:val="16"/>
          <w:szCs w:val="16"/>
          <w:u w:val="single" w:color="auto"/>
          <w:color w:val="auto"/>
        </w:rPr>
        <w:t>Section 6.1(p)</w:t>
      </w:r>
      <w:r>
        <w:rPr>
          <w:rFonts w:ascii="Arial" w:cs="Arial" w:eastAsia="Arial" w:hAnsi="Arial"/>
          <w:sz w:val="16"/>
          <w:szCs w:val="16"/>
          <w:color w:val="auto"/>
        </w:rPr>
        <w:t xml:space="preserve"> not in excess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$10,000,000;</w:t>
      </w:r>
    </w:p>
    <w:p>
      <w:pPr>
        <w:spacing w:after="0" w:line="210" w:lineRule="exact"/>
        <w:rPr>
          <w:rFonts w:ascii="Arial" w:cs="Arial" w:eastAsia="Arial" w:hAnsi="Arial"/>
          <w:sz w:val="16"/>
          <w:szCs w:val="16"/>
          <w:color w:val="auto"/>
        </w:rPr>
      </w:pPr>
    </w:p>
    <w:p>
      <w:pPr>
        <w:ind w:firstLine="1289"/>
        <w:spacing w:after="0" w:line="342" w:lineRule="auto"/>
        <w:tabs>
          <w:tab w:leader="none" w:pos="2384"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23" w:lineRule="exact"/>
        <w:rPr>
          <w:rFonts w:ascii="Arial" w:cs="Arial" w:eastAsia="Arial" w:hAnsi="Arial"/>
          <w:sz w:val="16"/>
          <w:szCs w:val="16"/>
          <w:color w:val="auto"/>
        </w:rPr>
      </w:pPr>
    </w:p>
    <w:p>
      <w:pPr>
        <w:jc w:val="both"/>
        <w:ind w:firstLine="1289"/>
        <w:spacing w:after="0" w:line="270" w:lineRule="auto"/>
        <w:tabs>
          <w:tab w:leader="none" w:pos="225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Indebtedness of any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latest to occur of (A) the Maturity Date and (B) the L/C Facility Maturity Date, (iii) such Indebtedness shall not provide for any of principal or any scheduled or mandatory prepayments or redemptions on any date sooner than 91 days after the latest to occur of (A) the Maturity Date and (B) the L/C Facility Maturity Date (other than any change of control or customary acceleration rights after an event of default); (iv) any secured Indebtedness incurred pursuant to this </w:t>
      </w:r>
      <w:r>
        <w:rPr>
          <w:rFonts w:ascii="Arial" w:cs="Arial" w:eastAsia="Arial" w:hAnsi="Arial"/>
          <w:sz w:val="17"/>
          <w:szCs w:val="17"/>
          <w:u w:val="single" w:color="auto"/>
          <w:color w:val="auto"/>
        </w:rPr>
        <w:t>Section 6.1(r)</w:t>
      </w:r>
      <w:r>
        <w:rPr>
          <w:rFonts w:ascii="Arial" w:cs="Arial" w:eastAsia="Arial" w:hAnsi="Arial"/>
          <w:sz w:val="17"/>
          <w:szCs w:val="17"/>
          <w:color w:val="auto"/>
        </w:rPr>
        <w:t xml:space="preserve"> may only be secured by a junior lien on the Collateral and the holder of such Indebtedness (or an agent or representative in respect thereof) shall have entered into a customary intercreditor agreement in form and substance reasonably satisfactory to Agent, and (v) the aggregate principal amount of all Indebtedness incurred pursuant to this </w:t>
      </w:r>
      <w:r>
        <w:rPr>
          <w:rFonts w:ascii="Arial" w:cs="Arial" w:eastAsia="Arial" w:hAnsi="Arial"/>
          <w:sz w:val="17"/>
          <w:szCs w:val="17"/>
          <w:u w:val="single" w:color="auto"/>
          <w:color w:val="auto"/>
        </w:rPr>
        <w:t>Section 6.1(r)</w:t>
      </w:r>
      <w:r>
        <w:rPr>
          <w:rFonts w:ascii="Arial" w:cs="Arial" w:eastAsia="Arial" w:hAnsi="Arial"/>
          <w:sz w:val="17"/>
          <w:szCs w:val="17"/>
          <w:color w:val="auto"/>
        </w:rPr>
        <w:t xml:space="preserve"> would not exceed $500,000,000 at any time; and</w:t>
      </w:r>
    </w:p>
    <w:p>
      <w:pPr>
        <w:spacing w:after="0" w:line="181" w:lineRule="exact"/>
        <w:rPr>
          <w:rFonts w:ascii="Arial" w:cs="Arial" w:eastAsia="Arial" w:hAnsi="Arial"/>
          <w:sz w:val="17"/>
          <w:szCs w:val="17"/>
          <w:color w:val="auto"/>
        </w:rPr>
      </w:pPr>
    </w:p>
    <w:p>
      <w:pPr>
        <w:jc w:val="both"/>
        <w:ind w:firstLine="1289"/>
        <w:spacing w:after="0" w:line="257" w:lineRule="auto"/>
        <w:tabs>
          <w:tab w:leader="none" w:pos="238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support, reimbursement, hold harmless, indemnity and similar letters or agreements provided by, or entered into solely between, Parent and/or any of its Restricted Subsidiaries (whether before, simultaneous with, or after the Closing Date), but only to the extent any such letters or agreements both (i) relate to the guarantee of Obligations and/or pledge of assets by Parent and/or any Restricted Subsidiary under a Loan Document and (ii) do not modify, limit or otherwise adversely affect any obligation of any Guarantor or pledgor of assets to a Lender or Agent (or any rights a Lender or Agent has under the Loan Documents).</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68" w:name="page369"/>
    <w:bookmarkEnd w:id="368"/>
    <w:p>
      <w:pPr>
        <w:ind w:right="20" w:firstLine="648"/>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Fundamental Changes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69" w:lineRule="auto"/>
        <w:tabs>
          <w:tab w:leader="none" w:pos="2538" w:val="left"/>
        </w:tabs>
        <w:numPr>
          <w:ilvl w:val="1"/>
          <w:numId w:val="434"/>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Loan Party or Restricted Subsidiary or (ii) any non-Affiliate to facilitate any acquisition or Disposition otherwise permitted by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of clauses (i) and (ii), each of the following conditions must be met: (A) if such merger, consolidation or amalgamation involves Parent, a Borrower or any Borrowing Base Loan Party, then Parent or a Borrower or Borrowing Base Loan Party, as applicable, shall be the surviving or continuing Person; and (B) other than in the case of facilitating a Disposition otherwise permitted by the Loan Documents, if such merger, consolidation or amalgamation involves any other Loan Party, a Loan Party shall be the surviving or continuing Person;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and, in the case of a Person that is an Unrestricted Subsidiary immediately prior to such merger, consolidation or amalgamation, </w:t>
      </w:r>
      <w:r>
        <w:rPr>
          <w:rFonts w:ascii="Arial" w:cs="Arial" w:eastAsia="Arial" w:hAnsi="Arial"/>
          <w:sz w:val="17"/>
          <w:szCs w:val="17"/>
          <w:u w:val="single" w:color="auto"/>
          <w:color w:val="auto"/>
        </w:rPr>
        <w:t>Section 5.17</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340" w:firstLine="1289"/>
        <w:spacing w:after="0" w:line="283" w:lineRule="auto"/>
        <w:tabs>
          <w:tab w:leader="none" w:pos="2589" w:val="left"/>
        </w:tabs>
        <w:numPr>
          <w:ilvl w:val="1"/>
          <w:numId w:val="434"/>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not prohibit any Redomestication;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 Redomestication of Parent of the type described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of the definition thereof, the Surviving Person shall (A) execute and deliver to Agent an instrument, in form and substance reasonably satisfactory to Agent, whereby such Surviving Person shall become a party to this Agreement and the applicable Guaranty Agreement and assume all rights and obligations of Parent hereunder and thereunder and (B) deliver to Agent one or more opinions of counsel in form, scope and substance reasonably satisfactory to Agent, (ii) in the case of a Redomestication of Parent of the type described in clause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thereof in which the Person formed pursuant to such Redomestication is a different legal entity than Parent, the Person formed pursuant to such Redomestication shall (A) execute and deliver to Agent an instrument, in form and substance reasonably satisfactory to Agent, whereby such Person shall become a party to this Agreement and the applicable Guaranty Agreement and assume all rights and obligations of such Loan Party hereunder and thereunder and (B) deliver to Agent one or more opinions of counsel in form, scope and substance reasonably satisfactory to Agent, and</w:t>
      </w:r>
    </w:p>
    <w:p>
      <w:pPr>
        <w:spacing w:after="0" w:line="6" w:lineRule="exact"/>
        <w:rPr>
          <w:rFonts w:ascii="Arial" w:cs="Arial" w:eastAsia="Arial" w:hAnsi="Arial"/>
          <w:sz w:val="16"/>
          <w:szCs w:val="16"/>
          <w:color w:val="auto"/>
        </w:rPr>
      </w:pPr>
    </w:p>
    <w:p>
      <w:pPr>
        <w:jc w:val="both"/>
        <w:ind w:left="340" w:hanging="8"/>
        <w:spacing w:after="0" w:line="255" w:lineRule="auto"/>
        <w:tabs>
          <w:tab w:leader="none" w:pos="66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Agent shall have completed (A) Patriot Act searches, OFAC/PEP searches and customary individual background checks for each applicable Person and (B) customary certificates regarding beneficial ownership or control in connection with applicable "beneficial ownership" rules and regulations in respect of the Loan Parties, in each case, the results of which shall be satisfactory to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9" w:name="page370"/>
    <w:bookmarkEnd w:id="369"/>
    <w:p>
      <w:pPr>
        <w:jc w:val="both"/>
        <w:ind w:left="340" w:firstLine="1289"/>
        <w:spacing w:after="0" w:line="269" w:lineRule="auto"/>
        <w:tabs>
          <w:tab w:leader="none" w:pos="261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any Restricted Subsidiary to, wind up, liquidate or dissolve;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thereof and immediately after giving effect thereto no Default or Event of Default shall have occurred and be continuing, (i) any Restricted Subsidiary that is not a Loan Party may wind up, liquidate or dissolve if Parent determines in good faith that such winding up, liquidation or dissolution is in the best interests of Parent and its other Restricted Subsidiaries and is not materially disadvantageous to the Lenders and (ii) any Loan Party (other than Parent, any Borrower or any Borrowing Base Loan Party) may wind up, liquidate or dissolve if (A) the owner of all of the Equity Interests of such Person immediately prior to such event shall be a Wholly-Owned Subsidiary of Parent that is organized in a Specified Jurisdiction; and (B) if such owner is not then a Loan Party, such owner shall execute and deliver to Agent (1) a guaranty of the Obligations in form and substance reasonably satisfactory to Agent, (2) an opinion, reasonably satisfactory in form, scope and substance to Agent, of counsel reasonably satisfactory to Agent, addressing such matters in connection with such event as Agent or any Lender may reasonably request, (3) the Collateral Documents (or such similar Collateral Documents as are necessary in the reasonable discretion of Agent for such Person to comply with </w:t>
      </w:r>
      <w:r>
        <w:rPr>
          <w:rFonts w:ascii="Arial" w:cs="Arial" w:eastAsia="Arial" w:hAnsi="Arial"/>
          <w:sz w:val="17"/>
          <w:szCs w:val="17"/>
          <w:u w:val="single" w:color="auto"/>
          <w:color w:val="auto"/>
        </w:rPr>
        <w:t>Section 5.11</w:t>
      </w:r>
      <w:r>
        <w:rPr>
          <w:rFonts w:ascii="Arial" w:cs="Arial" w:eastAsia="Arial" w:hAnsi="Arial"/>
          <w:sz w:val="17"/>
          <w:szCs w:val="17"/>
          <w:color w:val="auto"/>
        </w:rPr>
        <w:t>) and (4) such other documentation as Agent may reasonably request.</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Material Change in Business</w:t>
      </w:r>
      <w:r>
        <w:rPr>
          <w:rFonts w:ascii="Arial" w:cs="Arial" w:eastAsia="Arial" w:hAnsi="Arial"/>
          <w:sz w:val="18"/>
          <w:szCs w:val="18"/>
          <w:color w:val="auto"/>
        </w:rPr>
        <w:t>. Parent and its Restricted Subsidiaries (taken as a whole) shall not engage in any material business substantially different from those businesses of Parent and its Subsidiaries described in the Form 10-K of Parent for the Fiscal Year ended December 31, 2018, as filed with the SEC, and any businesses reasonably related, ancillary or complementary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Parent shall not, and shall not permit any Restricted Subsidiary to, create, incur, assume or permit to exist any Lien on any property or asset now owned or hereafter acquired by it, except:</w:t>
      </w:r>
    </w:p>
    <w:p>
      <w:pPr>
        <w:spacing w:after="0" w:line="166" w:lineRule="exact"/>
        <w:rPr>
          <w:sz w:val="20"/>
          <w:szCs w:val="20"/>
          <w:color w:val="auto"/>
        </w:rPr>
      </w:pPr>
    </w:p>
    <w:p>
      <w:pPr>
        <w:ind w:left="2500" w:hanging="871"/>
        <w:spacing w:after="0"/>
        <w:tabs>
          <w:tab w:leader="none" w:pos="25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left="340" w:firstLine="1289"/>
        <w:spacing w:after="0" w:line="277" w:lineRule="auto"/>
        <w:tabs>
          <w:tab w:leader="none" w:pos="2656"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Liens arising under the L/C Facility Loan Documents that secure the L/C Facility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at all times be subject to the terms of the Intercreditor Agreement;</w:t>
      </w:r>
    </w:p>
    <w:p>
      <w:pPr>
        <w:spacing w:after="0" w:line="170" w:lineRule="exact"/>
        <w:rPr>
          <w:rFonts w:ascii="Arial" w:cs="Arial" w:eastAsia="Arial" w:hAnsi="Arial"/>
          <w:sz w:val="18"/>
          <w:szCs w:val="18"/>
          <w:color w:val="auto"/>
        </w:rPr>
      </w:pPr>
    </w:p>
    <w:p>
      <w:pPr>
        <w:ind w:left="2500" w:hanging="871"/>
        <w:spacing w:after="0"/>
        <w:tabs>
          <w:tab w:leader="none" w:pos="25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340" w:firstLine="1289"/>
        <w:spacing w:after="0" w:line="291" w:lineRule="auto"/>
        <w:tabs>
          <w:tab w:leader="none" w:pos="2778" w:val="left"/>
        </w:tabs>
        <w:numPr>
          <w:ilvl w:val="1"/>
          <w:numId w:val="437"/>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Parent or any Restricted Subsidiary existing on the date hereof and set forth in </w:t>
      </w:r>
      <w:r>
        <w:rPr>
          <w:rFonts w:ascii="Arial" w:cs="Arial" w:eastAsia="Arial" w:hAnsi="Arial"/>
          <w:sz w:val="16"/>
          <w:szCs w:val="16"/>
          <w:u w:val="single" w:color="auto"/>
          <w:color w:val="auto"/>
        </w:rPr>
        <w:t>Schedule 6.4</w:t>
      </w:r>
      <w:r>
        <w:rPr>
          <w:rFonts w:ascii="Arial" w:cs="Arial" w:eastAsia="Arial" w:hAnsi="Arial"/>
          <w:sz w:val="16"/>
          <w:szCs w:val="16"/>
          <w:color w:val="auto"/>
        </w:rPr>
        <w:t xml:space="preserve">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Parent or any Restricted Subsidiary and</w:t>
      </w:r>
    </w:p>
    <w:p>
      <w:pPr>
        <w:ind w:left="600" w:hanging="268"/>
        <w:spacing w:after="0"/>
        <w:tabs>
          <w:tab w:leader="none" w:pos="60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such Lien shall secure only those obligations that it secures on the date hereof and Permitted Refinancing Indebtedness in respect thereof;</w:t>
      </w:r>
    </w:p>
    <w:p>
      <w:pPr>
        <w:spacing w:after="0" w:line="222" w:lineRule="exact"/>
        <w:rPr>
          <w:rFonts w:ascii="Arial" w:cs="Arial" w:eastAsia="Arial" w:hAnsi="Arial"/>
          <w:sz w:val="17"/>
          <w:szCs w:val="17"/>
          <w:color w:val="auto"/>
        </w:rPr>
      </w:pPr>
    </w:p>
    <w:p>
      <w:pPr>
        <w:ind w:left="2760" w:hanging="1131"/>
        <w:spacing w:after="0"/>
        <w:tabs>
          <w:tab w:leader="none" w:pos="2760" w:val="left"/>
        </w:tabs>
        <w:numPr>
          <w:ilvl w:val="1"/>
          <w:numId w:val="438"/>
        </w:numPr>
        <w:rPr>
          <w:rFonts w:ascii="Arial" w:cs="Arial" w:eastAsia="Arial" w:hAnsi="Arial"/>
          <w:sz w:val="16"/>
          <w:szCs w:val="16"/>
          <w:color w:val="auto"/>
        </w:rPr>
      </w:pPr>
      <w:r>
        <w:rPr>
          <w:rFonts w:ascii="Arial" w:cs="Arial" w:eastAsia="Arial" w:hAnsi="Arial"/>
          <w:sz w:val="16"/>
          <w:szCs w:val="16"/>
          <w:color w:val="auto"/>
        </w:rPr>
        <w:t>precautionary Liens on Receivables and Receivables Related Security arising in connection with Permitted Factoring</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0" w:name="page371"/>
    <w:bookmarkEnd w:id="370"/>
    <w:p>
      <w:pPr>
        <w:jc w:val="both"/>
        <w:ind w:left="340" w:firstLine="1289"/>
        <w:spacing w:after="0" w:line="297" w:lineRule="auto"/>
        <w:tabs>
          <w:tab w:leader="none" w:pos="261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Liens on cash and Cash Equivalents (and deposit accounts in which such cash and Cash Equivalents are held), granted in the ordinary course of business and consistent with past practices prior to the commencement of the Chapter 11 Cases, to secure obligations (contingent or otherwise) in respect of letters of credit or letter of credit facilities, bank guarantees or bank guarantee facilities, bid bonds, surety bonds, performance bonds, customs bonds, advance payment bonds and similar instruments and facilities permitted under this Agreement, so long as such Liens are granted or otherwise provided at a time that no Cash Dominion Trigger Event shall have occurred and be continuing;</w:t>
      </w:r>
    </w:p>
    <w:p>
      <w:pPr>
        <w:spacing w:after="0" w:line="158" w:lineRule="exact"/>
        <w:rPr>
          <w:rFonts w:ascii="Arial" w:cs="Arial" w:eastAsia="Arial" w:hAnsi="Arial"/>
          <w:sz w:val="16"/>
          <w:szCs w:val="16"/>
          <w:color w:val="auto"/>
        </w:rPr>
      </w:pPr>
    </w:p>
    <w:p>
      <w:pPr>
        <w:ind w:left="2520" w:hanging="891"/>
        <w:spacing w:after="0"/>
        <w:tabs>
          <w:tab w:leader="none" w:pos="25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Liens in accordance with, and securing Indebtedness permitted by, </w:t>
      </w:r>
      <w:r>
        <w:rPr>
          <w:rFonts w:ascii="Arial" w:cs="Arial" w:eastAsia="Arial" w:hAnsi="Arial"/>
          <w:sz w:val="18"/>
          <w:szCs w:val="18"/>
          <w:u w:val="single" w:color="auto"/>
          <w:color w:val="auto"/>
        </w:rPr>
        <w:t>Sections 6.1(r)</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340" w:firstLine="1289"/>
        <w:spacing w:after="0" w:line="277" w:lineRule="auto"/>
        <w:tabs>
          <w:tab w:leader="none" w:pos="257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Liens on assets so long as the aggregate principal amount of the Indebtedness and other obligations secured by such Liens does not at any time exceed $15,000,000.</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Asset Dispositions</w:t>
      </w:r>
      <w:r>
        <w:rPr>
          <w:rFonts w:ascii="Arial" w:cs="Arial" w:eastAsia="Arial" w:hAnsi="Arial"/>
          <w:sz w:val="18"/>
          <w:szCs w:val="18"/>
          <w:color w:val="auto"/>
        </w:rPr>
        <w:t xml:space="preserve">. Parent shall not, and shall not permit any Restricted Subsidiary to, Dispose of any assets to any Person, except that (subject to the last sentence of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during a Cash Dominion Period):</w:t>
      </w:r>
    </w:p>
    <w:p>
      <w:pPr>
        <w:spacing w:after="0" w:line="166" w:lineRule="exact"/>
        <w:rPr>
          <w:sz w:val="20"/>
          <w:szCs w:val="20"/>
          <w:color w:val="auto"/>
        </w:rPr>
      </w:pPr>
    </w:p>
    <w:p>
      <w:pPr>
        <w:ind w:left="2500" w:hanging="871"/>
        <w:spacing w:after="0"/>
        <w:tabs>
          <w:tab w:leader="none" w:pos="25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Loan Party may Dispose of assets to any other Loan Party that is a Wholly-Owned Subsidiary;</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Restricted Subsidiary that is not a Loan Party may Dispose of assets to any Loan Party;</w:t>
      </w:r>
    </w:p>
    <w:p>
      <w:pPr>
        <w:spacing w:after="0" w:line="225" w:lineRule="exact"/>
        <w:rPr>
          <w:rFonts w:ascii="Arial" w:cs="Arial" w:eastAsia="Arial" w:hAnsi="Arial"/>
          <w:sz w:val="18"/>
          <w:szCs w:val="18"/>
          <w:color w:val="auto"/>
        </w:rPr>
      </w:pPr>
    </w:p>
    <w:p>
      <w:pPr>
        <w:jc w:val="both"/>
        <w:ind w:left="340" w:firstLine="1289"/>
        <w:spacing w:after="0" w:line="279" w:lineRule="auto"/>
        <w:tabs>
          <w:tab w:leader="none" w:pos="2578" w:val="left"/>
        </w:tabs>
        <w:numPr>
          <w:ilvl w:val="0"/>
          <w:numId w:val="440"/>
        </w:numPr>
        <w:rPr>
          <w:rFonts w:ascii="Arial" w:cs="Arial" w:eastAsia="Arial" w:hAnsi="Arial"/>
          <w:sz w:val="17"/>
          <w:szCs w:val="17"/>
          <w:color w:val="auto"/>
        </w:rPr>
      </w:pPr>
      <w:r>
        <w:rPr>
          <w:rFonts w:ascii="Arial" w:cs="Arial" w:eastAsia="Arial" w:hAnsi="Arial"/>
          <w:sz w:val="17"/>
          <w:szCs w:val="17"/>
          <w:color w:val="auto"/>
        </w:rPr>
        <w:t xml:space="preserve">any Loan Party may Dispose of assets to any other Loan Party that is not a Wholly-Owned Subsidiary and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value of all assets Disposed of in reliance on this </w:t>
      </w:r>
      <w:r>
        <w:rPr>
          <w:rFonts w:ascii="Arial" w:cs="Arial" w:eastAsia="Arial" w:hAnsi="Arial"/>
          <w:sz w:val="17"/>
          <w:szCs w:val="17"/>
          <w:u w:val="single" w:color="auto"/>
          <w:color w:val="auto"/>
        </w:rPr>
        <w:t>Section 6.5(c)</w:t>
      </w:r>
      <w:r>
        <w:rPr>
          <w:rFonts w:ascii="Arial" w:cs="Arial" w:eastAsia="Arial" w:hAnsi="Arial"/>
          <w:sz w:val="17"/>
          <w:szCs w:val="17"/>
          <w:color w:val="auto"/>
        </w:rPr>
        <w:t xml:space="preserve"> (net of the value of any such assets subsequently transferred to any Loan Party by any Loan Party that is not a Wholly-Owned Subsidiary) since the Closing Date, shall not exceed $25,000,000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up to an additional $25,000,000 so long as, at the time of such Disposition, the Payment Conditions are satisfied;</w:t>
      </w:r>
    </w:p>
    <w:p>
      <w:pPr>
        <w:spacing w:after="0" w:line="171" w:lineRule="exact"/>
        <w:rPr>
          <w:rFonts w:ascii="Arial" w:cs="Arial" w:eastAsia="Arial" w:hAnsi="Arial"/>
          <w:sz w:val="17"/>
          <w:szCs w:val="17"/>
          <w:color w:val="auto"/>
        </w:rPr>
      </w:pPr>
    </w:p>
    <w:p>
      <w:pPr>
        <w:ind w:left="2520" w:hanging="891"/>
        <w:spacing w:after="0"/>
        <w:tabs>
          <w:tab w:leader="none" w:pos="25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Specified Disposition shall be permitted;</w:t>
      </w:r>
    </w:p>
    <w:p>
      <w:pPr>
        <w:spacing w:after="0" w:line="225" w:lineRule="exact"/>
        <w:rPr>
          <w:rFonts w:ascii="Arial" w:cs="Arial" w:eastAsia="Arial" w:hAnsi="Arial"/>
          <w:sz w:val="18"/>
          <w:szCs w:val="18"/>
          <w:color w:val="auto"/>
        </w:rPr>
      </w:pPr>
    </w:p>
    <w:p>
      <w:pPr>
        <w:ind w:left="340" w:right="20" w:firstLine="1289"/>
        <w:spacing w:after="0" w:line="277" w:lineRule="auto"/>
        <w:tabs>
          <w:tab w:leader="none" w:pos="256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Parent and its Restricted Subsidiaries may Dispose of inventory or Dispose of obsolete or worn-out property, in each case, in the ordinary course of business;</w:t>
      </w:r>
    </w:p>
    <w:p>
      <w:pPr>
        <w:spacing w:after="0" w:line="170" w:lineRule="exact"/>
        <w:rPr>
          <w:rFonts w:ascii="Arial" w:cs="Arial" w:eastAsia="Arial" w:hAnsi="Arial"/>
          <w:sz w:val="18"/>
          <w:szCs w:val="18"/>
          <w:color w:val="auto"/>
        </w:rPr>
      </w:pPr>
    </w:p>
    <w:p>
      <w:pPr>
        <w:ind w:left="340" w:right="20" w:firstLine="1289"/>
        <w:spacing w:after="0" w:line="277" w:lineRule="auto"/>
        <w:tabs>
          <w:tab w:leader="none" w:pos="260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make Investments permitted by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6.8</w:t>
      </w:r>
      <w:r>
        <w:rPr>
          <w:rFonts w:ascii="Arial" w:cs="Arial" w:eastAsia="Arial" w:hAnsi="Arial"/>
          <w:sz w:val="18"/>
          <w:szCs w:val="18"/>
          <w:color w:val="auto"/>
        </w:rPr>
        <w:t>, in each case to the extent constituting Dispositions;</w:t>
      </w:r>
    </w:p>
    <w:p>
      <w:pPr>
        <w:spacing w:after="0" w:line="170" w:lineRule="exact"/>
        <w:rPr>
          <w:rFonts w:ascii="Arial" w:cs="Arial" w:eastAsia="Arial" w:hAnsi="Arial"/>
          <w:sz w:val="18"/>
          <w:szCs w:val="18"/>
          <w:color w:val="auto"/>
        </w:rPr>
      </w:pPr>
    </w:p>
    <w:p>
      <w:pPr>
        <w:ind w:left="340" w:right="20" w:firstLine="1289"/>
        <w:spacing w:after="0" w:line="277" w:lineRule="auto"/>
        <w:tabs>
          <w:tab w:leader="none" w:pos="2589"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Disposition of Receivables and Receivables Related Security in connection with any Permitted Factoring Transaction shall be permitted, and any Permitted Customer Notes Disposition shall be permitted;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1" w:name="page372"/>
    <w:bookmarkEnd w:id="371"/>
    <w:p>
      <w:pPr>
        <w:ind w:left="340" w:firstLine="1289"/>
        <w:spacing w:after="0" w:line="277" w:lineRule="auto"/>
        <w:tabs>
          <w:tab w:leader="none" w:pos="261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Disposition of assets resulting from a casualty event or condemnation proceeding, expropriation or other involuntary taking by a Governmental Authority shall be permitted;</w:t>
      </w:r>
    </w:p>
    <w:p>
      <w:pPr>
        <w:spacing w:after="0" w:line="170" w:lineRule="exact"/>
        <w:rPr>
          <w:rFonts w:ascii="Arial" w:cs="Arial" w:eastAsia="Arial" w:hAnsi="Arial"/>
          <w:sz w:val="18"/>
          <w:szCs w:val="18"/>
          <w:color w:val="auto"/>
        </w:rPr>
      </w:pPr>
    </w:p>
    <w:p>
      <w:pPr>
        <w:ind w:left="340" w:firstLine="1289"/>
        <w:spacing w:after="0" w:line="277" w:lineRule="auto"/>
        <w:tabs>
          <w:tab w:leader="none" w:pos="259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Parent and its Restricted Subsidiaries may grant in the ordinary course of business any license of Intellectual Property that does not interfere in any material respect with the business of Parent or any of its Restricted Subsidiaries;</w:t>
      </w:r>
    </w:p>
    <w:p>
      <w:pPr>
        <w:spacing w:after="0" w:line="170" w:lineRule="exact"/>
        <w:rPr>
          <w:rFonts w:ascii="Arial" w:cs="Arial" w:eastAsia="Arial" w:hAnsi="Arial"/>
          <w:sz w:val="18"/>
          <w:szCs w:val="18"/>
          <w:color w:val="auto"/>
        </w:rPr>
      </w:pPr>
    </w:p>
    <w:p>
      <w:pPr>
        <w:jc w:val="both"/>
        <w:ind w:left="340" w:firstLine="1289"/>
        <w:spacing w:after="0" w:line="297" w:lineRule="auto"/>
        <w:tabs>
          <w:tab w:leader="none" w:pos="2598" w:val="left"/>
        </w:tabs>
        <w:numPr>
          <w:ilvl w:val="0"/>
          <w:numId w:val="441"/>
        </w:numPr>
        <w:rPr>
          <w:rFonts w:ascii="Arial" w:cs="Arial" w:eastAsia="Arial" w:hAnsi="Arial"/>
          <w:sz w:val="16"/>
          <w:szCs w:val="16"/>
          <w:color w:val="auto"/>
        </w:rPr>
      </w:pPr>
      <w:r>
        <w:rPr>
          <w:rFonts w:ascii="Arial" w:cs="Arial" w:eastAsia="Arial" w:hAnsi="Arial"/>
          <w:sz w:val="16"/>
          <w:szCs w:val="16"/>
          <w:color w:val="auto"/>
        </w:rPr>
        <w:t>Parent and its Restricted Subsidiaries may Dispose of assets so long as (i) at the time thereof and immediately after giving effect thereto,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Parent, and if requested by Agent, Parent shall deliver a certificate of a Principal Financial Officer of Parent certifying as to the foregoing) and (iv) the Payment Conditions are satisfied;</w:t>
      </w:r>
    </w:p>
    <w:p>
      <w:pPr>
        <w:spacing w:after="0" w:line="158" w:lineRule="exact"/>
        <w:rPr>
          <w:rFonts w:ascii="Arial" w:cs="Arial" w:eastAsia="Arial" w:hAnsi="Arial"/>
          <w:sz w:val="16"/>
          <w:szCs w:val="16"/>
          <w:color w:val="auto"/>
        </w:rPr>
      </w:pPr>
    </w:p>
    <w:p>
      <w:pPr>
        <w:jc w:val="both"/>
        <w:ind w:left="340" w:right="20" w:firstLine="1289"/>
        <w:spacing w:after="0" w:line="312" w:lineRule="auto"/>
        <w:tabs>
          <w:tab w:leader="none" w:pos="2589"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Dispositions of surplus property in the ordinary course of business shall be permitted so long as the aggregate fair market value of all such surplus property Disposed of pursuant to this </w:t>
      </w:r>
      <w:r>
        <w:rPr>
          <w:rFonts w:ascii="Arial" w:cs="Arial" w:eastAsia="Arial" w:hAnsi="Arial"/>
          <w:sz w:val="16"/>
          <w:szCs w:val="16"/>
          <w:u w:val="single" w:color="auto"/>
          <w:color w:val="auto"/>
        </w:rPr>
        <w:t>Section 6.5(k)</w:t>
      </w:r>
      <w:r>
        <w:rPr>
          <w:rFonts w:ascii="Arial" w:cs="Arial" w:eastAsia="Arial" w:hAnsi="Arial"/>
          <w:sz w:val="16"/>
          <w:szCs w:val="16"/>
          <w:color w:val="auto"/>
        </w:rPr>
        <w:t xml:space="preserve"> does not exceed (i) $35,000,000 from the Closing Date through December 31, 2020, (ii) $30,000,000 during the Fiscal Year ending December 31, 2021, and (iii) $25,000,000 during any Fiscal Year thereafter;</w:t>
      </w:r>
    </w:p>
    <w:p>
      <w:pPr>
        <w:spacing w:after="0" w:line="146" w:lineRule="exact"/>
        <w:rPr>
          <w:rFonts w:ascii="Arial" w:cs="Arial" w:eastAsia="Arial" w:hAnsi="Arial"/>
          <w:sz w:val="16"/>
          <w:szCs w:val="16"/>
          <w:color w:val="auto"/>
        </w:rPr>
      </w:pPr>
    </w:p>
    <w:p>
      <w:pPr>
        <w:jc w:val="both"/>
        <w:ind w:left="340" w:firstLine="1289"/>
        <w:spacing w:after="0" w:line="264" w:lineRule="auto"/>
        <w:tabs>
          <w:tab w:leader="none" w:pos="27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81" w:lineRule="exact"/>
        <w:rPr>
          <w:rFonts w:ascii="Arial" w:cs="Arial" w:eastAsia="Arial" w:hAnsi="Arial"/>
          <w:sz w:val="18"/>
          <w:szCs w:val="18"/>
          <w:color w:val="auto"/>
        </w:rPr>
      </w:pPr>
    </w:p>
    <w:p>
      <w:pPr>
        <w:ind w:left="2480" w:hanging="851"/>
        <w:spacing w:after="0"/>
        <w:tabs>
          <w:tab w:leader="none" w:pos="24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leases of real or personal property in the ordinary course of business shall be permitted;</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Permitted Intercompany Treasury Management Transactions;</w:t>
      </w:r>
    </w:p>
    <w:p>
      <w:pPr>
        <w:spacing w:after="0" w:line="225" w:lineRule="exact"/>
        <w:rPr>
          <w:rFonts w:ascii="Arial" w:cs="Arial" w:eastAsia="Arial" w:hAnsi="Arial"/>
          <w:sz w:val="18"/>
          <w:szCs w:val="18"/>
          <w:color w:val="auto"/>
        </w:rPr>
      </w:pPr>
    </w:p>
    <w:p>
      <w:pPr>
        <w:jc w:val="both"/>
        <w:ind w:left="340" w:firstLine="1289"/>
        <w:spacing w:after="0" w:line="259" w:lineRule="auto"/>
        <w:tabs>
          <w:tab w:leader="none" w:pos="257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Dispositions constituting Permitted Intercompany Specified Transactions, so long as at the time of such Disposition (i) no Default or Event of Default then exists or would arise as a result of the applicable transaction and (ii) Excess Availability (exclusive of any availability created pursuant to clause (g) of the definition of Joint Borrowing Base) immediately after giving effect to such proposed Disposition is not less than $35,000,000; and</w:t>
      </w:r>
    </w:p>
    <w:p>
      <w:pPr>
        <w:spacing w:after="0" w:line="186" w:lineRule="exact"/>
        <w:rPr>
          <w:rFonts w:ascii="Arial" w:cs="Arial" w:eastAsia="Arial" w:hAnsi="Arial"/>
          <w:sz w:val="18"/>
          <w:szCs w:val="18"/>
          <w:color w:val="auto"/>
        </w:rPr>
      </w:pPr>
    </w:p>
    <w:p>
      <w:pPr>
        <w:ind w:left="340" w:firstLine="1289"/>
        <w:spacing w:after="0" w:line="277" w:lineRule="auto"/>
        <w:tabs>
          <w:tab w:leader="none" w:pos="260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Parent and its Restricted Subsidiaries may Dispose of any personal or real property with a fair market value not in excess of $2,500,000 in any Fiscal Year;</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Disposition in excess of a net book value of $20,000,000 (taken together, in each case to the extent related to assets of the type included in the Borrowing Base, with any sale or transfer of such assets in connection with Permitted Factoring Transactions, movement of assets of the type described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Indebtedness of the type described in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that involves such assets, other Disposition of the type described in this paragraph, Investment of the type described in </w:t>
      </w:r>
      <w:r>
        <w:rPr>
          <w:rFonts w:ascii="Arial" w:cs="Arial" w:eastAsia="Arial" w:hAnsi="Arial"/>
          <w:sz w:val="17"/>
          <w:szCs w:val="17"/>
          <w:u w:val="single" w:color="auto"/>
          <w:color w:val="auto"/>
        </w:rPr>
        <w:t>Section 6.6(n)</w:t>
      </w:r>
      <w:r>
        <w:rPr>
          <w:rFonts w:ascii="Arial" w:cs="Arial" w:eastAsia="Arial" w:hAnsi="Arial"/>
          <w:sz w:val="17"/>
          <w:szCs w:val="17"/>
          <w:color w:val="auto"/>
        </w:rPr>
        <w:t xml:space="preserve"> that involves such assets and Restricted Payment of the type described in </w:t>
      </w:r>
      <w:r>
        <w:rPr>
          <w:rFonts w:ascii="Arial" w:cs="Arial" w:eastAsia="Arial" w:hAnsi="Arial"/>
          <w:sz w:val="17"/>
          <w:szCs w:val="17"/>
          <w:u w:val="single" w:color="auto"/>
          <w:color w:val="auto"/>
        </w:rPr>
        <w:t>Section 6.8(k)</w:t>
      </w:r>
      <w:r>
        <w:rPr>
          <w:rFonts w:ascii="Arial" w:cs="Arial" w:eastAsia="Arial" w:hAnsi="Arial"/>
          <w:sz w:val="17"/>
          <w:szCs w:val="17"/>
          <w:color w:val="auto"/>
        </w:rPr>
        <w:t xml:space="preserve"> that involves such assets, in each case made during such month or, if applicable, since the date of the most recently delivered Borrowing Base Certificate during such month) made by a Borrowing Base Loan Party described in clause (a), (c), (d), (j), (k), (n), (o) or (p) of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of assets of the type included in a Borrowing Base, the Administrative Borrower shall deliver an updated Borrowing Base Certificate to Agent within three Business Days after the consummation of such Disposition reflecting the removal of such assets from the Borrowing Base (or other applicable adjustment, if any), and such Disposition shall be permitted only to the extent no Overadvance results therefrom.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2" w:name="page373"/>
    <w:bookmarkEnd w:id="372"/>
    <w:p>
      <w:pPr>
        <w:ind w:firstLine="648"/>
        <w:spacing w:after="0" w:line="282"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Investments</w:t>
      </w:r>
      <w:r>
        <w:rPr>
          <w:rFonts w:ascii="Arial" w:cs="Arial" w:eastAsia="Arial" w:hAnsi="Arial"/>
          <w:sz w:val="18"/>
          <w:szCs w:val="18"/>
          <w:color w:val="auto"/>
        </w:rPr>
        <w:t xml:space="preserve">. Parent shall not, and shall not permit any Restricted Subsidiary to, make any Investments in any Person, except (subject to the last sentence of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during a Cash Dominion Period):</w:t>
      </w:r>
    </w:p>
    <w:p>
      <w:pPr>
        <w:spacing w:after="0" w:line="166" w:lineRule="exact"/>
        <w:rPr>
          <w:sz w:val="20"/>
          <w:szCs w:val="20"/>
          <w:color w:val="auto"/>
        </w:rPr>
      </w:pPr>
    </w:p>
    <w:p>
      <w:pPr>
        <w:ind w:left="2500" w:hanging="871"/>
        <w:spacing w:after="0"/>
        <w:tabs>
          <w:tab w:leader="none" w:pos="25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jc w:val="both"/>
        <w:ind w:left="340" w:firstLine="1289"/>
        <w:spacing w:after="0" w:line="264" w:lineRule="auto"/>
        <w:tabs>
          <w:tab w:leader="none" w:pos="253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(i) Investments in Subsidiaries in existence on the Closing Date and (ii)other Investments in existence on the Closing Date and described on </w:t>
      </w:r>
      <w:r>
        <w:rPr>
          <w:rFonts w:ascii="Arial" w:cs="Arial" w:eastAsia="Arial" w:hAnsi="Arial"/>
          <w:sz w:val="18"/>
          <w:szCs w:val="18"/>
          <w:u w:val="single" w:color="auto"/>
          <w:color w:val="auto"/>
        </w:rPr>
        <w:t>Schedule 6.6</w:t>
      </w:r>
      <w:r>
        <w:rPr>
          <w:rFonts w:ascii="Arial" w:cs="Arial" w:eastAsia="Arial" w:hAnsi="Arial"/>
          <w:sz w:val="18"/>
          <w:szCs w:val="18"/>
          <w:color w:val="auto"/>
        </w:rPr>
        <w:t xml:space="preserve"> to this Agreement and any renewal or extension of any such Investments that does not increase the amount of the Investment being renewed or extended as determined as of such date of renewal or extension;</w:t>
      </w:r>
    </w:p>
    <w:p>
      <w:pPr>
        <w:spacing w:after="0" w:line="181" w:lineRule="exact"/>
        <w:rPr>
          <w:rFonts w:ascii="Arial" w:cs="Arial" w:eastAsia="Arial" w:hAnsi="Arial"/>
          <w:sz w:val="18"/>
          <w:szCs w:val="18"/>
          <w:color w:val="auto"/>
        </w:rPr>
      </w:pPr>
    </w:p>
    <w:p>
      <w:pPr>
        <w:ind w:left="2520" w:hanging="891"/>
        <w:spacing w:after="0"/>
        <w:tabs>
          <w:tab w:leader="none" w:pos="25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Investments by any Loan Party in any other Loan Party that is a Wholly-Owned Subsidiary;</w:t>
      </w:r>
    </w:p>
    <w:p>
      <w:pPr>
        <w:spacing w:after="0" w:line="225" w:lineRule="exact"/>
        <w:rPr>
          <w:rFonts w:ascii="Arial" w:cs="Arial" w:eastAsia="Arial" w:hAnsi="Arial"/>
          <w:sz w:val="18"/>
          <w:szCs w:val="18"/>
          <w:color w:val="auto"/>
        </w:rPr>
      </w:pPr>
    </w:p>
    <w:p>
      <w:pPr>
        <w:ind w:left="2500" w:hanging="871"/>
        <w:spacing w:after="0"/>
        <w:tabs>
          <w:tab w:leader="none" w:pos="250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Investments by any Restricted Subsidiary that is not a Loan Party in any Loan Party and any Restricted Subsidiary;</w:t>
      </w:r>
    </w:p>
    <w:p>
      <w:pPr>
        <w:spacing w:after="0" w:line="236" w:lineRule="exact"/>
        <w:rPr>
          <w:rFonts w:ascii="Arial" w:cs="Arial" w:eastAsia="Arial" w:hAnsi="Arial"/>
          <w:sz w:val="17"/>
          <w:szCs w:val="17"/>
          <w:color w:val="auto"/>
        </w:rPr>
      </w:pPr>
    </w:p>
    <w:p>
      <w:pPr>
        <w:jc w:val="both"/>
        <w:ind w:left="340" w:firstLine="1289"/>
        <w:spacing w:after="0" w:line="264" w:lineRule="auto"/>
        <w:tabs>
          <w:tab w:leader="none" w:pos="253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(i) Investments in Unrestricted Subsidiaries, and (ii) Investments by any Loan Party in any Loan Party that is not a Wholly-Owned Subsidiary and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Investments made pursuant to this </w:t>
      </w:r>
      <w:r>
        <w:rPr>
          <w:rFonts w:ascii="Arial" w:cs="Arial" w:eastAsia="Arial" w:hAnsi="Arial"/>
          <w:sz w:val="18"/>
          <w:szCs w:val="18"/>
          <w:u w:val="single" w:color="auto"/>
          <w:color w:val="auto"/>
        </w:rPr>
        <w:t>Section 6.6(f)</w:t>
      </w:r>
      <w:r>
        <w:rPr>
          <w:rFonts w:ascii="Arial" w:cs="Arial" w:eastAsia="Arial" w:hAnsi="Arial"/>
          <w:sz w:val="18"/>
          <w:szCs w:val="18"/>
          <w:color w:val="auto"/>
        </w:rPr>
        <w:t xml:space="preserve"> and then outstanding since the Closing Date, shall not exceed $25,000,000;</w:t>
      </w:r>
    </w:p>
    <w:p>
      <w:pPr>
        <w:spacing w:after="0" w:line="181" w:lineRule="exact"/>
        <w:rPr>
          <w:rFonts w:ascii="Arial" w:cs="Arial" w:eastAsia="Arial" w:hAnsi="Arial"/>
          <w:sz w:val="18"/>
          <w:szCs w:val="18"/>
          <w:color w:val="auto"/>
        </w:rPr>
      </w:pPr>
    </w:p>
    <w:p>
      <w:pPr>
        <w:jc w:val="both"/>
        <w:ind w:left="340" w:firstLine="1289"/>
        <w:spacing w:after="0" w:line="264" w:lineRule="auto"/>
        <w:tabs>
          <w:tab w:leader="none" w:pos="254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81" w:lineRule="exact"/>
        <w:rPr>
          <w:rFonts w:ascii="Arial" w:cs="Arial" w:eastAsia="Arial" w:hAnsi="Arial"/>
          <w:sz w:val="18"/>
          <w:szCs w:val="18"/>
          <w:color w:val="auto"/>
        </w:rPr>
      </w:pPr>
    </w:p>
    <w:p>
      <w:pPr>
        <w:ind w:left="340" w:right="20" w:firstLine="1289"/>
        <w:spacing w:after="0" w:line="277" w:lineRule="auto"/>
        <w:tabs>
          <w:tab w:leader="none" w:pos="285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Investments by any Loan Party or Restricted Subsidiary in overnight time deposits in Argentina;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Investments shall not exceed $10,000,000 at any time outstanding;</w:t>
      </w:r>
    </w:p>
    <w:p>
      <w:pPr>
        <w:spacing w:after="0" w:line="170" w:lineRule="exact"/>
        <w:rPr>
          <w:rFonts w:ascii="Arial" w:cs="Arial" w:eastAsia="Arial" w:hAnsi="Arial"/>
          <w:sz w:val="18"/>
          <w:szCs w:val="18"/>
          <w:color w:val="auto"/>
        </w:rPr>
      </w:pPr>
    </w:p>
    <w:p>
      <w:pPr>
        <w:ind w:left="2560" w:hanging="931"/>
        <w:spacing w:after="0"/>
        <w:tabs>
          <w:tab w:leader="none" w:pos="256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subject to the limitations set forth in clauses (d), (e) and (f) of this Section, Guarantees permitted by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3" w:name="page374"/>
    <w:bookmarkEnd w:id="373"/>
    <w:p>
      <w:pPr>
        <w:ind w:left="2560" w:hanging="931"/>
        <w:spacing w:after="0"/>
        <w:tabs>
          <w:tab w:leader="none" w:pos="25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Investments received in consideration for a Disposition permitted by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firstLine="1289"/>
        <w:spacing w:after="0" w:line="264" w:lineRule="auto"/>
        <w:tabs>
          <w:tab w:leader="none" w:pos="252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advances and loans shall not exceed $2,500,000 at any time outstanding;</w:t>
      </w:r>
    </w:p>
    <w:p>
      <w:pPr>
        <w:spacing w:after="0" w:line="181" w:lineRule="exact"/>
        <w:rPr>
          <w:rFonts w:ascii="Arial" w:cs="Arial" w:eastAsia="Arial" w:hAnsi="Arial"/>
          <w:sz w:val="18"/>
          <w:szCs w:val="18"/>
          <w:color w:val="auto"/>
        </w:rPr>
      </w:pPr>
    </w:p>
    <w:p>
      <w:pPr>
        <w:ind w:left="340" w:firstLine="1289"/>
        <w:spacing w:after="0" w:line="277" w:lineRule="auto"/>
        <w:tabs>
          <w:tab w:leader="none" w:pos="2909"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70" w:lineRule="exact"/>
        <w:rPr>
          <w:rFonts w:ascii="Arial" w:cs="Arial" w:eastAsia="Arial" w:hAnsi="Arial"/>
          <w:sz w:val="18"/>
          <w:szCs w:val="18"/>
          <w:color w:val="auto"/>
        </w:rPr>
      </w:pPr>
    </w:p>
    <w:p>
      <w:pPr>
        <w:ind w:left="2480" w:hanging="851"/>
        <w:spacing w:after="0"/>
        <w:tabs>
          <w:tab w:leader="none" w:pos="24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Investments consisting of Hedge Agreements permitted under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firstLine="1289"/>
        <w:spacing w:after="0" w:line="289" w:lineRule="auto"/>
        <w:tabs>
          <w:tab w:leader="none" w:pos="2589" w:val="left"/>
        </w:tabs>
        <w:numPr>
          <w:ilvl w:val="0"/>
          <w:numId w:val="443"/>
        </w:numPr>
        <w:rPr>
          <w:rFonts w:ascii="Arial" w:cs="Arial" w:eastAsia="Arial" w:hAnsi="Arial"/>
          <w:sz w:val="16"/>
          <w:szCs w:val="16"/>
          <w:color w:val="auto"/>
        </w:rPr>
      </w:pPr>
      <w:r>
        <w:rPr>
          <w:rFonts w:ascii="Arial" w:cs="Arial" w:eastAsia="Arial" w:hAnsi="Arial"/>
          <w:sz w:val="16"/>
          <w:szCs w:val="16"/>
          <w:color w:val="auto"/>
        </w:rPr>
        <w:t xml:space="preserve">Permitted Intercompany Treasury Management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transaction involving assets of the type included in the Borrowing Base with a net book value in excess of $20,000,000 (taken together, in each case to the extent related to assets of the type included in the Borrowing Base, with any sale or other transfer of such assets in connection with Permitted Factoring Transactions, movement of assets of the type described in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Indebtedness of the type described in </w:t>
      </w:r>
      <w:r>
        <w:rPr>
          <w:rFonts w:ascii="Arial" w:cs="Arial" w:eastAsia="Arial" w:hAnsi="Arial"/>
          <w:sz w:val="16"/>
          <w:szCs w:val="16"/>
          <w:u w:val="single" w:color="auto"/>
          <w:color w:val="auto"/>
        </w:rPr>
        <w:t>Section 6.1(f)</w:t>
      </w:r>
      <w:r>
        <w:rPr>
          <w:rFonts w:ascii="Arial" w:cs="Arial" w:eastAsia="Arial" w:hAnsi="Arial"/>
          <w:sz w:val="16"/>
          <w:szCs w:val="16"/>
          <w:color w:val="auto"/>
        </w:rPr>
        <w:t xml:space="preserve"> that involves such assets, Disposition of the types described in the last paragraph of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that involves such assets, other Investment of the type described in this </w:t>
      </w:r>
      <w:r>
        <w:rPr>
          <w:rFonts w:ascii="Arial" w:cs="Arial" w:eastAsia="Arial" w:hAnsi="Arial"/>
          <w:sz w:val="16"/>
          <w:szCs w:val="16"/>
          <w:u w:val="single" w:color="auto"/>
          <w:color w:val="auto"/>
        </w:rPr>
        <w:t>Section 6.6(n)</w:t>
      </w:r>
      <w:r>
        <w:rPr>
          <w:rFonts w:ascii="Arial" w:cs="Arial" w:eastAsia="Arial" w:hAnsi="Arial"/>
          <w:sz w:val="16"/>
          <w:szCs w:val="16"/>
          <w:color w:val="auto"/>
        </w:rPr>
        <w:t xml:space="preserve"> that involves such assets and Restricted Payment of the type described in </w:t>
      </w:r>
      <w:r>
        <w:rPr>
          <w:rFonts w:ascii="Arial" w:cs="Arial" w:eastAsia="Arial" w:hAnsi="Arial"/>
          <w:sz w:val="16"/>
          <w:szCs w:val="16"/>
          <w:u w:val="single" w:color="auto"/>
          <w:color w:val="auto"/>
        </w:rPr>
        <w:t>Section 6.8(k)</w:t>
      </w:r>
      <w:r>
        <w:rPr>
          <w:rFonts w:ascii="Arial" w:cs="Arial" w:eastAsia="Arial" w:hAnsi="Arial"/>
          <w:sz w:val="16"/>
          <w:szCs w:val="16"/>
          <w:color w:val="auto"/>
        </w:rPr>
        <w:t xml:space="preserve"> that involves such assets, in each case made during such month or, if applicable, since the date of the most recently delivered Borrowing Base Certificate during such month), the Administrative Borrower shall deliver an updated Borrowing Base Certificate to Agent within three Business Days after the consummation of such transaction reflecting the removal of such assets from the Borrowing Base (or other applicable adjustment, if any), and such transaction shall be permitted only to the extent no Overadvance results therefrom;</w:t>
      </w:r>
    </w:p>
    <w:p>
      <w:pPr>
        <w:spacing w:after="0" w:line="166" w:lineRule="exact"/>
        <w:rPr>
          <w:rFonts w:ascii="Arial" w:cs="Arial" w:eastAsia="Arial" w:hAnsi="Arial"/>
          <w:sz w:val="16"/>
          <w:szCs w:val="16"/>
          <w:color w:val="auto"/>
        </w:rPr>
      </w:pPr>
    </w:p>
    <w:p>
      <w:pPr>
        <w:jc w:val="both"/>
        <w:ind w:left="340" w:firstLine="1289"/>
        <w:spacing w:after="0" w:line="259" w:lineRule="auto"/>
        <w:tabs>
          <w:tab w:leader="none" w:pos="261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Investments constituting Permitted Intercompany Specified Transactions, so long as at the time of such Investment (i) no Default or Event of Default then exists or would arise as a result of the applicable transaction and (ii) Excess Availability (exclusive of any availability created pursuant to clause (g) of the definition of Joint Borrowing Base) immediately after giving effect to such proposed Investment is not less than $35,000,000; and</w:t>
      </w:r>
    </w:p>
    <w:p>
      <w:pPr>
        <w:spacing w:after="0" w:line="186" w:lineRule="exact"/>
        <w:rPr>
          <w:rFonts w:ascii="Arial" w:cs="Arial" w:eastAsia="Arial" w:hAnsi="Arial"/>
          <w:sz w:val="18"/>
          <w:szCs w:val="18"/>
          <w:color w:val="auto"/>
        </w:rPr>
      </w:pPr>
    </w:p>
    <w:p>
      <w:pPr>
        <w:ind w:left="2520" w:hanging="891"/>
        <w:spacing w:after="0"/>
        <w:tabs>
          <w:tab w:leader="none" w:pos="25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other Investments so long as the Payment Conditions are satisfied.</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b w:val="1"/>
          <w:bCs w:val="1"/>
          <w:u w:val="single" w:color="auto"/>
          <w:color w:val="auto"/>
        </w:rPr>
        <w:t>Hedge Agreements</w:t>
      </w:r>
      <w:r>
        <w:rPr>
          <w:rFonts w:ascii="Arial" w:cs="Arial" w:eastAsia="Arial" w:hAnsi="Arial"/>
          <w:sz w:val="16"/>
          <w:szCs w:val="16"/>
          <w:color w:val="auto"/>
        </w:rPr>
        <w:t>. Parent shall not, and shall not permit any Restricted Subsidiary to, enter into any Hedge Agreement, except</w:t>
      </w:r>
    </w:p>
    <w:p>
      <w:pPr>
        <w:spacing w:after="0" w:line="27" w:lineRule="exact"/>
        <w:rPr>
          <w:sz w:val="20"/>
          <w:szCs w:val="20"/>
          <w:color w:val="auto"/>
        </w:rPr>
      </w:pPr>
    </w:p>
    <w:p>
      <w:pPr>
        <w:jc w:val="both"/>
        <w:ind w:firstLine="8"/>
        <w:spacing w:after="0" w:line="253" w:lineRule="auto"/>
        <w:tabs>
          <w:tab w:leader="none" w:pos="249" w:val="left"/>
        </w:tabs>
        <w:numPr>
          <w:ilvl w:val="0"/>
          <w:numId w:val="444"/>
        </w:numPr>
        <w:rPr>
          <w:rFonts w:ascii="Arial" w:cs="Arial" w:eastAsia="Arial" w:hAnsi="Arial"/>
          <w:sz w:val="18"/>
          <w:szCs w:val="18"/>
          <w:color w:val="auto"/>
        </w:rPr>
      </w:pPr>
      <w:r>
        <w:rPr>
          <w:rFonts w:ascii="Arial" w:cs="Arial" w:eastAsia="Arial" w:hAnsi="Arial"/>
          <w:sz w:val="18"/>
          <w:szCs w:val="18"/>
          <w:color w:val="auto"/>
        </w:rPr>
        <w:t>Hedge Agreements entered into to hedge or mitigate risks to which Parent or any Restricted Subsidiary has actual exposure (other than those in respect of Equity Interests of Parent or any of its Restricted Subsidiaries), including to hedge or mitigate foreign currency and commodity price risks to which Parent or any Restricted Subsidiary has actual exposure, and (b) Hedge Agreements entered into in order to effectively cap, collar or exchange interest rates (from fixed to floating rates, from one floating rate to another floating rate or otherwise) with respect to any interest-bearing liability or investment of Parent or any Restricted Subsidiary.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4" w:name="page375"/>
    <w:bookmarkEnd w:id="374"/>
    <w:p>
      <w:pPr>
        <w:ind w:firstLine="648"/>
        <w:spacing w:after="0" w:line="28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Restricted Payments</w:t>
      </w:r>
      <w:r>
        <w:rPr>
          <w:rFonts w:ascii="Arial" w:cs="Arial" w:eastAsia="Arial" w:hAnsi="Arial"/>
          <w:sz w:val="18"/>
          <w:szCs w:val="18"/>
          <w:color w:val="auto"/>
        </w:rPr>
        <w:t xml:space="preserve">. Parent shall not, and shall not permit any Restricted Subsidiary to, declare or make, or agree to pay or make, directly or indirectly, any Restricted Payment, except (subject to the last sentence of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during a Cash Dominion Period):</w:t>
      </w:r>
    </w:p>
    <w:p>
      <w:pPr>
        <w:spacing w:after="0" w:line="166" w:lineRule="exact"/>
        <w:rPr>
          <w:sz w:val="20"/>
          <w:szCs w:val="20"/>
          <w:color w:val="auto"/>
        </w:rPr>
      </w:pPr>
    </w:p>
    <w:p>
      <w:pPr>
        <w:ind w:left="2740" w:hanging="1111"/>
        <w:spacing w:after="0"/>
        <w:tabs>
          <w:tab w:leader="none" w:pos="274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Parent may declare and pay dividends on its Equity Interests payable solely in additional Equity Interests (other than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Disqualified Equity Interests);</w:t>
      </w:r>
    </w:p>
    <w:p>
      <w:pPr>
        <w:spacing w:after="0" w:line="210" w:lineRule="exact"/>
        <w:rPr>
          <w:rFonts w:ascii="Arial" w:cs="Arial" w:eastAsia="Arial" w:hAnsi="Arial"/>
          <w:sz w:val="16"/>
          <w:szCs w:val="16"/>
          <w:color w:val="auto"/>
        </w:rPr>
      </w:pPr>
    </w:p>
    <w:p>
      <w:pPr>
        <w:ind w:left="340" w:firstLine="1289"/>
        <w:spacing w:after="0" w:line="342" w:lineRule="auto"/>
        <w:tabs>
          <w:tab w:leader="none" w:pos="2521" w:val="left"/>
        </w:tabs>
        <w:numPr>
          <w:ilvl w:val="1"/>
          <w:numId w:val="445"/>
        </w:numPr>
        <w:rPr>
          <w:rFonts w:ascii="Arial" w:cs="Arial" w:eastAsia="Arial" w:hAnsi="Arial"/>
          <w:sz w:val="16"/>
          <w:szCs w:val="16"/>
          <w:color w:val="auto"/>
        </w:rPr>
      </w:pPr>
      <w:r>
        <w:rPr>
          <w:rFonts w:ascii="Arial" w:cs="Arial" w:eastAsia="Arial" w:hAnsi="Arial"/>
          <w:sz w:val="16"/>
          <w:szCs w:val="16"/>
          <w:color w:val="auto"/>
        </w:rPr>
        <w:t>Parent and its Restricted Subsidiaries may make Restricted Payments in exchange for, or out of the proceeds received from, any substantially concurrent issuance (other than to a Subsidiary) of additional Equity Interests of Parent (other than Disqualified Equity Interests);</w:t>
      </w:r>
    </w:p>
    <w:p>
      <w:pPr>
        <w:spacing w:after="0" w:line="123" w:lineRule="exact"/>
        <w:rPr>
          <w:rFonts w:ascii="Arial" w:cs="Arial" w:eastAsia="Arial" w:hAnsi="Arial"/>
          <w:sz w:val="16"/>
          <w:szCs w:val="16"/>
          <w:color w:val="auto"/>
        </w:rPr>
      </w:pPr>
    </w:p>
    <w:p>
      <w:pPr>
        <w:jc w:val="both"/>
        <w:ind w:left="340" w:firstLine="1289"/>
        <w:spacing w:after="0" w:line="255" w:lineRule="auto"/>
        <w:tabs>
          <w:tab w:leader="none" w:pos="2605" w:val="left"/>
        </w:tabs>
        <w:numPr>
          <w:ilvl w:val="1"/>
          <w:numId w:val="445"/>
        </w:numPr>
        <w:rPr>
          <w:rFonts w:ascii="Arial" w:cs="Arial" w:eastAsia="Arial" w:hAnsi="Arial"/>
          <w:sz w:val="18"/>
          <w:szCs w:val="18"/>
          <w:color w:val="auto"/>
        </w:rPr>
      </w:pPr>
      <w:r>
        <w:rPr>
          <w:rFonts w:ascii="Arial" w:cs="Arial" w:eastAsia="Arial" w:hAnsi="Arial"/>
          <w:sz w:val="18"/>
          <w:szCs w:val="18"/>
          <w:color w:val="auto"/>
        </w:rPr>
        <w:t>(i) Restricted Subsidiaries that are Wholly-Owned Subsidiaries and Loan Parties may declare and pay dividends or make other distributions on account of their Equity Interests so long as, if a Loan Party is making such payment or distribution, the ultimate recipient of such payment or distribution (directly or indirectly, with receipt occurring substantially contemporaneously with the making of such payment or distribution) is a Loan Party, and (ii) Restricted Subsidiaries that are not Loan Parties or Wholly-Owned Subsidiaries satisfying the requirements of clause (i) immediately above may pay dividends or make other distributions on account of, and make payments on account of the purchase, redemption, acquisition, cancellation or termination of, their Equity Interests ratably (or more favorably to a Restricted Subsidiary), so long as the Payment Conditions have been satisfied;</w:t>
      </w:r>
    </w:p>
    <w:p>
      <w:pPr>
        <w:spacing w:after="0" w:line="189" w:lineRule="exact"/>
        <w:rPr>
          <w:rFonts w:ascii="Arial" w:cs="Arial" w:eastAsia="Arial" w:hAnsi="Arial"/>
          <w:sz w:val="18"/>
          <w:szCs w:val="18"/>
          <w:color w:val="auto"/>
        </w:rPr>
      </w:pPr>
    </w:p>
    <w:p>
      <w:pPr>
        <w:ind w:left="340" w:right="20" w:firstLine="1289"/>
        <w:spacing w:after="0" w:line="277" w:lineRule="auto"/>
        <w:tabs>
          <w:tab w:leader="none" w:pos="2899" w:val="left"/>
        </w:tabs>
        <w:numPr>
          <w:ilvl w:val="1"/>
          <w:numId w:val="445"/>
        </w:numPr>
        <w:rPr>
          <w:rFonts w:ascii="Arial" w:cs="Arial" w:eastAsia="Arial" w:hAnsi="Arial"/>
          <w:sz w:val="18"/>
          <w:szCs w:val="18"/>
          <w:color w:val="auto"/>
        </w:rPr>
      </w:pPr>
      <w:r>
        <w:rPr>
          <w:rFonts w:ascii="Arial" w:cs="Arial" w:eastAsia="Arial" w:hAnsi="Arial"/>
          <w:sz w:val="18"/>
          <w:szCs w:val="18"/>
          <w:color w:val="auto"/>
        </w:rPr>
        <w:t>Parent and its Restricted Subsidiaries may make any payments under this Agreement and the L/C Facility Credit Agreement in accordance with the terms hereof and thereof;</w:t>
      </w:r>
    </w:p>
    <w:p>
      <w:pPr>
        <w:spacing w:after="0" w:line="170" w:lineRule="exact"/>
        <w:rPr>
          <w:rFonts w:ascii="Arial" w:cs="Arial" w:eastAsia="Arial" w:hAnsi="Arial"/>
          <w:sz w:val="18"/>
          <w:szCs w:val="18"/>
          <w:color w:val="auto"/>
        </w:rPr>
      </w:pPr>
    </w:p>
    <w:p>
      <w:pPr>
        <w:jc w:val="both"/>
        <w:ind w:left="340" w:firstLine="1289"/>
        <w:spacing w:after="0" w:line="279" w:lineRule="auto"/>
        <w:tabs>
          <w:tab w:leader="none" w:pos="2646" w:val="left"/>
        </w:tabs>
        <w:numPr>
          <w:ilvl w:val="1"/>
          <w:numId w:val="445"/>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at the time thereof or immediately after giving effect thereto and the Payment Conditions are satisfied, Parent and its Restricted Subsidiaries may (i) Redeem any Unsecured Notes or other senior notes, in each case, that have a stated maturity date prior to the Maturity Date and (ii) Redeem any Unsecured Notes or other senior notes, in each case, with the proceeds of (A) Permitted Refinancing Indebtedness or (B) Indebtedness incurred under </w:t>
      </w:r>
      <w:r>
        <w:rPr>
          <w:rFonts w:ascii="Arial" w:cs="Arial" w:eastAsia="Arial" w:hAnsi="Arial"/>
          <w:sz w:val="17"/>
          <w:szCs w:val="17"/>
          <w:u w:val="single" w:color="auto"/>
          <w:color w:val="auto"/>
        </w:rPr>
        <w:t>Section 6.1(j)</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(r)</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340" w:firstLine="1289"/>
        <w:spacing w:after="0" w:line="288" w:lineRule="auto"/>
        <w:tabs>
          <w:tab w:leader="none" w:pos="2631" w:val="left"/>
        </w:tabs>
        <w:numPr>
          <w:ilvl w:val="1"/>
          <w:numId w:val="445"/>
        </w:numPr>
        <w:rPr>
          <w:rFonts w:ascii="Arial" w:cs="Arial" w:eastAsia="Arial" w:hAnsi="Arial"/>
          <w:sz w:val="16"/>
          <w:szCs w:val="16"/>
          <w:color w:val="auto"/>
        </w:rPr>
      </w:pPr>
      <w:r>
        <w:rPr>
          <w:rFonts w:ascii="Arial" w:cs="Arial" w:eastAsia="Arial" w:hAnsi="Arial"/>
          <w:sz w:val="16"/>
          <w:szCs w:val="16"/>
          <w:color w:val="auto"/>
        </w:rPr>
        <w:t>Parent and its Restricted Subsidiaries may redeem, repurchase or otherwise acquire or retire for value Equity Interests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w:t>
      </w:r>
    </w:p>
    <w:p>
      <w:pPr>
        <w:jc w:val="both"/>
        <w:ind w:left="340" w:hanging="8"/>
        <w:spacing w:after="0" w:line="255" w:lineRule="auto"/>
        <w:tabs>
          <w:tab w:leader="none" w:pos="62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pursuant to any equity subscription agreement, stock option agreement, restricted stock agreement, restricted stock unit agreement, stockholders' agreement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any case, that the aggregate cash consideration paid for all such redemptions, repurchases or other acquisitions or retirements shall not exceed $10,000,000 during any calendar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5" w:name="page376"/>
    <w:bookmarkEnd w:id="375"/>
    <w:p>
      <w:pPr>
        <w:jc w:val="both"/>
        <w:ind w:firstLine="1289"/>
        <w:spacing w:after="0" w:line="293" w:lineRule="auto"/>
        <w:tabs>
          <w:tab w:leader="none" w:pos="228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Parent and each Restricted Subsidiary may consummate (i) repurchases, redemptions or other acquisitions or retirements for value of Equity Interests deemed to occur upon the exercise of stock options, warrants, rights to acquire Equity Interests or other convertible securities to the extent such Equity Interests represent a portion of the exercise or exchange price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repurchases, redemptions, acquisitions or retirements that are from any Person other than Parent and its Subsidiaries shall be cashless, and (ii) any repurchases, redemptions or other acquisitions or retirements for value of Equity Interests made or deemed to be made in lieu of withholding Taxes in connection with any exercise, vesting, settlement or exchange, as applicable, of stock options, warrants, restricted stock, restricted stock units or other similar rights;</w:t>
      </w:r>
    </w:p>
    <w:p>
      <w:pPr>
        <w:spacing w:after="0" w:line="164" w:lineRule="exact"/>
        <w:rPr>
          <w:rFonts w:ascii="Arial" w:cs="Arial" w:eastAsia="Arial" w:hAnsi="Arial"/>
          <w:sz w:val="16"/>
          <w:szCs w:val="16"/>
          <w:color w:val="auto"/>
        </w:rPr>
      </w:pPr>
    </w:p>
    <w:p>
      <w:pPr>
        <w:ind w:left="2180" w:hanging="891"/>
        <w:spacing w:after="0"/>
        <w:tabs>
          <w:tab w:leader="none" w:pos="21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Parent and each Restricted Subsidiary may make payments of cash in lieu of issuing fractional Equity Interests;</w:t>
      </w:r>
    </w:p>
    <w:p>
      <w:pPr>
        <w:spacing w:after="0" w:line="225" w:lineRule="exact"/>
        <w:rPr>
          <w:rFonts w:ascii="Arial" w:cs="Arial" w:eastAsia="Arial" w:hAnsi="Arial"/>
          <w:sz w:val="18"/>
          <w:szCs w:val="18"/>
          <w:color w:val="auto"/>
        </w:rPr>
      </w:pPr>
    </w:p>
    <w:p>
      <w:pPr>
        <w:jc w:val="both"/>
        <w:ind w:right="20" w:firstLine="1289"/>
        <w:spacing w:after="0" w:line="264" w:lineRule="auto"/>
        <w:tabs>
          <w:tab w:leader="none" w:pos="258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Restricted Subsidiaries that are not Wholly-Owned Subsidiaries may make payments or distributions to dissenting stockholders pursuant to applicable law in connection with a merger, consolidation or transfer of assets that complies with the provisions of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289"/>
        <w:spacing w:after="0" w:line="259" w:lineRule="auto"/>
        <w:tabs>
          <w:tab w:leader="none" w:pos="225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Restricted Payments constituting Permitted Intercompany Specified Transactions, so long as at the time of such Restricted Payment (i) no Default or Event of Default then exists or would arise as a result of the applicable transaction and (ii) Excess Availability (exclusive of any availability created pursuant to clause (g) of the definition of Joint Borrowing Base) immediately after giving effect to such proposed Restricted Payment is not less than $35,000,000;</w:t>
      </w:r>
    </w:p>
    <w:p>
      <w:pPr>
        <w:spacing w:after="0" w:line="186" w:lineRule="exact"/>
        <w:rPr>
          <w:rFonts w:ascii="Arial" w:cs="Arial" w:eastAsia="Arial" w:hAnsi="Arial"/>
          <w:sz w:val="18"/>
          <w:szCs w:val="18"/>
          <w:color w:val="auto"/>
        </w:rPr>
      </w:pPr>
    </w:p>
    <w:p>
      <w:pPr>
        <w:jc w:val="both"/>
        <w:ind w:firstLine="1289"/>
        <w:spacing w:after="0" w:line="270" w:lineRule="auto"/>
        <w:tabs>
          <w:tab w:leader="none" w:pos="2222"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Restricted Payments constituting Permitted Intercompany Treasury Management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transaction involving assets of the type included in the Borrowing Base with a net book value in excess of $20,000,000 (taken together, in each case to the extent related to assets of the type included in the Borrowing Base, with any sale or other transfer of such assets in connection with Permitted Factoring Transactions, movement of assets of the type described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Indebtedness of the type described in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that involves such assets, Disposition of the types described in the last paragraph of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that involves such assets, Investment of the type described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6.6(n)</w:t>
      </w:r>
      <w:r>
        <w:rPr>
          <w:rFonts w:ascii="Arial" w:cs="Arial" w:eastAsia="Arial" w:hAnsi="Arial"/>
          <w:sz w:val="17"/>
          <w:szCs w:val="17"/>
          <w:color w:val="auto"/>
        </w:rPr>
        <w:t xml:space="preserve"> that involves such assets and other Restricted Payment of the type described in this </w:t>
      </w:r>
      <w:r>
        <w:rPr>
          <w:rFonts w:ascii="Arial" w:cs="Arial" w:eastAsia="Arial" w:hAnsi="Arial"/>
          <w:sz w:val="17"/>
          <w:szCs w:val="17"/>
          <w:u w:val="single" w:color="auto"/>
          <w:color w:val="auto"/>
        </w:rPr>
        <w:t>Section 6.8(k)</w:t>
      </w:r>
      <w:r>
        <w:rPr>
          <w:rFonts w:ascii="Arial" w:cs="Arial" w:eastAsia="Arial" w:hAnsi="Arial"/>
          <w:sz w:val="17"/>
          <w:szCs w:val="17"/>
          <w:color w:val="auto"/>
        </w:rPr>
        <w:t xml:space="preserve"> that involves such assets, in each case made during such month or, if applicable, since the date of the most recently delivered Borrowing Base Certificate during such month), the Administrative Borrower shall deliver an updated Borrowing Base Certificate to Agent within three Business Days after the consummation of such transaction reflecting the removal of such assets from the Borrowing Base (or other applicable adjustment, if any), and such transaction shall be permitted only to the extent no Overadvance results therefrom;</w:t>
      </w: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76" w:name="page377"/>
    <w:bookmarkEnd w:id="376"/>
    <w:p>
      <w:pPr>
        <w:ind w:left="2760" w:hanging="1131"/>
        <w:spacing w:after="0"/>
        <w:tabs>
          <w:tab w:leader="none" w:pos="27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Parent and its Restricted Subsidiaries may make other Restricted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Payment Conditions are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satisfied; and</w:t>
      </w:r>
    </w:p>
    <w:p>
      <w:pPr>
        <w:spacing w:after="0" w:line="211" w:lineRule="exact"/>
        <w:rPr>
          <w:sz w:val="20"/>
          <w:szCs w:val="20"/>
          <w:color w:val="auto"/>
        </w:rPr>
      </w:pPr>
    </w:p>
    <w:p>
      <w:pPr>
        <w:jc w:val="both"/>
        <w:ind w:left="340" w:firstLine="1289"/>
        <w:spacing w:after="0" w:line="259" w:lineRule="auto"/>
        <w:tabs>
          <w:tab w:leader="none" w:pos="249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repay or prepay intercompany loans or advances (i) owing to any Loan Party, (ii) owing by any Restricted Subsidiary that is not a Loan Party to any Restricted Subsidiary (and Restricted Subsidiaries that are not Loan Parties may otherwise make Restricted Payments to other Restricted Subsidiaries that are not Loan Parties), and (iii) in any other circumstance,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(iii), the Payment Conditions are satisfied.</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u w:val="single" w:color="auto"/>
          <w:color w:val="auto"/>
        </w:rPr>
        <w:t>Status as a Holding Company</w:t>
      </w:r>
      <w:r>
        <w:rPr>
          <w:rFonts w:ascii="Arial" w:cs="Arial" w:eastAsia="Arial" w:hAnsi="Arial"/>
          <w:sz w:val="18"/>
          <w:szCs w:val="18"/>
          <w:color w:val="auto"/>
        </w:rPr>
        <w:t>. Parent shall not have any operating assets or engage in any business other than any customary business of a holding company and ordinary course business operations of Parent in existence prior to the Closing Date.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u w:val="single" w:color="auto"/>
          <w:color w:val="auto"/>
        </w:rPr>
        <w:t>Limitations on Transactions with Affiliates</w:t>
      </w:r>
      <w:r>
        <w:rPr>
          <w:rFonts w:ascii="Arial" w:cs="Arial" w:eastAsia="Arial" w:hAnsi="Arial"/>
          <w:sz w:val="16"/>
          <w:szCs w:val="16"/>
          <w:color w:val="auto"/>
        </w:rPr>
        <w:t>.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w:t>
      </w:r>
    </w:p>
    <w:p>
      <w:pPr>
        <w:spacing w:after="0" w:line="2" w:lineRule="exact"/>
        <w:rPr>
          <w:sz w:val="20"/>
          <w:szCs w:val="20"/>
          <w:color w:val="auto"/>
        </w:rPr>
      </w:pPr>
    </w:p>
    <w:p>
      <w:pPr>
        <w:jc w:val="both"/>
        <w:ind w:firstLine="8"/>
        <w:spacing w:after="0" w:line="267" w:lineRule="auto"/>
        <w:tabs>
          <w:tab w:leader="none" w:pos="282" w:val="left"/>
        </w:tabs>
        <w:numPr>
          <w:ilvl w:val="0"/>
          <w:numId w:val="450"/>
        </w:numPr>
        <w:rPr>
          <w:rFonts w:ascii="Arial" w:cs="Arial" w:eastAsia="Arial" w:hAnsi="Arial"/>
          <w:sz w:val="17"/>
          <w:szCs w:val="17"/>
          <w:color w:val="auto"/>
        </w:rPr>
      </w:pPr>
      <w:r>
        <w:rPr>
          <w:rFonts w:ascii="Arial" w:cs="Arial" w:eastAsia="Arial" w:hAnsi="Arial"/>
          <w:sz w:val="17"/>
          <w:szCs w:val="17"/>
          <w:color w:val="auto"/>
        </w:rPr>
        <w:t xml:space="preserve">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 length transaction with a Person that is not an Affiliate. Notwithstanding the foregoing, the restrictions set forth in this covenant shall not apply to (i) Investments in Unrestricted Subsidiaries permitted by </w:t>
      </w:r>
      <w:r>
        <w:rPr>
          <w:rFonts w:ascii="Arial" w:cs="Arial" w:eastAsia="Arial" w:hAnsi="Arial"/>
          <w:sz w:val="17"/>
          <w:szCs w:val="17"/>
          <w:u w:val="single" w:color="auto"/>
          <w:color w:val="auto"/>
        </w:rPr>
        <w:t>Section 6.6</w:t>
      </w:r>
      <w:r>
        <w:rPr>
          <w:rFonts w:ascii="Arial" w:cs="Arial" w:eastAsia="Arial" w:hAnsi="Arial"/>
          <w:sz w:val="17"/>
          <w:szCs w:val="17"/>
          <w:color w:val="auto"/>
        </w:rPr>
        <w:t>; (ii) the payment of reasonable and customary regular fees to directors of a Loan Party or a Restricted Subsidiary of such Loan Party who are not employees of such Loan Party; (iii) loans and advances permitted hereby to officers and employees of a Loan Party and its respective Restricted Subsidiaries for travel, entertainment and moving and other relocation expenses made in direct furtherance and in the ordinary course of business of a Loan Party and its Restricted Subsidiaries; (iv) any other transaction with any employee, officer or director of a Loan Party or any of its Restricted Subsidiaries pursuant to employee benefit, compensation or indemnification arrangements entered into in the ordinary course of business and approved by, as applicable, the Board of Directors of such Loan Party or the Board of Directors of such Restricted Subsidiary permitted by this Agreement; and (v) non-exclusive licenses of patents, copyrights, trademarks, trade secrets and other intellectual property.</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u w:val="single" w:color="auto"/>
          <w:color w:val="auto"/>
        </w:rPr>
        <w:t>Restrictive Agreements</w:t>
      </w:r>
      <w:r>
        <w:rPr>
          <w:rFonts w:ascii="Arial" w:cs="Arial" w:eastAsia="Arial" w:hAnsi="Arial"/>
          <w:sz w:val="18"/>
          <w:szCs w:val="18"/>
          <w:color w:val="auto"/>
        </w:rPr>
        <w:t>. Parent shall not, and shall not permit any Restricted Subsidiary to, directly or indirectly, enter into, incur, create or permit to exist any Restrictive Agreement, except for:</w:t>
      </w:r>
    </w:p>
    <w:p>
      <w:pPr>
        <w:spacing w:after="0" w:line="166" w:lineRule="exact"/>
        <w:rPr>
          <w:sz w:val="20"/>
          <w:szCs w:val="20"/>
          <w:color w:val="auto"/>
        </w:rPr>
      </w:pPr>
    </w:p>
    <w:p>
      <w:pPr>
        <w:ind w:left="2620" w:hanging="991"/>
        <w:spacing w:after="0"/>
        <w:tabs>
          <w:tab w:leader="none" w:pos="262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limitations or restrictions contained in any Loan Document, any of the L/C Facility Loan Documents and the Unsecured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Indenture;</w:t>
      </w:r>
    </w:p>
    <w:p>
      <w:pPr>
        <w:spacing w:after="0" w:line="211" w:lineRule="exact"/>
        <w:rPr>
          <w:sz w:val="20"/>
          <w:szCs w:val="20"/>
          <w:color w:val="auto"/>
        </w:rPr>
      </w:pPr>
    </w:p>
    <w:p>
      <w:pPr>
        <w:ind w:left="5520" w:right="3460" w:hanging="3891"/>
        <w:spacing w:after="0" w:line="778" w:lineRule="auto"/>
        <w:tabs>
          <w:tab w:leader="none" w:pos="251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limitations or restrictions existing under or by reason of any applicable law;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7" w:name="page378"/>
    <w:bookmarkEnd w:id="377"/>
    <w:p>
      <w:pPr>
        <w:jc w:val="both"/>
        <w:ind w:left="340" w:firstLine="1289"/>
        <w:spacing w:after="0" w:line="259" w:lineRule="auto"/>
        <w:tabs>
          <w:tab w:leader="none" w:pos="2687"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customary restrictions with respect to any Restricted Subsidiary or any of its assets contained in any agreement for the Disposition of a material portion of the Equity Interests of, or any of the assets of, such Restricted Subsidiary pending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apply only to the Restricted Subsidiary that is, or assets that are, the subject of such Disposition and such Disposition is permitted hereunder;</w:t>
      </w:r>
    </w:p>
    <w:p>
      <w:pPr>
        <w:spacing w:after="0" w:line="186" w:lineRule="exact"/>
        <w:rPr>
          <w:rFonts w:ascii="Arial" w:cs="Arial" w:eastAsia="Arial" w:hAnsi="Arial"/>
          <w:sz w:val="18"/>
          <w:szCs w:val="18"/>
          <w:color w:val="auto"/>
        </w:rPr>
      </w:pPr>
    </w:p>
    <w:p>
      <w:pPr>
        <w:jc w:val="both"/>
        <w:ind w:left="340" w:firstLine="1289"/>
        <w:spacing w:after="0" w:line="259" w:lineRule="auto"/>
        <w:tabs>
          <w:tab w:leader="none" w:pos="254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limitations or restrictions contained in contracts and agreements outstanding on the Closing Date and renewals, extensions, refinancings or replacements thereof identified on </w:t>
      </w:r>
      <w:r>
        <w:rPr>
          <w:rFonts w:ascii="Arial" w:cs="Arial" w:eastAsia="Arial" w:hAnsi="Arial"/>
          <w:sz w:val="18"/>
          <w:szCs w:val="18"/>
          <w:u w:val="single" w:color="auto"/>
          <w:color w:val="auto"/>
        </w:rPr>
        <w:t>Schedule 6.11</w:t>
      </w:r>
      <w:r>
        <w:rPr>
          <w:rFonts w:ascii="Arial" w:cs="Arial" w:eastAsia="Arial" w:hAnsi="Arial"/>
          <w:sz w:val="18"/>
          <w:szCs w:val="18"/>
          <w:color w:val="auto"/>
        </w:rPr>
        <w:t xml:space="preserve">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set forth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6" w:lineRule="exact"/>
        <w:rPr>
          <w:rFonts w:ascii="Arial" w:cs="Arial" w:eastAsia="Arial" w:hAnsi="Arial"/>
          <w:sz w:val="18"/>
          <w:szCs w:val="18"/>
          <w:color w:val="auto"/>
        </w:rPr>
      </w:pPr>
    </w:p>
    <w:p>
      <w:pPr>
        <w:jc w:val="both"/>
        <w:ind w:left="340" w:firstLine="1289"/>
        <w:spacing w:after="0" w:line="302" w:lineRule="auto"/>
        <w:tabs>
          <w:tab w:leader="none" w:pos="256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limitations or restrictions contained in any agreement or instrument to which any Person is a party at the time such Person is merged or consolidated with or into, or the Equity Interests of such Person is otherwise acquired by, Parent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54" w:lineRule="exact"/>
        <w:rPr>
          <w:rFonts w:ascii="Arial" w:cs="Arial" w:eastAsia="Arial" w:hAnsi="Arial"/>
          <w:sz w:val="16"/>
          <w:szCs w:val="16"/>
          <w:color w:val="auto"/>
        </w:rPr>
      </w:pPr>
    </w:p>
    <w:p>
      <w:pPr>
        <w:jc w:val="both"/>
        <w:ind w:left="340" w:firstLine="1289"/>
        <w:spacing w:after="0" w:line="259" w:lineRule="auto"/>
        <w:tabs>
          <w:tab w:leader="none" w:pos="256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 the definition of Restrictive Agreements shall not apply to restrictions or conditions imposed by any agreement relating to secured Indebtedness permitted by this Agreement or Permitted Liens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6" w:lineRule="exact"/>
        <w:rPr>
          <w:rFonts w:ascii="Arial" w:cs="Arial" w:eastAsia="Arial" w:hAnsi="Arial"/>
          <w:sz w:val="18"/>
          <w:szCs w:val="18"/>
          <w:color w:val="auto"/>
        </w:rPr>
      </w:pPr>
    </w:p>
    <w:p>
      <w:pPr>
        <w:jc w:val="both"/>
        <w:ind w:left="340" w:firstLine="1289"/>
        <w:spacing w:after="0" w:line="286" w:lineRule="auto"/>
        <w:tabs>
          <w:tab w:leader="none" w:pos="2562" w:val="left"/>
        </w:tabs>
        <w:numPr>
          <w:ilvl w:val="0"/>
          <w:numId w:val="453"/>
        </w:numPr>
        <w:rPr>
          <w:rFonts w:ascii="Arial" w:cs="Arial" w:eastAsia="Arial" w:hAnsi="Arial"/>
          <w:sz w:val="17"/>
          <w:szCs w:val="17"/>
          <w:color w:val="auto"/>
        </w:rPr>
      </w:pPr>
      <w:r>
        <w:rPr>
          <w:rFonts w:ascii="Arial" w:cs="Arial" w:eastAsia="Arial" w:hAnsi="Arial"/>
          <w:sz w:val="17"/>
          <w:szCs w:val="17"/>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65" w:lineRule="exact"/>
        <w:rPr>
          <w:rFonts w:ascii="Arial" w:cs="Arial" w:eastAsia="Arial" w:hAnsi="Arial"/>
          <w:sz w:val="17"/>
          <w:szCs w:val="17"/>
          <w:color w:val="auto"/>
        </w:rPr>
      </w:pPr>
    </w:p>
    <w:p>
      <w:pPr>
        <w:jc w:val="both"/>
        <w:ind w:left="340" w:firstLine="1289"/>
        <w:spacing w:after="0" w:line="264" w:lineRule="auto"/>
        <w:tabs>
          <w:tab w:leader="none" w:pos="272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limitations or restrictions contained in the definitive documentation for any Indebtedness permitted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limitations and restrictions, taken as a whole, are not materially more restrictive than those set forth in the L/C Facility Loan Documents; and</w:t>
      </w:r>
    </w:p>
    <w:p>
      <w:pPr>
        <w:spacing w:after="0" w:line="181" w:lineRule="exact"/>
        <w:rPr>
          <w:rFonts w:ascii="Arial" w:cs="Arial" w:eastAsia="Arial" w:hAnsi="Arial"/>
          <w:sz w:val="18"/>
          <w:szCs w:val="18"/>
          <w:color w:val="auto"/>
        </w:rPr>
      </w:pPr>
    </w:p>
    <w:p>
      <w:pPr>
        <w:ind w:left="2560" w:hanging="931"/>
        <w:spacing w:after="0"/>
        <w:tabs>
          <w:tab w:leader="none" w:pos="25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customary restrictions and conditions contained in Permitted Factoring Transaction Documents.</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b w:val="1"/>
          <w:bCs w:val="1"/>
          <w:u w:val="single" w:color="auto"/>
          <w:color w:val="auto"/>
        </w:rPr>
        <w:t>Use of Proceeds</w:t>
      </w:r>
      <w:r>
        <w:rPr>
          <w:rFonts w:ascii="Arial" w:cs="Arial" w:eastAsia="Arial" w:hAnsi="Arial"/>
          <w:sz w:val="17"/>
          <w:szCs w:val="17"/>
          <w:color w:val="auto"/>
        </w:rPr>
        <w:t xml:space="preserve">. Each Loan Party will not, and will not permit any of its Subsidiaries to, use the proceeds of any Loan made hereunder for any purpose other than to (a) refinance certain existing Indebtedness in connection with the Debtors' Chapter 11 Cases, (b) pay fees and expenses associated with the transactions contemplated hereby, and (c) finance the ongoing working capital and general corporate needs of Parent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(ii)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(iii)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8" w:name="page379"/>
    <w:bookmarkEnd w:id="378"/>
    <w:p>
      <w:pPr>
        <w:jc w:val="both"/>
        <w:ind w:firstLine="1297"/>
        <w:spacing w:after="0" w:line="255" w:lineRule="auto"/>
        <w:rPr>
          <w:sz w:val="20"/>
          <w:szCs w:val="20"/>
          <w:color w:val="auto"/>
        </w:rPr>
      </w:pPr>
      <w:r>
        <w:rPr>
          <w:rFonts w:ascii="Arial" w:cs="Arial" w:eastAsia="Arial" w:hAnsi="Arial"/>
          <w:sz w:val="18"/>
          <w:szCs w:val="18"/>
          <w:color w:val="auto"/>
        </w:rPr>
        <w:t xml:space="preserve">To the extent that any obligation contained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made by any Loan Party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 or section 7 of the German Foreign Trade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 (AWG</w:t>
      </w:r>
      <w:r>
        <w:rPr>
          <w:rFonts w:ascii="Arial" w:cs="Arial" w:eastAsia="Arial" w:hAnsi="Arial"/>
          <w:sz w:val="18"/>
          <w:szCs w:val="18"/>
          <w:color w:val="auto"/>
        </w:rPr>
        <w:t>)) or any similar anti-boycott statute, Agent will, upon the request of the respective Loan Party, enter into bona fide discussions with such Loan Party regarding the implementation of procedures to mitigate any such conflict or violation.</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b w:val="1"/>
          <w:bCs w:val="1"/>
          <w:u w:val="single" w:color="auto"/>
          <w:color w:val="auto"/>
        </w:rPr>
        <w:t>Changes to Fiscal Year</w:t>
      </w:r>
      <w:r>
        <w:rPr>
          <w:rFonts w:ascii="Arial" w:cs="Arial" w:eastAsia="Arial" w:hAnsi="Arial"/>
          <w:sz w:val="16"/>
          <w:szCs w:val="16"/>
          <w:color w:val="auto"/>
        </w:rPr>
        <w:t>. Parent will not change its Fiscal Year from the basis in effect on the Closing Date.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Amendments to Certain Documents</w:t>
      </w:r>
      <w:r>
        <w:rPr>
          <w:rFonts w:ascii="Arial" w:cs="Arial" w:eastAsia="Arial" w:hAnsi="Arial"/>
          <w:sz w:val="16"/>
          <w:szCs w:val="16"/>
          <w:color w:val="auto"/>
        </w:rPr>
        <w:t xml:space="preserve">. Parent shall not, and shall not permit any Restricted Subsidiary to, amend or otherwise modify any of the documentation governing (a) the L/C Facility or Permitted Refinancing Indebtedness in respect thereof, (b) the Unsecured Notes or Permitted Refinancing Indebtedness in respect thereof, in each case to the extent that any such amendment or other modification, taken as a whole, would be materially adverse to the Lenders (it being acknowledged and agreed that (x) any amendment to the provisions of Section 8.09 (financial covenant regarding liquidity) of the L/C Facility Credit Agreement, or any defined term used in such section or in other applicable defined terms, in any case to make it less restrictive on Borrowers, and (y) any amendment to the documentation governing the Indebtedness described in either of the foregoing clauses (a) and (b) that restricts or modifies (in any manner adverse to the Lenders) any requirements to constitute a permitted refinancing of this Agreement or the Obligations hereunder from those in effect on the Closing Date, shall be deemed to be materially adverse to the Lenders), (c) except as permitted by </w:t>
      </w:r>
      <w:r>
        <w:rPr>
          <w:rFonts w:ascii="Arial" w:cs="Arial" w:eastAsia="Arial" w:hAnsi="Arial"/>
          <w:sz w:val="16"/>
          <w:szCs w:val="16"/>
          <w:u w:val="single" w:color="auto"/>
          <w:color w:val="auto"/>
        </w:rPr>
        <w:t>Section 6.1(k)(iii)</w:t>
      </w:r>
      <w:r>
        <w:rPr>
          <w:rFonts w:ascii="Arial" w:cs="Arial" w:eastAsia="Arial" w:hAnsi="Arial"/>
          <w:sz w:val="16"/>
          <w:szCs w:val="16"/>
          <w:color w:val="auto"/>
        </w:rPr>
        <w:t xml:space="preserve">, any unsecured Indebtedness incurred pursuant to </w:t>
      </w:r>
      <w:r>
        <w:rPr>
          <w:rFonts w:ascii="Arial" w:cs="Arial" w:eastAsia="Arial" w:hAnsi="Arial"/>
          <w:sz w:val="16"/>
          <w:szCs w:val="16"/>
          <w:u w:val="single" w:color="auto"/>
          <w:color w:val="auto"/>
        </w:rPr>
        <w:t>Section 6.1(k)</w:t>
      </w:r>
      <w:r>
        <w:rPr>
          <w:rFonts w:ascii="Arial" w:cs="Arial" w:eastAsia="Arial" w:hAnsi="Arial"/>
          <w:sz w:val="16"/>
          <w:szCs w:val="16"/>
          <w:color w:val="auto"/>
        </w:rPr>
        <w:t xml:space="preserve"> to shorten the stated maturity of any such Indebtedness to be any date earlier than 91 days after the latest to occur of the Maturity Date and the "Maturity Date" under and as defined in the L/C Facility Credit Agreement or (d) any Subordinated Indebtedness incurred pursuant to </w:t>
      </w:r>
      <w:r>
        <w:rPr>
          <w:rFonts w:ascii="Arial" w:cs="Arial" w:eastAsia="Arial" w:hAnsi="Arial"/>
          <w:sz w:val="16"/>
          <w:szCs w:val="16"/>
          <w:u w:val="single" w:color="auto"/>
          <w:color w:val="auto"/>
        </w:rPr>
        <w:t>Section 6.1(l)</w:t>
      </w:r>
      <w:r>
        <w:rPr>
          <w:rFonts w:ascii="Arial" w:cs="Arial" w:eastAsia="Arial" w:hAnsi="Arial"/>
          <w:sz w:val="16"/>
          <w:szCs w:val="16"/>
          <w:color w:val="auto"/>
        </w:rPr>
        <w:t xml:space="preserve"> to amend or otherwise modify the subordination terms of such Indebtedness in a manner adverse to the Lenders.</w:t>
      </w:r>
    </w:p>
    <w:p>
      <w:pPr>
        <w:spacing w:after="0" w:line="16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9" w:name="page380"/>
    <w:bookmarkEnd w:id="379"/>
    <w:p>
      <w:pPr>
        <w:jc w:val="both"/>
        <w:ind w:firstLine="648"/>
        <w:spacing w:after="0" w:line="266"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u w:val="single" w:color="auto"/>
          <w:color w:val="auto"/>
        </w:rPr>
        <w:t>Inventory or Rental Tools with Bailees</w:t>
      </w:r>
      <w:r>
        <w:rPr>
          <w:rFonts w:ascii="Arial" w:cs="Arial" w:eastAsia="Arial" w:hAnsi="Arial"/>
          <w:sz w:val="18"/>
          <w:szCs w:val="18"/>
          <w:color w:val="auto"/>
        </w:rPr>
        <w:t xml:space="preserve">. Each Borrower will not, and will not permit any other Loan Party to, store its Inventory or Rental Tools at any time with a bailee, warehouseman, or similar party except as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(as such Schedule may be amended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7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b w:val="1"/>
          <w:bCs w:val="1"/>
          <w:u w:val="single" w:color="auto"/>
          <w:color w:val="auto"/>
        </w:rPr>
        <w:t>Employee Benefits</w:t>
      </w:r>
      <w:r>
        <w:rPr>
          <w:rFonts w:ascii="Arial" w:cs="Arial" w:eastAsia="Arial" w:hAnsi="Arial"/>
          <w:sz w:val="16"/>
          <w:szCs w:val="16"/>
          <w:color w:val="auto"/>
        </w:rPr>
        <w:t>. Parent shall not, and shall not permit any Restricted Subsidiary to, directly or indirectly:</w:t>
      </w:r>
    </w:p>
    <w:p>
      <w:pPr>
        <w:spacing w:after="0" w:line="229" w:lineRule="exact"/>
        <w:rPr>
          <w:sz w:val="20"/>
          <w:szCs w:val="20"/>
          <w:color w:val="auto"/>
        </w:rPr>
      </w:pPr>
    </w:p>
    <w:p>
      <w:pPr>
        <w:ind w:left="340" w:firstLine="1289"/>
        <w:spacing w:after="0" w:line="277" w:lineRule="auto"/>
        <w:tabs>
          <w:tab w:leader="none" w:pos="253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Terminate, or permit any ERISA Affiliate to terminate, any Pension Plan in a manner, or take any other action with respect to any Plan, which could reasonably be expected to result in any liability of any Loan Party or ERISA Affiliate to the PBGC.</w:t>
      </w:r>
    </w:p>
    <w:p>
      <w:pPr>
        <w:spacing w:after="0" w:line="170" w:lineRule="exact"/>
        <w:rPr>
          <w:rFonts w:ascii="Arial" w:cs="Arial" w:eastAsia="Arial" w:hAnsi="Arial"/>
          <w:sz w:val="18"/>
          <w:szCs w:val="18"/>
          <w:color w:val="auto"/>
        </w:rPr>
      </w:pPr>
    </w:p>
    <w:p>
      <w:pPr>
        <w:jc w:val="both"/>
        <w:ind w:left="340" w:firstLine="1289"/>
        <w:spacing w:after="0" w:line="264" w:lineRule="auto"/>
        <w:tabs>
          <w:tab w:leader="none" w:pos="2751" w:val="left"/>
        </w:tabs>
        <w:numPr>
          <w:ilvl w:val="0"/>
          <w:numId w:val="454"/>
        </w:numPr>
        <w:rPr>
          <w:rFonts w:ascii="Arial" w:cs="Arial" w:eastAsia="Arial" w:hAnsi="Arial"/>
          <w:sz w:val="18"/>
          <w:szCs w:val="18"/>
          <w:color w:val="auto"/>
        </w:rPr>
      </w:pPr>
      <w:r>
        <w:rPr>
          <w:rFonts w:ascii="Arial" w:cs="Arial" w:eastAsia="Arial" w:hAnsi="Arial"/>
          <w:sz w:val="18"/>
          <w:szCs w:val="18"/>
          <w:color w:val="auto"/>
        </w:rPr>
        <w:t>Fail to make, or permit any ERISA Affiliate to fail to make, full payment when due of all amounts which, under the provisions of any Benefit Plan, agreement relating thereto or applicable Law, any Loan Party or ERISA Affiliate is required to pay if such failure could reasonably be expected to have a Material Adverse Effect.</w:t>
      </w:r>
    </w:p>
    <w:p>
      <w:pPr>
        <w:spacing w:after="0" w:line="181" w:lineRule="exact"/>
        <w:rPr>
          <w:rFonts w:ascii="Arial" w:cs="Arial" w:eastAsia="Arial" w:hAnsi="Arial"/>
          <w:sz w:val="18"/>
          <w:szCs w:val="18"/>
          <w:color w:val="auto"/>
        </w:rPr>
      </w:pPr>
    </w:p>
    <w:p>
      <w:pPr>
        <w:ind w:left="340" w:firstLine="1289"/>
        <w:spacing w:after="0" w:line="277" w:lineRule="auto"/>
        <w:tabs>
          <w:tab w:leader="none" w:pos="263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Amend, or permit any ERISA Affiliate to amend, a Pension Plan resulting in a material increase in current liability such that a Loan Party or ERISA Affiliate is required to provide security to such Plan under the IRC.</w:t>
      </w:r>
    </w:p>
    <w:p>
      <w:pPr>
        <w:spacing w:after="0" w:line="170" w:lineRule="exact"/>
        <w:rPr>
          <w:rFonts w:ascii="Arial" w:cs="Arial" w:eastAsia="Arial" w:hAnsi="Arial"/>
          <w:sz w:val="18"/>
          <w:szCs w:val="18"/>
          <w:color w:val="auto"/>
        </w:rPr>
      </w:pPr>
    </w:p>
    <w:p>
      <w:pPr>
        <w:ind w:left="340" w:firstLine="1289"/>
        <w:spacing w:after="0" w:line="277" w:lineRule="auto"/>
        <w:tabs>
          <w:tab w:leader="none" w:pos="2791"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Permit a Notification Event to occur or a violation of law with respect to a Foreign Plan which, in each case, could reasonably be expected to have a Material Adverse Effect.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u w:val="single" w:color="auto"/>
          <w:color w:val="auto"/>
        </w:rPr>
        <w:t>Limitation on Issuance of Equity Interests</w:t>
      </w:r>
      <w:r>
        <w:rPr>
          <w:rFonts w:ascii="Arial" w:cs="Arial" w:eastAsia="Arial" w:hAnsi="Arial"/>
          <w:sz w:val="18"/>
          <w:szCs w:val="18"/>
          <w:color w:val="auto"/>
        </w:rPr>
        <w:t>. Parent will not issue or sell any of its Equity Interests, except for the issuance or sale of Qualified Equity Interests.</w:t>
      </w:r>
    </w:p>
    <w:p>
      <w:pPr>
        <w:spacing w:after="0" w:line="162" w:lineRule="exact"/>
        <w:rPr>
          <w:sz w:val="20"/>
          <w:szCs w:val="20"/>
          <w:color w:val="auto"/>
        </w:rPr>
      </w:pPr>
    </w:p>
    <w:p>
      <w:pPr>
        <w:ind w:left="660" w:hanging="652"/>
        <w:spacing w:after="0"/>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b w:val="1"/>
          <w:bCs w:val="1"/>
          <w:color w:val="auto"/>
        </w:rPr>
        <w:t>FINANCIAL COVENANT.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Each of Parent and each Borrower covenants and agrees that, until the termination of all of the Commitments and the payment in full of the Obligations, Parent and Borrowers will maintain a Fixed Charge Coverage Ratio, calculated for each 4 fiscal quarter period ending on the first day of any Covenant Testing Period and the last day of each fiscal quarter occurring until the end of any Covenant Testing Period (including the last day thereof), in each case of at least 1.00 to 1.00.</w:t>
      </w:r>
    </w:p>
    <w:p>
      <w:pPr>
        <w:spacing w:after="0" w:line="183" w:lineRule="exact"/>
        <w:rPr>
          <w:sz w:val="20"/>
          <w:szCs w:val="20"/>
          <w:color w:val="auto"/>
        </w:rPr>
      </w:pPr>
    </w:p>
    <w:p>
      <w:pPr>
        <w:ind w:left="660" w:hanging="652"/>
        <w:spacing w:after="0"/>
        <w:tabs>
          <w:tab w:leader="none" w:pos="66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one or more of the following events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Agreement: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If Borrowers fail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five Business Days, (b) all or any portion of the principal of the Loans, or (c) any amount payable to Issuing Bank in reimbursement of any drawing under a Letter of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0" w:name="page381"/>
    <w:bookmarkEnd w:id="380"/>
    <w:p>
      <w:pPr>
        <w:ind w:left="660"/>
        <w:spacing w:after="0"/>
        <w:tabs>
          <w:tab w:leader="none" w:pos="17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Covenants</w:t>
      </w:r>
      <w:r>
        <w:rPr>
          <w:rFonts w:ascii="Arial" w:cs="Arial" w:eastAsia="Arial" w:hAnsi="Arial"/>
          <w:sz w:val="16"/>
          <w:szCs w:val="16"/>
          <w:color w:val="auto"/>
        </w:rPr>
        <w:t>. If any Loan Party or any of its Restricted Subsidiaries:</w:t>
      </w:r>
    </w:p>
    <w:p>
      <w:pPr>
        <w:spacing w:after="0" w:line="229" w:lineRule="exact"/>
        <w:rPr>
          <w:sz w:val="20"/>
          <w:szCs w:val="20"/>
          <w:color w:val="auto"/>
        </w:rPr>
      </w:pPr>
    </w:p>
    <w:p>
      <w:pPr>
        <w:jc w:val="both"/>
        <w:ind w:left="340" w:firstLine="1289"/>
        <w:spacing w:after="0" w:line="257" w:lineRule="auto"/>
        <w:tabs>
          <w:tab w:leader="none" w:pos="253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any of (i) </w:t>
      </w:r>
      <w:r>
        <w:rPr>
          <w:rFonts w:ascii="Arial" w:cs="Arial" w:eastAsia="Arial" w:hAnsi="Arial"/>
          <w:sz w:val="18"/>
          <w:szCs w:val="18"/>
          <w:u w:val="single" w:color="auto"/>
          <w:color w:val="auto"/>
        </w:rPr>
        <w:t>Sections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(solely if any Borrower is not in good standing in its jurisdiction of organization),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(solely if any Borrower refuses to allow Agent or its representatives or agents to visit any Borrower's properties, inspect its assets or books or records, examine and make copies of its books and records, or discuss Borrowers' affairs, finances, and accounts with officers and employees of any Borrower),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of this Agreement, (ii)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or (iii)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w:t>
      </w:r>
    </w:p>
    <w:p>
      <w:pPr>
        <w:spacing w:after="0" w:line="188" w:lineRule="exact"/>
        <w:rPr>
          <w:rFonts w:ascii="Arial" w:cs="Arial" w:eastAsia="Arial" w:hAnsi="Arial"/>
          <w:sz w:val="18"/>
          <w:szCs w:val="18"/>
          <w:color w:val="auto"/>
        </w:rPr>
      </w:pPr>
    </w:p>
    <w:p>
      <w:pPr>
        <w:jc w:val="both"/>
        <w:ind w:left="340" w:firstLine="1289"/>
        <w:spacing w:after="0" w:line="291" w:lineRule="auto"/>
        <w:tabs>
          <w:tab w:leader="none" w:pos="2589" w:val="left"/>
        </w:tabs>
        <w:numPr>
          <w:ilvl w:val="1"/>
          <w:numId w:val="457"/>
        </w:numPr>
        <w:rPr>
          <w:rFonts w:ascii="Arial" w:cs="Arial" w:eastAsia="Arial" w:hAnsi="Arial"/>
          <w:sz w:val="16"/>
          <w:szCs w:val="16"/>
          <w:color w:val="auto"/>
        </w:rPr>
      </w:pPr>
      <w:r>
        <w:rPr>
          <w:rFonts w:ascii="Arial" w:cs="Arial" w:eastAsia="Arial" w:hAnsi="Arial"/>
          <w:sz w:val="16"/>
          <w:szCs w:val="16"/>
          <w:color w:val="auto"/>
        </w:rPr>
        <w:t xml:space="preserve">fails to perform or observe any covenant or other agreement contained in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of this Agreement and such failure continues for a period of five (5) days after the earlier of (i) the date on which such failure shall first become known to any officer of any Borrower, or</w:t>
      </w:r>
    </w:p>
    <w:p>
      <w:pPr>
        <w:ind w:left="600" w:hanging="268"/>
        <w:spacing w:after="0"/>
        <w:tabs>
          <w:tab w:leader="none" w:pos="6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date on which written notice thereof is given to Borrowers by Agent;</w:t>
      </w:r>
    </w:p>
    <w:p>
      <w:pPr>
        <w:spacing w:after="0" w:line="210" w:lineRule="exact"/>
        <w:rPr>
          <w:rFonts w:ascii="Arial" w:cs="Arial" w:eastAsia="Arial" w:hAnsi="Arial"/>
          <w:sz w:val="18"/>
          <w:szCs w:val="18"/>
          <w:color w:val="auto"/>
        </w:rPr>
      </w:pPr>
    </w:p>
    <w:p>
      <w:pPr>
        <w:jc w:val="both"/>
        <w:ind w:left="340" w:firstLine="1289"/>
        <w:spacing w:after="0" w:line="259" w:lineRule="auto"/>
        <w:tabs>
          <w:tab w:leader="none" w:pos="2524"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any of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(other than if any Borrower is not in good standing in its jurisdiction of organization),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of this Agreement and such failure continues for a period of fifteen (15) days after the earlier of (i) the date on which such failure shall first become known to any officer of any Borrower, or (ii) the date on which written notice thereof is given to Borrowers by Agent; or</w:t>
      </w:r>
    </w:p>
    <w:p>
      <w:pPr>
        <w:spacing w:after="0" w:line="186" w:lineRule="exact"/>
        <w:rPr>
          <w:rFonts w:ascii="Arial" w:cs="Arial" w:eastAsia="Arial" w:hAnsi="Arial"/>
          <w:sz w:val="18"/>
          <w:szCs w:val="18"/>
          <w:color w:val="auto"/>
        </w:rPr>
      </w:pPr>
    </w:p>
    <w:p>
      <w:pPr>
        <w:jc w:val="both"/>
        <w:ind w:left="340" w:firstLine="1289"/>
        <w:spacing w:after="0" w:line="302" w:lineRule="auto"/>
        <w:tabs>
          <w:tab w:leader="none" w:pos="2724"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(in which event such other provision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govern), and such failure continues for a period of thirty (30) days after the earlier of (i) the date on which such failure shall first become known to any officer of any Borrower, or (ii) the date on which written notice thereof is given to Borrowers by Agent;</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Judgments</w:t>
      </w:r>
      <w:r>
        <w:rPr>
          <w:rFonts w:ascii="Arial" w:cs="Arial" w:eastAsia="Arial" w:hAnsi="Arial"/>
          <w:sz w:val="17"/>
          <w:szCs w:val="17"/>
          <w:color w:val="auto"/>
        </w:rPr>
        <w:t xml:space="preserve">. If one or more judgments, orders, awards or requirements to pay for the payment of money involving an aggregate amount of $65,000,000, or more (except to the extent fully covered (other than to the extent of customary deductibles) by insurance pursuant to which the insurer has not denied coverage) is entered or filed against a Loan Party or any of its Restricted Subsidiaries, or with respect to any of their respective assets, and either (a) there is a period of sixty (60) consecutive days at any time after the entry of any such judgment, order, or award during which (i) the same is not discharged, satisfied, vacated, or bonded pending appeal, or (ii) a stay of enforcement thereof is not in effect, or (b) enforcement proceedings are commenced (and not stayed) upon such judgment, order, or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judgment or order provides for any Loan Party or any Restricted Subsidiary to make periodic payments over time, no Event of Default shall arise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if such Loan Party or such Restricted Subsidiary makes each such periodic payment when due in accordance with the terms of such judgment or order (or within 30 days after the due date of each such periodic payment), but only so long as no Lien attaches to any assets of a Loan Party or Restricted Subsidiary during the period over which such periodic payments are made and no enforcement proceeding is commenced by any creditor for payment of such judgment or order;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1" w:name="page382"/>
    <w:bookmarkEnd w:id="381"/>
    <w:p>
      <w:pPr>
        <w:ind w:left="660"/>
        <w:spacing w:after="0"/>
        <w:tabs>
          <w:tab w:leader="none" w:pos="17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u w:val="single" w:color="auto"/>
          <w:color w:val="auto"/>
        </w:rPr>
        <w:t>Voluntary Bankruptcy, etc</w:t>
      </w:r>
      <w:r>
        <w:rPr>
          <w:rFonts w:ascii="Arial" w:cs="Arial" w:eastAsia="Arial" w:hAnsi="Arial"/>
          <w:sz w:val="16"/>
          <w:szCs w:val="16"/>
          <w:color w:val="auto"/>
        </w:rPr>
        <w:t>. If an Insolvency Proceeding is commenced by a Loan Party or any of its Material Subsidiaries;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u w:val="single" w:color="auto"/>
          <w:color w:val="auto"/>
        </w:rPr>
        <w:t>Involuntary Bankruptcy, etc</w:t>
      </w:r>
      <w:r>
        <w:rPr>
          <w:rFonts w:ascii="Arial" w:cs="Arial" w:eastAsia="Arial" w:hAnsi="Arial"/>
          <w:sz w:val="17"/>
          <w:szCs w:val="17"/>
          <w:color w:val="auto"/>
        </w:rPr>
        <w:t>. If an Insolvency Proceeding is commenced against a Loan Party or any of its Material Subsidiaries and any of the following events occur: (a) such Loan Party or such Material Subsidiary consents to the institution of such Insolvency Proceeding against it,</w:t>
      </w:r>
    </w:p>
    <w:p>
      <w:pPr>
        <w:spacing w:after="0" w:line="1" w:lineRule="exact"/>
        <w:rPr>
          <w:sz w:val="20"/>
          <w:szCs w:val="20"/>
          <w:color w:val="auto"/>
        </w:rPr>
      </w:pPr>
    </w:p>
    <w:p>
      <w:pPr>
        <w:jc w:val="both"/>
        <w:ind w:firstLine="8"/>
        <w:spacing w:after="0" w:line="254" w:lineRule="auto"/>
        <w:tabs>
          <w:tab w:leader="none" w:pos="26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petition commencing the Insolvency Proceeding is not timely controverted, (c) the petition commencing the Insolvency Proceeding is not dismissed within sixty calendar days of the date of the filing thereof, (d) an interim trustee is appointed to take possession of all or any substantial portion of the properties or assets of, or to operate all or any substantial portion of the business of, such Loan Party or its Material Subsidiary, or (e) an order for relief shall have been issued or entered therein;</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u w:val="single" w:color="auto"/>
          <w:color w:val="auto"/>
        </w:rPr>
        <w:t>Default Under Other Agreements</w:t>
      </w:r>
      <w:r>
        <w:rPr>
          <w:rFonts w:ascii="Arial" w:cs="Arial" w:eastAsia="Arial" w:hAnsi="Arial"/>
          <w:sz w:val="18"/>
          <w:szCs w:val="18"/>
          <w:color w:val="auto"/>
        </w:rPr>
        <w:t>. If there is (a) an event of default in one or more agreements to which a Loan Party or any of its Restricted Subsidiaries is a party with one or more third Persons relative to a Loan Party's or any of its Restricted Subsidiaries' Indebtedness involving an aggregate amount of $65,000,000 or more, and such default (i) occurs at the final maturity of the obligations thereunder, or (ii) results in a right by such third Person, irrespective of whether exercised, to accelerate the maturity of such Loan Party's or its Restricted Subsidiary's obligations thereunder, or (b) an event of default under the L/C Facility or under the Unsecured Notes Indenture;</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Representations, etc</w:t>
      </w:r>
      <w:r>
        <w:rPr>
          <w:rFonts w:ascii="Arial" w:cs="Arial" w:eastAsia="Arial" w:hAnsi="Arial"/>
          <w:sz w:val="18"/>
          <w:szCs w:val="18"/>
          <w:color w:val="auto"/>
        </w:rPr>
        <w:t>.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 If the obligation of any Guarantor under the guaranty contained in any Guaranty Agreement is limited in any material respect or terminated by operation of law or by such Guarantor (other than in accordance with the terms of this Agreement or the respective Guaranty Agreement) or if any Guarantor repudiates or revokes or purports to repudiate or revoke any such guaranty;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b w:val="1"/>
          <w:bCs w:val="1"/>
          <w:u w:val="single" w:color="auto"/>
          <w:color w:val="auto"/>
        </w:rPr>
        <w:t>Collateral Documents</w:t>
      </w:r>
      <w:r>
        <w:rPr>
          <w:rFonts w:ascii="Arial" w:cs="Arial" w:eastAsia="Arial" w:hAnsi="Arial"/>
          <w:sz w:val="17"/>
          <w:szCs w:val="17"/>
          <w:color w:val="auto"/>
        </w:rPr>
        <w:t>. If any Collateral Document or any other Loan Document that purports to create a Lien, shall, for any reason, fail or cease to create a valid and perfected (or any analogous concept to the extent perfection does not apply in the relevant jurisdiction) and, (except to the extent of Permitted Liens) first priority Lien in any material portion of the Collateral purported to be covered thereby, except (a) as a result of a disposition of the applicable Collateral in a transaction permitted under this Agreement or with the consent of Agent and each Lender), or (b) with respect to Collateral the aggregate net book value of which, for all such Collateral, does not exceed at any time, $5,000,000;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2" w:name="page383"/>
    <w:bookmarkEnd w:id="382"/>
    <w:p>
      <w:pPr>
        <w:jc w:val="both"/>
        <w:ind w:firstLine="648"/>
        <w:spacing w:after="0" w:line="295"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b w:val="1"/>
          <w:bCs w:val="1"/>
          <w:u w:val="single" w:color="auto"/>
          <w:color w:val="auto"/>
        </w:rPr>
        <w:t>Loan Documents</w:t>
      </w:r>
      <w:r>
        <w:rPr>
          <w:rFonts w:ascii="Arial" w:cs="Arial" w:eastAsia="Arial" w:hAnsi="Arial"/>
          <w:sz w:val="16"/>
          <w:szCs w:val="16"/>
          <w:color w:val="auto"/>
        </w:rPr>
        <w:t>. The validity or enforceability of any Loan Document (other than any Collateral Document intended to grant or perfect a Lien in Collateral that is not included in the Borrowing Base with the aggregate value of which, for all such Collateral, does not exceed at any time, $5,000,000) shall at any time for any reason (other than to the extent permitted by the terms hereof or thereof or with the consent of Agent and each Lender) be declared to be null and void, or a proceeding shall be commenced by a Loan Party or its Restricted Subsidiaries, or by any Governmental Authority having jurisdiction over a Loan Party or its Restricted Subsidiaries, seeking to establish the invalidity or unenforceability thereof, or a Loan Party or its Restricted Subsidiaries shall deny that such Loan Party or its Restricted Subsidiaries has any liability or obligation purported to be created under any Loan Document; or</w:t>
      </w:r>
    </w:p>
    <w:p>
      <w:pPr>
        <w:spacing w:after="0" w:line="15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A Change of Control shall occur, whether directly or indirectly.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The occurrence of any of the following events: (a) any Loan Party or ERISA Affiliate fails to make full payment when due of all amounts which any Loan Party or ERISA Affiliate is required to pay as contributions, installments, or otherwise to or with respect to a Pension Plan or Multiemployer Plan, and such failure could reasonably be expected to result in payment by the Loan Parties during the term of this Agreement in excess of $30,000,000, (b) a Notification Event occurs, which could reasonably be expected to result in payment by the Loan Parties during the term of this Agreement in excess of $30,000,000, either individually or in the aggregate, or (c) any Loan Party or ERISA Affiliate completely or partially withdraws from one or more Multiemployer Plans and incurs Withdrawal Liability in excess of $30,000,000 in the aggregate during the term of this Agreement, or fails to make any material Withdrawal Liability payment when due.</w:t>
      </w:r>
    </w:p>
    <w:p>
      <w:pPr>
        <w:spacing w:after="0" w:line="189" w:lineRule="exact"/>
        <w:rPr>
          <w:sz w:val="20"/>
          <w:szCs w:val="20"/>
          <w:color w:val="auto"/>
        </w:rPr>
      </w:pPr>
    </w:p>
    <w:p>
      <w:pPr>
        <w:ind w:left="660" w:hanging="652"/>
        <w:spacing w:after="0"/>
        <w:tabs>
          <w:tab w:leader="none" w:pos="660" w:val="left"/>
        </w:tabs>
        <w:numPr>
          <w:ilvl w:val="0"/>
          <w:numId w:val="460"/>
        </w:numPr>
        <w:rPr>
          <w:rFonts w:ascii="Arial" w:cs="Arial" w:eastAsia="Arial" w:hAnsi="Arial"/>
          <w:sz w:val="18"/>
          <w:szCs w:val="18"/>
          <w:color w:val="auto"/>
        </w:rPr>
      </w:pPr>
      <w:r>
        <w:rPr>
          <w:rFonts w:ascii="Arial" w:cs="Arial" w:eastAsia="Arial" w:hAnsi="Arial"/>
          <w:sz w:val="18"/>
          <w:szCs w:val="18"/>
          <w:b w:val="1"/>
          <w:bCs w:val="1"/>
          <w:color w:val="auto"/>
        </w:rPr>
        <w:t>RIGHTS AND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Rights and Remedies</w:t>
      </w:r>
      <w:r>
        <w:rPr>
          <w:rFonts w:ascii="Arial" w:cs="Arial" w:eastAsia="Arial" w:hAnsi="Arial"/>
          <w:sz w:val="18"/>
          <w:szCs w:val="18"/>
          <w:color w:val="auto"/>
        </w:rPr>
        <w:t>. Upon the occurrence and during the continuation of an Event of Default, Agent may, and, at the instruction of the Required Lenders, shall, in addition to any other rights or remedies provided for hereunder or under any other Loan Document or by applicable law, do any one or more of the following:</w:t>
      </w:r>
    </w:p>
    <w:p>
      <w:pPr>
        <w:spacing w:after="0" w:line="180" w:lineRule="exact"/>
        <w:rPr>
          <w:sz w:val="20"/>
          <w:szCs w:val="20"/>
          <w:color w:val="auto"/>
        </w:rPr>
      </w:pPr>
    </w:p>
    <w:p>
      <w:pPr>
        <w:jc w:val="both"/>
        <w:ind w:left="340" w:firstLine="1289"/>
        <w:spacing w:after="0" w:line="255" w:lineRule="auto"/>
        <w:tabs>
          <w:tab w:leader="none" w:pos="256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w:t>
      </w:r>
    </w:p>
    <w:p>
      <w:pPr>
        <w:spacing w:after="0" w:line="189" w:lineRule="exact"/>
        <w:rPr>
          <w:rFonts w:ascii="Arial" w:cs="Arial" w:eastAsia="Arial" w:hAnsi="Arial"/>
          <w:sz w:val="18"/>
          <w:szCs w:val="18"/>
          <w:color w:val="auto"/>
        </w:rPr>
      </w:pPr>
    </w:p>
    <w:p>
      <w:pPr>
        <w:jc w:val="both"/>
        <w:ind w:left="340" w:firstLine="1289"/>
        <w:spacing w:after="0" w:line="264" w:lineRule="auto"/>
        <w:tabs>
          <w:tab w:leader="none" w:pos="260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by written notice to Borrowers, 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3" w:name="page384"/>
    <w:bookmarkEnd w:id="383"/>
    <w:p>
      <w:pPr>
        <w:ind w:left="2580" w:hanging="951"/>
        <w:spacing w:after="0"/>
        <w:tabs>
          <w:tab w:leader="none" w:pos="25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exercise all other rights and remedies available to Agent or the Lenders under the Loan Documents, under applicable law,</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in equity.</w:t>
      </w:r>
    </w:p>
    <w:p>
      <w:pPr>
        <w:spacing w:after="0" w:line="21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The foregoing to the contrary notwithstanding, upon the occurrence of any Event of Default described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8.5</w:t>
      </w:r>
      <w:r>
        <w:rPr>
          <w:rFonts w:ascii="Arial" w:cs="Arial" w:eastAsia="Arial" w:hAnsi="Arial"/>
          <w:sz w:val="16"/>
          <w:szCs w:val="16"/>
          <w:color w:val="auto"/>
        </w:rPr>
        <w:t>,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their Subsidiaries' obligations in respect of outstanding Bank Products), without presentment, demand, protest, or notice or other requirements of any kind, all of which are expressly waived by Parent and Borrowers.</w:t>
      </w:r>
    </w:p>
    <w:p>
      <w:pPr>
        <w:spacing w:after="0" w:line="16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u w:val="single" w:color="auto"/>
          <w:color w:val="auto"/>
        </w:rPr>
        <w:t>Remedies Cumulative</w:t>
      </w:r>
      <w:r>
        <w:rPr>
          <w:rFonts w:ascii="Arial" w:cs="Arial" w:eastAsia="Arial" w:hAnsi="Arial"/>
          <w:sz w:val="16"/>
          <w:szCs w:val="16"/>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spacing w:after="0" w:line="151" w:lineRule="exact"/>
        <w:rPr>
          <w:sz w:val="20"/>
          <w:szCs w:val="20"/>
          <w:color w:val="auto"/>
        </w:rPr>
      </w:pPr>
    </w:p>
    <w:p>
      <w:pPr>
        <w:ind w:left="660" w:hanging="652"/>
        <w:spacing w:after="0"/>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WAIVERS; INDEMNIFICATION.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Demand; Protest; etc</w:t>
      </w:r>
      <w:r>
        <w:rPr>
          <w:rFonts w:ascii="Arial" w:cs="Arial" w:eastAsia="Arial" w:hAnsi="Arial"/>
          <w:sz w:val="18"/>
          <w:szCs w:val="18"/>
          <w:color w:val="auto"/>
        </w:rPr>
        <w:t>.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The Lender Group's Liability for Collateral</w:t>
      </w:r>
      <w:r>
        <w:rPr>
          <w:rFonts w:ascii="Arial" w:cs="Arial" w:eastAsia="Arial" w:hAnsi="Arial"/>
          <w:sz w:val="18"/>
          <w:szCs w:val="18"/>
          <w:color w:val="auto"/>
        </w:rPr>
        <w:t>. Each Borrower hereby agrees that: (a) so long as Agent complies with its obligations, if any, under the Code or the PPSA, as applicable,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4" w:name="page385"/>
    <w:bookmarkEnd w:id="384"/>
    <w:p>
      <w:pPr>
        <w:jc w:val="both"/>
        <w:ind w:firstLine="648"/>
        <w:spacing w:after="0" w:line="283"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Borrower shall pay, indemnify, defend, and hold the Agent-Related Persons, the Lender-Related Persons, each Issuing Bank, and each Participant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harmless (to the fullest extent permitted by law) from and against any and all claims, demands, suits, actions, investigations, proceedings, liabilities, fines, costs, penalties, and damages, and all reasonable fees and disbursements of attorneys, experts, or consultants (including reasonable and documented out of pocket legal expenses including, to the extent necessary, one local counsel in each applicable jurisdiction, and in the event of any actual or perceived conflict of interest among the Indemnified Persons, one additional counsel (and, if necessary, one local counsel in each relevant jurisdiction) for each group of Indemnified Persons similarly situated that is subject to such conflict or other expenses incurred in connection with investigating or defending any of the foregoing)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Arial" w:cs="Arial" w:eastAsia="Arial" w:hAnsi="Arial"/>
          <w:sz w:val="16"/>
          <w:szCs w:val="16"/>
          <w:u w:val="single" w:color="auto"/>
          <w:color w:val="auto"/>
        </w:rPr>
        <w:t>provided</w:t>
      </w:r>
      <w:r>
        <w:rPr>
          <w:rFonts w:ascii="Arial" w:cs="Arial" w:eastAsia="Arial" w:hAnsi="Arial"/>
          <w:sz w:val="16"/>
          <w:szCs w:val="16"/>
          <w:color w:val="auto"/>
        </w:rPr>
        <w:t>,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Parent's and its Subsidiaries' compliance with the terms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w:t>
      </w:r>
    </w:p>
    <w:p>
      <w:pPr>
        <w:spacing w:after="0" w:line="5" w:lineRule="exact"/>
        <w:rPr>
          <w:sz w:val="20"/>
          <w:szCs w:val="20"/>
          <w:color w:val="auto"/>
        </w:rPr>
      </w:pPr>
    </w:p>
    <w:p>
      <w:pPr>
        <w:jc w:val="both"/>
        <w:ind w:firstLine="8"/>
        <w:spacing w:after="0" w:line="281" w:lineRule="auto"/>
        <w:tabs>
          <w:tab w:leader="none" w:pos="2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shall extend to Agent (but not the Lenders unless the dispute involves an act or omission of a Loan Party) relative to disputes between or among Agent on the one hand, and one or more Lenders, or one or more of their Affiliates, on the other hand, or (iii) any Taxes, which shall be governed by </w:t>
      </w:r>
      <w:r>
        <w:rPr>
          <w:rFonts w:ascii="Arial" w:cs="Arial" w:eastAsia="Arial" w:hAnsi="Arial"/>
          <w:sz w:val="16"/>
          <w:szCs w:val="16"/>
          <w:u w:val="single" w:color="auto"/>
          <w:color w:val="auto"/>
        </w:rPr>
        <w:t>Section 16</w:t>
      </w:r>
      <w:r>
        <w:rPr>
          <w:rFonts w:ascii="Arial" w:cs="Arial" w:eastAsia="Arial" w:hAnsi="Arial"/>
          <w:sz w:val="16"/>
          <w:szCs w:val="16"/>
          <w:color w:val="auto"/>
        </w:rPr>
        <w:t>, except for Taxes that represent losses, claims or damages arising from any non-Tax claim),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Subsidiaries or any Environmental Actions, Environmental Liabilities or Remedial Actions related in any way to any such assets or properties of any Loan Party or any of its Subsidiaries (each and all of the foregoing,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The foregoing to the contrary notwithstanding, no Borrower shall have any obligation to any Indemnified Person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with respect to any Indemnified Liability that a court of competent jurisdiction finally determines to (i) have arisen or resulted from the (A) gross negligence or willful misconduct of such Indemnified Person or its officers, directors, employees, attorneys, or agents or (B) a breach of the funding obligations of such Indemnified Person or any of such Indemnified Person’s Affiliates or (ii) have not resulted from an act or omission by the Lender Group and have been brought by an Indemnified Person against any other Indemnified Person (other than any claims against the Lender Group in their respective capacities or in fulfilling their respective roles as an Agent, Joint Lead Arranger or any similar role that might be undertaken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be deemed to limit any Borrower's payment obligations under any other provision of this Agreement or any other Loan Document as a result of such Lender becoming a Defaulting Lender.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Arial" w:cs="Arial" w:eastAsia="Arial" w:hAnsi="Arial"/>
          <w:sz w:val="16"/>
          <w:szCs w:val="16"/>
          <w:b w:val="1"/>
          <w:bCs w:val="1"/>
          <w:color w:val="auto"/>
        </w:rPr>
        <w:t>WITHOUT LIMITATION, THE FOREGOING INDEMNITY SHALL APPLY TO</w:t>
      </w:r>
    </w:p>
    <w:p>
      <w:pPr>
        <w:spacing w:after="0" w:line="12"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EACH INDEMNIFIED PERSON WITH RESPECT TO INDEMNIFIED LIABILITIES WHICH IN WHOLE OR IN PART ARE CAUSED BY OR ARISE OUT OF ANY NEGLIGENT ACT OR OMISSION OF SUCH INDEMNIFIED PERSON OR OF ANY OTHER PERSON,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IN RELATION TO THE GERMAN BORROWER, SUCH OBLIGATION TO INDEMNIFY AN INDEMNIFIED PERSON WITH RESPECT TO INDEMNIFIED LIABILITIES WHICH IN WHOLE OR IN PART ARE CAUSED BY OR ARISE OUT OF ANY NEGLIGENT ACT OR OMISSION OF SUCH INDEMNIFIED PERSON MAY BE RESTRICTED (INCLUDING RESTRICTION TO ZERO) BY VIRTUE OF SECTION 254 GERMAN CIVIL CODE. </w:t>
      </w:r>
      <w:r>
        <w:rPr>
          <w:rFonts w:ascii="Arial" w:cs="Arial" w:eastAsia="Arial" w:hAnsi="Arial"/>
          <w:sz w:val="18"/>
          <w:szCs w:val="18"/>
          <w:color w:val="auto"/>
        </w:rPr>
        <w:t>With respect to a German Borrower, the limitations pursuant to Section 30 of the Affiliate Guaranty shall apply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to the obligations set out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5" w:name="page386"/>
    <w:bookmarkEnd w:id="385"/>
    <w:p>
      <w:pPr>
        <w:ind w:left="660" w:hanging="652"/>
        <w:spacing w:after="0"/>
        <w:tabs>
          <w:tab w:leader="none" w:pos="660"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1300"/>
              <w:spacing w:after="0"/>
              <w:rPr>
                <w:sz w:val="20"/>
                <w:szCs w:val="20"/>
                <w:color w:val="auto"/>
              </w:rPr>
            </w:pPr>
            <w:r>
              <w:rPr>
                <w:rFonts w:ascii="Arial" w:cs="Arial" w:eastAsia="Arial" w:hAnsi="Arial"/>
                <w:sz w:val="18"/>
                <w:szCs w:val="18"/>
                <w:color w:val="auto"/>
              </w:rPr>
              <w:t>If to any Loan Party:</w:t>
            </w: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c/o Weatherford International, LLC</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2000 St. James Place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Houston, Texas 77056</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Attn: General Counsel</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Telephone: (713) 836-4000</w:t>
            </w:r>
          </w:p>
        </w:tc>
      </w:tr>
      <w:tr>
        <w:trPr>
          <w:trHeight w:val="190"/>
        </w:trPr>
        <w:tc>
          <w:tcPr>
            <w:tcW w:w="3160" w:type="dxa"/>
            <w:vAlign w:val="bottom"/>
          </w:tcPr>
          <w:p>
            <w:pPr>
              <w:spacing w:after="0"/>
              <w:rPr>
                <w:sz w:val="16"/>
                <w:szCs w:val="16"/>
                <w:color w:val="auto"/>
              </w:rPr>
            </w:pPr>
          </w:p>
        </w:tc>
        <w:tc>
          <w:tcPr>
            <w:tcW w:w="826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Email: LegalWeatherford@weatherford.com</w:t>
            </w:r>
          </w:p>
        </w:tc>
      </w:tr>
      <w:tr>
        <w:trPr>
          <w:trHeight w:val="20"/>
        </w:trPr>
        <w:tc>
          <w:tcPr>
            <w:tcW w:w="316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38"/>
        </w:trPr>
        <w:tc>
          <w:tcPr>
            <w:tcW w:w="3160" w:type="dxa"/>
            <w:vAlign w:val="bottom"/>
          </w:tcPr>
          <w:p>
            <w:pPr>
              <w:ind w:left="1300"/>
              <w:spacing w:after="0"/>
              <w:rPr>
                <w:sz w:val="20"/>
                <w:szCs w:val="20"/>
                <w:color w:val="auto"/>
              </w:rPr>
            </w:pPr>
            <w:r>
              <w:rPr>
                <w:rFonts w:ascii="Arial" w:cs="Arial" w:eastAsia="Arial" w:hAnsi="Arial"/>
                <w:sz w:val="18"/>
                <w:szCs w:val="18"/>
                <w:color w:val="auto"/>
              </w:rPr>
              <w:t>with copies to:</w:t>
            </w: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c/o Weatherford International, LLC</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2000 St. James Place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Houston, Texas 77056</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Attn: Treasurer</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380"/>
              <w:spacing w:after="0"/>
              <w:rPr>
                <w:sz w:val="20"/>
                <w:szCs w:val="20"/>
                <w:color w:val="auto"/>
              </w:rPr>
            </w:pPr>
            <w:r>
              <w:rPr>
                <w:rFonts w:ascii="Arial" w:cs="Arial" w:eastAsia="Arial" w:hAnsi="Arial"/>
                <w:sz w:val="18"/>
                <w:szCs w:val="18"/>
                <w:color w:val="auto"/>
              </w:rPr>
              <w:t>Telephone: (713) 836-7460</w:t>
            </w:r>
          </w:p>
        </w:tc>
      </w:tr>
      <w:tr>
        <w:trPr>
          <w:trHeight w:val="190"/>
        </w:trPr>
        <w:tc>
          <w:tcPr>
            <w:tcW w:w="3160" w:type="dxa"/>
            <w:vAlign w:val="bottom"/>
          </w:tcPr>
          <w:p>
            <w:pPr>
              <w:spacing w:after="0"/>
              <w:rPr>
                <w:sz w:val="16"/>
                <w:szCs w:val="16"/>
                <w:color w:val="auto"/>
              </w:rPr>
            </w:pPr>
          </w:p>
        </w:tc>
        <w:tc>
          <w:tcPr>
            <w:tcW w:w="826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Email: Mark.Rothleitner@weatherford.com</w:t>
            </w:r>
          </w:p>
        </w:tc>
      </w:tr>
      <w:tr>
        <w:trPr>
          <w:trHeight w:val="912"/>
        </w:trPr>
        <w:tc>
          <w:tcPr>
            <w:tcW w:w="3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-179-</w:t>
            </w: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86" w:name="page387"/>
    <w:bookmarkEnd w:id="386"/>
    <w:p>
      <w:pPr>
        <w:jc w:val="center"/>
        <w:ind w:left="620"/>
        <w:spacing w:after="0"/>
        <w:rPr>
          <w:sz w:val="20"/>
          <w:szCs w:val="20"/>
          <w:color w:val="auto"/>
        </w:rPr>
      </w:pPr>
      <w:r>
        <w:rPr>
          <w:rFonts w:ascii="Arial" w:cs="Arial" w:eastAsia="Arial" w:hAnsi="Arial"/>
          <w:sz w:val="17"/>
          <w:szCs w:val="17"/>
          <w:color w:val="auto"/>
        </w:rPr>
        <w:t>If to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Loan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(866) 551-0750</w:t>
      </w:r>
    </w:p>
    <w:p>
      <w:pPr>
        <w:spacing w:after="0" w:line="200" w:lineRule="exact"/>
        <w:rPr>
          <w:sz w:val="20"/>
          <w:szCs w:val="20"/>
          <w:color w:val="auto"/>
        </w:rPr>
      </w:pPr>
    </w:p>
    <w:p>
      <w:pPr>
        <w:sectPr>
          <w:pgSz w:w="11900" w:h="16838" w:orient="portrait"/>
          <w:cols w:equalWidth="0" w:num="2">
            <w:col w:w="2820" w:space="720"/>
            <w:col w:w="7880"/>
          </w:cols>
          <w:pgMar w:left="240" w:top="936" w:right="239" w:bottom="1440" w:gutter="0" w:footer="0" w:header="0"/>
        </w:sectPr>
      </w:pPr>
    </w:p>
    <w:p>
      <w:pPr>
        <w:spacing w:after="0" w:line="11"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Goldberg Kohn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55 East Monroe Street, Suite 3300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Jessica L. DeBruin,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(312) 863-7857</w:t>
      </w:r>
    </w:p>
    <w:p>
      <w:pPr>
        <w:spacing w:after="0" w:line="200" w:lineRule="exact"/>
        <w:rPr>
          <w:sz w:val="20"/>
          <w:szCs w:val="20"/>
          <w:color w:val="auto"/>
        </w:rPr>
      </w:pPr>
    </w:p>
    <w:p>
      <w:pPr>
        <w:sectPr>
          <w:pgSz w:w="11900" w:h="16838" w:orient="portrait"/>
          <w:cols w:equalWidth="0" w:num="2">
            <w:col w:w="2820" w:space="720"/>
            <w:col w:w="7880"/>
          </w:cols>
          <w:pgMar w:left="240" w:top="936" w:right="239" w:bottom="1440" w:gutter="0" w:footer="0" w:header="0"/>
          <w:type w:val="continuous"/>
        </w:sectPr>
      </w:pPr>
    </w:p>
    <w:p>
      <w:pPr>
        <w:spacing w:after="0" w:line="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Any party hereto may change the address at which they are to receive notices hereunder, by notice in writing in the foregoing manner given to the other party. All notices or demands sent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deemed received on the earlier of the date of actual receipt or three Business Days after the deposit thereof in the mail;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85" w:lineRule="exact"/>
        <w:rPr>
          <w:sz w:val="20"/>
          <w:szCs w:val="20"/>
          <w:color w:val="auto"/>
        </w:rPr>
      </w:pPr>
    </w:p>
    <w:p>
      <w:pPr>
        <w:ind w:left="660" w:hanging="652"/>
        <w:spacing w:after="0"/>
        <w:tabs>
          <w:tab w:leader="none" w:pos="660" w:val="left"/>
        </w:tabs>
        <w:numPr>
          <w:ilvl w:val="0"/>
          <w:numId w:val="466"/>
        </w:numPr>
        <w:rPr>
          <w:rFonts w:ascii="Arial" w:cs="Arial" w:eastAsia="Arial" w:hAnsi="Arial"/>
          <w:sz w:val="18"/>
          <w:szCs w:val="18"/>
          <w:color w:val="auto"/>
        </w:rPr>
      </w:pPr>
      <w:r>
        <w:rPr>
          <w:rFonts w:ascii="Arial" w:cs="Arial" w:eastAsia="Arial" w:hAnsi="Arial"/>
          <w:sz w:val="18"/>
          <w:szCs w:val="18"/>
          <w:b w:val="1"/>
          <w:bCs w:val="1"/>
          <w:color w:val="auto"/>
        </w:rPr>
        <w:t>CHOICE OF LAW AND VENUE; JURY TRIAL WAIVER; SERVICE OF PROCESS.</w:t>
      </w:r>
    </w:p>
    <w:p>
      <w:pPr>
        <w:spacing w:after="0" w:line="225" w:lineRule="exact"/>
        <w:rPr>
          <w:rFonts w:ascii="Arial" w:cs="Arial" w:eastAsia="Arial" w:hAnsi="Arial"/>
          <w:sz w:val="18"/>
          <w:szCs w:val="18"/>
          <w:color w:val="auto"/>
        </w:rPr>
      </w:pPr>
    </w:p>
    <w:p>
      <w:pPr>
        <w:jc w:val="both"/>
        <w:ind w:left="340" w:firstLine="1289"/>
        <w:spacing w:after="0" w:line="255" w:lineRule="auto"/>
        <w:tabs>
          <w:tab w:leader="none" w:pos="2727" w:val="left"/>
        </w:tabs>
        <w:numPr>
          <w:ilvl w:val="1"/>
          <w:numId w:val="466"/>
        </w:numPr>
        <w:rPr>
          <w:rFonts w:ascii="Arial" w:cs="Arial" w:eastAsia="Arial" w:hAnsi="Arial"/>
          <w:sz w:val="18"/>
          <w:szCs w:val="18"/>
          <w:color w:val="auto"/>
        </w:rPr>
      </w:pPr>
      <w:r>
        <w:rPr>
          <w:rFonts w:ascii="Arial" w:cs="Arial" w:eastAsia="Arial" w:hAnsi="Arial"/>
          <w:sz w:val="18"/>
          <w:szCs w:val="18"/>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340" w:firstLine="1289"/>
        <w:spacing w:after="0" w:line="254" w:lineRule="auto"/>
        <w:tabs>
          <w:tab w:leader="none" w:pos="2602" w:val="left"/>
        </w:tabs>
        <w:numPr>
          <w:ilvl w:val="1"/>
          <w:numId w:val="466"/>
        </w:numPr>
        <w:rPr>
          <w:rFonts w:ascii="Arial" w:cs="Arial" w:eastAsia="Arial" w:hAnsi="Arial"/>
          <w:sz w:val="18"/>
          <w:szCs w:val="18"/>
          <w:color w:val="auto"/>
        </w:rPr>
      </w:pPr>
      <w:r>
        <w:rPr>
          <w:rFonts w:ascii="Arial" w:cs="Arial" w:eastAsia="Arial" w:hAnsi="Arial"/>
          <w:sz w:val="18"/>
          <w:szCs w:val="18"/>
          <w:b w:val="1"/>
          <w:bCs w:val="1"/>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COUNTY OF NEW YORK, STATE OF NEW YORK;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THAT ANY SUIT SEEKING ENFORCEMENT AGAINST ANY COLLATERAL OR OTHER PROPERTY MAY BE BROUGHT, AT AGENT'S OPTION, IN THE COURTS OF ANY JURISDICTION WHERE AGENT ELECTS TO BRING SUCH ACTION OR WHERE SUCH COLLATERAL OR OTHER PROPERTY MAY BE FOUND. EACH OF PARENT AND EACH BORROWER AND EACH MEMBER OF THE LENDER GROUP WAIVE, TO THE EXTENT PERMITTED UNDER APPLICABLE LAW, ANY RIGHT EACH MAY HAVE TO ASSERT THE DOCTRINE OF FORUM NON CONVENIENS OR TO OBJECT TO VENUE TO THE EXTENT ANY PROCEEDING IS BROUGHT IN ACCORDANCE WITH THIS SECTION 12(b).</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387" w:name="page388"/>
    <w:bookmarkEnd w:id="387"/>
    <w:p>
      <w:pPr>
        <w:jc w:val="both"/>
        <w:ind w:firstLine="1289"/>
        <w:spacing w:after="0" w:line="254" w:lineRule="auto"/>
        <w:tabs>
          <w:tab w:leader="none" w:pos="2549" w:val="left"/>
        </w:tabs>
        <w:numPr>
          <w:ilvl w:val="0"/>
          <w:numId w:val="467"/>
        </w:numPr>
        <w:rPr>
          <w:rFonts w:ascii="Arial" w:cs="Arial" w:eastAsia="Arial" w:hAnsi="Arial"/>
          <w:sz w:val="18"/>
          <w:szCs w:val="18"/>
          <w:color w:val="auto"/>
        </w:rPr>
      </w:pPr>
      <w:r>
        <w:rPr>
          <w:rFonts w:ascii="Arial" w:cs="Arial" w:eastAsia="Arial" w:hAnsi="Arial"/>
          <w:sz w:val="18"/>
          <w:szCs w:val="18"/>
          <w:b w:val="1"/>
          <w:bCs w:val="1"/>
          <w:color w:val="auto"/>
        </w:rPr>
        <w:t>TO THE MAXIMUM EXTENT PERMITTED BY APPLICABLE LAW, EACH OF PARENT AND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Arial" w:cs="Arial" w:eastAsia="Arial" w:hAnsi="Arial"/>
          <w:sz w:val="18"/>
          <w:szCs w:val="18"/>
          <w:b w:val="1"/>
          <w:bCs w:val="1"/>
          <w:u w:val="single" w:color="auto"/>
          <w:color w:val="auto"/>
        </w:rPr>
        <w:t>CLAIM</w:t>
      </w:r>
      <w:r>
        <w:rPr>
          <w:rFonts w:ascii="Arial" w:cs="Arial" w:eastAsia="Arial" w:hAnsi="Arial"/>
          <w:sz w:val="18"/>
          <w:szCs w:val="18"/>
          <w:b w:val="1"/>
          <w:bCs w:val="1"/>
          <w:color w:val="auto"/>
        </w:rPr>
        <w:t>"). EACH OF PARENT AND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9" w:lineRule="exact"/>
        <w:rPr>
          <w:rFonts w:ascii="Arial" w:cs="Arial" w:eastAsia="Arial" w:hAnsi="Arial"/>
          <w:sz w:val="18"/>
          <w:szCs w:val="18"/>
          <w:color w:val="auto"/>
        </w:rPr>
      </w:pPr>
    </w:p>
    <w:p>
      <w:pPr>
        <w:jc w:val="both"/>
        <w:ind w:firstLine="1289"/>
        <w:spacing w:after="0" w:line="255" w:lineRule="auto"/>
        <w:tabs>
          <w:tab w:leader="none" w:pos="2627" w:val="left"/>
        </w:tabs>
        <w:numPr>
          <w:ilvl w:val="0"/>
          <w:numId w:val="467"/>
        </w:numPr>
        <w:rPr>
          <w:rFonts w:ascii="Arial" w:cs="Arial" w:eastAsia="Arial" w:hAnsi="Arial"/>
          <w:sz w:val="18"/>
          <w:szCs w:val="18"/>
          <w:color w:val="auto"/>
        </w:rPr>
      </w:pPr>
      <w:r>
        <w:rPr>
          <w:rFonts w:ascii="Arial" w:cs="Arial" w:eastAsia="Arial" w:hAnsi="Arial"/>
          <w:sz w:val="18"/>
          <w:szCs w:val="18"/>
          <w:b w:val="1"/>
          <w:bCs w:val="1"/>
          <w:color w:val="auto"/>
        </w:rPr>
        <w:t xml:space="preserve">EACH OF PARENT AND EACH BORROWER HEREBY IRREVOCABLY AND UNCONDITIONALLY SUBMITS TO THE EXCLUSIVE JURISDICTION OF THE STATE AND FEDERAL COURTS LOCATED IN THE COUNTY OF NEW YORK AND THE STATE OF NEW YORK, IN ANY ACTION OR PROCEEDING ARISING OUT OF OR RELATING TO ANY LOAN DOCUMENTS (OTHER THAN ANY SECURITY AGREEMENT GOVERNED BY DUTCH LAW, SUBJECT TO </w:t>
      </w:r>
      <w:r>
        <w:rPr>
          <w:rFonts w:ascii="Arial" w:cs="Arial" w:eastAsia="Arial" w:hAnsi="Arial"/>
          <w:sz w:val="18"/>
          <w:szCs w:val="18"/>
          <w:b w:val="1"/>
          <w:bCs w:val="1"/>
          <w:u w:val="single" w:color="auto"/>
          <w:color w:val="auto"/>
        </w:rPr>
        <w:t>SECTION 12(b)</w:t>
      </w:r>
      <w:r>
        <w:rPr>
          <w:rFonts w:ascii="Arial" w:cs="Arial" w:eastAsia="Arial" w:hAnsi="Arial"/>
          <w:sz w:val="18"/>
          <w:szCs w:val="18"/>
          <w:b w:val="1"/>
          <w:bCs w:val="1"/>
          <w:color w:val="auto"/>
        </w:rPr>
        <w:t xml:space="preserve"> ABOVE),</w:t>
      </w:r>
    </w:p>
    <w:p>
      <w:pPr>
        <w:spacing w:after="0" w:line="2"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90" w:lineRule="exact"/>
        <w:rPr>
          <w:rFonts w:ascii="Arial" w:cs="Arial" w:eastAsia="Arial" w:hAnsi="Arial"/>
          <w:sz w:val="18"/>
          <w:szCs w:val="18"/>
          <w:color w:val="auto"/>
        </w:rPr>
      </w:pPr>
    </w:p>
    <w:p>
      <w:pPr>
        <w:jc w:val="both"/>
        <w:ind w:firstLine="1289"/>
        <w:spacing w:after="0" w:line="255" w:lineRule="auto"/>
        <w:tabs>
          <w:tab w:leader="none" w:pos="2198" w:val="left"/>
        </w:tabs>
        <w:numPr>
          <w:ilvl w:val="0"/>
          <w:numId w:val="467"/>
        </w:numPr>
        <w:rPr>
          <w:rFonts w:ascii="Arial" w:cs="Arial" w:eastAsia="Arial" w:hAnsi="Arial"/>
          <w:sz w:val="18"/>
          <w:szCs w:val="18"/>
          <w:color w:val="auto"/>
        </w:rPr>
      </w:pPr>
      <w:r>
        <w:rPr>
          <w:rFonts w:ascii="Arial" w:cs="Arial" w:eastAsia="Arial" w:hAnsi="Arial"/>
          <w:sz w:val="18"/>
          <w:szCs w:val="18"/>
          <w:b w:val="1"/>
          <w:bCs w:val="1"/>
          <w:color w:val="auto"/>
        </w:rPr>
        <w:t>NO CLAIM MAY BE MADE BY ANY LOAN PARTY AGAINST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388" w:name="page389"/>
    <w:bookmarkEnd w:id="388"/>
    <w:p>
      <w:pPr>
        <w:jc w:val="both"/>
        <w:ind w:left="340" w:firstLine="1289"/>
        <w:spacing w:after="0" w:line="293" w:lineRule="auto"/>
        <w:tabs>
          <w:tab w:leader="none" w:pos="2631" w:val="left"/>
        </w:tabs>
        <w:numPr>
          <w:ilvl w:val="1"/>
          <w:numId w:val="468"/>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w:t>
      </w:r>
      <w:r>
        <w:rPr>
          <w:rFonts w:ascii="Arial" w:cs="Arial" w:eastAsia="Arial" w:hAnsi="Arial"/>
          <w:sz w:val="16"/>
          <w:szCs w:val="16"/>
          <w:u w:val="single" w:color="auto"/>
          <w:color w:val="auto"/>
        </w:rPr>
        <w:t>Article 11</w:t>
      </w:r>
      <w:r>
        <w:rPr>
          <w:rFonts w:ascii="Arial" w:cs="Arial" w:eastAsia="Arial" w:hAnsi="Arial"/>
          <w:sz w:val="16"/>
          <w:szCs w:val="16"/>
          <w:color w:val="auto"/>
        </w:rPr>
        <w:t>, other than by facsimile. Nothing in this Agreement or any other Loan Document will affect the right of any party to this Agreement or any other Loan Document to serve process in any other manner permitted by law. Notwithstanding any other provision of this Agreement, each of Parent and WIL-Bermuda shall, and shall cause each other Foreign Subsidiary that is a Loan Party to, irrevocably designate CT Corporation System, 111 8th Avenue, New York, New York 10011, as the designee, appointee and agent of such Loan Party to receive, for and on behalf of such Loan Party, service of process in the State of New York in any suit, action or proceeding arising out of or relating to this Agreement or any other Loan Document.</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ASSIGNMENTS AND PARTICIPATIONS; SUCCESSORS.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13.1.</w:t>
      </w:r>
      <w:r>
        <w:rPr>
          <w:rFonts w:ascii="Arial" w:cs="Arial" w:eastAsia="Arial" w:hAnsi="Arial"/>
          <w:sz w:val="15"/>
          <w:szCs w:val="15"/>
          <w:b w:val="1"/>
          <w:bCs w:val="1"/>
          <w:u w:val="single" w:color="auto"/>
          <w:color w:val="auto"/>
        </w:rPr>
        <w:t>Assignments and Participations</w:t>
      </w:r>
      <w:r>
        <w:rPr>
          <w:rFonts w:ascii="Arial" w:cs="Arial" w:eastAsia="Arial" w:hAnsi="Arial"/>
          <w:sz w:val="15"/>
          <w:szCs w:val="15"/>
          <w:color w:val="auto"/>
        </w:rPr>
        <w:t>.</w:t>
      </w:r>
    </w:p>
    <w:p>
      <w:pPr>
        <w:spacing w:after="0" w:line="229" w:lineRule="exact"/>
        <w:rPr>
          <w:rFonts w:ascii="Arial" w:cs="Arial" w:eastAsia="Arial" w:hAnsi="Arial"/>
          <w:sz w:val="18"/>
          <w:szCs w:val="18"/>
          <w:color w:val="auto"/>
        </w:rPr>
      </w:pPr>
    </w:p>
    <w:p>
      <w:pPr>
        <w:jc w:val="both"/>
        <w:ind w:left="340" w:firstLine="1289"/>
        <w:spacing w:after="0" w:line="259" w:lineRule="auto"/>
        <w:tabs>
          <w:tab w:leader="none" w:pos="252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(i) Subject to the conditions set forth in clauses (a)(ii) and (k)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18"/>
          <w:szCs w:val="18"/>
          <w:u w:val="single" w:color="auto"/>
          <w:color w:val="auto"/>
        </w:rPr>
        <w:t>Assignee</w:t>
      </w:r>
      <w:r>
        <w:rPr>
          <w:rFonts w:ascii="Arial" w:cs="Arial" w:eastAsia="Arial" w:hAnsi="Arial"/>
          <w:sz w:val="18"/>
          <w:szCs w:val="18"/>
          <w:color w:val="auto"/>
        </w:rPr>
        <w:t>"), with the prior written consent (such consent not be unreasonably withheld or delayed) of:</w:t>
      </w:r>
    </w:p>
    <w:p>
      <w:pPr>
        <w:spacing w:after="0" w:line="186" w:lineRule="exact"/>
        <w:rPr>
          <w:rFonts w:ascii="Arial" w:cs="Arial" w:eastAsia="Arial" w:hAnsi="Arial"/>
          <w:sz w:val="18"/>
          <w:szCs w:val="18"/>
          <w:color w:val="auto"/>
        </w:rPr>
      </w:pPr>
    </w:p>
    <w:p>
      <w:pPr>
        <w:jc w:val="both"/>
        <w:ind w:firstLine="2601"/>
        <w:spacing w:after="0" w:line="254" w:lineRule="auto"/>
        <w:tabs>
          <w:tab w:leader="none" w:pos="3522" w:val="left"/>
        </w:tabs>
        <w:numPr>
          <w:ilvl w:val="2"/>
          <w:numId w:val="469"/>
        </w:numPr>
        <w:rPr>
          <w:rFonts w:ascii="Arial" w:cs="Arial" w:eastAsia="Arial" w:hAnsi="Arial"/>
          <w:sz w:val="18"/>
          <w:szCs w:val="18"/>
          <w:color w:val="auto"/>
        </w:rPr>
      </w:pPr>
      <w:r>
        <w:rPr>
          <w:rFonts w:ascii="Arial" w:cs="Arial" w:eastAsia="Arial" w:hAnsi="Arial"/>
          <w:sz w:val="18"/>
          <w:szCs w:val="18"/>
          <w:color w:val="auto"/>
        </w:rPr>
        <w:t xml:space="preserve">Borrowers;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Borrowers shall be required (1) if an Event of Default has occurred and is continuing, (2) in connection with the primary syndication of the Commitments and the Obligations by the Joint Lead Arrangers, prior to the occurrence of the "ABL Syndication Date" (as such term is defined in the Joint Fee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Joint Lead Arrangers shall consult with Borrowers in connection with such primary syndication (it being understood that in no event shall any Joint Lead Arranger be required to obtain Borrowers' consent with respect to any assignment made in connection with such primary syndication prior to the occurrence of the ABL Syndication Date)) or (3) in connection with an assignment to a Person that is a Lender or an Affiliate (other than natural persons) of a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Borrowers shall be deemed to have consented to a proposed assignment unless they object thereto by written notice to Agent within ten Business Days after having received notice thereof; and</w:t>
      </w:r>
    </w:p>
    <w:p>
      <w:pPr>
        <w:spacing w:after="0" w:line="192" w:lineRule="exact"/>
        <w:rPr>
          <w:rFonts w:ascii="Arial" w:cs="Arial" w:eastAsia="Arial" w:hAnsi="Arial"/>
          <w:sz w:val="18"/>
          <w:szCs w:val="18"/>
          <w:color w:val="auto"/>
        </w:rPr>
      </w:pPr>
    </w:p>
    <w:p>
      <w:pPr>
        <w:ind w:left="3480" w:hanging="879"/>
        <w:spacing w:after="0"/>
        <w:tabs>
          <w:tab w:leader="none" w:pos="3480" w:val="left"/>
        </w:tabs>
        <w:numPr>
          <w:ilvl w:val="2"/>
          <w:numId w:val="469"/>
        </w:numPr>
        <w:rPr>
          <w:rFonts w:ascii="Arial" w:cs="Arial" w:eastAsia="Arial" w:hAnsi="Arial"/>
          <w:sz w:val="18"/>
          <w:szCs w:val="18"/>
          <w:color w:val="auto"/>
        </w:rPr>
      </w:pPr>
      <w:r>
        <w:rPr>
          <w:rFonts w:ascii="Arial" w:cs="Arial" w:eastAsia="Arial" w:hAnsi="Arial"/>
          <w:sz w:val="18"/>
          <w:szCs w:val="18"/>
          <w:color w:val="auto"/>
        </w:rPr>
        <w:t>Agent, Swing Lender, and Issuing Bank;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Borrowers, Agent, Swing Lender or Issuing Bank shall be required for assignments by Barclays to Barclays Bank Ireland PLC so long as (1) Agent receives prompt notice and customary documentation deliveries in connection therewith and (2) at the time of any such assignment, Barclays Bank Ireland PLC shall be a U.S. Qualifying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9" w:name="page390"/>
    <w:bookmarkEnd w:id="389"/>
    <w:p>
      <w:pPr>
        <w:ind w:left="2800" w:hanging="847"/>
        <w:spacing w:after="0"/>
        <w:tabs>
          <w:tab w:leader="none" w:pos="2800" w:val="left"/>
        </w:tabs>
        <w:numPr>
          <w:ilvl w:val="2"/>
          <w:numId w:val="470"/>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3440" w:hanging="839"/>
        <w:spacing w:after="0"/>
        <w:tabs>
          <w:tab w:leader="none" w:pos="3440" w:val="left"/>
        </w:tabs>
        <w:numPr>
          <w:ilvl w:val="3"/>
          <w:numId w:val="470"/>
        </w:numPr>
        <w:rPr>
          <w:rFonts w:ascii="Arial" w:cs="Arial" w:eastAsia="Arial" w:hAnsi="Arial"/>
          <w:sz w:val="18"/>
          <w:szCs w:val="18"/>
          <w:color w:val="auto"/>
        </w:rPr>
      </w:pPr>
      <w:r>
        <w:rPr>
          <w:rFonts w:ascii="Arial" w:cs="Arial" w:eastAsia="Arial" w:hAnsi="Arial"/>
          <w:sz w:val="18"/>
          <w:szCs w:val="18"/>
          <w:color w:val="auto"/>
        </w:rPr>
        <w:t>no assignment may be made to a natural person,</w:t>
      </w:r>
    </w:p>
    <w:p>
      <w:pPr>
        <w:spacing w:after="0" w:line="225" w:lineRule="exact"/>
        <w:rPr>
          <w:rFonts w:ascii="Arial" w:cs="Arial" w:eastAsia="Arial" w:hAnsi="Arial"/>
          <w:sz w:val="18"/>
          <w:szCs w:val="18"/>
          <w:color w:val="auto"/>
        </w:rPr>
      </w:pPr>
    </w:p>
    <w:p>
      <w:pPr>
        <w:ind w:left="3480" w:hanging="879"/>
        <w:spacing w:after="0"/>
        <w:tabs>
          <w:tab w:leader="none" w:pos="3480" w:val="left"/>
        </w:tabs>
        <w:numPr>
          <w:ilvl w:val="3"/>
          <w:numId w:val="470"/>
        </w:numPr>
        <w:rPr>
          <w:rFonts w:ascii="Arial" w:cs="Arial" w:eastAsia="Arial" w:hAnsi="Arial"/>
          <w:sz w:val="18"/>
          <w:szCs w:val="18"/>
          <w:color w:val="auto"/>
        </w:rPr>
      </w:pPr>
      <w:r>
        <w:rPr>
          <w:rFonts w:ascii="Arial" w:cs="Arial" w:eastAsia="Arial" w:hAnsi="Arial"/>
          <w:sz w:val="18"/>
          <w:szCs w:val="18"/>
          <w:color w:val="auto"/>
        </w:rPr>
        <w:t>no assignment may be made to a Loan Party or an Affiliate of a Loan Party,</w:t>
      </w:r>
    </w:p>
    <w:p>
      <w:pPr>
        <w:spacing w:after="0" w:line="225" w:lineRule="exact"/>
        <w:rPr>
          <w:rFonts w:ascii="Arial" w:cs="Arial" w:eastAsia="Arial" w:hAnsi="Arial"/>
          <w:sz w:val="18"/>
          <w:szCs w:val="18"/>
          <w:color w:val="auto"/>
        </w:rPr>
      </w:pPr>
    </w:p>
    <w:p>
      <w:pPr>
        <w:jc w:val="both"/>
        <w:ind w:firstLine="2601"/>
        <w:spacing w:after="0" w:line="255" w:lineRule="auto"/>
        <w:tabs>
          <w:tab w:leader="none" w:pos="3557" w:val="left"/>
        </w:tabs>
        <w:numPr>
          <w:ilvl w:val="3"/>
          <w:numId w:val="470"/>
        </w:numPr>
        <w:rPr>
          <w:rFonts w:ascii="Arial" w:cs="Arial" w:eastAsia="Arial" w:hAnsi="Arial"/>
          <w:sz w:val="18"/>
          <w:szCs w:val="18"/>
          <w:color w:val="auto"/>
        </w:rPr>
      </w:pPr>
      <w:r>
        <w:rPr>
          <w:rFonts w:ascii="Arial" w:cs="Arial" w:eastAsia="Arial" w:hAnsi="Arial"/>
          <w:sz w:val="18"/>
          <w:szCs w:val="18"/>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93" w:lineRule="exact"/>
        <w:rPr>
          <w:rFonts w:ascii="Arial" w:cs="Arial" w:eastAsia="Arial" w:hAnsi="Arial"/>
          <w:sz w:val="18"/>
          <w:szCs w:val="18"/>
          <w:color w:val="auto"/>
        </w:rPr>
      </w:pPr>
    </w:p>
    <w:p>
      <w:pPr>
        <w:ind w:left="3540" w:hanging="939"/>
        <w:spacing w:after="0"/>
        <w:tabs>
          <w:tab w:leader="none" w:pos="3540" w:val="left"/>
        </w:tabs>
        <w:numPr>
          <w:ilvl w:val="3"/>
          <w:numId w:val="470"/>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and obligations under this Agreement,</w:t>
      </w:r>
    </w:p>
    <w:p>
      <w:pPr>
        <w:spacing w:after="0" w:line="210" w:lineRule="exact"/>
        <w:rPr>
          <w:rFonts w:ascii="Arial" w:cs="Arial" w:eastAsia="Arial" w:hAnsi="Arial"/>
          <w:sz w:val="16"/>
          <w:szCs w:val="16"/>
          <w:color w:val="auto"/>
        </w:rPr>
      </w:pPr>
    </w:p>
    <w:p>
      <w:pPr>
        <w:jc w:val="both"/>
        <w:ind w:firstLine="2601"/>
        <w:spacing w:after="0" w:line="286" w:lineRule="auto"/>
        <w:tabs>
          <w:tab w:leader="none" w:pos="3601" w:val="left"/>
        </w:tabs>
        <w:numPr>
          <w:ilvl w:val="3"/>
          <w:numId w:val="470"/>
        </w:numPr>
        <w:rPr>
          <w:rFonts w:ascii="Arial" w:cs="Arial" w:eastAsia="Arial" w:hAnsi="Arial"/>
          <w:sz w:val="17"/>
          <w:szCs w:val="17"/>
          <w:color w:val="auto"/>
        </w:rPr>
      </w:pPr>
      <w:r>
        <w:rPr>
          <w:rFonts w:ascii="Arial" w:cs="Arial" w:eastAsia="Arial" w:hAnsi="Arial"/>
          <w:sz w:val="17"/>
          <w:szCs w:val="17"/>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7"/>
          <w:szCs w:val="17"/>
          <w:u w:val="single" w:color="auto"/>
          <w:color w:val="auto"/>
        </w:rPr>
        <w:t>Section 16.2</w:t>
      </w:r>
      <w:r>
        <w:rPr>
          <w:rFonts w:ascii="Arial" w:cs="Arial" w:eastAsia="Arial" w:hAnsi="Arial"/>
          <w:sz w:val="17"/>
          <w:szCs w:val="17"/>
          <w:color w:val="auto"/>
        </w:rPr>
        <w:t>, and no assignment shall be effective in connection herewith unless and until such forms are so delivered,</w:t>
      </w:r>
    </w:p>
    <w:p>
      <w:pPr>
        <w:spacing w:after="0" w:line="165" w:lineRule="exact"/>
        <w:rPr>
          <w:rFonts w:ascii="Arial" w:cs="Arial" w:eastAsia="Arial" w:hAnsi="Arial"/>
          <w:sz w:val="17"/>
          <w:szCs w:val="17"/>
          <w:color w:val="auto"/>
        </w:rPr>
      </w:pPr>
    </w:p>
    <w:p>
      <w:pPr>
        <w:jc w:val="both"/>
        <w:ind w:firstLine="2601"/>
        <w:spacing w:after="0" w:line="259" w:lineRule="auto"/>
        <w:tabs>
          <w:tab w:leader="none" w:pos="3537" w:val="left"/>
        </w:tabs>
        <w:numPr>
          <w:ilvl w:val="3"/>
          <w:numId w:val="470"/>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Agent an Assignment and Acceptance;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86" w:lineRule="exact"/>
        <w:rPr>
          <w:rFonts w:ascii="Arial" w:cs="Arial" w:eastAsia="Arial" w:hAnsi="Arial"/>
          <w:sz w:val="18"/>
          <w:szCs w:val="18"/>
          <w:color w:val="auto"/>
        </w:rPr>
      </w:pPr>
    </w:p>
    <w:p>
      <w:pPr>
        <w:ind w:left="3500" w:hanging="899"/>
        <w:spacing w:after="0"/>
        <w:tabs>
          <w:tab w:leader="none" w:pos="3500" w:val="left"/>
        </w:tabs>
        <w:numPr>
          <w:ilvl w:val="3"/>
          <w:numId w:val="470"/>
        </w:numPr>
        <w:rPr>
          <w:rFonts w:ascii="Arial" w:cs="Arial" w:eastAsia="Arial" w:hAnsi="Arial"/>
          <w:sz w:val="16"/>
          <w:szCs w:val="16"/>
          <w:color w:val="auto"/>
        </w:rPr>
      </w:pPr>
      <w:r>
        <w:rPr>
          <w:rFonts w:ascii="Arial" w:cs="Arial" w:eastAsia="Arial" w:hAnsi="Arial"/>
          <w:sz w:val="16"/>
          <w:szCs w:val="16"/>
          <w:color w:val="auto"/>
        </w:rPr>
        <w:t>unless waived by Agent, the assigning Lender or Assignee has paid to Agent, for Agent's separate account,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processing fee in the amount of $3,500,</w:t>
      </w:r>
    </w:p>
    <w:p>
      <w:pPr>
        <w:spacing w:after="0" w:line="210" w:lineRule="exact"/>
        <w:rPr>
          <w:rFonts w:ascii="Arial" w:cs="Arial" w:eastAsia="Arial" w:hAnsi="Arial"/>
          <w:sz w:val="16"/>
          <w:szCs w:val="16"/>
          <w:color w:val="auto"/>
        </w:rPr>
      </w:pPr>
    </w:p>
    <w:p>
      <w:pPr>
        <w:ind w:left="3720" w:hanging="1119"/>
        <w:spacing w:after="0"/>
        <w:tabs>
          <w:tab w:leader="none" w:pos="3720" w:val="left"/>
        </w:tabs>
        <w:numPr>
          <w:ilvl w:val="3"/>
          <w:numId w:val="470"/>
        </w:numPr>
        <w:rPr>
          <w:rFonts w:ascii="Arial" w:cs="Arial" w:eastAsia="Arial" w:hAnsi="Arial"/>
          <w:sz w:val="17"/>
          <w:szCs w:val="17"/>
          <w:color w:val="auto"/>
        </w:rPr>
      </w:pPr>
      <w:r>
        <w:rPr>
          <w:rFonts w:ascii="Arial" w:cs="Arial" w:eastAsia="Arial" w:hAnsi="Arial"/>
          <w:sz w:val="17"/>
          <w:szCs w:val="17"/>
          <w:color w:val="auto"/>
        </w:rPr>
        <w:t>the assignee, if it is not a Lender, shall deliver to the Administrative Borrower and Agent an Assignee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Certificate, and</w:t>
      </w:r>
    </w:p>
    <w:p>
      <w:pPr>
        <w:spacing w:after="0" w:line="210" w:lineRule="exact"/>
        <w:rPr>
          <w:rFonts w:ascii="Arial" w:cs="Arial" w:eastAsia="Arial" w:hAnsi="Arial"/>
          <w:sz w:val="17"/>
          <w:szCs w:val="17"/>
          <w:color w:val="auto"/>
        </w:rPr>
      </w:pPr>
    </w:p>
    <w:p>
      <w:pPr>
        <w:ind w:left="3560" w:hanging="959"/>
        <w:spacing w:after="0"/>
        <w:tabs>
          <w:tab w:leader="none" w:pos="3560" w:val="left"/>
        </w:tabs>
        <w:numPr>
          <w:ilvl w:val="3"/>
          <w:numId w:val="470"/>
        </w:numPr>
        <w:rPr>
          <w:rFonts w:ascii="Arial" w:cs="Arial" w:eastAsia="Arial" w:hAnsi="Arial"/>
          <w:sz w:val="16"/>
          <w:szCs w:val="16"/>
          <w:color w:val="auto"/>
        </w:rPr>
      </w:pPr>
      <w:r>
        <w:rPr>
          <w:rFonts w:ascii="Arial" w:cs="Arial" w:eastAsia="Arial" w:hAnsi="Arial"/>
          <w:sz w:val="16"/>
          <w:szCs w:val="16"/>
          <w:color w:val="auto"/>
        </w:rPr>
        <w:t>the assignee, if it is not a Lender, shall deliver to Agent an Administrative Questionnaire in a form approved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Agent (the "</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340" w:firstLine="1289"/>
        <w:spacing w:after="0" w:line="288" w:lineRule="auto"/>
        <w:tabs>
          <w:tab w:leader="none" w:pos="2643" w:val="left"/>
        </w:tabs>
        <w:numPr>
          <w:ilvl w:val="1"/>
          <w:numId w:val="471"/>
        </w:numPr>
        <w:rPr>
          <w:rFonts w:ascii="Arial" w:cs="Arial" w:eastAsia="Arial" w:hAnsi="Arial"/>
          <w:sz w:val="16"/>
          <w:szCs w:val="16"/>
          <w:color w:val="auto"/>
        </w:rPr>
      </w:pPr>
      <w:r>
        <w:rPr>
          <w:rFonts w:ascii="Arial" w:cs="Arial" w:eastAsia="Arial" w:hAnsi="Arial"/>
          <w:sz w:val="16"/>
          <w:szCs w:val="16"/>
          <w:color w:val="auto"/>
        </w:rPr>
        <w:t>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w:t>
      </w:r>
    </w:p>
    <w:p>
      <w:pPr>
        <w:jc w:val="both"/>
        <w:ind w:left="340" w:hanging="8"/>
        <w:spacing w:after="0" w:line="252" w:lineRule="auto"/>
        <w:tabs>
          <w:tab w:leader="none" w:pos="608"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17.9(a)</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0" w:name="page391"/>
    <w:bookmarkEnd w:id="390"/>
    <w:p>
      <w:pPr>
        <w:jc w:val="both"/>
        <w:ind w:firstLine="1289"/>
        <w:spacing w:after="0" w:line="286" w:lineRule="auto"/>
        <w:tabs>
          <w:tab w:leader="none" w:pos="2198" w:val="left"/>
        </w:tabs>
        <w:numPr>
          <w:ilvl w:val="0"/>
          <w:numId w:val="473"/>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74" w:lineRule="exact"/>
        <w:rPr>
          <w:rFonts w:ascii="Arial" w:cs="Arial" w:eastAsia="Arial" w:hAnsi="Arial"/>
          <w:sz w:val="16"/>
          <w:szCs w:val="16"/>
          <w:color w:val="auto"/>
        </w:rPr>
      </w:pPr>
    </w:p>
    <w:p>
      <w:pPr>
        <w:jc w:val="both"/>
        <w:ind w:firstLine="1289"/>
        <w:spacing w:after="0" w:line="259" w:lineRule="auto"/>
        <w:tabs>
          <w:tab w:leader="none" w:pos="2397"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Immediately upon Agent's receipt of the required processing fee, if applicable, and delivery of notice to the assigning Lender pursuant to </w:t>
      </w:r>
      <w:r>
        <w:rPr>
          <w:rFonts w:ascii="Arial" w:cs="Arial" w:eastAsia="Arial" w:hAnsi="Arial"/>
          <w:sz w:val="18"/>
          <w:szCs w:val="18"/>
          <w:u w:val="single" w:color="auto"/>
          <w:color w:val="auto"/>
        </w:rPr>
        <w:t>Section 13.1(b)</w:t>
      </w:r>
      <w:r>
        <w:rPr>
          <w:rFonts w:ascii="Arial" w:cs="Arial" w:eastAsia="Arial" w:hAnsi="Arial"/>
          <w:sz w:val="18"/>
          <w:szCs w:val="18"/>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8"/>
          <w:szCs w:val="18"/>
          <w:i w:val="1"/>
          <w:iCs w:val="1"/>
          <w:color w:val="auto"/>
        </w:rPr>
        <w:t>pro tanto</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91" w:name="page392"/>
    <w:bookmarkEnd w:id="391"/>
    <w:p>
      <w:pPr>
        <w:jc w:val="both"/>
        <w:ind w:firstLine="1289"/>
        <w:spacing w:after="0" w:line="284" w:lineRule="auto"/>
        <w:tabs>
          <w:tab w:leader="none" w:pos="2184"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Any Lender may at any time sell to one or more commercial banks, financial institutions, or other Persons (a "</w:t>
      </w:r>
      <w:r>
        <w:rPr>
          <w:rFonts w:ascii="Arial" w:cs="Arial" w:eastAsia="Arial" w:hAnsi="Arial"/>
          <w:sz w:val="16"/>
          <w:szCs w:val="16"/>
          <w:u w:val="single" w:color="auto"/>
          <w:color w:val="auto"/>
        </w:rPr>
        <w:t>Participant</w:t>
      </w:r>
      <w:r>
        <w:rPr>
          <w:rFonts w:ascii="Arial" w:cs="Arial" w:eastAsia="Arial" w:hAnsi="Arial"/>
          <w:sz w:val="16"/>
          <w:szCs w:val="16"/>
          <w:color w:val="auto"/>
        </w:rPr>
        <w:t>") participating interests in all or any portion of its Obligations, its Commitment, and the other rights and interests of that Lender (the "</w:t>
      </w:r>
      <w:r>
        <w:rPr>
          <w:rFonts w:ascii="Arial" w:cs="Arial" w:eastAsia="Arial" w:hAnsi="Arial"/>
          <w:sz w:val="16"/>
          <w:szCs w:val="16"/>
          <w:u w:val="single" w:color="auto"/>
          <w:color w:val="auto"/>
        </w:rPr>
        <w:t>Originating Lender</w:t>
      </w:r>
      <w:r>
        <w:rPr>
          <w:rFonts w:ascii="Arial" w:cs="Arial" w:eastAsia="Arial" w:hAnsi="Arial"/>
          <w:sz w:val="16"/>
          <w:szCs w:val="16"/>
          <w:color w:val="auto"/>
        </w:rPr>
        <w:t xml:space="preserve">")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 the amount or postpone the due dates of scheduled principal repayments or prepayments or premiums payable to such Participant through such Lender, (v) no participation shall be sold to a natural person, (vi) no participation shall be sold to a Loan Party or an Affiliate of a Loan Party, (vii) such Participant delivers a Participant Certificate to such Lender, Agent and the Administrative Borrower, and (viii) all amounts payable by Borrowers hereunder (other than with respect to </w:t>
      </w:r>
      <w:r>
        <w:rPr>
          <w:rFonts w:ascii="Arial" w:cs="Arial" w:eastAsia="Arial" w:hAnsi="Arial"/>
          <w:sz w:val="16"/>
          <w:szCs w:val="16"/>
          <w:u w:val="single" w:color="auto"/>
          <w:color w:val="auto"/>
        </w:rPr>
        <w:t>Section 16</w:t>
      </w:r>
      <w:r>
        <w:rPr>
          <w:rFonts w:ascii="Arial" w:cs="Arial" w:eastAsia="Arial" w:hAnsi="Arial"/>
          <w:sz w:val="16"/>
          <w:szCs w:val="16"/>
          <w:color w:val="auto"/>
        </w:rPr>
        <w:t>)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76" w:lineRule="exact"/>
        <w:rPr>
          <w:rFonts w:ascii="Arial" w:cs="Arial" w:eastAsia="Arial" w:hAnsi="Arial"/>
          <w:sz w:val="16"/>
          <w:szCs w:val="16"/>
          <w:color w:val="auto"/>
        </w:rPr>
      </w:pPr>
    </w:p>
    <w:p>
      <w:pPr>
        <w:jc w:val="both"/>
        <w:ind w:firstLine="1289"/>
        <w:spacing w:after="0" w:line="286" w:lineRule="auto"/>
        <w:tabs>
          <w:tab w:leader="none" w:pos="2237" w:val="left"/>
        </w:tabs>
        <w:numPr>
          <w:ilvl w:val="0"/>
          <w:numId w:val="474"/>
        </w:numPr>
        <w:rPr>
          <w:rFonts w:ascii="Arial" w:cs="Arial" w:eastAsia="Arial" w:hAnsi="Arial"/>
          <w:sz w:val="17"/>
          <w:szCs w:val="17"/>
          <w:color w:val="auto"/>
        </w:rPr>
      </w:pPr>
      <w:r>
        <w:rPr>
          <w:rFonts w:ascii="Arial" w:cs="Arial" w:eastAsia="Arial" w:hAnsi="Arial"/>
          <w:sz w:val="17"/>
          <w:szCs w:val="17"/>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Arial" w:cs="Arial" w:eastAsia="Arial" w:hAnsi="Arial"/>
          <w:sz w:val="17"/>
          <w:szCs w:val="17"/>
          <w:u w:val="single" w:color="auto"/>
          <w:color w:val="auto"/>
        </w:rPr>
        <w:t>Section 17.9</w:t>
      </w:r>
      <w:r>
        <w:rPr>
          <w:rFonts w:ascii="Arial" w:cs="Arial" w:eastAsia="Arial" w:hAnsi="Arial"/>
          <w:sz w:val="17"/>
          <w:szCs w:val="17"/>
          <w:color w:val="auto"/>
        </w:rPr>
        <w:t>, disclose all documents and information which it now or hereafter may have relating to any Loan Party and its Subsidiaries and their respective businesses.</w:t>
      </w:r>
    </w:p>
    <w:p>
      <w:pPr>
        <w:spacing w:after="0" w:line="165" w:lineRule="exact"/>
        <w:rPr>
          <w:rFonts w:ascii="Arial" w:cs="Arial" w:eastAsia="Arial" w:hAnsi="Arial"/>
          <w:sz w:val="17"/>
          <w:szCs w:val="17"/>
          <w:color w:val="auto"/>
        </w:rPr>
      </w:pPr>
    </w:p>
    <w:p>
      <w:pPr>
        <w:jc w:val="both"/>
        <w:ind w:firstLine="1289"/>
        <w:spacing w:after="0" w:line="276" w:lineRule="auto"/>
        <w:tabs>
          <w:tab w:leader="none" w:pos="2181" w:val="left"/>
        </w:tabs>
        <w:numPr>
          <w:ilvl w:val="0"/>
          <w:numId w:val="474"/>
        </w:numPr>
        <w:rPr>
          <w:rFonts w:ascii="Arial" w:cs="Arial" w:eastAsia="Arial" w:hAnsi="Arial"/>
          <w:sz w:val="17"/>
          <w:szCs w:val="17"/>
          <w:color w:val="auto"/>
        </w:rPr>
      </w:pPr>
      <w:r>
        <w:rPr>
          <w:rFonts w:ascii="Arial" w:cs="Arial" w:eastAsia="Arial" w:hAnsi="Arial"/>
          <w:sz w:val="17"/>
          <w:szCs w:val="17"/>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shall release such Lender from any of its obligations hereunder or substitute any such pledgee or assignee for such Lender as a party hereto.</w:t>
      </w: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392" w:name="page393"/>
    <w:bookmarkEnd w:id="392"/>
    <w:p>
      <w:pPr>
        <w:jc w:val="both"/>
        <w:ind w:firstLine="1289"/>
        <w:spacing w:after="0" w:line="285" w:lineRule="auto"/>
        <w:tabs>
          <w:tab w:leader="none" w:pos="253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Agent (as a non-fiduciary agent on behalf of Borrowers) shall maintain, or cause to be maintained,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on which it enters the name and address of each Lender as the registered owner of the Loans (and the principal amount thereof and stated interest thereon) held by such Lender (each, a "</w:t>
      </w:r>
      <w:r>
        <w:rPr>
          <w:rFonts w:ascii="Arial" w:cs="Arial" w:eastAsia="Arial" w:hAnsi="Arial"/>
          <w:sz w:val="16"/>
          <w:szCs w:val="16"/>
          <w:u w:val="single" w:color="auto"/>
          <w:color w:val="auto"/>
        </w:rPr>
        <w:t>Registered Loan</w:t>
      </w:r>
      <w:r>
        <w:rPr>
          <w:rFonts w:ascii="Arial" w:cs="Arial" w:eastAsia="Arial" w:hAnsi="Arial"/>
          <w:sz w:val="16"/>
          <w:szCs w:val="16"/>
          <w:color w:val="auto"/>
        </w:rPr>
        <w:t>"). Other than in connection with an assignment by a Lender of all or any portion of its portion of the Loans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Loans to an Affiliate of such Lender or a Related Fund of such Lender, and which assignment is not recorded in the Register, the assigning Lender, on behalf of Borrowers, shall maintain a register comparable to the Register. It is expected that the Register shall be maintained such that the Loans are in "registered form" for the purposes of the IRC, to the extent required thereby to preserve interest deductions and exemption from United States federal withholding taxes.</w:t>
      </w:r>
    </w:p>
    <w:p>
      <w:pPr>
        <w:spacing w:after="0" w:line="177" w:lineRule="exact"/>
        <w:rPr>
          <w:rFonts w:ascii="Arial" w:cs="Arial" w:eastAsia="Arial" w:hAnsi="Arial"/>
          <w:sz w:val="16"/>
          <w:szCs w:val="16"/>
          <w:color w:val="auto"/>
        </w:rPr>
      </w:pPr>
    </w:p>
    <w:p>
      <w:pPr>
        <w:jc w:val="both"/>
        <w:ind w:firstLine="1289"/>
        <w:spacing w:after="0" w:line="286" w:lineRule="auto"/>
        <w:tabs>
          <w:tab w:leader="none" w:pos="2339"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other than the Administrative Borrower, except to the extent that such disclosure is necessary to comply with applicable Tax laws, including to establish that such commitment, loan, letter of credit or other obligation is in registered form for the purposes of the IRC, including under Section 5f.103-1(c) of the United States Treasury Regulations and any successor.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It is expected that each Participant Register shall be maintained such that the Loans are in "registered form" for the purposes of the IRC, to the extent required thereby to preserve interest deductions and exemption from United States federal withholding taxes.</w:t>
      </w:r>
    </w:p>
    <w:p>
      <w:pPr>
        <w:spacing w:after="0" w:line="38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93" w:name="page394"/>
    <w:bookmarkEnd w:id="393"/>
    <w:p>
      <w:pPr>
        <w:ind w:firstLine="1289"/>
        <w:spacing w:after="0" w:line="277" w:lineRule="auto"/>
        <w:tabs>
          <w:tab w:leader="none" w:pos="225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Agent shall make a copy of the Register (and each Lender shall make a copy of its Participant Register to the extent it has one) available for review by Administrative Borrower from time to time as Administrative Borrower may reasonably request.</w:t>
      </w:r>
    </w:p>
    <w:p>
      <w:pPr>
        <w:spacing w:after="0" w:line="170" w:lineRule="exact"/>
        <w:rPr>
          <w:rFonts w:ascii="Arial" w:cs="Arial" w:eastAsia="Arial" w:hAnsi="Arial"/>
          <w:sz w:val="18"/>
          <w:szCs w:val="18"/>
          <w:color w:val="auto"/>
        </w:rPr>
      </w:pPr>
    </w:p>
    <w:p>
      <w:pPr>
        <w:jc w:val="both"/>
        <w:ind w:firstLine="1289"/>
        <w:spacing w:after="0" w:line="268" w:lineRule="auto"/>
        <w:tabs>
          <w:tab w:leader="none" w:pos="2559"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to the contrary, (i) the consent of Borrowers shall be required for any assignment or participation (A) to a Person other than a U.S. Qualifying Lender except after the occurrence and during the continuance of an Event of Default or (B) that could reasonably be expected to result in noncompliance with the Swiss Non-Bank Rules or more than ten Lenders and participants therein that are not Swiss Qualifying Lenders except after the occurrence and during the continuance of an Event of Default, and (ii) the consent of the Administrative Borrower shall be required for any assignment or participation to a Person that is a Swiss Non-Qualifying Lender except after the occurrence and during the continuance of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consent required by the foregoing clauses (i) and (ii) shall not be unreasonably withheld or delayed and in any event, such consent shall be deemed given if the applicable Borrower does not give its written decision within ten (10) Business Days after a request for such consent from Agent. For the avoidance of doubt, if the Administrative Borrower determines in its reasonable discretion that any assignment or participation would result in noncompliance with the Swiss Non-Bank Rules and/or that the number of Lenders and Participants that are Swiss Non-Qualifying Lenders would exceed the number of ten (10), then the Administrative Borrower's objection to such assignment or participation shall be deemed to be reasonable. Unless and until an Event of Default has occurred and is continuing, (x) all Lenders shall be U.S. Qualifying Lenders and (y) there shall be no more than ten Lenders and participants that enter into a sub-participation that are not Swiss Qualifying Lenders.</w:t>
      </w:r>
    </w:p>
    <w:p>
      <w:pPr>
        <w:spacing w:after="0" w:line="187" w:lineRule="exact"/>
        <w:rPr>
          <w:rFonts w:ascii="Arial" w:cs="Arial" w:eastAsia="Arial" w:hAnsi="Arial"/>
          <w:sz w:val="17"/>
          <w:szCs w:val="17"/>
          <w:color w:val="auto"/>
        </w:rPr>
      </w:pPr>
    </w:p>
    <w:p>
      <w:pPr>
        <w:jc w:val="both"/>
        <w:ind w:firstLine="1289"/>
        <w:spacing w:after="0" w:line="257" w:lineRule="auto"/>
        <w:tabs>
          <w:tab w:leader="none" w:pos="231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no assignment may be made unless after giving effect thereto the Pro Rata Share of the Joint Commitments of a Lender and its Affiliates shall equal the Pro Rata Share of the German Commitments of a Lender and its Affiliates and the Pro Rata Share of the Swiss Commitments of a Lender and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foregoing, as between the Revolver Commitments and the FILO Commitments, such Commitments of a Lender and its Affiliates may be made or continue to exist on a non pro rata basis.</w:t>
      </w:r>
    </w:p>
    <w:p>
      <w:pPr>
        <w:spacing w:after="0" w:line="188" w:lineRule="exact"/>
        <w:rPr>
          <w:rFonts w:ascii="Arial" w:cs="Arial" w:eastAsia="Arial" w:hAnsi="Arial"/>
          <w:sz w:val="18"/>
          <w:szCs w:val="18"/>
          <w:color w:val="auto"/>
        </w:rPr>
      </w:pPr>
    </w:p>
    <w:p>
      <w:pPr>
        <w:jc w:val="both"/>
        <w:ind w:firstLine="1289"/>
        <w:spacing w:after="0" w:line="264" w:lineRule="auto"/>
        <w:tabs>
          <w:tab w:leader="none" w:pos="215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For the avoidance of doubt, each Participant shall be entitled to the benefits of </w:t>
      </w:r>
      <w:r>
        <w:rPr>
          <w:rFonts w:ascii="Arial" w:cs="Arial" w:eastAsia="Arial" w:hAnsi="Arial"/>
          <w:sz w:val="18"/>
          <w:szCs w:val="18"/>
          <w:u w:val="single" w:color="auto"/>
          <w:color w:val="auto"/>
        </w:rPr>
        <w:t>Article 16</w:t>
      </w:r>
      <w:r>
        <w:rPr>
          <w:rFonts w:ascii="Arial" w:cs="Arial" w:eastAsia="Arial" w:hAnsi="Arial"/>
          <w:sz w:val="18"/>
          <w:szCs w:val="18"/>
          <w:color w:val="auto"/>
        </w:rPr>
        <w:t xml:space="preserve"> and subject to the requirements of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as if it were a Lender, but only if the Administrative Borrower has been notified of each participation sold to a Participant, and each Participant shall comply with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as though it were a Lender.</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94" w:name="page395"/>
    <w:bookmarkEnd w:id="394"/>
    <w:p>
      <w:pPr>
        <w:jc w:val="both"/>
        <w:ind w:firstLine="648"/>
        <w:spacing w:after="0" w:line="27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xml:space="preserve">. This Agreement shall bind and inure to the benefit of the respective successors and assigns of each of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may assign this Agreement or any rights or duties hereunder without the Lenders' prior written consent and any prohibited assignment shall be absolutely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No consent to assignment by the Lenders shall release any Borrower from its Obligations. A Lender may assign this Agreement and the other Loan Documents and its rights and duties hereunder and thereunder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and, except as expressly required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no consent or approval by any Borrower is required in connection with any such assignment.</w:t>
      </w:r>
    </w:p>
    <w:p>
      <w:pPr>
        <w:spacing w:after="0" w:line="168" w:lineRule="exact"/>
        <w:rPr>
          <w:sz w:val="20"/>
          <w:szCs w:val="20"/>
          <w:color w:val="auto"/>
        </w:rPr>
      </w:pPr>
    </w:p>
    <w:p>
      <w:pPr>
        <w:ind w:left="660" w:hanging="652"/>
        <w:spacing w:after="0"/>
        <w:tabs>
          <w:tab w:leader="none" w:pos="660" w:val="left"/>
        </w:tabs>
        <w:numPr>
          <w:ilvl w:val="0"/>
          <w:numId w:val="477"/>
        </w:numPr>
        <w:rPr>
          <w:rFonts w:ascii="Arial" w:cs="Arial" w:eastAsia="Arial" w:hAnsi="Arial"/>
          <w:sz w:val="18"/>
          <w:szCs w:val="18"/>
          <w:color w:val="auto"/>
        </w:rPr>
      </w:pPr>
      <w:r>
        <w:rPr>
          <w:rFonts w:ascii="Arial" w:cs="Arial" w:eastAsia="Arial" w:hAnsi="Arial"/>
          <w:sz w:val="18"/>
          <w:szCs w:val="18"/>
          <w:b w:val="1"/>
          <w:bCs w:val="1"/>
          <w:color w:val="auto"/>
        </w:rPr>
        <w:t>AMENDMENTS; WAIVERS.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14.1.</w:t>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left="340" w:firstLine="1289"/>
        <w:spacing w:after="0" w:line="255" w:lineRule="auto"/>
        <w:tabs>
          <w:tab w:leader="none" w:pos="2565"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No amendment, waiver or other modification of any provision of this Agreement or any other Loan Document (other than the Fee Letters), and no consent with respect to any departure by Parent or any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waiver, amendment, or consent shall, unless in writing and signed by all of the Lenders directly affected thereby and all of the Loan Parties that are party thereto, do any of the following:</w:t>
      </w:r>
    </w:p>
    <w:p>
      <w:pPr>
        <w:spacing w:after="0" w:line="193" w:lineRule="exact"/>
        <w:rPr>
          <w:rFonts w:ascii="Arial" w:cs="Arial" w:eastAsia="Arial" w:hAnsi="Arial"/>
          <w:sz w:val="18"/>
          <w:szCs w:val="18"/>
          <w:color w:val="auto"/>
        </w:rPr>
      </w:pPr>
    </w:p>
    <w:p>
      <w:pPr>
        <w:ind w:right="20" w:firstLine="1953"/>
        <w:spacing w:after="0" w:line="277" w:lineRule="auto"/>
        <w:tabs>
          <w:tab w:leader="none" w:pos="3204" w:val="left"/>
        </w:tabs>
        <w:numPr>
          <w:ilvl w:val="2"/>
          <w:numId w:val="477"/>
        </w:numPr>
        <w:rPr>
          <w:rFonts w:ascii="Arial" w:cs="Arial" w:eastAsia="Arial" w:hAnsi="Arial"/>
          <w:sz w:val="18"/>
          <w:szCs w:val="18"/>
          <w:color w:val="auto"/>
        </w:rPr>
      </w:pPr>
      <w:r>
        <w:rPr>
          <w:rFonts w:ascii="Arial" w:cs="Arial" w:eastAsia="Arial" w:hAnsi="Arial"/>
          <w:sz w:val="18"/>
          <w:szCs w:val="18"/>
          <w:color w:val="auto"/>
        </w:rPr>
        <w:t xml:space="preserve">increase the amount of or extend the expiration date of any Commitment of any Lender or amend, modify, or eliminate the last sentence of </w:t>
      </w:r>
      <w:r>
        <w:rPr>
          <w:rFonts w:ascii="Arial" w:cs="Arial" w:eastAsia="Arial" w:hAnsi="Arial"/>
          <w:sz w:val="18"/>
          <w:szCs w:val="18"/>
          <w:u w:val="single" w:color="auto"/>
          <w:color w:val="auto"/>
        </w:rPr>
        <w:t>Section 2.4(c)(i)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953"/>
        <w:spacing w:after="0" w:line="277" w:lineRule="auto"/>
        <w:tabs>
          <w:tab w:leader="none" w:pos="2795" w:val="left"/>
        </w:tabs>
        <w:numPr>
          <w:ilvl w:val="2"/>
          <w:numId w:val="477"/>
        </w:numPr>
        <w:rPr>
          <w:rFonts w:ascii="Arial" w:cs="Arial" w:eastAsia="Arial" w:hAnsi="Arial"/>
          <w:sz w:val="18"/>
          <w:szCs w:val="18"/>
          <w:color w:val="auto"/>
        </w:rPr>
      </w:pPr>
      <w:r>
        <w:rPr>
          <w:rFonts w:ascii="Arial" w:cs="Arial" w:eastAsia="Arial" w:hAnsi="Arial"/>
          <w:sz w:val="18"/>
          <w:szCs w:val="18"/>
          <w:color w:val="auto"/>
        </w:rPr>
        <w:t>postpone or delay any date fixed by this Agreement or any other Loan Document for any payment of principal, interest, fees, or other amounts due hereunder or under any other Loan Document,</w:t>
      </w:r>
    </w:p>
    <w:p>
      <w:pPr>
        <w:spacing w:after="0" w:line="170" w:lineRule="exact"/>
        <w:rPr>
          <w:rFonts w:ascii="Arial" w:cs="Arial" w:eastAsia="Arial" w:hAnsi="Arial"/>
          <w:sz w:val="18"/>
          <w:szCs w:val="18"/>
          <w:color w:val="auto"/>
        </w:rPr>
      </w:pPr>
    </w:p>
    <w:p>
      <w:pPr>
        <w:jc w:val="both"/>
        <w:ind w:firstLine="1953"/>
        <w:spacing w:after="0" w:line="297" w:lineRule="auto"/>
        <w:tabs>
          <w:tab w:leader="none" w:pos="2809" w:val="left"/>
        </w:tabs>
        <w:numPr>
          <w:ilvl w:val="2"/>
          <w:numId w:val="477"/>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on, any loan or other extension of credit hereunder, or reduce any fees or other amounts payable hereunder or under any other Loan Document (except (x) in connection with the waiver of applicability of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(which waiver shall be effective with the written consent of the Required Lenders), (y) it is understood that only the Required Lenders shall be required to change any financial covenant or defined term therein and (z) that any amendment or modification of defined terms used in the calculation of Average Excess Availability in this Agreement shall not constitute a reduction in the rate of interest or a reduction of fees for purposes of this clause (iii)),</w:t>
      </w:r>
    </w:p>
    <w:p>
      <w:pPr>
        <w:spacing w:after="0" w:line="158" w:lineRule="exact"/>
        <w:rPr>
          <w:rFonts w:ascii="Arial" w:cs="Arial" w:eastAsia="Arial" w:hAnsi="Arial"/>
          <w:sz w:val="16"/>
          <w:szCs w:val="16"/>
          <w:color w:val="auto"/>
        </w:rPr>
      </w:pPr>
    </w:p>
    <w:p>
      <w:pPr>
        <w:ind w:left="2880" w:hanging="927"/>
        <w:spacing w:after="0"/>
        <w:tabs>
          <w:tab w:leader="none" w:pos="2880" w:val="left"/>
        </w:tabs>
        <w:numPr>
          <w:ilvl w:val="2"/>
          <w:numId w:val="477"/>
        </w:numPr>
        <w:rPr>
          <w:rFonts w:ascii="Arial" w:cs="Arial" w:eastAsia="Arial" w:hAnsi="Arial"/>
          <w:sz w:val="16"/>
          <w:szCs w:val="16"/>
          <w:color w:val="auto"/>
        </w:rPr>
      </w:pPr>
      <w:r>
        <w:rPr>
          <w:rFonts w:ascii="Arial" w:cs="Arial" w:eastAsia="Arial" w:hAnsi="Arial"/>
          <w:sz w:val="16"/>
          <w:szCs w:val="16"/>
          <w:color w:val="auto"/>
        </w:rPr>
        <w:t>amend, modify, or eliminate this Section or any provision of this Agreement providing for consent or other action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all Lenders,</w:t>
      </w:r>
    </w:p>
    <w:p>
      <w:pPr>
        <w:spacing w:after="0" w:line="210" w:lineRule="exact"/>
        <w:rPr>
          <w:rFonts w:ascii="Arial" w:cs="Arial" w:eastAsia="Arial" w:hAnsi="Arial"/>
          <w:sz w:val="16"/>
          <w:szCs w:val="16"/>
          <w:color w:val="auto"/>
        </w:rPr>
      </w:pPr>
    </w:p>
    <w:p>
      <w:pPr>
        <w:ind w:left="2840" w:hanging="887"/>
        <w:spacing w:after="0"/>
        <w:tabs>
          <w:tab w:leader="none" w:pos="284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15.11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853" w:val="left"/>
        </w:tabs>
        <w:numPr>
          <w:ilvl w:val="2"/>
          <w:numId w:val="477"/>
        </w:numPr>
        <w:rPr>
          <w:rFonts w:ascii="Arial" w:cs="Arial" w:eastAsia="Arial" w:hAnsi="Arial"/>
          <w:sz w:val="18"/>
          <w:szCs w:val="18"/>
          <w:color w:val="auto"/>
        </w:rPr>
      </w:pPr>
      <w:r>
        <w:rPr>
          <w:rFonts w:ascii="Arial" w:cs="Arial" w:eastAsia="Arial" w:hAnsi="Arial"/>
          <w:sz w:val="18"/>
          <w:szCs w:val="18"/>
          <w:color w:val="auto"/>
        </w:rPr>
        <w:t xml:space="preserve">other than as permitted by </w:t>
      </w:r>
      <w:r>
        <w:rPr>
          <w:rFonts w:ascii="Arial" w:cs="Arial" w:eastAsia="Arial" w:hAnsi="Arial"/>
          <w:sz w:val="18"/>
          <w:szCs w:val="18"/>
          <w:u w:val="single" w:color="auto"/>
          <w:color w:val="auto"/>
        </w:rPr>
        <w:t>Section 15.11</w:t>
      </w:r>
      <w:r>
        <w:rPr>
          <w:rFonts w:ascii="Arial" w:cs="Arial" w:eastAsia="Arial" w:hAnsi="Arial"/>
          <w:sz w:val="18"/>
          <w:szCs w:val="18"/>
          <w:color w:val="auto"/>
        </w:rPr>
        <w:t>, (A) release or contractually subordinate Agent's Lien in and to any of the Collateral with a value in excess of $100,000,000, or (B) change or waive any provisions of this Agreement or any other Loan Document so as to permit any Borrower to grant any Lien that is pari passu with the Liens on Collateral with a value in excess of $100,000,000 granted to Agent for the benefit of the Lender Group and Bank Product Providers (other than any such action expressly required by the Intercreditor Agreement in respect of the L/C Facility Priority Collateral),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5" w:name="page396"/>
    <w:bookmarkEnd w:id="395"/>
    <w:p>
      <w:pPr>
        <w:ind w:firstLine="1953"/>
        <w:spacing w:after="0" w:line="277" w:lineRule="auto"/>
        <w:tabs>
          <w:tab w:leader="none" w:pos="289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amend, modify, or eliminate </w:t>
      </w:r>
      <w:r>
        <w:rPr>
          <w:rFonts w:ascii="Arial" w:cs="Arial" w:eastAsia="Arial" w:hAnsi="Arial"/>
          <w:sz w:val="18"/>
          <w:szCs w:val="18"/>
          <w:u w:val="single" w:color="auto"/>
          <w:color w:val="auto"/>
        </w:rPr>
        <w:t>Section 14.1(d)</w:t>
      </w:r>
      <w:r>
        <w:rPr>
          <w:rFonts w:ascii="Arial" w:cs="Arial" w:eastAsia="Arial" w:hAnsi="Arial"/>
          <w:sz w:val="18"/>
          <w:szCs w:val="18"/>
          <w:color w:val="auto"/>
        </w:rPr>
        <w:t xml:space="preserve"> or the definitions of "Required Lenders", "Supermajority Revolving Lenders", "Supermajority FILO Lenders" or "Pro Rata Share",</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3073" w:val="left"/>
        </w:tabs>
        <w:numPr>
          <w:ilvl w:val="1"/>
          <w:numId w:val="478"/>
        </w:numPr>
        <w:rPr>
          <w:rFonts w:ascii="Arial" w:cs="Arial" w:eastAsia="Arial" w:hAnsi="Arial"/>
          <w:sz w:val="18"/>
          <w:szCs w:val="18"/>
          <w:color w:val="auto"/>
        </w:rPr>
      </w:pPr>
      <w:r>
        <w:rPr>
          <w:rFonts w:ascii="Arial" w:cs="Arial" w:eastAsia="Arial" w:hAnsi="Arial"/>
          <w:sz w:val="18"/>
          <w:szCs w:val="18"/>
          <w:color w:val="auto"/>
        </w:rPr>
        <w:t>other than in connection with a merger, amalgamation, liquidation, dissolution or sale of such Person expressly permitted by the terms hereof or the other Loan Documents, release any Borrower or any Borrowing Base Loan Party from any obligation for the payment of money or consent to the assignment or transfer by any Borrower or any Borrowing Base Loan Party of any of its rights or duties under this Agreement or the other Loan Documents,</w:t>
      </w:r>
    </w:p>
    <w:p>
      <w:pPr>
        <w:spacing w:after="0" w:line="186" w:lineRule="exact"/>
        <w:rPr>
          <w:rFonts w:ascii="Arial" w:cs="Arial" w:eastAsia="Arial" w:hAnsi="Arial"/>
          <w:sz w:val="18"/>
          <w:szCs w:val="18"/>
          <w:color w:val="auto"/>
        </w:rPr>
      </w:pPr>
    </w:p>
    <w:p>
      <w:pPr>
        <w:ind w:left="2700" w:hanging="747"/>
        <w:spacing w:after="0"/>
        <w:tabs>
          <w:tab w:leader="none" w:pos="270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2.4(b)(i)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699"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at any time that any Real Property is included in the Collateral, add, increase, renew or extend any Loan, Letter of Credit or Commitment hereunder until the completion of flood due diligence, documentation and coverage as required by the Flood Laws or as otherwise reasonably satisfactory to all Lenders, as contemplated by </w:t>
      </w:r>
      <w:r>
        <w:rPr>
          <w:rFonts w:ascii="Arial" w:cs="Arial" w:eastAsia="Arial" w:hAnsi="Arial"/>
          <w:sz w:val="18"/>
          <w:szCs w:val="18"/>
          <w:u w:val="single" w:color="auto"/>
          <w:color w:val="auto"/>
        </w:rPr>
        <w:t>Section 5.11(f)</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firstLine="1953"/>
        <w:spacing w:after="0" w:line="277" w:lineRule="auto"/>
        <w:tabs>
          <w:tab w:leader="none" w:pos="270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with respect to assignments to, or participations with, Persons who are Loan Parties or Affiliates of a Loan Party;</w:t>
      </w:r>
    </w:p>
    <w:p>
      <w:pPr>
        <w:spacing w:after="0" w:line="170" w:lineRule="exact"/>
        <w:rPr>
          <w:rFonts w:ascii="Arial" w:cs="Arial" w:eastAsia="Arial" w:hAnsi="Arial"/>
          <w:sz w:val="18"/>
          <w:szCs w:val="18"/>
          <w:color w:val="auto"/>
        </w:rPr>
      </w:pPr>
    </w:p>
    <w:p>
      <w:pPr>
        <w:ind w:left="2520" w:hanging="891"/>
        <w:spacing w:after="0"/>
        <w:tabs>
          <w:tab w:leader="none" w:pos="25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No amendment, waiver, modification, or consent shall amend, modify, waive, or eliminate,</w:t>
      </w:r>
    </w:p>
    <w:p>
      <w:pPr>
        <w:spacing w:after="0" w:line="225" w:lineRule="exact"/>
        <w:rPr>
          <w:rFonts w:ascii="Arial" w:cs="Arial" w:eastAsia="Arial" w:hAnsi="Arial"/>
          <w:sz w:val="18"/>
          <w:szCs w:val="18"/>
          <w:color w:val="auto"/>
        </w:rPr>
      </w:pPr>
    </w:p>
    <w:p>
      <w:pPr>
        <w:ind w:firstLine="1953"/>
        <w:spacing w:after="0" w:line="277" w:lineRule="auto"/>
        <w:tabs>
          <w:tab w:leader="none" w:pos="2871" w:val="left"/>
        </w:tabs>
        <w:numPr>
          <w:ilvl w:val="1"/>
          <w:numId w:val="479"/>
        </w:numPr>
        <w:rPr>
          <w:rFonts w:ascii="Arial" w:cs="Arial" w:eastAsia="Arial" w:hAnsi="Arial"/>
          <w:sz w:val="18"/>
          <w:szCs w:val="18"/>
          <w:color w:val="auto"/>
        </w:rPr>
      </w:pPr>
      <w:r>
        <w:rPr>
          <w:rFonts w:ascii="Arial" w:cs="Arial" w:eastAsia="Arial" w:hAnsi="Arial"/>
          <w:sz w:val="18"/>
          <w:szCs w:val="18"/>
          <w:color w:val="auto"/>
        </w:rPr>
        <w:t>the definition of, or any of the terms or provisions of, the Agent Fee Letter, without the written consent of Agent and Borrowers (and shall not require the written consent of any of the Lenders),</w:t>
      </w:r>
    </w:p>
    <w:p>
      <w:pPr>
        <w:spacing w:after="0" w:line="170" w:lineRule="exact"/>
        <w:rPr>
          <w:rFonts w:ascii="Arial" w:cs="Arial" w:eastAsia="Arial" w:hAnsi="Arial"/>
          <w:sz w:val="18"/>
          <w:szCs w:val="18"/>
          <w:color w:val="auto"/>
        </w:rPr>
      </w:pPr>
    </w:p>
    <w:p>
      <w:pPr>
        <w:ind w:firstLine="1953"/>
        <w:spacing w:after="0" w:line="277" w:lineRule="auto"/>
        <w:tabs>
          <w:tab w:leader="none" w:pos="2795" w:val="left"/>
        </w:tabs>
        <w:numPr>
          <w:ilvl w:val="1"/>
          <w:numId w:val="479"/>
        </w:numPr>
        <w:rPr>
          <w:rFonts w:ascii="Arial" w:cs="Arial" w:eastAsia="Arial" w:hAnsi="Arial"/>
          <w:sz w:val="18"/>
          <w:szCs w:val="18"/>
          <w:color w:val="auto"/>
        </w:rPr>
      </w:pPr>
      <w:r>
        <w:rPr>
          <w:rFonts w:ascii="Arial" w:cs="Arial" w:eastAsia="Arial" w:hAnsi="Arial"/>
          <w:sz w:val="18"/>
          <w:szCs w:val="18"/>
          <w:color w:val="auto"/>
        </w:rPr>
        <w:t>the definition of, or any of the terms or provisions of, the Joint Fee Letter, without the written consent of the Joint Lead Arrangers, DBNY, Parent and Borrowers (and shall not require the written consent of any of the Lenders), or</w:t>
      </w:r>
    </w:p>
    <w:p>
      <w:pPr>
        <w:spacing w:after="0" w:line="170" w:lineRule="exact"/>
        <w:rPr>
          <w:rFonts w:ascii="Arial" w:cs="Arial" w:eastAsia="Arial" w:hAnsi="Arial"/>
          <w:sz w:val="18"/>
          <w:szCs w:val="18"/>
          <w:color w:val="auto"/>
        </w:rPr>
      </w:pPr>
    </w:p>
    <w:p>
      <w:pPr>
        <w:ind w:firstLine="1953"/>
        <w:spacing w:after="0" w:line="277" w:lineRule="auto"/>
        <w:tabs>
          <w:tab w:leader="none" w:pos="296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 xml:space="preserve">any provision of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pertaining to Agent, or any other rights or duties of Agent under this Agreement or the other Loan Documents, without the written consent of Agent, Borrowers, and the Required Lenders;</w:t>
      </w:r>
    </w:p>
    <w:p>
      <w:pPr>
        <w:spacing w:after="0" w:line="170" w:lineRule="exact"/>
        <w:rPr>
          <w:rFonts w:ascii="Arial" w:cs="Arial" w:eastAsia="Arial" w:hAnsi="Arial"/>
          <w:sz w:val="18"/>
          <w:szCs w:val="18"/>
          <w:color w:val="auto"/>
        </w:rPr>
      </w:pPr>
    </w:p>
    <w:p>
      <w:pPr>
        <w:jc w:val="both"/>
        <w:ind w:left="340" w:firstLine="1289"/>
        <w:spacing w:after="0" w:line="255" w:lineRule="auto"/>
        <w:tabs>
          <w:tab w:leader="none" w:pos="275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No amendment, waiver, modification, elimination, or consent shall, without written consent of Agent, Borrowers, the Supermajority Revolving Lenders and the Supermajority FILO Lenders, amend, modify, or eliminate the definitions of "Borrowing Base", "Joint Borrowing Base", "German Borrowing Base", "Swiss Borrowing Base" or any of the defined terms (including the definitions of "Eligible Accounts", "Eligible Unbilled Accounts", "Eligible Investment Grade Account", "Eligible Inventory", "Eligible Finished Goods Inventory", "Eligible Work-in-Process Inventory ", "Eligible Rental Tools" and any defined term used therein) that are used in such definition to the extent that any such change results in more credit being made available to Borrowers based upon the Borrowing Base, but not otherwise, or the definition of "Maximum Revolver Amount", or change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6" w:name="page397"/>
    <w:bookmarkEnd w:id="396"/>
    <w:p>
      <w:pPr>
        <w:jc w:val="both"/>
        <w:ind w:left="340" w:firstLine="1289"/>
        <w:spacing w:after="0" w:line="255" w:lineRule="auto"/>
        <w:tabs>
          <w:tab w:leader="none" w:pos="264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(i) without written consent of Agent, Borrowers and the Supermajority FILO Lenders, amend, modify, or eliminate the definition of "FILO Borrowing Base" or any of the defined terms that are used in such definition to the extent that any such change results in more credit being made available to Borrowers based upon the Borrowing Base, but not otherwise, or the definition of "Maximum FILO Amount", or (ii) without written consent of Agent, Borrowers and Lenders holding greater than 50% of the aggregate FILO Loan Exposure, amend any definitions or provisions with respect to the FILO Lenders, FILO Loans, FILO Letter of Credit Usage or FILO Usage;</w:t>
      </w:r>
    </w:p>
    <w:p>
      <w:pPr>
        <w:spacing w:after="0" w:line="193" w:lineRule="exact"/>
        <w:rPr>
          <w:rFonts w:ascii="Arial" w:cs="Arial" w:eastAsia="Arial" w:hAnsi="Arial"/>
          <w:sz w:val="18"/>
          <w:szCs w:val="18"/>
          <w:color w:val="auto"/>
        </w:rPr>
      </w:pPr>
    </w:p>
    <w:p>
      <w:pPr>
        <w:jc w:val="both"/>
        <w:ind w:left="340" w:firstLine="1289"/>
        <w:spacing w:after="0" w:line="264" w:lineRule="auto"/>
        <w:tabs>
          <w:tab w:leader="none" w:pos="287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Borrowers, and the Required Lenders;</w:t>
      </w:r>
    </w:p>
    <w:p>
      <w:pPr>
        <w:spacing w:after="0" w:line="181" w:lineRule="exact"/>
        <w:rPr>
          <w:rFonts w:ascii="Arial" w:cs="Arial" w:eastAsia="Arial" w:hAnsi="Arial"/>
          <w:sz w:val="18"/>
          <w:szCs w:val="18"/>
          <w:color w:val="auto"/>
        </w:rPr>
      </w:pPr>
    </w:p>
    <w:p>
      <w:pPr>
        <w:jc w:val="both"/>
        <w:ind w:left="340" w:firstLine="1289"/>
        <w:spacing w:after="0" w:line="264" w:lineRule="auto"/>
        <w:tabs>
          <w:tab w:leader="none" w:pos="2901"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 and</w:t>
      </w:r>
    </w:p>
    <w:p>
      <w:pPr>
        <w:spacing w:after="0" w:line="181" w:lineRule="exact"/>
        <w:rPr>
          <w:rFonts w:ascii="Arial" w:cs="Arial" w:eastAsia="Arial" w:hAnsi="Arial"/>
          <w:sz w:val="18"/>
          <w:szCs w:val="18"/>
          <w:color w:val="auto"/>
        </w:rPr>
      </w:pPr>
    </w:p>
    <w:p>
      <w:pPr>
        <w:jc w:val="both"/>
        <w:ind w:left="340" w:firstLine="1289"/>
        <w:spacing w:after="0" w:line="255" w:lineRule="auto"/>
        <w:tabs>
          <w:tab w:leader="none" w:pos="277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that affect such Lender.</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u w:val="single" w:color="auto"/>
          <w:color w:val="auto"/>
        </w:rPr>
        <w:t>Replacement of Certain Lenders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3" w:lineRule="auto"/>
        <w:tabs>
          <w:tab w:leader="none" w:pos="218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If a Borrower is required to pay any Indemnified Taxes or additional amounts to any Lender or any Governmental Authority for the account of any Lender pursuant to Section 16.1, then such Lender shall use reasonable efforts to designate a different lending office for funding or booking its Letters of Credit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in the future and (ii) would not subject such Lender to any unreimbursed cost or expense and would not otherwise be disadvantageous to such Lender. Borrowers hereby agree to pay all reasonable costs and expenses incurred by any Lender in connection with any such designation or assignment.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97" w:name="page398"/>
    <w:bookmarkEnd w:id="397"/>
    <w:p>
      <w:pPr>
        <w:jc w:val="both"/>
        <w:ind w:left="340" w:firstLine="1289"/>
        <w:spacing w:after="0" w:line="287" w:lineRule="auto"/>
        <w:tabs>
          <w:tab w:leader="none" w:pos="2602" w:val="left"/>
        </w:tabs>
        <w:numPr>
          <w:ilvl w:val="1"/>
          <w:numId w:val="482"/>
        </w:numPr>
        <w:rPr>
          <w:rFonts w:ascii="Arial" w:cs="Arial" w:eastAsia="Arial" w:hAnsi="Arial"/>
          <w:sz w:val="16"/>
          <w:szCs w:val="16"/>
          <w:color w:val="auto"/>
        </w:rPr>
      </w:pPr>
      <w:r>
        <w:rPr>
          <w:rFonts w:ascii="Arial" w:cs="Arial" w:eastAsia="Arial" w:hAnsi="Arial"/>
          <w:sz w:val="16"/>
          <w:szCs w:val="16"/>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(ii) a Borrower is required to pay any Indemnified Taxes or additional amounts to any Lender or any Governmental Authority for the account of any Lender pursuant to Section 16 </w:t>
      </w:r>
      <w:r>
        <w:rPr>
          <w:rFonts w:ascii="Arial" w:cs="Arial" w:eastAsia="Arial" w:hAnsi="Arial"/>
          <w:sz w:val="16"/>
          <w:szCs w:val="16"/>
          <w:u w:val="single" w:color="auto"/>
          <w:color w:val="auto"/>
        </w:rPr>
        <w:t>or (iii)</w:t>
      </w:r>
      <w:r>
        <w:rPr>
          <w:rFonts w:ascii="Arial" w:cs="Arial" w:eastAsia="Arial" w:hAnsi="Arial"/>
          <w:sz w:val="16"/>
          <w:szCs w:val="16"/>
          <w:color w:val="auto"/>
        </w:rPr>
        <w:t xml:space="preserve"> any Lender becomes a Swiss Non-Qualifying Lender (but only if such event causes a breach of the Swiss Non-Bank Rules) or (iv) any Lender fails to provide its consent to a Redomestication under the laws of a jurisdiction (other than Canada, Ireland, England, Wales, Scotland, Northern Ireland or The Kingdom of the Netherlands) outside of the United States, then Borrowers or Agent, upon at least five Business Days prior irrevocable notice, may permanently replace any Lender that failed to give its consent, authorization, or agreement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or any Lender that made a claim for compensation or became a Swiss Non-Qualifying Lender (a "</w:t>
      </w:r>
      <w:r>
        <w:rPr>
          <w:rFonts w:ascii="Arial" w:cs="Arial" w:eastAsia="Arial" w:hAnsi="Arial"/>
          <w:sz w:val="16"/>
          <w:szCs w:val="16"/>
          <w:u w:val="single" w:color="auto"/>
          <w:color w:val="auto"/>
        </w:rPr>
        <w:t>Tax Lender</w:t>
      </w:r>
      <w:r>
        <w:rPr>
          <w:rFonts w:ascii="Arial" w:cs="Arial" w:eastAsia="Arial" w:hAnsi="Arial"/>
          <w:sz w:val="16"/>
          <w:szCs w:val="16"/>
          <w:color w:val="auto"/>
        </w:rPr>
        <w:t>") with one or more Replacement Lenders, and the Non-Consenting Lender or Tax Lender, as applicable, shall have no right to refuse to be replaced hereunder. Such notice to replace the Non-Consenting Lender or Tax Lender, as applicable, shall specify an effective date for such replacement, which date shall not be later than 15 Business Days after the date such notice is given.</w:t>
      </w:r>
    </w:p>
    <w:p>
      <w:pPr>
        <w:spacing w:after="0" w:line="172" w:lineRule="exact"/>
        <w:rPr>
          <w:rFonts w:ascii="Arial" w:cs="Arial" w:eastAsia="Arial" w:hAnsi="Arial"/>
          <w:sz w:val="16"/>
          <w:szCs w:val="16"/>
          <w:color w:val="auto"/>
        </w:rPr>
      </w:pPr>
    </w:p>
    <w:p>
      <w:pPr>
        <w:jc w:val="both"/>
        <w:ind w:left="340" w:firstLine="1289"/>
        <w:spacing w:after="0" w:line="286" w:lineRule="auto"/>
        <w:tabs>
          <w:tab w:leader="none" w:pos="2835" w:val="left"/>
        </w:tabs>
        <w:numPr>
          <w:ilvl w:val="1"/>
          <w:numId w:val="482"/>
        </w:numPr>
        <w:rPr>
          <w:rFonts w:ascii="Arial" w:cs="Arial" w:eastAsia="Arial" w:hAnsi="Arial"/>
          <w:sz w:val="16"/>
          <w:szCs w:val="16"/>
          <w:color w:val="auto"/>
        </w:rPr>
      </w:pPr>
      <w:r>
        <w:rPr>
          <w:rFonts w:ascii="Arial" w:cs="Arial" w:eastAsia="Arial" w:hAnsi="Arial"/>
          <w:sz w:val="16"/>
          <w:szCs w:val="16"/>
          <w:color w:val="auto"/>
        </w:rPr>
        <w:t>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 (i) all interest, fees and other amounts that may be due in payable in respect thereof, (ii) an assumption of its Pro Rata Share of participations in the Letters of Credit, and</w:t>
      </w:r>
    </w:p>
    <w:p>
      <w:pPr>
        <w:spacing w:after="0" w:line="1" w:lineRule="exact"/>
        <w:rPr>
          <w:rFonts w:ascii="Arial" w:cs="Arial" w:eastAsia="Arial" w:hAnsi="Arial"/>
          <w:sz w:val="16"/>
          <w:szCs w:val="16"/>
          <w:color w:val="auto"/>
        </w:rPr>
      </w:pPr>
    </w:p>
    <w:p>
      <w:pPr>
        <w:jc w:val="both"/>
        <w:ind w:left="340" w:hanging="8"/>
        <w:spacing w:after="0" w:line="287" w:lineRule="auto"/>
        <w:tabs>
          <w:tab w:leader="none" w:pos="668"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Funding Losses). If the Non-Consenting Lender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 accordance with the terms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w:t>
      </w:r>
      <w:r>
        <w:rPr>
          <w:rFonts w:ascii="Arial" w:cs="Arial" w:eastAsia="Arial" w:hAnsi="Arial"/>
          <w:sz w:val="16"/>
          <w:szCs w:val="16"/>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to purchase a participation in each Letter of Credit, in an amount equal to its Pro Rata Share of participations in such Letters of Credit.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No Waivers; Cumulative Remedies</w:t>
      </w:r>
      <w:r>
        <w:rPr>
          <w:rFonts w:ascii="Arial" w:cs="Arial" w:eastAsia="Arial" w:hAnsi="Arial"/>
          <w:sz w:val="18"/>
          <w:szCs w:val="18"/>
          <w:color w:val="auto"/>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Parent and Borrowers of any provision of this Agreement. Agent's and each Lender's rights under this Agreement and the other Loan Documents will be cumulative and not exclusive of any other right or remedy that Agent or any Lender may have.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8" w:name="page399"/>
    <w:bookmarkEnd w:id="398"/>
    <w:p>
      <w:pPr>
        <w:ind w:left="660" w:hanging="652"/>
        <w:spacing w:after="0"/>
        <w:tabs>
          <w:tab w:leader="none" w:pos="660" w:val="left"/>
        </w:tabs>
        <w:numPr>
          <w:ilvl w:val="0"/>
          <w:numId w:val="484"/>
        </w:numPr>
        <w:rPr>
          <w:rFonts w:ascii="Arial" w:cs="Arial" w:eastAsia="Arial" w:hAnsi="Arial"/>
          <w:sz w:val="18"/>
          <w:szCs w:val="18"/>
          <w:color w:val="auto"/>
        </w:rPr>
      </w:pPr>
      <w:r>
        <w:rPr>
          <w:rFonts w:ascii="Arial" w:cs="Arial" w:eastAsia="Arial" w:hAnsi="Arial"/>
          <w:sz w:val="18"/>
          <w:szCs w:val="18"/>
          <w:b w:val="1"/>
          <w:bCs w:val="1"/>
          <w:color w:val="auto"/>
        </w:rPr>
        <w:t>AGENT; THE LENDER GROUP.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15.1.</w:t>
      </w:r>
      <w:r>
        <w:rPr>
          <w:rFonts w:ascii="Arial" w:cs="Arial" w:eastAsia="Arial" w:hAnsi="Arial"/>
          <w:sz w:val="16"/>
          <w:szCs w:val="16"/>
          <w:b w:val="1"/>
          <w:bCs w:val="1"/>
          <w:u w:val="single" w:color="auto"/>
          <w:color w:val="auto"/>
        </w:rPr>
        <w:t>Appointment and Authorization of Agent</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left="340" w:firstLine="1289"/>
        <w:spacing w:after="0" w:line="284" w:lineRule="auto"/>
        <w:tabs>
          <w:tab w:leader="none" w:pos="2538" w:val="left"/>
        </w:tabs>
        <w:numPr>
          <w:ilvl w:val="1"/>
          <w:numId w:val="484"/>
        </w:numPr>
        <w:rPr>
          <w:rFonts w:ascii="Arial" w:cs="Arial" w:eastAsia="Arial" w:hAnsi="Arial"/>
          <w:sz w:val="16"/>
          <w:szCs w:val="16"/>
          <w:color w:val="auto"/>
        </w:rPr>
      </w:pPr>
      <w:r>
        <w:rPr>
          <w:rFonts w:ascii="Arial" w:cs="Arial" w:eastAsia="Arial" w:hAnsi="Arial"/>
          <w:sz w:val="16"/>
          <w:szCs w:val="16"/>
          <w:color w:val="auto"/>
        </w:rPr>
        <w:t xml:space="preserve">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Arial" w:cs="Arial" w:eastAsia="Arial" w:hAnsi="Arial"/>
          <w:sz w:val="16"/>
          <w:szCs w:val="16"/>
          <w:u w:val="single" w:color="auto"/>
          <w:color w:val="auto"/>
        </w:rPr>
        <w:t>Section 15</w:t>
      </w:r>
      <w:r>
        <w:rPr>
          <w:rFonts w:ascii="Arial" w:cs="Arial" w:eastAsia="Arial" w:hAnsi="Arial"/>
          <w:sz w:val="16"/>
          <w:szCs w:val="16"/>
          <w:color w:val="auto"/>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reasonably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reasonably necessary or appropriate for the performance and fulfillment of its functions and powers pursuant to the Loan Documents.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9" w:name="page400"/>
    <w:bookmarkEnd w:id="399"/>
    <w:p>
      <w:pPr>
        <w:ind w:left="340" w:firstLine="1289"/>
        <w:spacing w:after="0" w:line="277" w:lineRule="auto"/>
        <w:tabs>
          <w:tab w:leader="none" w:pos="257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 relation to Collateral which is subject to a Swiss Security Document, Agent shall, subject to and in accordance with the provisions of the Intercreditor Agreement:</w:t>
      </w:r>
    </w:p>
    <w:p>
      <w:pPr>
        <w:spacing w:after="0" w:line="170" w:lineRule="exact"/>
        <w:rPr>
          <w:rFonts w:ascii="Arial" w:cs="Arial" w:eastAsia="Arial" w:hAnsi="Arial"/>
          <w:sz w:val="18"/>
          <w:szCs w:val="18"/>
          <w:color w:val="auto"/>
        </w:rPr>
      </w:pPr>
    </w:p>
    <w:p>
      <w:pPr>
        <w:ind w:firstLine="1953"/>
        <w:spacing w:after="0" w:line="277" w:lineRule="auto"/>
        <w:tabs>
          <w:tab w:leader="none" w:pos="288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hold and administer any non-accessory Collateral (</w:t>
      </w:r>
      <w:r>
        <w:rPr>
          <w:rFonts w:ascii="Arial" w:cs="Arial" w:eastAsia="Arial" w:hAnsi="Arial"/>
          <w:sz w:val="18"/>
          <w:szCs w:val="18"/>
          <w:i w:val="1"/>
          <w:iCs w:val="1"/>
          <w:color w:val="auto"/>
        </w:rPr>
        <w:t>nicht-akzessorische Sicherheit</w:t>
      </w:r>
      <w:r>
        <w:rPr>
          <w:rFonts w:ascii="Arial" w:cs="Arial" w:eastAsia="Arial" w:hAnsi="Arial"/>
          <w:sz w:val="18"/>
          <w:szCs w:val="18"/>
          <w:color w:val="auto"/>
        </w:rPr>
        <w:t>) governed by Swiss law 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benefit of the Lender Group and the Bank Product Providers; and</w:t>
      </w:r>
    </w:p>
    <w:p>
      <w:pPr>
        <w:spacing w:after="0" w:line="170" w:lineRule="exact"/>
        <w:rPr>
          <w:rFonts w:ascii="Arial" w:cs="Arial" w:eastAsia="Arial" w:hAnsi="Arial"/>
          <w:sz w:val="18"/>
          <w:szCs w:val="18"/>
          <w:color w:val="auto"/>
        </w:rPr>
      </w:pPr>
    </w:p>
    <w:p>
      <w:pPr>
        <w:ind w:firstLine="1953"/>
        <w:spacing w:after="0" w:line="277" w:lineRule="auto"/>
        <w:tabs>
          <w:tab w:leader="none" w:pos="2808" w:val="left"/>
        </w:tabs>
        <w:numPr>
          <w:ilvl w:val="1"/>
          <w:numId w:val="485"/>
        </w:numPr>
        <w:rPr>
          <w:rFonts w:ascii="Arial" w:cs="Arial" w:eastAsia="Arial" w:hAnsi="Arial"/>
          <w:sz w:val="18"/>
          <w:szCs w:val="18"/>
          <w:color w:val="auto"/>
        </w:rPr>
      </w:pPr>
      <w:r>
        <w:rPr>
          <w:rFonts w:ascii="Arial" w:cs="Arial" w:eastAsia="Arial" w:hAnsi="Arial"/>
          <w:sz w:val="18"/>
          <w:szCs w:val="18"/>
          <w:color w:val="auto"/>
        </w:rPr>
        <w:t>hold and administer any accessory Collateral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governed by Swiss law as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in the name and on behalf of the Lender Group and the Bank Product Providers.</w:t>
      </w:r>
    </w:p>
    <w:p>
      <w:pPr>
        <w:spacing w:after="0" w:line="170" w:lineRule="exact"/>
        <w:rPr>
          <w:rFonts w:ascii="Arial" w:cs="Arial" w:eastAsia="Arial" w:hAnsi="Arial"/>
          <w:sz w:val="18"/>
          <w:szCs w:val="18"/>
          <w:color w:val="auto"/>
        </w:rPr>
      </w:pPr>
    </w:p>
    <w:p>
      <w:pPr>
        <w:ind w:left="340" w:firstLine="1289"/>
        <w:spacing w:after="0" w:line="277" w:lineRule="auto"/>
        <w:tabs>
          <w:tab w:leader="none" w:pos="2511"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Each member of the Lender Group hereby appoints Agent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and authorizes Agent (whether or not by or through employees or agents) to:</w:t>
      </w:r>
    </w:p>
    <w:p>
      <w:pPr>
        <w:spacing w:after="0" w:line="170" w:lineRule="exact"/>
        <w:rPr>
          <w:rFonts w:ascii="Arial" w:cs="Arial" w:eastAsia="Arial" w:hAnsi="Arial"/>
          <w:sz w:val="18"/>
          <w:szCs w:val="18"/>
          <w:color w:val="auto"/>
        </w:rPr>
      </w:pPr>
    </w:p>
    <w:p>
      <w:pPr>
        <w:ind w:right="20" w:firstLine="1953"/>
        <w:spacing w:after="0" w:line="277" w:lineRule="auto"/>
        <w:tabs>
          <w:tab w:leader="none" w:pos="293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exercise such rights, remedies, powers and discretions as are specifically delegated to or conferred upon Agent under the relevant Swiss Security Documents together with such powers and discretions as are reasonably incidental thereto;</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take such action on its behalf as may from time to time be authorized under or in accordance with the relevant Swiss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Documents; and</w:t>
      </w:r>
    </w:p>
    <w:p>
      <w:pPr>
        <w:spacing w:after="0" w:line="210" w:lineRule="exact"/>
        <w:rPr>
          <w:rFonts w:ascii="Arial" w:cs="Arial" w:eastAsia="Arial" w:hAnsi="Arial"/>
          <w:sz w:val="16"/>
          <w:szCs w:val="16"/>
          <w:color w:val="auto"/>
        </w:rPr>
      </w:pPr>
    </w:p>
    <w:p>
      <w:pPr>
        <w:jc w:val="both"/>
        <w:ind w:firstLine="1953"/>
        <w:spacing w:after="0" w:line="257" w:lineRule="auto"/>
        <w:tabs>
          <w:tab w:leader="none" w:pos="2876"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accept, enter into and execute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any pledge or other creation of any accessory security right granted in favor of the Lender Group in connection with the Loan Documents under Swiss law and to agree to and execute in its name and on its behalf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any amendments, confirmations and/or alterations to any Swiss Security Document which creates a pledge or any other accessory security right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including the release or confirmation of release of such Collateral, all subject to the provisions of the Intercreditor Agreement.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u w:val="single" w:color="auto"/>
          <w:color w:val="auto"/>
        </w:rPr>
        <w:t>Delegation of Duties</w:t>
      </w:r>
      <w:r>
        <w:rPr>
          <w:rFonts w:ascii="Arial" w:cs="Arial" w:eastAsia="Arial" w:hAnsi="Arial"/>
          <w:sz w:val="16"/>
          <w:szCs w:val="16"/>
          <w:color w:val="auto"/>
        </w:rPr>
        <w:t>. Agent may execute any of its duties under this Agreement or any other Loan Document by or through agents, employees or attorneys in fact and shall be entitled to advice of counsel concerning all matters pertaining to such duties. Without limitation of the foregoing, Agent may at any time designate and appoint WF Canada or another Person selected by Agent as Agent's subagent (the "</w:t>
      </w:r>
      <w:r>
        <w:rPr>
          <w:rFonts w:ascii="Arial" w:cs="Arial" w:eastAsia="Arial" w:hAnsi="Arial"/>
          <w:sz w:val="16"/>
          <w:szCs w:val="16"/>
          <w:u w:val="single" w:color="auto"/>
          <w:color w:val="auto"/>
        </w:rPr>
        <w:t>Canadian Subagent</w:t>
      </w:r>
      <w:r>
        <w:rPr>
          <w:rFonts w:ascii="Arial" w:cs="Arial" w:eastAsia="Arial" w:hAnsi="Arial"/>
          <w:sz w:val="16"/>
          <w:szCs w:val="16"/>
          <w:color w:val="auto"/>
        </w:rPr>
        <w:t xml:space="preserve">") with respect to all or any part of the Collateral of the Canadian Loan Parties, and WF Canada hereby agrees to accept such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Canadian Subagent shall not be authorized to take any action with respect to any such Collateral unless and except to the extent expressly authorized in writing by Agent. Should any instrument in writing from any Loan Party be required by the Canadian Subagent to more fully or certainly vest in and confirm to the Canadian Subagent such rights, powers, privileges and duties, such Loan Party shall execute, acknowledge and deliver any and all such instruments promptly upon request by Agent. If the Canadian Subagent, or successor thereto, shall resign or be removed, all rights, powers, privileges and duties of the Canadian Subagent, to the extent permitted by law, shall automatically vest in and be exercised by Agent until the appointment of a new Canadian Subagent. Each member of the Lender Group and each Loan Party acknowledges and agrees that any agent (including Canadian Subagent) appointed by Agent shall be entitled to the rights and benefits of Agent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15. Agent shall not be responsible for the negligence or misconduct of any agent (including the Canadian Subagent) or attorney in fact that it selects as long as such selection was made without gross negligence or willful misconduct.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0" w:name="page401"/>
    <w:bookmarkEnd w:id="400"/>
    <w:p>
      <w:pPr>
        <w:jc w:val="both"/>
        <w:ind w:firstLine="648"/>
        <w:spacing w:after="0" w:line="269"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u w:val="single" w:color="auto"/>
          <w:color w:val="auto"/>
        </w:rPr>
        <w:t>Liability of Agent</w:t>
      </w:r>
      <w:r>
        <w:rPr>
          <w:rFonts w:ascii="Arial" w:cs="Arial" w:eastAsia="Arial" w:hAnsi="Arial"/>
          <w:sz w:val="17"/>
          <w:szCs w:val="17"/>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Reliance by Agent</w:t>
      </w:r>
      <w:r>
        <w:rPr>
          <w:rFonts w:ascii="Arial" w:cs="Arial" w:eastAsia="Arial" w:hAnsi="Arial"/>
          <w:sz w:val="16"/>
          <w:szCs w:val="16"/>
          <w:color w:val="auto"/>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1" w:name="page402"/>
    <w:bookmarkEnd w:id="401"/>
    <w:p>
      <w:pPr>
        <w:jc w:val="both"/>
        <w:ind w:firstLine="648"/>
        <w:spacing w:after="0" w:line="290"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b w:val="1"/>
          <w:bCs w:val="1"/>
          <w:u w:val="single" w:color="auto"/>
          <w:color w:val="auto"/>
        </w:rPr>
        <w:t>Notice of Default or Event of Default</w:t>
      </w:r>
      <w:r>
        <w:rPr>
          <w:rFonts w:ascii="Arial" w:cs="Arial" w:eastAsia="Arial" w:hAnsi="Arial"/>
          <w:sz w:val="16"/>
          <w:szCs w:val="16"/>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Agent shall take such action with respect to such Default or Event of Default as may be requested by the Required Lenders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b w:val="1"/>
          <w:bCs w:val="1"/>
          <w:u w:val="single" w:color="auto"/>
          <w:color w:val="auto"/>
        </w:rPr>
        <w:t>Credit Decision</w:t>
      </w:r>
      <w:r>
        <w:rPr>
          <w:rFonts w:ascii="Arial" w:cs="Arial" w:eastAsia="Arial" w:hAnsi="Arial"/>
          <w:sz w:val="16"/>
          <w:szCs w:val="16"/>
          <w:color w:val="auto"/>
        </w:rPr>
        <w:t>. Each Lender (and Bank Product Provider)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2" w:name="page403"/>
    <w:bookmarkEnd w:id="402"/>
    <w:p>
      <w:pPr>
        <w:jc w:val="both"/>
        <w:ind w:firstLine="648"/>
        <w:spacing w:after="0" w:line="285"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b w:val="1"/>
          <w:bCs w:val="1"/>
          <w:u w:val="single" w:color="auto"/>
          <w:color w:val="auto"/>
        </w:rPr>
        <w:t>Costs and Expenses; Indemnification</w:t>
      </w:r>
      <w:r>
        <w:rPr>
          <w:rFonts w:ascii="Arial" w:cs="Arial" w:eastAsia="Arial" w:hAnsi="Arial"/>
          <w:sz w:val="16"/>
          <w:szCs w:val="16"/>
          <w:color w:val="auto"/>
        </w:rPr>
        <w:t xml:space="preserve">. Agent may incur and pay Lender Group Expenses to the extent Agent reasonably deems reasonably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the Loan Parties and their Subsidiaries, each Lender hereby agrees that it is and shall be obligated to pay to Agent such Lender's ratable share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u w:val="single" w:color="auto"/>
          <w:color w:val="auto"/>
        </w:rPr>
        <w:t>Agent in Individual Capacity</w:t>
      </w:r>
      <w:r>
        <w:rPr>
          <w:rFonts w:ascii="Arial" w:cs="Arial" w:eastAsia="Arial" w:hAnsi="Arial"/>
          <w:sz w:val="18"/>
          <w:szCs w:val="18"/>
          <w:color w:val="auto"/>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3" w:name="page404"/>
    <w:bookmarkEnd w:id="403"/>
    <w:p>
      <w:pPr>
        <w:jc w:val="both"/>
        <w:ind w:firstLine="648"/>
        <w:spacing w:after="0" w:line="285"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b w:val="1"/>
          <w:bCs w:val="1"/>
          <w:u w:val="single" w:color="auto"/>
          <w:color w:val="auto"/>
        </w:rPr>
        <w:t>Successor Agent</w:t>
      </w:r>
      <w:r>
        <w:rPr>
          <w:rFonts w:ascii="Arial" w:cs="Arial" w:eastAsia="Arial" w:hAnsi="Arial"/>
          <w:sz w:val="16"/>
          <w:szCs w:val="16"/>
          <w:color w:val="auto"/>
        </w:rPr>
        <w:t xml:space="preserve">. Agent may resign as Agent upon 30 days (ten days if an Event of Default has occurred and is continuing) prior written notice to the Lenders (unless such notice is waived by the Required Lenders) and Borrowers (unless such notice is waived by Borrowers or a Default or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 Notwithstanding anything to the contrary contained herein, the parties hereto acknowledge and agree that, for purposes of any Security Agreement expressed to be governed by the laws of the Netherlands, any resignation by Agent is not effective with respect to its rights and obligations under the Parallel Debts until such rights and obligations are assigned to the successor agent. The resigning Agent will reasonably cooperate in assigning its rights under the Parallel Debts to any such successor agent and will reasonably cooperate in transferring all rights under any Security Agreement expressed to be governed by the laws of the Netherlands to such successor agent.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15.10. </w:t>
      </w:r>
      <w:r>
        <w:rPr>
          <w:rFonts w:ascii="Arial" w:cs="Arial" w:eastAsia="Arial" w:hAnsi="Arial"/>
          <w:sz w:val="17"/>
          <w:szCs w:val="17"/>
          <w:b w:val="1"/>
          <w:bCs w:val="1"/>
          <w:u w:val="single" w:color="auto"/>
          <w:color w:val="auto"/>
        </w:rPr>
        <w:t>Lender in Individual Capacity</w:t>
      </w:r>
      <w:r>
        <w:rPr>
          <w:rFonts w:ascii="Arial" w:cs="Arial" w:eastAsia="Arial" w:hAnsi="Arial"/>
          <w:sz w:val="17"/>
          <w:szCs w:val="17"/>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4" w:name="page405"/>
    <w:bookmarkEnd w:id="404"/>
    <w:p>
      <w:pPr>
        <w:ind w:left="328"/>
        <w:spacing w:after="0"/>
        <w:tabs>
          <w:tab w:leader="none" w:pos="1427"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6"/>
          <w:szCs w:val="16"/>
          <w:b w:val="1"/>
          <w:bCs w:val="1"/>
          <w:u w:val="single" w:color="auto"/>
          <w:color w:val="auto"/>
        </w:rPr>
        <w:t>Collateral Matters</w:t>
      </w:r>
      <w:r>
        <w:rPr>
          <w:rFonts w:ascii="Arial" w:cs="Arial" w:eastAsia="Arial" w:hAnsi="Arial"/>
          <w:sz w:val="16"/>
          <w:szCs w:val="16"/>
          <w:color w:val="auto"/>
        </w:rPr>
        <w:t>.</w:t>
      </w:r>
    </w:p>
    <w:p>
      <w:pPr>
        <w:spacing w:after="0" w:line="229" w:lineRule="exact"/>
        <w:rPr>
          <w:sz w:val="20"/>
          <w:szCs w:val="20"/>
          <w:color w:val="auto"/>
        </w:rPr>
      </w:pPr>
    </w:p>
    <w:p>
      <w:pPr>
        <w:jc w:val="both"/>
        <w:ind w:left="8" w:firstLine="1289"/>
        <w:spacing w:after="0" w:line="282" w:lineRule="auto"/>
        <w:tabs>
          <w:tab w:leader="none" w:pos="2287" w:val="left"/>
        </w:tabs>
        <w:numPr>
          <w:ilvl w:val="1"/>
          <w:numId w:val="486"/>
        </w:numPr>
        <w:rPr>
          <w:rFonts w:ascii="Arial" w:cs="Arial" w:eastAsia="Arial" w:hAnsi="Arial"/>
          <w:sz w:val="16"/>
          <w:szCs w:val="16"/>
          <w:color w:val="auto"/>
        </w:rPr>
      </w:pPr>
      <w:r>
        <w:rPr>
          <w:rFonts w:ascii="Arial" w:cs="Arial" w:eastAsia="Arial" w:hAnsi="Arial"/>
          <w:sz w:val="16"/>
          <w:szCs w:val="16"/>
          <w:color w:val="auto"/>
        </w:rPr>
        <w:t xml:space="preserve">The Lenders hereby irrevocably authorize (and by entering into a Bank Product Agreement, each Bank Product Provider shall be deemed to authorize) Agent to, and Agent agrees that it shall, release any Lien on any Collateral (i) upon the termination of the Commitments and payment and satisfaction in full by the Loan Parties and their Subsidiaries of all of the Obligations, (ii) constituting property being sold or disposed of in compliance with the terms of this Agreement (other than Collateral Disposed of to another Loan Party or to a Restricted Subsidiary organized in a Specified Jurisdiction) if a release is required or desirable in connection therewith, (iii) constituting property in which no Loan Party or any of its Subsidiaries owned any interest at the time Agent's Lien was granted nor at any time thereafter, (iv) constituting property of a Loan Party at the time such Loan Party becomes an Unrestricted Subsidiary, (iv) constituting property leased or licensed to a Loan Party under a lease or license that has expired or is terminated in a transaction permitted under this Agreement, or (v) in connection with a credit bid or purchase authorized under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The Loan Parties and the Lenders hereby irrevocably authorize (and by entering into a Bank Product Agreement, each Bank Product Provider shall be deemed to authorize) Agent, based upon the instruction of the Required Lenders, to (a) subject to the terms of the Intercreditor Agreement, consent to the use of cash Collateral during an Insolvency Proceeding or consent to financing provided by any Person during an Insolvency Proceeding, (b) consent to the sale of, credit bid, or purchase (either directly or indirectly through one or more entities) all or any portion of the Collateral at any sale thereof conducted under the provisions of any Insolvency Laws, including Section 363 of the Bankruptcy Code or in connection with any other Insolvency Proceeding in any other jurisdiction to which a Loan Party is subject, (c) credit bid or purchase (either directly or indirectly through one or more entities) all or any portion of the Collateral at any sale or other disposition thereof conducted under the provisions of the Code or the PPSA, including pursuant to Sections 9-610 or 9-620 of the Code or any other similar provision of the PPSA, or (d)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Bank Product Obligations not entitled to the application set forth in </w:t>
      </w:r>
      <w:r>
        <w:rPr>
          <w:rFonts w:ascii="Arial" w:cs="Arial" w:eastAsia="Arial" w:hAnsi="Arial"/>
          <w:sz w:val="16"/>
          <w:szCs w:val="16"/>
          <w:u w:val="single" w:color="auto"/>
          <w:color w:val="auto"/>
        </w:rPr>
        <w:t>Sections 2.4(b)(iii)(A)(xii)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2.4(b)(iii)(B)(xii)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2.4(b)(iii)(C)(xii)</w:t>
      </w:r>
      <w:r>
        <w:rPr>
          <w:rFonts w:ascii="Arial" w:cs="Arial" w:eastAsia="Arial" w:hAnsi="Arial"/>
          <w:sz w:val="16"/>
          <w:szCs w:val="16"/>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w:t>
      </w:r>
    </w:p>
    <w:p>
      <w:pPr>
        <w:spacing w:after="0" w:line="11" w:lineRule="exact"/>
        <w:rPr>
          <w:rFonts w:ascii="Arial" w:cs="Arial" w:eastAsia="Arial" w:hAnsi="Arial"/>
          <w:sz w:val="16"/>
          <w:szCs w:val="16"/>
          <w:color w:val="auto"/>
        </w:rPr>
      </w:pPr>
    </w:p>
    <w:p>
      <w:pPr>
        <w:ind w:left="268" w:hanging="268"/>
        <w:spacing w:after="0"/>
        <w:tabs>
          <w:tab w:leader="none" w:pos="26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if the release is of all or substantially all of the Collateral, all of the Lenders (without requiring the authorization of the Bank Product Providers), or</w:t>
      </w:r>
    </w:p>
    <w:p>
      <w:pPr>
        <w:spacing w:after="0" w:line="32" w:lineRule="exact"/>
        <w:rPr>
          <w:rFonts w:ascii="Arial" w:cs="Arial" w:eastAsia="Arial" w:hAnsi="Arial"/>
          <w:sz w:val="16"/>
          <w:szCs w:val="16"/>
          <w:color w:val="auto"/>
        </w:rPr>
      </w:pPr>
    </w:p>
    <w:p>
      <w:pPr>
        <w:jc w:val="both"/>
        <w:ind w:left="8" w:hanging="8"/>
        <w:spacing w:after="0" w:line="267" w:lineRule="auto"/>
        <w:tabs>
          <w:tab w:leader="none" w:pos="269" w:val="left"/>
        </w:tabs>
        <w:numPr>
          <w:ilvl w:val="0"/>
          <w:numId w:val="487"/>
        </w:numPr>
        <w:rPr>
          <w:rFonts w:ascii="Arial" w:cs="Arial" w:eastAsia="Arial" w:hAnsi="Arial"/>
          <w:sz w:val="17"/>
          <w:szCs w:val="17"/>
          <w:color w:val="auto"/>
        </w:rPr>
      </w:pPr>
      <w:r>
        <w:rPr>
          <w:rFonts w:ascii="Arial" w:cs="Arial" w:eastAsia="Arial" w:hAnsi="Arial"/>
          <w:sz w:val="17"/>
          <w:szCs w:val="17"/>
          <w:color w:val="auto"/>
        </w:rPr>
        <w:t xml:space="preserve">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authorizes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Arial" w:cs="Arial" w:eastAsia="Arial" w:hAnsi="Arial"/>
          <w:sz w:val="17"/>
          <w:szCs w:val="17"/>
          <w:u w:val="single" w:color="auto"/>
          <w:color w:val="auto"/>
        </w:rPr>
        <w:t>Section 15.11</w:t>
      </w:r>
      <w:r>
        <w:rPr>
          <w:rFonts w:ascii="Arial" w:cs="Arial" w:eastAsia="Arial" w:hAnsi="Arial"/>
          <w:sz w:val="17"/>
          <w:szCs w:val="17"/>
          <w:color w:val="auto"/>
        </w:rPr>
        <w:t xml:space="preserve"> to release its Lien on such property. Notwithstanding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15.11</w:t>
      </w:r>
      <w:r>
        <w:rPr>
          <w:rFonts w:ascii="Arial" w:cs="Arial" w:eastAsia="Arial" w:hAnsi="Arial"/>
          <w:sz w:val="17"/>
          <w:szCs w:val="17"/>
          <w:color w:val="auto"/>
        </w:rPr>
        <w:t>, Agent shall be authorized, without the consent of any Lender and without the requirement that an asset sale consisting of the sale, transfer or other disposition having occurred, to release any security interest in any building, structure or improvement located in an area determined by the Federal Emergency Management Agency to have special flood hazards.</w:t>
      </w:r>
    </w:p>
    <w:p>
      <w:pPr>
        <w:spacing w:after="0" w:line="39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5" w:right="239" w:bottom="1440" w:gutter="0" w:footer="0" w:header="0"/>
        </w:sectPr>
      </w:pPr>
    </w:p>
    <w:bookmarkStart w:id="405" w:name="page406"/>
    <w:bookmarkEnd w:id="405"/>
    <w:p>
      <w:pPr>
        <w:jc w:val="both"/>
        <w:ind w:left="8" w:firstLine="1289"/>
        <w:spacing w:after="0" w:line="288" w:lineRule="auto"/>
        <w:tabs>
          <w:tab w:leader="none" w:pos="2202" w:val="left"/>
        </w:tabs>
        <w:numPr>
          <w:ilvl w:val="1"/>
          <w:numId w:val="488"/>
        </w:numPr>
        <w:rPr>
          <w:rFonts w:ascii="Arial" w:cs="Arial" w:eastAsia="Arial" w:hAnsi="Arial"/>
          <w:sz w:val="16"/>
          <w:szCs w:val="16"/>
          <w:color w:val="auto"/>
        </w:rPr>
      </w:pPr>
      <w:r>
        <w:rPr>
          <w:rFonts w:ascii="Arial" w:cs="Arial" w:eastAsia="Arial" w:hAnsi="Arial"/>
          <w:sz w:val="16"/>
          <w:szCs w:val="16"/>
          <w:color w:val="auto"/>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w:t>
      </w:r>
    </w:p>
    <w:p>
      <w:pPr>
        <w:jc w:val="both"/>
        <w:ind w:left="8" w:hanging="8"/>
        <w:spacing w:after="0" w:line="288" w:lineRule="auto"/>
        <w:tabs>
          <w:tab w:leader="none" w:pos="329"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65" w:lineRule="exact"/>
        <w:rPr>
          <w:sz w:val="20"/>
          <w:szCs w:val="20"/>
          <w:color w:val="auto"/>
        </w:rPr>
      </w:pPr>
    </w:p>
    <w:p>
      <w:pPr>
        <w:ind w:left="328"/>
        <w:spacing w:after="0"/>
        <w:tabs>
          <w:tab w:leader="none" w:pos="1427"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b w:val="1"/>
          <w:bCs w:val="1"/>
          <w:u w:val="single" w:color="auto"/>
          <w:color w:val="auto"/>
        </w:rPr>
        <w:t>Restrictions on Actions by Lenders; Sharing of Payments</w:t>
      </w:r>
      <w:r>
        <w:rPr>
          <w:rFonts w:ascii="Arial" w:cs="Arial" w:eastAsia="Arial" w:hAnsi="Arial"/>
          <w:sz w:val="16"/>
          <w:szCs w:val="16"/>
          <w:color w:val="auto"/>
        </w:rPr>
        <w:t>.</w:t>
      </w:r>
    </w:p>
    <w:p>
      <w:pPr>
        <w:spacing w:after="0" w:line="229" w:lineRule="exact"/>
        <w:rPr>
          <w:sz w:val="20"/>
          <w:szCs w:val="20"/>
          <w:color w:val="auto"/>
        </w:rPr>
      </w:pPr>
    </w:p>
    <w:p>
      <w:pPr>
        <w:jc w:val="both"/>
        <w:ind w:left="8" w:firstLine="1289"/>
        <w:spacing w:after="0" w:line="255" w:lineRule="auto"/>
        <w:tabs>
          <w:tab w:leader="none" w:pos="219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93" w:lineRule="exact"/>
        <w:rPr>
          <w:rFonts w:ascii="Arial" w:cs="Arial" w:eastAsia="Arial" w:hAnsi="Arial"/>
          <w:sz w:val="18"/>
          <w:szCs w:val="18"/>
          <w:color w:val="auto"/>
        </w:rPr>
      </w:pPr>
    </w:p>
    <w:p>
      <w:pPr>
        <w:jc w:val="both"/>
        <w:ind w:left="8" w:firstLine="1289"/>
        <w:spacing w:after="0" w:line="288" w:lineRule="auto"/>
        <w:tabs>
          <w:tab w:leader="none" w:pos="2513"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38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406" w:name="page407"/>
    <w:bookmarkEnd w:id="406"/>
    <w:p>
      <w:pPr>
        <w:jc w:val="both"/>
        <w:ind w:firstLine="648"/>
        <w:spacing w:after="0" w:line="277"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b w:val="1"/>
          <w:bCs w:val="1"/>
          <w:u w:val="single" w:color="auto"/>
          <w:color w:val="auto"/>
        </w:rPr>
        <w:t>Agency for Perfection</w:t>
      </w:r>
      <w:r>
        <w:rPr>
          <w:rFonts w:ascii="Arial" w:cs="Arial" w:eastAsia="Arial" w:hAnsi="Arial"/>
          <w:sz w:val="17"/>
          <w:szCs w:val="17"/>
          <w:color w:val="auto"/>
        </w:rPr>
        <w:t>. Agent hereby appoints each other Lender (and each Bank Product Provider) as its agent (and each Lender 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b w:val="1"/>
          <w:bCs w:val="1"/>
          <w:u w:val="single" w:color="auto"/>
          <w:color w:val="auto"/>
        </w:rPr>
        <w:t>Payments by Agent to the Lenders</w:t>
      </w:r>
      <w:r>
        <w:rPr>
          <w:rFonts w:ascii="Arial" w:cs="Arial" w:eastAsia="Arial" w:hAnsi="Arial"/>
          <w:sz w:val="18"/>
          <w:szCs w:val="18"/>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b w:val="1"/>
          <w:bCs w:val="1"/>
          <w:u w:val="single" w:color="auto"/>
          <w:color w:val="auto"/>
        </w:rPr>
        <w:t>Concerning the Collateral and Related Loan Documents</w:t>
      </w:r>
      <w:r>
        <w:rPr>
          <w:rFonts w:ascii="Arial" w:cs="Arial" w:eastAsia="Arial" w:hAnsi="Arial"/>
          <w:sz w:val="18"/>
          <w:szCs w:val="18"/>
          <w:color w:val="auto"/>
        </w:rPr>
        <w:t>. Each member of the Lender Group authorizes and directs Agent to enter into this Agreement and the other Loan Documents and, in relation to any Loan Document relating to the Collateral expressed to be governed by the laws of the Federal Republic of Germany or the laws of the Netherlands, agrees with the creation of parallel debt obligations, as provided for in Section 13 of the Affiliate Guaranty.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 Each member of the Lender Group authorizes and directs Agent to enter into this Agreement and the other Loan Documents.</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b w:val="1"/>
          <w:bCs w:val="1"/>
          <w:u w:val="single" w:color="auto"/>
          <w:color w:val="auto"/>
        </w:rPr>
        <w:t>Field Examination Reports; Confidentiality; Disclaimers by Lenders; Other Reports and Information</w:t>
      </w:r>
      <w:r>
        <w:rPr>
          <w:rFonts w:ascii="Arial" w:cs="Arial" w:eastAsia="Arial" w:hAnsi="Arial"/>
          <w:sz w:val="18"/>
          <w:szCs w:val="18"/>
          <w:color w:val="auto"/>
        </w:rPr>
        <w:t>. By becoming a party to this Agreement, each Lender:</w:t>
      </w:r>
    </w:p>
    <w:p>
      <w:pPr>
        <w:spacing w:after="0" w:line="166" w:lineRule="exact"/>
        <w:rPr>
          <w:sz w:val="20"/>
          <w:szCs w:val="20"/>
          <w:color w:val="auto"/>
        </w:rPr>
      </w:pPr>
    </w:p>
    <w:p>
      <w:pPr>
        <w:jc w:val="both"/>
        <w:ind w:left="340" w:firstLine="1289"/>
        <w:spacing w:after="0" w:line="264" w:lineRule="auto"/>
        <w:tabs>
          <w:tab w:leader="none" w:pos="271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is deemed to have requested that Agent furnish such Lender, promptly after it becomes available, a copy of each field examination report respecting any Loan Party or its Subsidiaries (each, a "</w:t>
      </w:r>
      <w:r>
        <w:rPr>
          <w:rFonts w:ascii="Arial" w:cs="Arial" w:eastAsia="Arial" w:hAnsi="Arial"/>
          <w:sz w:val="18"/>
          <w:szCs w:val="18"/>
          <w:u w:val="single" w:color="auto"/>
          <w:color w:val="auto"/>
        </w:rPr>
        <w:t>Report</w:t>
      </w:r>
      <w:r>
        <w:rPr>
          <w:rFonts w:ascii="Arial" w:cs="Arial" w:eastAsia="Arial" w:hAnsi="Arial"/>
          <w:sz w:val="18"/>
          <w:szCs w:val="18"/>
          <w:color w:val="auto"/>
        </w:rPr>
        <w:t>") prepared by or at the request of Agent, and Agent shall so furnish each Lender with such Reports,</w:t>
      </w:r>
    </w:p>
    <w:p>
      <w:pPr>
        <w:spacing w:after="0" w:line="181" w:lineRule="exact"/>
        <w:rPr>
          <w:rFonts w:ascii="Arial" w:cs="Arial" w:eastAsia="Arial" w:hAnsi="Arial"/>
          <w:sz w:val="18"/>
          <w:szCs w:val="18"/>
          <w:color w:val="auto"/>
        </w:rPr>
      </w:pPr>
    </w:p>
    <w:p>
      <w:pPr>
        <w:ind w:left="340" w:right="20" w:firstLine="1289"/>
        <w:spacing w:after="0" w:line="277" w:lineRule="auto"/>
        <w:tabs>
          <w:tab w:leader="none" w:pos="2589" w:val="left"/>
        </w:tabs>
        <w:numPr>
          <w:ilvl w:val="0"/>
          <w:numId w:val="491"/>
        </w:numPr>
        <w:rPr>
          <w:rFonts w:ascii="Arial" w:cs="Arial" w:eastAsia="Arial" w:hAnsi="Arial"/>
          <w:sz w:val="18"/>
          <w:szCs w:val="18"/>
          <w:color w:val="auto"/>
        </w:rPr>
      </w:pPr>
      <w:r>
        <w:rPr>
          <w:rFonts w:ascii="Arial" w:cs="Arial" w:eastAsia="Arial" w:hAnsi="Arial"/>
          <w:sz w:val="18"/>
          <w:szCs w:val="18"/>
          <w:color w:val="auto"/>
        </w:rPr>
        <w:t>expressly agrees and acknowledges that Agent does not (i) make any representation or warranty as to the accuracy of any Report, and (ii) shall not be liable for any information contained in any Report,</w:t>
      </w:r>
    </w:p>
    <w:p>
      <w:pPr>
        <w:spacing w:after="0" w:line="170" w:lineRule="exact"/>
        <w:rPr>
          <w:rFonts w:ascii="Arial" w:cs="Arial" w:eastAsia="Arial" w:hAnsi="Arial"/>
          <w:sz w:val="18"/>
          <w:szCs w:val="18"/>
          <w:color w:val="auto"/>
        </w:rPr>
      </w:pPr>
    </w:p>
    <w:p>
      <w:pPr>
        <w:jc w:val="both"/>
        <w:ind w:left="340" w:firstLine="1289"/>
        <w:spacing w:after="0" w:line="286" w:lineRule="auto"/>
        <w:tabs>
          <w:tab w:leader="none" w:pos="2687" w:val="left"/>
        </w:tabs>
        <w:numPr>
          <w:ilvl w:val="0"/>
          <w:numId w:val="491"/>
        </w:numPr>
        <w:rPr>
          <w:rFonts w:ascii="Arial" w:cs="Arial" w:eastAsia="Arial" w:hAnsi="Arial"/>
          <w:sz w:val="17"/>
          <w:szCs w:val="17"/>
          <w:color w:val="auto"/>
        </w:rPr>
      </w:pPr>
      <w:r>
        <w:rPr>
          <w:rFonts w:ascii="Arial" w:cs="Arial" w:eastAsia="Arial" w:hAnsi="Arial"/>
          <w:sz w:val="17"/>
          <w:szCs w:val="17"/>
          <w:color w:val="auto"/>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Parent's and its Subsidiaries' books and records, as well as on representations of Borrowers' personnel,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7" w:name="page408"/>
    <w:bookmarkEnd w:id="407"/>
    <w:p>
      <w:pPr>
        <w:ind w:left="340" w:firstLine="1289"/>
        <w:spacing w:after="0" w:line="342" w:lineRule="auto"/>
        <w:tabs>
          <w:tab w:leader="none" w:pos="2548" w:val="left"/>
        </w:tabs>
        <w:numPr>
          <w:ilvl w:val="0"/>
          <w:numId w:val="492"/>
        </w:numPr>
        <w:rPr>
          <w:rFonts w:ascii="Arial" w:cs="Arial" w:eastAsia="Arial" w:hAnsi="Arial"/>
          <w:sz w:val="16"/>
          <w:szCs w:val="16"/>
          <w:color w:val="auto"/>
        </w:rPr>
      </w:pPr>
      <w:r>
        <w:rPr>
          <w:rFonts w:ascii="Arial" w:cs="Arial" w:eastAsia="Arial" w:hAnsi="Arial"/>
          <w:sz w:val="16"/>
          <w:szCs w:val="16"/>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Arial" w:cs="Arial" w:eastAsia="Arial" w:hAnsi="Arial"/>
          <w:sz w:val="16"/>
          <w:szCs w:val="16"/>
          <w:u w:val="single" w:color="auto"/>
          <w:color w:val="auto"/>
        </w:rPr>
        <w:t>Section 17.9</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jc w:val="both"/>
        <w:ind w:left="340" w:firstLine="1289"/>
        <w:spacing w:after="0" w:line="291" w:lineRule="auto"/>
        <w:tabs>
          <w:tab w:leader="none" w:pos="2727" w:val="left"/>
        </w:tabs>
        <w:numPr>
          <w:ilvl w:val="0"/>
          <w:numId w:val="492"/>
        </w:numPr>
        <w:rPr>
          <w:rFonts w:ascii="Arial" w:cs="Arial" w:eastAsia="Arial" w:hAnsi="Arial"/>
          <w:sz w:val="16"/>
          <w:szCs w:val="16"/>
          <w:color w:val="auto"/>
        </w:rPr>
      </w:pPr>
      <w:r>
        <w:rPr>
          <w:rFonts w:ascii="Arial" w:cs="Arial" w:eastAsia="Arial" w:hAnsi="Arial"/>
          <w:sz w:val="16"/>
          <w:szCs w:val="16"/>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(z) any time that Agent renders to Borrowers a statement regarding the Loan Account, Agent shall send a copy of such statement to each Lender.</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15.17. </w:t>
      </w:r>
      <w:r>
        <w:rPr>
          <w:rFonts w:ascii="Arial" w:cs="Arial" w:eastAsia="Arial" w:hAnsi="Arial"/>
          <w:sz w:val="17"/>
          <w:szCs w:val="17"/>
          <w:b w:val="1"/>
          <w:bCs w:val="1"/>
          <w:u w:val="single" w:color="auto"/>
          <w:color w:val="auto"/>
        </w:rPr>
        <w:t>Several Obligations; No Liability</w:t>
      </w:r>
      <w:r>
        <w:rPr>
          <w:rFonts w:ascii="Arial" w:cs="Arial" w:eastAsia="Arial" w:hAnsi="Arial"/>
          <w:sz w:val="17"/>
          <w:szCs w:val="17"/>
          <w:color w:val="auto"/>
        </w:rPr>
        <w:t xml:space="preserve">.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Arial" w:cs="Arial" w:eastAsia="Arial" w:hAnsi="Arial"/>
          <w:sz w:val="17"/>
          <w:szCs w:val="17"/>
          <w:u w:val="single" w:color="auto"/>
          <w:color w:val="auto"/>
        </w:rPr>
        <w:t>Section 15.7</w:t>
      </w:r>
      <w:r>
        <w:rPr>
          <w:rFonts w:ascii="Arial" w:cs="Arial" w:eastAsia="Arial" w:hAnsi="Arial"/>
          <w:sz w:val="17"/>
          <w:szCs w:val="17"/>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8" w:name="page409"/>
    <w:bookmarkEnd w:id="408"/>
    <w:p>
      <w:pPr>
        <w:jc w:val="both"/>
        <w:ind w:firstLine="648"/>
        <w:spacing w:after="0" w:line="255" w:lineRule="auto"/>
        <w:rPr>
          <w:sz w:val="20"/>
          <w:szCs w:val="20"/>
          <w:color w:val="auto"/>
        </w:rPr>
      </w:pPr>
      <w:r>
        <w:rPr>
          <w:rFonts w:ascii="Arial" w:cs="Arial" w:eastAsia="Arial" w:hAnsi="Arial"/>
          <w:sz w:val="18"/>
          <w:szCs w:val="18"/>
          <w:color w:val="auto"/>
        </w:rPr>
        <w:t xml:space="preserve">15.18. </w:t>
      </w:r>
      <w:r>
        <w:rPr>
          <w:rFonts w:ascii="Arial" w:cs="Arial" w:eastAsia="Arial" w:hAnsi="Arial"/>
          <w:sz w:val="18"/>
          <w:szCs w:val="18"/>
          <w:b w:val="1"/>
          <w:bCs w:val="1"/>
          <w:u w:val="single" w:color="auto"/>
          <w:color w:val="auto"/>
        </w:rPr>
        <w:t>Joint Lead Arrangers and Joint Book Runners</w:t>
      </w:r>
      <w:r>
        <w:rPr>
          <w:rFonts w:ascii="Arial" w:cs="Arial" w:eastAsia="Arial" w:hAnsi="Arial"/>
          <w:sz w:val="18"/>
          <w:szCs w:val="18"/>
          <w:color w:val="auto"/>
        </w:rPr>
        <w:t>. Each of the Joint Lead Arrangers and Joint Book Runners, in such capacities, shall not have any right, power, obligation, liability, responsibility, or duty under this Agreement other than those applicable to it in its capacity as a Lender, as Agent, as Swing Lender, or as Issuing Bank. Without limiting the foregoing, each of the Joint Lead Arrangers and Joint Book Runners, in such capacities, shall not have or be deemed to have any fiduciary relationship with any Lender or any Loan Party. Each Lender, Agent, Swing Lender, Issuing Bank, and each Loan Party acknowledges that it has not relied, and will not rely, on the Joint Lead Arrangers and Joint Book Runners in deciding to enter into this Agreement or in taking or not taking action hereunder. Each of the Joint Lead Arrangers and Joint Book Runners, in such capacities, shall be entitled to resign at any time by giving notice to Agent and Borrowers.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15.19. </w:t>
      </w:r>
      <w:r>
        <w:rPr>
          <w:rFonts w:ascii="Arial" w:cs="Arial" w:eastAsia="Arial" w:hAnsi="Arial"/>
          <w:sz w:val="16"/>
          <w:szCs w:val="16"/>
          <w:b w:val="1"/>
          <w:bCs w:val="1"/>
          <w:u w:val="single" w:color="auto"/>
          <w:color w:val="auto"/>
        </w:rPr>
        <w:t>Appointment for the Province of Quebec</w:t>
      </w:r>
      <w:r>
        <w:rPr>
          <w:rFonts w:ascii="Arial" w:cs="Arial" w:eastAsia="Arial" w:hAnsi="Arial"/>
          <w:sz w:val="16"/>
          <w:szCs w:val="16"/>
          <w:color w:val="auto"/>
        </w:rPr>
        <w:t xml:space="preserve"> . Without prejudice to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above and for the purposes of any grant of security under the laws of the Province of Quebec which may in the future be required to be provided by the Loan Parties or any one of them, each member of the Lender Group and each of the Bank Product Providers hereby appoints Agent as the hypothecary representative of the Lender Group and the Bank Product Providers as contemplated under Article 2692 of the Civil Code of Quebec, to enter into, to take and to hold on their behalf, and for their benefit, any deed of hypothec ("</w:t>
      </w:r>
      <w:r>
        <w:rPr>
          <w:rFonts w:ascii="Arial" w:cs="Arial" w:eastAsia="Arial" w:hAnsi="Arial"/>
          <w:sz w:val="16"/>
          <w:szCs w:val="16"/>
          <w:u w:val="single" w:color="auto"/>
          <w:color w:val="auto"/>
        </w:rPr>
        <w:t>Deed of Hypothec</w:t>
      </w:r>
      <w:r>
        <w:rPr>
          <w:rFonts w:ascii="Arial" w:cs="Arial" w:eastAsia="Arial" w:hAnsi="Arial"/>
          <w:sz w:val="16"/>
          <w:szCs w:val="16"/>
          <w:color w:val="auto"/>
        </w:rPr>
        <w:t>") to be executed by any of the Loan Parties granting a hypothec pursuant to the laws of the Province of Quebec (Canada) and to exercise such powers and duties which are conferred thereupon under such deed. Agent, in such aforesaid capacity shall (A) have the sole and exclusive right and authority to exercise, except as may be otherwise specifically restricted by the terms hereof, all rights and remedies given to Agent, as hypothecary representative, with respect to the property or assets charged under the Deed of Hypothec, any other applicable law or otherwise, and (B) benefit from and be subject to all provisions hereof with respect to Agent mutatis mutandis, including, without limitation, all such provisions with respect to the liability or responsibility to and indemnification by the Lender Group and the Bank Product Providers, Borrowers or the Guarantors. The constitution of Agent as the hypothecary representative shall be deemed to have been ratified and confirmed by each Person accepting an assignment of, a participation in or an arrangement in respect of, all or any portion of any of the Lender Group's or the Bank Product Providers' rights and obligations under this Agreement by the execution of an assignment, including an Assignment and Acceptance or other agreement pursuant to which it becomes such assignee or participant. In the event of the resignation of Agent (which shall include its resignation as the hypothecary representative) and appointment of a successor Agent, such successor Agent shall also act as the hypothecary representative, as contemplated hereunder.</w:t>
      </w:r>
    </w:p>
    <w:p>
      <w:pPr>
        <w:spacing w:after="0" w:line="16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15.20.</w:t>
      </w:r>
      <w:r>
        <w:rPr>
          <w:sz w:val="20"/>
          <w:szCs w:val="20"/>
          <w:color w:val="auto"/>
        </w:rPr>
        <w:tab/>
      </w:r>
      <w:r>
        <w:rPr>
          <w:rFonts w:ascii="Arial" w:cs="Arial" w:eastAsia="Arial" w:hAnsi="Arial"/>
          <w:sz w:val="16"/>
          <w:szCs w:val="16"/>
          <w:b w:val="1"/>
          <w:bCs w:val="1"/>
          <w:u w:val="single" w:color="auto"/>
          <w:color w:val="auto"/>
        </w:rPr>
        <w:t>Scottish Appointment Matters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71" w:lineRule="auto"/>
        <w:tabs>
          <w:tab w:leader="none" w:pos="270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The Agent declares that it holds on trust for the Secured Parties (as defined in the Domestic Security Agreement) (the "</w:t>
      </w:r>
      <w:r>
        <w:rPr>
          <w:rFonts w:ascii="Arial" w:cs="Arial" w:eastAsia="Arial" w:hAnsi="Arial"/>
          <w:sz w:val="17"/>
          <w:szCs w:val="17"/>
          <w:u w:val="single" w:color="auto"/>
          <w:color w:val="auto"/>
        </w:rPr>
        <w:t>Trust Parties</w:t>
      </w:r>
      <w:r>
        <w:rPr>
          <w:rFonts w:ascii="Arial" w:cs="Arial" w:eastAsia="Arial" w:hAnsi="Arial"/>
          <w:sz w:val="17"/>
          <w:szCs w:val="17"/>
          <w:color w:val="auto"/>
        </w:rPr>
        <w:t>"), on the terms contained in this Section 15: (i) the Collateral expressed to be subject to the Liens created in favor of the Agent as trustee for the Trust Parties by or pursuant to each Collateral Document which is governed by or subject to the laws of Scotland, and all proceeds of that Collateral; (ii) all obligations expressed to be undertaken by any Loan Party to pay amounts in respect of the Obligations to the Agent as trustee for the Trust Parties and secured by any Collateral Document which is governed by or subject to the laws of Scotland together with all representations and warranties expressed to be given by any Loan Party or any other person in favour of the Agent as trustee for the Trust Parties; and (iii) any other amounts or property, whether rights, entitlements, choses in action or otherwise, actual or contingent, which the Agent is required by the terms of the Loan Documents to hold as trustee on trust for the Trust Parties.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9" w:name="page410"/>
    <w:bookmarkEnd w:id="409"/>
    <w:p>
      <w:pPr>
        <w:jc w:val="both"/>
        <w:ind w:left="340" w:firstLine="1289"/>
        <w:spacing w:after="0" w:line="273" w:lineRule="auto"/>
        <w:tabs>
          <w:tab w:leader="none" w:pos="2629" w:val="left"/>
        </w:tabs>
        <w:numPr>
          <w:ilvl w:val="1"/>
          <w:numId w:val="494"/>
        </w:numPr>
        <w:rPr>
          <w:rFonts w:ascii="Arial" w:cs="Arial" w:eastAsia="Arial" w:hAnsi="Arial"/>
          <w:sz w:val="17"/>
          <w:szCs w:val="17"/>
          <w:color w:val="auto"/>
        </w:rPr>
      </w:pPr>
      <w:r>
        <w:rPr>
          <w:rFonts w:ascii="Arial" w:cs="Arial" w:eastAsia="Arial" w:hAnsi="Arial"/>
          <w:sz w:val="17"/>
          <w:szCs w:val="17"/>
          <w:color w:val="auto"/>
        </w:rPr>
        <w:t xml:space="preserve">Without prejudice to the other provisions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each Lender hereby irrevocably authorizes (and by entering into a Bank Product Agreement, each Bank Product Provider shall be deemed to authorize) the Agent to perform the duties, obligations and responsibilities and to exercise the rights, powers, authorities and discretions specifically given to the Agent as trustee for the Trust Parties under or in connection with the Loan Documents together with any other incidental rights, powers, authorities and discretions. For the avoidance of doubt, the Agent in its capacity as trustee for the Trust Parties shall have the same rights, powers, immunities, indemnities and exclusions from liability as are prescribed in favor of the Agent in this Agreement,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660" w:hanging="652"/>
        <w:spacing w:after="0"/>
        <w:tabs>
          <w:tab w:leader="none" w:pos="660" w:val="left"/>
        </w:tabs>
        <w:numPr>
          <w:ilvl w:val="0"/>
          <w:numId w:val="495"/>
        </w:numPr>
        <w:rPr>
          <w:rFonts w:ascii="Arial" w:cs="Arial" w:eastAsia="Arial" w:hAnsi="Arial"/>
          <w:sz w:val="18"/>
          <w:szCs w:val="18"/>
          <w:color w:val="auto"/>
        </w:rPr>
      </w:pPr>
      <w:r>
        <w:rPr>
          <w:rFonts w:ascii="Arial" w:cs="Arial" w:eastAsia="Arial" w:hAnsi="Arial"/>
          <w:sz w:val="18"/>
          <w:szCs w:val="18"/>
          <w:b w:val="1"/>
          <w:bCs w:val="1"/>
          <w:color w:val="auto"/>
        </w:rPr>
        <w:t>WITHHOLDING TAXES.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16.1.</w:t>
      </w:r>
      <w:r>
        <w:rPr>
          <w:rFonts w:ascii="Arial" w:cs="Arial" w:eastAsia="Arial" w:hAnsi="Arial"/>
          <w:sz w:val="16"/>
          <w:szCs w:val="16"/>
          <w:b w:val="1"/>
          <w:bCs w:val="1"/>
          <w:u w:val="single" w:color="auto"/>
          <w:color w:val="auto"/>
        </w:rPr>
        <w:t>Payments</w:t>
      </w:r>
      <w:r>
        <w:rPr>
          <w:rFonts w:ascii="Arial" w:cs="Arial" w:eastAsia="Arial" w:hAnsi="Arial"/>
          <w:sz w:val="16"/>
          <w:szCs w:val="16"/>
          <w:color w:val="auto"/>
        </w:rPr>
        <w:t>. All payments by or on account of any Obligation of any Loan Party under any Loan Document will be made free and</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applicable Loan Party. Furthermore, if any such Tax is an Indemnified Tax or an Indemnified Tax is so levied or imposed, the applicable Loan Party agrees to pay the full amount of such Indemnified Taxes and such additional amounts as may be necessary so that the amount paid pursuant to this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after withholding or deduction for or on account of any Indemnified Taxes will not be less than the amount provided for herein. The applicable Loan Party will promptly pay any Other Taxes or reimburse Agent for such Other Taxes upon Agent's demand. The applicable Loan Party shall indemnify each Indemnified Person (as defined in </w:t>
      </w:r>
      <w:r>
        <w:rPr>
          <w:rFonts w:ascii="Arial" w:cs="Arial" w:eastAsia="Arial" w:hAnsi="Arial"/>
          <w:sz w:val="16"/>
          <w:szCs w:val="16"/>
          <w:u w:val="single" w:color="auto"/>
          <w:color w:val="auto"/>
        </w:rPr>
        <w:t>Section 10.3</w:t>
      </w:r>
      <w:r>
        <w:rPr>
          <w:rFonts w:ascii="Arial" w:cs="Arial" w:eastAsia="Arial" w:hAnsi="Arial"/>
          <w:sz w:val="16"/>
          <w:szCs w:val="16"/>
          <w:color w:val="auto"/>
        </w:rPr>
        <w:t>) (collectively a "</w:t>
      </w:r>
      <w:r>
        <w:rPr>
          <w:rFonts w:ascii="Arial" w:cs="Arial" w:eastAsia="Arial" w:hAnsi="Arial"/>
          <w:sz w:val="16"/>
          <w:szCs w:val="16"/>
          <w:u w:val="single" w:color="auto"/>
          <w:color w:val="auto"/>
        </w:rPr>
        <w:t>Tax Indemnitee</w:t>
      </w:r>
      <w:r>
        <w:rPr>
          <w:rFonts w:ascii="Arial" w:cs="Arial" w:eastAsia="Arial" w:hAnsi="Arial"/>
          <w:sz w:val="16"/>
          <w:szCs w:val="16"/>
          <w:color w:val="auto"/>
        </w:rPr>
        <w:t xml:space="preserve">") for the full amount of Indemnified Taxes arising in connection with this Agreement or any other Loan Document or breach thereof by any Loan Party (including any Indemnified Taxes imposed or asserted on, or attributable to, Indemnified Taxes payable under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no Loan Party shall have any indemnification or other liability under this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for any such amounts that a court of competent jurisdiction finally determines to have resulted from the gross negligence or willful misconduct of such Tax Indemnitee. Notwithstanding any other provision in this Agreement or any Loan Document, the Loan Parties shall not be liable for any penalties, interest, costs, expenses or other similar charges that would not have existed but for the failure of an Indemnified Person to notify the Administrative Borrower of any Indemnified Taxes within a reasonable period of time after becoming aware of such Indemnified Taxes as finally determined by a court of competent jurisdiction. The obligations of the Loan Parties under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survive the termination of this Agreement, the resignation and replacement of Agent, and the repayment of the Obligations.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0" w:name="page411"/>
    <w:bookmarkEnd w:id="410"/>
    <w:p>
      <w:pPr>
        <w:ind w:left="660"/>
        <w:spacing w:after="0"/>
        <w:tabs>
          <w:tab w:leader="none" w:pos="17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u w:val="single" w:color="auto"/>
          <w:color w:val="auto"/>
        </w:rPr>
        <w:t>Exemptions</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64" w:lineRule="auto"/>
        <w:tabs>
          <w:tab w:leader="none" w:pos="264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Each Lender and Participant agrees with and in favor of Agent, to deliver to Agent and the Administrative Borrower on behalf of all Borrowers one of the following on the date on which such Lender becomes a Lender under this Agreement or such Participant becomes a Participant:</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947" w:val="left"/>
        </w:tabs>
        <w:numPr>
          <w:ilvl w:val="1"/>
          <w:numId w:val="496"/>
        </w:numPr>
        <w:rPr>
          <w:rFonts w:ascii="Arial" w:cs="Arial" w:eastAsia="Arial" w:hAnsi="Arial"/>
          <w:sz w:val="18"/>
          <w:szCs w:val="18"/>
          <w:color w:val="auto"/>
        </w:rPr>
      </w:pPr>
      <w:r>
        <w:rPr>
          <w:rFonts w:ascii="Arial" w:cs="Arial" w:eastAsia="Arial" w:hAnsi="Arial"/>
          <w:sz w:val="18"/>
          <w:szCs w:val="18"/>
          <w:color w:val="auto"/>
        </w:rPr>
        <w:t>(A) a statement of the Lender or Participant, signed under penalty of perjury, that it is not a (I) a "bank" as described in Section 881(c)(3)(A) of the IRC, (II) a 10% shareholder of any Borrower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186" w:lineRule="exact"/>
        <w:rPr>
          <w:rFonts w:ascii="Arial" w:cs="Arial" w:eastAsia="Arial" w:hAnsi="Arial"/>
          <w:sz w:val="18"/>
          <w:szCs w:val="18"/>
          <w:color w:val="auto"/>
        </w:rPr>
      </w:pPr>
    </w:p>
    <w:p>
      <w:pPr>
        <w:ind w:left="2800" w:hanging="847"/>
        <w:spacing w:after="0"/>
        <w:tabs>
          <w:tab w:leader="none" w:pos="280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a properly completed and executed copy of IRS Form W-8BEN or Form W-8BEN-E, as applicable;</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a properly completed and executed copy of IRS Form W-8ECI;</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884" w:val="left"/>
        </w:tabs>
        <w:numPr>
          <w:ilvl w:val="1"/>
          <w:numId w:val="496"/>
        </w:numPr>
        <w:rPr>
          <w:rFonts w:ascii="Arial" w:cs="Arial" w:eastAsia="Arial" w:hAnsi="Arial"/>
          <w:sz w:val="18"/>
          <w:szCs w:val="18"/>
          <w:color w:val="auto"/>
        </w:rPr>
      </w:pPr>
      <w:r>
        <w:rPr>
          <w:rFonts w:ascii="Arial" w:cs="Arial" w:eastAsia="Arial" w:hAnsi="Arial"/>
          <w:sz w:val="18"/>
          <w:szCs w:val="18"/>
          <w:color w:val="auto"/>
        </w:rPr>
        <w:t>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81" w:lineRule="exact"/>
        <w:rPr>
          <w:rFonts w:ascii="Arial" w:cs="Arial" w:eastAsia="Arial" w:hAnsi="Arial"/>
          <w:sz w:val="18"/>
          <w:szCs w:val="18"/>
          <w:color w:val="auto"/>
        </w:rPr>
      </w:pPr>
    </w:p>
    <w:p>
      <w:pPr>
        <w:ind w:firstLine="1953"/>
        <w:spacing w:after="0" w:line="277" w:lineRule="auto"/>
        <w:tabs>
          <w:tab w:leader="none" w:pos="2978" w:val="left"/>
        </w:tabs>
        <w:numPr>
          <w:ilvl w:val="1"/>
          <w:numId w:val="496"/>
        </w:numPr>
        <w:rPr>
          <w:rFonts w:ascii="Arial" w:cs="Arial" w:eastAsia="Arial" w:hAnsi="Arial"/>
          <w:sz w:val="18"/>
          <w:szCs w:val="18"/>
          <w:color w:val="auto"/>
        </w:rPr>
      </w:pPr>
      <w:r>
        <w:rPr>
          <w:rFonts w:ascii="Arial" w:cs="Arial" w:eastAsia="Arial" w:hAnsi="Arial"/>
          <w:sz w:val="18"/>
          <w:szCs w:val="18"/>
          <w:color w:val="auto"/>
        </w:rPr>
        <w:t>a properly completed and executed copy of any other form or forms, including IRS Form W-9, as may be required under the IRC or other laws of the United States as a condition to exemption from United States withholding or backup withholding tax.</w:t>
      </w:r>
    </w:p>
    <w:p>
      <w:pPr>
        <w:spacing w:after="0" w:line="170" w:lineRule="exact"/>
        <w:rPr>
          <w:rFonts w:ascii="Arial" w:cs="Arial" w:eastAsia="Arial" w:hAnsi="Arial"/>
          <w:sz w:val="18"/>
          <w:szCs w:val="18"/>
          <w:color w:val="auto"/>
        </w:rPr>
      </w:pPr>
    </w:p>
    <w:p>
      <w:pPr>
        <w:jc w:val="both"/>
        <w:ind w:left="340" w:firstLine="1289"/>
        <w:spacing w:after="0" w:line="286" w:lineRule="auto"/>
        <w:tabs>
          <w:tab w:leader="none" w:pos="2764" w:val="left"/>
        </w:tabs>
        <w:numPr>
          <w:ilvl w:val="0"/>
          <w:numId w:val="496"/>
        </w:numPr>
        <w:rPr>
          <w:rFonts w:ascii="Arial" w:cs="Arial" w:eastAsia="Arial" w:hAnsi="Arial"/>
          <w:sz w:val="17"/>
          <w:szCs w:val="17"/>
          <w:color w:val="auto"/>
        </w:rPr>
      </w:pPr>
      <w:r>
        <w:rPr>
          <w:rFonts w:ascii="Arial" w:cs="Arial" w:eastAsia="Arial" w:hAnsi="Arial"/>
          <w:sz w:val="17"/>
          <w:szCs w:val="17"/>
          <w:color w:val="auto"/>
        </w:rPr>
        <w:t>Each Lender or Participant shall provide new forms (or successor forms) upon the expiration or obsolescence of any previously delivered forms (or as otherwise reasonably requested by the Administrative Borrower or Agent) and shall promptly notify Agent and Administrative Borrower of any change in circumstances which would modify or render invalid any claimed exemption or reduction.</w:t>
      </w:r>
    </w:p>
    <w:p>
      <w:pPr>
        <w:spacing w:after="0" w:line="165" w:lineRule="exact"/>
        <w:rPr>
          <w:rFonts w:ascii="Arial" w:cs="Arial" w:eastAsia="Arial" w:hAnsi="Arial"/>
          <w:sz w:val="17"/>
          <w:szCs w:val="17"/>
          <w:color w:val="auto"/>
        </w:rPr>
      </w:pPr>
    </w:p>
    <w:p>
      <w:pPr>
        <w:jc w:val="both"/>
        <w:ind w:left="340" w:firstLine="1289"/>
        <w:spacing w:after="0" w:line="270" w:lineRule="auto"/>
        <w:tabs>
          <w:tab w:leader="none" w:pos="2673"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Each Lender and Participant that is entitled to claim an exemption from withholding tax in a jurisdiction other than the United States agrees with and in favor of Agent and Borrowers to deliver to Agent and Administrative Borrower any such form or forms, as may be required under the laws of such jurisdiction as a condition to exemption from, or reduction of, foreign withholding or backup withholding tax on the date on which such Lender becomes a Lender under this Agreement or such Participant becomes a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with respect to any form or forms required under the laws of any foreign jurisdiction other than Bermuda, Germany, Ireland or Switzerland such forms shall not be required if the providing of or delivery of such forms in the Lender's or Participant's reasonable judgment would subject such Lender or Participant to any material unreimbursed cost or expense or materially prejudice the legal or commercial position of such Lender (or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16.2(c)</w:t>
      </w:r>
      <w:r>
        <w:rPr>
          <w:rFonts w:ascii="Arial" w:cs="Arial" w:eastAsia="Arial" w:hAnsi="Arial"/>
          <w:sz w:val="17"/>
          <w:szCs w:val="17"/>
          <w:color w:val="auto"/>
        </w:rPr>
        <w:t xml:space="preserve"> shall require a Lender or Participant to disclose any tax returns. Each Lender and each Participant shall provide new forms (or successor forms) upon the expiration or obsolescence of any previously delivered forms and promptly notify Agent and Administrative Borrower of any change in circumstances which would modify or render invalid any claimed exemption or reduction.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1" w:name="page412"/>
    <w:bookmarkEnd w:id="411"/>
    <w:p>
      <w:pPr>
        <w:jc w:val="both"/>
        <w:ind w:firstLine="1289"/>
        <w:spacing w:after="0" w:line="271" w:lineRule="auto"/>
        <w:tabs>
          <w:tab w:leader="none" w:pos="231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as no longer valid. With respect to such percentage amount, such Participant or Assignee will provide new documentation, pursuant to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if applicable. Borrowers agree that each Participant shall be entitled to the benefits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with respect to its participation in any portion of the Commitments and the Obligations so long as such Participant complies with the obligations set forth in Section 13 and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with respect thereto.</w:t>
      </w:r>
    </w:p>
    <w:p>
      <w:pPr>
        <w:spacing w:after="0" w:line="178" w:lineRule="exact"/>
        <w:rPr>
          <w:rFonts w:ascii="Arial" w:cs="Arial" w:eastAsia="Arial" w:hAnsi="Arial"/>
          <w:sz w:val="17"/>
          <w:szCs w:val="17"/>
          <w:color w:val="auto"/>
        </w:rPr>
      </w:pPr>
    </w:p>
    <w:p>
      <w:pPr>
        <w:jc w:val="both"/>
        <w:ind w:firstLine="1289"/>
        <w:spacing w:after="0" w:line="271" w:lineRule="auto"/>
        <w:tabs>
          <w:tab w:leader="none" w:pos="230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and the Administrative Borrower at the time or times prescribed by law and at such time or times reasonably requested by Agent and the Administrative Borrower such documentation prescribed by applicable law (including as prescribed by Section 1471(b)(3)(C)(i) of the IRC) and such additional documentation reasonably requested by Agent and the Administrative Borrower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78" w:lineRule="exact"/>
        <w:rPr>
          <w:rFonts w:ascii="Arial" w:cs="Arial" w:eastAsia="Arial" w:hAnsi="Arial"/>
          <w:sz w:val="17"/>
          <w:szCs w:val="17"/>
          <w:color w:val="auto"/>
        </w:rPr>
      </w:pPr>
    </w:p>
    <w:p>
      <w:pPr>
        <w:jc w:val="both"/>
        <w:ind w:firstLine="1289"/>
        <w:spacing w:after="0" w:line="270" w:lineRule="auto"/>
        <w:tabs>
          <w:tab w:leader="none" w:pos="225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(including </w:t>
      </w:r>
      <w:r>
        <w:rPr>
          <w:rFonts w:ascii="Arial" w:cs="Arial" w:eastAsia="Arial" w:hAnsi="Arial"/>
          <w:sz w:val="17"/>
          <w:szCs w:val="17"/>
          <w:u w:val="single" w:color="auto"/>
          <w:color w:val="auto"/>
        </w:rPr>
        <w:t>Section 2.6(g)</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a Swiss Loan Party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payments by a Swiss Loan Party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17"/>
          <w:szCs w:val="17"/>
          <w:u w:val="single" w:color="auto"/>
          <w:color w:val="auto"/>
        </w:rPr>
        <w:t>Section 13.1</w:t>
      </w:r>
      <w:r>
        <w:rPr>
          <w:rFonts w:ascii="Arial" w:cs="Arial" w:eastAsia="Arial" w:hAnsi="Arial"/>
          <w:sz w:val="17"/>
          <w:szCs w:val="17"/>
          <w:color w:val="auto"/>
        </w:rPr>
        <w:t>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412" w:name="page413"/>
    <w:bookmarkEnd w:id="412"/>
    <w:p>
      <w:pPr>
        <w:ind w:left="660"/>
        <w:spacing w:after="0"/>
        <w:tabs>
          <w:tab w:leader="none" w:pos="17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u w:val="single" w:color="auto"/>
          <w:color w:val="auto"/>
        </w:rPr>
        <w:t>Reductions</w:t>
      </w:r>
      <w:r>
        <w:rPr>
          <w:rFonts w:ascii="Arial" w:cs="Arial" w:eastAsia="Arial" w:hAnsi="Arial"/>
          <w:sz w:val="15"/>
          <w:szCs w:val="15"/>
          <w:color w:val="auto"/>
        </w:rPr>
        <w:t>.</w:t>
      </w:r>
    </w:p>
    <w:p>
      <w:pPr>
        <w:spacing w:after="0" w:line="229" w:lineRule="exact"/>
        <w:rPr>
          <w:sz w:val="20"/>
          <w:szCs w:val="20"/>
          <w:color w:val="auto"/>
        </w:rPr>
      </w:pPr>
    </w:p>
    <w:p>
      <w:pPr>
        <w:jc w:val="both"/>
        <w:ind w:left="340" w:firstLine="1289"/>
        <w:spacing w:after="0" w:line="255" w:lineRule="auto"/>
        <w:tabs>
          <w:tab w:leader="none" w:pos="260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Without limitation to the obligation to provide the forms or other documentation required by </w:t>
      </w:r>
      <w:r>
        <w:rPr>
          <w:rFonts w:ascii="Arial" w:cs="Arial" w:eastAsia="Arial" w:hAnsi="Arial"/>
          <w:sz w:val="18"/>
          <w:szCs w:val="18"/>
          <w:u w:val="single" w:color="auto"/>
          <w:color w:val="auto"/>
        </w:rPr>
        <w:t>Section 16.2</w:t>
      </w:r>
      <w:r>
        <w:rPr>
          <w:rFonts w:ascii="Arial" w:cs="Arial" w:eastAsia="Arial" w:hAnsi="Arial"/>
          <w:sz w:val="18"/>
          <w:szCs w:val="18"/>
          <w:color w:val="auto"/>
        </w:rPr>
        <w:t>, if such forms or other documentation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93" w:lineRule="exact"/>
        <w:rPr>
          <w:rFonts w:ascii="Arial" w:cs="Arial" w:eastAsia="Arial" w:hAnsi="Arial"/>
          <w:sz w:val="18"/>
          <w:szCs w:val="18"/>
          <w:color w:val="auto"/>
        </w:rPr>
      </w:pPr>
    </w:p>
    <w:p>
      <w:pPr>
        <w:jc w:val="both"/>
        <w:ind w:left="340" w:firstLine="1289"/>
        <w:spacing w:after="0" w:line="270" w:lineRule="auto"/>
        <w:tabs>
          <w:tab w:leader="none" w:pos="257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 xml:space="preserve">If the IRS or any other Governmental Authority of the United States or other jurisdiction asserts a claim that Agent (or, in the case of a Participant, to the Lender or Agent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or Participant failed to notify Agent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and Agent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b w:val="1"/>
          <w:bCs w:val="1"/>
          <w:u w:val="single" w:color="auto"/>
          <w:color w:val="auto"/>
        </w:rPr>
        <w:t>Refunds</w:t>
      </w:r>
      <w:r>
        <w:rPr>
          <w:rFonts w:ascii="Arial" w:cs="Arial" w:eastAsia="Arial" w:hAnsi="Arial"/>
          <w:sz w:val="17"/>
          <w:szCs w:val="17"/>
          <w:color w:val="auto"/>
        </w:rPr>
        <w:t xml:space="preserve">. If Agent or a Lender determines, in its sole discretion, that it has received a refund of any Indemnified Taxes to which the Loan Parties have paid additional amounts pursuant to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so long as no Default or Event of Default has occurred and is continuing, it shall pay over such refund to the Administrative Borrower on behalf of the Loan Parties (but only to the extent of payments made, or additional amounts paid, by the Loan Parties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the Loan Parties, upon the request of Agent or such Lender, agree to repay the amount paid over to the Loan Parties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7"/>
          <w:szCs w:val="17"/>
          <w:u w:val="single" w:color="auto"/>
          <w:color w:val="auto"/>
        </w:rPr>
        <w:t>Section 16.4</w:t>
      </w:r>
      <w:r>
        <w:rPr>
          <w:rFonts w:ascii="Arial" w:cs="Arial" w:eastAsia="Arial" w:hAnsi="Arial"/>
          <w:sz w:val="17"/>
          <w:szCs w:val="17"/>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3" w:name="page414"/>
    <w:bookmarkEnd w:id="413"/>
    <w:p>
      <w:pPr>
        <w:spacing w:after="0"/>
        <w:tabs>
          <w:tab w:leader="none" w:pos="110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u w:val="single" w:color="auto"/>
          <w:color w:val="auto"/>
        </w:rPr>
        <w:t>VAT</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255" w:lineRule="auto"/>
        <w:tabs>
          <w:tab w:leader="none" w:pos="249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xml:space="preserve">All amounts set out or expressed to be payable under a Loan Document by any Loan Party to any Lender (or Participant) or Agent which (in whole or in part) constitute the consideration for a supply or supplies for VAT purposes are deemed to be exclusive of any VAT which is chargeable on such supply or supplies, and accordingly, subject to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below, if VAT is or becomes chargeable on any supply made by any Lender (or Participant) or Agent to any Loan Party under a Loan Document and such Lender (or Participant) or Agent is required to account to the relevant Governmental Authority for the VAT, that Loan Party shall pay to the Lender (for itself or its Participant, as applicable) or Agent, as the case may be, (in addition to and at the same time as paying any other consideration for such supply subject to receipt of a valid VAT invoice) an amount equal to the amount of such VAT.</w:t>
      </w:r>
    </w:p>
    <w:p>
      <w:pPr>
        <w:spacing w:after="0" w:line="189" w:lineRule="exact"/>
        <w:rPr>
          <w:rFonts w:ascii="Arial" w:cs="Arial" w:eastAsia="Arial" w:hAnsi="Arial"/>
          <w:sz w:val="18"/>
          <w:szCs w:val="18"/>
          <w:color w:val="auto"/>
        </w:rPr>
      </w:pPr>
    </w:p>
    <w:p>
      <w:pPr>
        <w:jc w:val="both"/>
        <w:ind w:firstLine="1293"/>
        <w:spacing w:after="0" w:line="259" w:lineRule="auto"/>
        <w:tabs>
          <w:tab w:leader="none" w:pos="218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Lender, Participant or Agent (the "</w:t>
      </w:r>
      <w:r>
        <w:rPr>
          <w:rFonts w:ascii="Arial" w:cs="Arial" w:eastAsia="Arial" w:hAnsi="Arial"/>
          <w:sz w:val="18"/>
          <w:szCs w:val="18"/>
          <w:u w:val="single" w:color="auto"/>
          <w:color w:val="auto"/>
        </w:rPr>
        <w:t>Supplier</w:t>
      </w:r>
      <w:r>
        <w:rPr>
          <w:rFonts w:ascii="Arial" w:cs="Arial" w:eastAsia="Arial" w:hAnsi="Arial"/>
          <w:sz w:val="18"/>
          <w:szCs w:val="18"/>
          <w:color w:val="auto"/>
        </w:rPr>
        <w:t>") to any other Lender, Participant or Agent (the "</w:t>
      </w:r>
      <w:r>
        <w:rPr>
          <w:rFonts w:ascii="Arial" w:cs="Arial" w:eastAsia="Arial" w:hAnsi="Arial"/>
          <w:sz w:val="18"/>
          <w:szCs w:val="18"/>
          <w:u w:val="single" w:color="auto"/>
          <w:color w:val="auto"/>
        </w:rPr>
        <w:t>Supply Recipient</w:t>
      </w:r>
      <w:r>
        <w:rPr>
          <w:rFonts w:ascii="Arial" w:cs="Arial" w:eastAsia="Arial" w:hAnsi="Arial"/>
          <w:sz w:val="18"/>
          <w:szCs w:val="18"/>
          <w:color w:val="auto"/>
        </w:rPr>
        <w:t>") under a Loan Document, and any party other than the Supply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7" w:lineRule="exact"/>
        <w:rPr>
          <w:sz w:val="20"/>
          <w:szCs w:val="20"/>
          <w:color w:val="auto"/>
        </w:rPr>
      </w:pPr>
    </w:p>
    <w:p>
      <w:pPr>
        <w:jc w:val="both"/>
        <w:ind w:left="640" w:firstLine="653"/>
        <w:spacing w:after="0" w:line="257" w:lineRule="auto"/>
        <w:tabs>
          <w:tab w:leader="none" w:pos="222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Governmental Authority for the VAT, the Relevant Party must also pay to the Supplier (at the same time as paying that amount) an additional amount equal to the amount of VAT; the Supply Recipient must (where this subsection (b)(i)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88" w:lineRule="exact"/>
        <w:rPr>
          <w:rFonts w:ascii="Arial" w:cs="Arial" w:eastAsia="Arial" w:hAnsi="Arial"/>
          <w:sz w:val="18"/>
          <w:szCs w:val="18"/>
          <w:color w:val="auto"/>
        </w:rPr>
      </w:pPr>
    </w:p>
    <w:p>
      <w:pPr>
        <w:jc w:val="both"/>
        <w:ind w:left="640" w:firstLine="653"/>
        <w:spacing w:after="0" w:line="259" w:lineRule="auto"/>
        <w:tabs>
          <w:tab w:leader="none" w:pos="219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where the Supply Recipient is the person required to account to the relevant Governmental Authority for the 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414" w:name="page415"/>
    <w:bookmarkEnd w:id="414"/>
    <w:p>
      <w:pPr>
        <w:jc w:val="both"/>
        <w:ind w:left="660" w:firstLine="1293"/>
        <w:spacing w:after="0" w:line="279" w:lineRule="auto"/>
        <w:tabs>
          <w:tab w:leader="none" w:pos="2966" w:val="left"/>
        </w:tabs>
        <w:numPr>
          <w:ilvl w:val="1"/>
          <w:numId w:val="501"/>
        </w:numPr>
        <w:rPr>
          <w:rFonts w:ascii="Arial" w:cs="Arial" w:eastAsia="Arial" w:hAnsi="Arial"/>
          <w:sz w:val="17"/>
          <w:szCs w:val="17"/>
          <w:color w:val="auto"/>
        </w:rPr>
      </w:pPr>
      <w:r>
        <w:rPr>
          <w:rFonts w:ascii="Arial" w:cs="Arial" w:eastAsia="Arial" w:hAnsi="Arial"/>
          <w:sz w:val="17"/>
          <w:szCs w:val="17"/>
          <w:color w:val="auto"/>
        </w:rPr>
        <w:t>Where a Loan Document requires any Loan Party to reimburse or indemnify a Lender, Participant or Agent for any cost or expense, the Loan Party shall reimburse or indemnify (as the case may be) such Lender, Participant or Agent for the full amount of such cost or expense, including such part thereof as represents VAT, save to the extent that such Lender, Participant or Agent reasonably determines that it is entitled to credit or repayment in respect of such VAT from the relevant Governmental Authority.</w:t>
      </w:r>
    </w:p>
    <w:p>
      <w:pPr>
        <w:spacing w:after="0" w:line="171" w:lineRule="exact"/>
        <w:rPr>
          <w:rFonts w:ascii="Arial" w:cs="Arial" w:eastAsia="Arial" w:hAnsi="Arial"/>
          <w:sz w:val="17"/>
          <w:szCs w:val="17"/>
          <w:color w:val="auto"/>
        </w:rPr>
      </w:pPr>
    </w:p>
    <w:p>
      <w:pPr>
        <w:jc w:val="both"/>
        <w:ind w:left="660" w:firstLine="1293"/>
        <w:spacing w:after="0" w:line="264" w:lineRule="auto"/>
        <w:tabs>
          <w:tab w:leader="none" w:pos="2841"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xml:space="preserve">Any reference in this </w:t>
      </w:r>
      <w:r>
        <w:rPr>
          <w:rFonts w:ascii="Arial" w:cs="Arial" w:eastAsia="Arial" w:hAnsi="Arial"/>
          <w:sz w:val="18"/>
          <w:szCs w:val="18"/>
          <w:u w:val="single" w:color="auto"/>
          <w:color w:val="auto"/>
        </w:rPr>
        <w:t>Section 16.5</w:t>
      </w:r>
      <w:r>
        <w:rPr>
          <w:rFonts w:ascii="Arial" w:cs="Arial" w:eastAsia="Arial" w:hAnsi="Arial"/>
          <w:sz w:val="18"/>
          <w:szCs w:val="18"/>
          <w:color w:val="auto"/>
        </w:rPr>
        <w:t xml:space="preserve"> to any party shall, at any time when such party is treated as a member of a group for VAT purposes, include (where appropriate and unless the context otherwise requires) a reference to a person under the grouping rules as defined in the EC Council Directive 2006/112 or any national legislation implementing that Directive.</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92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In relation to any supply made by a Lender, Participant or Agent to any party under a Loan Document, if reasonably requested by such Lender or Agent, that party must promptly provide such Lender, Participant or Agent with details of that party’s VAT registration and such other information as is reasonably requested in connection with such Lender's, Participant's or Agent's, as the case may be, VAT reporting requirements in relation to such supply.</w:t>
      </w:r>
    </w:p>
    <w:p>
      <w:pPr>
        <w:spacing w:after="0" w:line="186" w:lineRule="exact"/>
        <w:rPr>
          <w:rFonts w:ascii="Arial" w:cs="Arial" w:eastAsia="Arial" w:hAnsi="Arial"/>
          <w:sz w:val="18"/>
          <w:szCs w:val="18"/>
          <w:color w:val="auto"/>
        </w:rPr>
      </w:pPr>
    </w:p>
    <w:p>
      <w:pPr>
        <w:ind w:left="660" w:right="20" w:firstLine="1293"/>
        <w:spacing w:after="0" w:line="342" w:lineRule="auto"/>
        <w:tabs>
          <w:tab w:leader="none" w:pos="3221" w:val="left"/>
        </w:tabs>
        <w:numPr>
          <w:ilvl w:val="1"/>
          <w:numId w:val="501"/>
        </w:numPr>
        <w:rPr>
          <w:rFonts w:ascii="Arial" w:cs="Arial" w:eastAsia="Arial" w:hAnsi="Arial"/>
          <w:sz w:val="16"/>
          <w:szCs w:val="16"/>
          <w:color w:val="auto"/>
        </w:rPr>
      </w:pPr>
      <w:r>
        <w:rPr>
          <w:rFonts w:ascii="Arial" w:cs="Arial" w:eastAsia="Arial" w:hAnsi="Arial"/>
          <w:sz w:val="16"/>
          <w:szCs w:val="16"/>
          <w:color w:val="auto"/>
        </w:rPr>
        <w:t xml:space="preserve">Each party’s obligations under this </w:t>
      </w:r>
      <w:r>
        <w:rPr>
          <w:rFonts w:ascii="Arial" w:cs="Arial" w:eastAsia="Arial" w:hAnsi="Arial"/>
          <w:sz w:val="16"/>
          <w:szCs w:val="16"/>
          <w:u w:val="single" w:color="auto"/>
          <w:color w:val="auto"/>
        </w:rPr>
        <w:t>Section 16.5</w:t>
      </w:r>
      <w:r>
        <w:rPr>
          <w:rFonts w:ascii="Arial" w:cs="Arial" w:eastAsia="Arial" w:hAnsi="Arial"/>
          <w:sz w:val="16"/>
          <w:szCs w:val="16"/>
          <w:color w:val="auto"/>
        </w:rPr>
        <w:t xml:space="preserve"> shall survive the resignation or replacement of Agent or any assignment of rights by, or the replacement of a Lender, and the repayment, satisfaction or discharge of all Obligations under any Loan Document.</w:t>
      </w:r>
    </w:p>
    <w:p>
      <w:pPr>
        <w:spacing w:after="0" w:line="119" w:lineRule="exact"/>
        <w:rPr>
          <w:rFonts w:ascii="Arial" w:cs="Arial" w:eastAsia="Arial" w:hAnsi="Arial"/>
          <w:sz w:val="16"/>
          <w:szCs w:val="16"/>
          <w:color w:val="auto"/>
        </w:rPr>
      </w:pPr>
    </w:p>
    <w:p>
      <w:pPr>
        <w:ind w:left="660" w:hanging="652"/>
        <w:spacing w:after="0"/>
        <w:tabs>
          <w:tab w:leader="none" w:pos="660"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Agreement shall be binding and deemed effective when executed by Parent, each Borrower, Agent, and each Lender whose signature is provided for on the signature pages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Headings and numbers have been set forth herein for convenience only. Unless the contrary is compelled by the context, everything contained in each Section applies equally to this entire Agreement.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Neither this Agreement nor any uncertainty or ambiguity herein shall be construed against the Lender Group or Parent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4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u w:val="single" w:color="auto"/>
          <w:color w:val="auto"/>
        </w:rPr>
        <w:t>Severability of Provisions</w:t>
      </w:r>
      <w:r>
        <w:rPr>
          <w:rFonts w:ascii="Arial" w:cs="Arial" w:eastAsia="Arial" w:hAnsi="Arial"/>
          <w:sz w:val="18"/>
          <w:szCs w:val="18"/>
          <w:color w:val="auto"/>
        </w:rPr>
        <w:t>. Each provision of this Agreement shall be severable from every other provision of this Agreement for the purpose of determining the legal enforceability of any specific provision.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5" w:name="page416"/>
    <w:bookmarkEnd w:id="415"/>
    <w:p>
      <w:pPr>
        <w:jc w:val="both"/>
        <w:ind w:firstLine="648"/>
        <w:spacing w:after="0" w:line="267"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Bank Product Providers</w:t>
      </w:r>
      <w:r>
        <w:rPr>
          <w:rFonts w:ascii="Arial" w:cs="Arial" w:eastAsia="Arial" w:hAnsi="Arial"/>
          <w:sz w:val="17"/>
          <w:szCs w:val="17"/>
          <w:color w:val="auto"/>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u w:val="single" w:color="auto"/>
          <w:color w:val="auto"/>
        </w:rPr>
        <w:t>Debtor-Creditor Relationship</w:t>
      </w:r>
      <w:r>
        <w:rPr>
          <w:rFonts w:ascii="Arial" w:cs="Arial" w:eastAsia="Arial" w:hAnsi="Arial"/>
          <w:sz w:val="18"/>
          <w:szCs w:val="18"/>
          <w:color w:val="auto"/>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color w:val="auto"/>
        </w:rPr>
        <w:t>.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mutatis mutandis.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6" w:name="page417"/>
    <w:bookmarkEnd w:id="416"/>
    <w:p>
      <w:pPr>
        <w:ind w:left="320"/>
        <w:spacing w:after="0"/>
        <w:tabs>
          <w:tab w:leader="none" w:pos="14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b w:val="1"/>
          <w:bCs w:val="1"/>
          <w:u w:val="single" w:color="auto"/>
          <w:color w:val="auto"/>
        </w:rPr>
        <w:t>Revival and Reinstatement of Obligations; Certain Waivers</w:t>
      </w:r>
      <w:r>
        <w:rPr>
          <w:rFonts w:ascii="Arial" w:cs="Arial" w:eastAsia="Arial" w:hAnsi="Arial"/>
          <w:sz w:val="16"/>
          <w:szCs w:val="16"/>
          <w:color w:val="auto"/>
        </w:rPr>
        <w:t>.</w:t>
      </w:r>
    </w:p>
    <w:p>
      <w:pPr>
        <w:spacing w:after="0" w:line="229" w:lineRule="exact"/>
        <w:rPr>
          <w:sz w:val="20"/>
          <w:szCs w:val="20"/>
          <w:color w:val="auto"/>
        </w:rPr>
      </w:pPr>
    </w:p>
    <w:p>
      <w:pPr>
        <w:jc w:val="both"/>
        <w:ind w:firstLine="1289"/>
        <w:spacing w:after="0" w:line="285" w:lineRule="auto"/>
        <w:tabs>
          <w:tab w:leader="none" w:pos="2225"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any Insolvency Laws relating to fraudulent transfers, preferences, or other voidable or recoverable obligations or transfers (each, a "</w:t>
      </w:r>
      <w:r>
        <w:rPr>
          <w:rFonts w:ascii="Arial" w:cs="Arial" w:eastAsia="Arial" w:hAnsi="Arial"/>
          <w:sz w:val="16"/>
          <w:szCs w:val="16"/>
          <w:u w:val="single" w:color="auto"/>
          <w:color w:val="auto"/>
        </w:rPr>
        <w:t>Voidable Transfer</w:t>
      </w:r>
      <w:r>
        <w:rPr>
          <w:rFonts w:ascii="Arial" w:cs="Arial" w:eastAsia="Arial" w:hAnsi="Arial"/>
          <w:sz w:val="16"/>
          <w:szCs w:val="16"/>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spacing w:after="0" w:line="174" w:lineRule="exact"/>
        <w:rPr>
          <w:sz w:val="20"/>
          <w:szCs w:val="20"/>
          <w:color w:val="auto"/>
        </w:rPr>
      </w:pPr>
    </w:p>
    <w:p>
      <w:pPr>
        <w:ind w:left="320"/>
        <w:spacing w:after="0"/>
        <w:tabs>
          <w:tab w:leader="none" w:pos="138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w:t>
      </w:r>
    </w:p>
    <w:p>
      <w:pPr>
        <w:spacing w:after="0" w:line="229" w:lineRule="exact"/>
        <w:rPr>
          <w:sz w:val="20"/>
          <w:szCs w:val="20"/>
          <w:color w:val="auto"/>
        </w:rPr>
      </w:pPr>
    </w:p>
    <w:p>
      <w:pPr>
        <w:jc w:val="both"/>
        <w:ind w:firstLine="1289"/>
        <w:spacing w:after="0" w:line="283" w:lineRule="auto"/>
        <w:tabs>
          <w:tab w:leader="none" w:pos="2252" w:val="left"/>
        </w:tabs>
        <w:numPr>
          <w:ilvl w:val="0"/>
          <w:numId w:val="504"/>
        </w:numPr>
        <w:rPr>
          <w:rFonts w:ascii="Arial" w:cs="Arial" w:eastAsia="Arial" w:hAnsi="Arial"/>
          <w:sz w:val="16"/>
          <w:szCs w:val="16"/>
          <w:color w:val="auto"/>
        </w:rPr>
      </w:pPr>
      <w:r>
        <w:rPr>
          <w:rFonts w:ascii="Arial" w:cs="Arial" w:eastAsia="Arial" w:hAnsi="Arial"/>
          <w:sz w:val="16"/>
          <w:szCs w:val="16"/>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Arial" w:cs="Arial" w:eastAsia="Arial" w:hAnsi="Arial"/>
          <w:sz w:val="16"/>
          <w:szCs w:val="16"/>
          <w:u w:val="single" w:color="auto"/>
          <w:color w:val="auto"/>
        </w:rPr>
        <w:t>Lender Group Representatives</w:t>
      </w:r>
      <w:r>
        <w:rPr>
          <w:rFonts w:ascii="Arial" w:cs="Arial" w:eastAsia="Arial" w:hAnsi="Arial"/>
          <w:sz w:val="16"/>
          <w:szCs w:val="16"/>
          <w:color w:val="auto"/>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Subsidiary or Affiliate is informed of the confidential nature of such information, (iii) as may be required by regulatory authorities so long as such authorities are informed of the confidential nature of such information, (iv) as may be required by statute, decision, or judicial or administrative order, rule, or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and to any actual or prospective counterparty (or its advisors) to any swap or derivative transaction to which a Loan Party is a direct counterparty relating to Loan Parties and their respective obligations hereunder, and to any insurer or insurance broker;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receipt of Confidential Information any such assignee, participant, pledgee, counterparty (or advisor), insurer or broker shall have agreed in writing to receive such Confidential Information either subject to the terms of this </w:t>
      </w:r>
      <w:r>
        <w:rPr>
          <w:rFonts w:ascii="Arial" w:cs="Arial" w:eastAsia="Arial" w:hAnsi="Arial"/>
          <w:sz w:val="16"/>
          <w:szCs w:val="16"/>
          <w:u w:val="single" w:color="auto"/>
          <w:color w:val="auto"/>
        </w:rPr>
        <w:t>Section 17.9</w:t>
      </w:r>
      <w:r>
        <w:rPr>
          <w:rFonts w:ascii="Arial" w:cs="Arial" w:eastAsia="Arial" w:hAnsi="Arial"/>
          <w:sz w:val="16"/>
          <w:szCs w:val="16"/>
          <w:color w:val="auto"/>
        </w:rPr>
        <w:t xml:space="preserve"> or pursuant to confidentiality requirements substantially similar to those contained in this </w:t>
      </w:r>
      <w:r>
        <w:rPr>
          <w:rFonts w:ascii="Arial" w:cs="Arial" w:eastAsia="Arial" w:hAnsi="Arial"/>
          <w:sz w:val="16"/>
          <w:szCs w:val="16"/>
          <w:u w:val="single" w:color="auto"/>
          <w:color w:val="auto"/>
        </w:rPr>
        <w:t>Section 17.9</w:t>
      </w:r>
      <w:r>
        <w:rPr>
          <w:rFonts w:ascii="Arial" w:cs="Arial" w:eastAsia="Arial" w:hAnsi="Arial"/>
          <w:sz w:val="16"/>
          <w:szCs w:val="16"/>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417" w:name="page418"/>
    <w:bookmarkEnd w:id="417"/>
    <w:p>
      <w:pPr>
        <w:jc w:val="both"/>
        <w:ind w:left="340" w:firstLine="1289"/>
        <w:spacing w:after="0" w:line="276" w:lineRule="auto"/>
        <w:tabs>
          <w:tab w:leader="none" w:pos="2589" w:val="left"/>
        </w:tabs>
        <w:numPr>
          <w:ilvl w:val="0"/>
          <w:numId w:val="505"/>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Agent and Lenders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Agent or Lenders.</w:t>
      </w:r>
    </w:p>
    <w:p>
      <w:pPr>
        <w:spacing w:after="0" w:line="172" w:lineRule="exact"/>
        <w:rPr>
          <w:rFonts w:ascii="Arial" w:cs="Arial" w:eastAsia="Arial" w:hAnsi="Arial"/>
          <w:sz w:val="17"/>
          <w:szCs w:val="17"/>
          <w:color w:val="auto"/>
        </w:rPr>
      </w:pPr>
    </w:p>
    <w:p>
      <w:pPr>
        <w:jc w:val="both"/>
        <w:ind w:left="340" w:firstLine="1289"/>
        <w:spacing w:after="0" w:line="267" w:lineRule="auto"/>
        <w:tabs>
          <w:tab w:leader="none" w:pos="2619" w:val="left"/>
        </w:tabs>
        <w:numPr>
          <w:ilvl w:val="0"/>
          <w:numId w:val="505"/>
        </w:numPr>
        <w:rPr>
          <w:rFonts w:ascii="Arial" w:cs="Arial" w:eastAsia="Arial" w:hAnsi="Arial"/>
          <w:sz w:val="17"/>
          <w:szCs w:val="17"/>
          <w:color w:val="auto"/>
        </w:rPr>
      </w:pPr>
      <w:r>
        <w:rPr>
          <w:rFonts w:ascii="Arial" w:cs="Arial" w:eastAsia="Arial" w:hAnsi="Arial"/>
          <w:sz w:val="17"/>
          <w:szCs w:val="17"/>
          <w:color w:val="auto"/>
        </w:rPr>
        <w:t>Each Loan Party agrees that Agent may make materials or information provided by or on behalf of Borrowers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available to the Lenders by posting the Communications on IntraLinks, SyndTrak or a substantially similar secure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or any Lender or Issuing Bank have any liability to the Loan Parties, any Lender or any other person for damages of any kind, including direct or indirect, special, incidental or consequential damages, losses or expenses (whether in tort, contract or otherwise) arising out of any Loan Party's, Agent's, Lender's or Issuing Bank's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(i.e., Lenders that do not wish to receive material non-public information with respect to the Loan Parties or their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1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8" w:name="page419"/>
    <w:bookmarkEnd w:id="418"/>
    <w:p>
      <w:pPr>
        <w:ind w:left="660"/>
        <w:spacing w:after="0"/>
        <w:tabs>
          <w:tab w:leader="none" w:pos="170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b w:val="1"/>
          <w:bCs w:val="1"/>
          <w:u w:val="single" w:color="auto"/>
          <w:color w:val="auto"/>
        </w:rPr>
        <w:t>Patriot Act; Due Diligence</w:t>
      </w:r>
      <w:r>
        <w:rPr>
          <w:rFonts w:ascii="Arial" w:cs="Arial" w:eastAsia="Arial" w:hAnsi="Arial"/>
          <w:sz w:val="16"/>
          <w:szCs w:val="16"/>
          <w:color w:val="auto"/>
        </w:rPr>
        <w:t>.</w:t>
      </w:r>
    </w:p>
    <w:p>
      <w:pPr>
        <w:spacing w:after="0" w:line="229" w:lineRule="exact"/>
        <w:rPr>
          <w:sz w:val="20"/>
          <w:szCs w:val="20"/>
          <w:color w:val="auto"/>
        </w:rPr>
      </w:pPr>
    </w:p>
    <w:p>
      <w:pPr>
        <w:jc w:val="both"/>
        <w:ind w:left="340" w:firstLine="1289"/>
        <w:spacing w:after="0" w:line="255" w:lineRule="auto"/>
        <w:tabs>
          <w:tab w:leader="none" w:pos="271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spacing w:after="0" w:line="189" w:lineRule="exact"/>
        <w:rPr>
          <w:rFonts w:ascii="Arial" w:cs="Arial" w:eastAsia="Arial" w:hAnsi="Arial"/>
          <w:sz w:val="18"/>
          <w:szCs w:val="18"/>
          <w:color w:val="auto"/>
        </w:rPr>
      </w:pPr>
    </w:p>
    <w:p>
      <w:pPr>
        <w:jc w:val="both"/>
        <w:ind w:left="340" w:firstLine="1289"/>
        <w:spacing w:after="0" w:line="291" w:lineRule="auto"/>
        <w:tabs>
          <w:tab w:leader="none" w:pos="2683" w:val="left"/>
        </w:tabs>
        <w:numPr>
          <w:ilvl w:val="0"/>
          <w:numId w:val="506"/>
        </w:numPr>
        <w:rPr>
          <w:rFonts w:ascii="Arial" w:cs="Arial" w:eastAsia="Arial" w:hAnsi="Arial"/>
          <w:sz w:val="16"/>
          <w:szCs w:val="16"/>
          <w:color w:val="auto"/>
        </w:rPr>
      </w:pPr>
      <w:r>
        <w:rPr>
          <w:rFonts w:ascii="Arial" w:cs="Arial" w:eastAsia="Arial" w:hAnsi="Arial"/>
          <w:sz w:val="16"/>
          <w:szCs w:val="16"/>
          <w:color w:val="auto"/>
        </w:rPr>
        <w:t>Each Loan Party acknowledges that, pursuant to the provisions of Canadian Anti-Money Laundering &amp; Anti-Terrorism Legislation, Agent and Lenders may be required to obtain, verify and record information regarding each Loan Party, its respective directors, authorized signing officers, direct or indirect shareholders or other Persons in control of such Loan Party, and the transactions contemplated hereby. The Loan Parties shall promptly provide all such information, including supporting documentation and other evidence, as may be reasonably requested by any Lender or Agent, or any prospective assign or participant of a Lender or Agent, necessary in order to comply with any applicable Canadian Anti-Money Laundering &amp; Anti-Terrorism Legislation, whether now or hereafter in existence. If Agent has ascertained the identity of any Loan Party or any authorized signatories of any Loan Party for the purposes of applicable Canadian Anti-Money Laundering &amp; Anti-Terrorism Legislation, then Agent:</w:t>
      </w:r>
    </w:p>
    <w:p>
      <w:pPr>
        <w:spacing w:after="0" w:line="167" w:lineRule="exact"/>
        <w:rPr>
          <w:rFonts w:ascii="Arial" w:cs="Arial" w:eastAsia="Arial" w:hAnsi="Arial"/>
          <w:sz w:val="16"/>
          <w:szCs w:val="16"/>
          <w:color w:val="auto"/>
        </w:rPr>
      </w:pPr>
    </w:p>
    <w:p>
      <w:pPr>
        <w:jc w:val="both"/>
        <w:ind w:firstLine="1953"/>
        <w:spacing w:after="0" w:line="342" w:lineRule="auto"/>
        <w:tabs>
          <w:tab w:leader="none" w:pos="3244" w:val="left"/>
        </w:tabs>
        <w:numPr>
          <w:ilvl w:val="1"/>
          <w:numId w:val="506"/>
        </w:numPr>
        <w:rPr>
          <w:rFonts w:ascii="Arial" w:cs="Arial" w:eastAsia="Arial" w:hAnsi="Arial"/>
          <w:sz w:val="16"/>
          <w:szCs w:val="16"/>
          <w:color w:val="auto"/>
        </w:rPr>
      </w:pPr>
      <w:r>
        <w:rPr>
          <w:rFonts w:ascii="Arial" w:cs="Arial" w:eastAsia="Arial" w:hAnsi="Arial"/>
          <w:sz w:val="16"/>
          <w:szCs w:val="16"/>
          <w:color w:val="auto"/>
        </w:rPr>
        <w:t>shall be deemed to have done so as an agent for each Lender, and this Agreement shall constitute a "written agreement" in such regard between each Lender and Agent within the meaning of applicable Canadian Anti-Money Laundering &amp; Anti-Terrorism Legislation;</w:t>
      </w:r>
    </w:p>
    <w:p>
      <w:pPr>
        <w:spacing w:after="0" w:line="123" w:lineRule="exact"/>
        <w:rPr>
          <w:rFonts w:ascii="Arial" w:cs="Arial" w:eastAsia="Arial" w:hAnsi="Arial"/>
          <w:sz w:val="16"/>
          <w:szCs w:val="16"/>
          <w:color w:val="auto"/>
        </w:rPr>
      </w:pPr>
    </w:p>
    <w:p>
      <w:pPr>
        <w:ind w:left="2880" w:hanging="927"/>
        <w:spacing w:after="0"/>
        <w:tabs>
          <w:tab w:leader="none" w:pos="288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shall provide to each Lender copies of all information obtained in such regard without any representation or warranty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to its accuracy or completeness.</w:t>
      </w:r>
    </w:p>
    <w:p>
      <w:pPr>
        <w:spacing w:after="0" w:line="210" w:lineRule="exact"/>
        <w:rPr>
          <w:rFonts w:ascii="Arial" w:cs="Arial" w:eastAsia="Arial" w:hAnsi="Arial"/>
          <w:sz w:val="16"/>
          <w:szCs w:val="16"/>
          <w:color w:val="auto"/>
        </w:rPr>
      </w:pPr>
    </w:p>
    <w:p>
      <w:pPr>
        <w:jc w:val="both"/>
        <w:ind w:left="340" w:firstLine="1289"/>
        <w:spacing w:after="0" w:line="287" w:lineRule="auto"/>
        <w:tabs>
          <w:tab w:leader="none" w:pos="2808" w:val="left"/>
        </w:tabs>
        <w:numPr>
          <w:ilvl w:val="0"/>
          <w:numId w:val="506"/>
        </w:numPr>
        <w:rPr>
          <w:rFonts w:ascii="Arial" w:cs="Arial" w:eastAsia="Arial" w:hAnsi="Arial"/>
          <w:sz w:val="16"/>
          <w:szCs w:val="16"/>
          <w:color w:val="auto"/>
        </w:rPr>
      </w:pPr>
      <w:r>
        <w:rPr>
          <w:rFonts w:ascii="Arial" w:cs="Arial" w:eastAsia="Arial" w:hAnsi="Arial"/>
          <w:sz w:val="16"/>
          <w:szCs w:val="16"/>
          <w:color w:val="auto"/>
        </w:rPr>
        <w:t>(i) If (A) the introduction of or any change in (or in the interpretation, administration or application of) any law or regulation made after the Closing Date, (B) any change in the status of an English Loan Party after the Closing Date, or (C) a proposed assignment or transfer by a Lender of any of its rights and obligations under this Agreement to a party that is not a Lender prior to such assignment or transfer, obliges Agent or any Lender (or, in the case of clause (C) above, any prospective new Lender) to comply with "know your customer" or similar identification procedures in circumstances where the necessary information is not already available to it, each English Loan Party shall promptly upon the request of Agent or any Lender supply, or procure the supply of, such documentation and other evidence as is reasonably requested by Agent (for itself or on behalf of any Lender) or any Lender (for itself or, in the case of the event described in clause (C) above, on behalf of any prospective new Lender) in order for Agent, such Lender or, in the case of the event described in clause (C) above, any prospective new Lender to carry out and be satisfied it has complied with all necessary "know your customer" or other similar checks under all applicable laws and regulations pursuant to the transactions contemplated in the Loan Documents; and (ii) each Lender shall promptly upon the request of the supply, or procure the supply of, such documentation and other evidence as is reasonably requested by Agent (for itself) in order for Agent to carry out and be satisfied it has complied with all necessary "know your customer" or other similar checks under all applicable laws and regulations pursuant to the transactions contemplated in the Loan Documents.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9" w:name="page420"/>
    <w:bookmarkEnd w:id="419"/>
    <w:p>
      <w:pPr>
        <w:jc w:val="both"/>
        <w:ind w:firstLine="1297"/>
        <w:spacing w:after="0" w:line="264" w:lineRule="auto"/>
        <w:rPr>
          <w:sz w:val="20"/>
          <w:szCs w:val="20"/>
          <w:color w:val="auto"/>
        </w:rPr>
      </w:pPr>
      <w:r>
        <w:rPr>
          <w:rFonts w:ascii="Arial" w:cs="Arial" w:eastAsia="Arial" w:hAnsi="Arial"/>
          <w:sz w:val="18"/>
          <w:szCs w:val="18"/>
          <w:color w:val="auto"/>
        </w:rPr>
        <w:t>Notwithstanding the provisions of this Section and except as may otherwise be agreed in writing, each Lender agrees that Agent has no obligation to ascertain the identity of the Loan Parties or any authorized signatories of the Loan Parties on behalf of any Lender, or to confirm the completeness or accuracy of any information it obtains from the Loan Parties or any such authorized signatory in doing so</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17.12. </w:t>
      </w:r>
      <w:r>
        <w:rPr>
          <w:rFonts w:ascii="Arial" w:cs="Arial" w:eastAsia="Arial" w:hAnsi="Arial"/>
          <w:sz w:val="17"/>
          <w:szCs w:val="17"/>
          <w:b w:val="1"/>
          <w:bCs w:val="1"/>
          <w:u w:val="single" w:color="auto"/>
          <w:color w:val="auto"/>
        </w:rPr>
        <w:t>Integration</w:t>
      </w:r>
      <w:r>
        <w:rPr>
          <w:rFonts w:ascii="Arial" w:cs="Arial" w:eastAsia="Arial" w:hAnsi="Arial"/>
          <w:sz w:val="17"/>
          <w:szCs w:val="17"/>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b w:val="1"/>
          <w:bCs w:val="1"/>
          <w:u w:val="single" w:color="auto"/>
          <w:color w:val="auto"/>
        </w:rPr>
        <w:t>WIL-Delaware as Agent for Borrowers</w:t>
      </w:r>
      <w:r>
        <w:rPr>
          <w:rFonts w:ascii="Arial" w:cs="Arial" w:eastAsia="Arial" w:hAnsi="Arial"/>
          <w:sz w:val="16"/>
          <w:szCs w:val="16"/>
          <w:color w:val="auto"/>
        </w:rPr>
        <w:t>. Each Borrower hereby irrevocably appoints WIL-Delaware as the borrowing agent and attorney-in-fact for all Borrowers (the "</w:t>
      </w:r>
      <w:r>
        <w:rPr>
          <w:rFonts w:ascii="Arial" w:cs="Arial" w:eastAsia="Arial" w:hAnsi="Arial"/>
          <w:sz w:val="16"/>
          <w:szCs w:val="16"/>
          <w:u w:val="single" w:color="auto"/>
          <w:color w:val="auto"/>
        </w:rPr>
        <w:t>Administrative Borrower</w:t>
      </w:r>
      <w:r>
        <w:rPr>
          <w:rFonts w:ascii="Arial" w:cs="Arial" w:eastAsia="Arial" w:hAnsi="Arial"/>
          <w:sz w:val="16"/>
          <w:szCs w:val="16"/>
          <w:color w:val="auto"/>
        </w:rPr>
        <w:t xml:space="preserve">")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(c) to enter into Bank Product Provider Agreements on behalf of Borrowers and their Subsidiaries, and (d) to take such action as the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the Administrative Borrower, except that Borrowers will have no liability to the relevant Agent-Related Person or Lender-Related Person under this </w:t>
      </w:r>
      <w:r>
        <w:rPr>
          <w:rFonts w:ascii="Arial" w:cs="Arial" w:eastAsia="Arial" w:hAnsi="Arial"/>
          <w:sz w:val="16"/>
          <w:szCs w:val="16"/>
          <w:u w:val="single" w:color="auto"/>
          <w:color w:val="auto"/>
        </w:rPr>
        <w:t>Section 17.13</w:t>
      </w:r>
      <w:r>
        <w:rPr>
          <w:rFonts w:ascii="Arial" w:cs="Arial" w:eastAsia="Arial" w:hAnsi="Arial"/>
          <w:sz w:val="16"/>
          <w:szCs w:val="16"/>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0" w:name="page421"/>
    <w:bookmarkEnd w:id="420"/>
    <w:p>
      <w:pPr>
        <w:jc w:val="both"/>
        <w:ind w:firstLine="648"/>
        <w:spacing w:after="0" w:line="261"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b w:val="1"/>
          <w:bCs w:val="1"/>
          <w:u w:val="single" w:color="auto"/>
          <w:color w:val="auto"/>
        </w:rPr>
        <w:t>Acknowledgement and Consent to Bail-In of EEA Financial Institutions</w:t>
      </w:r>
      <w:r>
        <w:rPr>
          <w:rFonts w:ascii="Arial" w:cs="Arial" w:eastAsia="Arial" w:hAnsi="Arial"/>
          <w:sz w:val="18"/>
          <w:szCs w:val="18"/>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84" w:lineRule="exact"/>
        <w:rPr>
          <w:sz w:val="20"/>
          <w:szCs w:val="20"/>
          <w:color w:val="auto"/>
        </w:rPr>
      </w:pPr>
    </w:p>
    <w:p>
      <w:pPr>
        <w:ind w:left="2500" w:hanging="871"/>
        <w:spacing w:after="0"/>
        <w:tabs>
          <w:tab w:leader="none" w:pos="25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25" w:lineRule="exact"/>
        <w:rPr>
          <w:rFonts w:ascii="Arial" w:cs="Arial" w:eastAsia="Arial" w:hAnsi="Arial"/>
          <w:sz w:val="18"/>
          <w:szCs w:val="18"/>
          <w:color w:val="auto"/>
        </w:rPr>
      </w:pPr>
    </w:p>
    <w:p>
      <w:pPr>
        <w:ind w:left="2980" w:hanging="1027"/>
        <w:spacing w:after="0"/>
        <w:tabs>
          <w:tab w:leader="none" w:pos="2980" w:val="left"/>
        </w:tabs>
        <w:numPr>
          <w:ilvl w:val="1"/>
          <w:numId w:val="507"/>
        </w:numPr>
        <w:rPr>
          <w:rFonts w:ascii="Arial" w:cs="Arial" w:eastAsia="Arial" w:hAnsi="Arial"/>
          <w:sz w:val="16"/>
          <w:szCs w:val="16"/>
          <w:color w:val="auto"/>
        </w:rPr>
      </w:pPr>
      <w:r>
        <w:rPr>
          <w:rFonts w:ascii="Arial" w:cs="Arial" w:eastAsia="Arial" w:hAnsi="Arial"/>
          <w:sz w:val="16"/>
          <w:szCs w:val="16"/>
          <w:color w:val="auto"/>
        </w:rPr>
        <w:t>a reduction, in full or in part, in the principal amount, or outstanding amount due (including any accrued but unpaid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 in respect of any such liability;</w:t>
      </w:r>
    </w:p>
    <w:p>
      <w:pPr>
        <w:spacing w:after="0" w:line="210" w:lineRule="exact"/>
        <w:rPr>
          <w:rFonts w:ascii="Arial" w:cs="Arial" w:eastAsia="Arial" w:hAnsi="Arial"/>
          <w:sz w:val="16"/>
          <w:szCs w:val="16"/>
          <w:color w:val="auto"/>
        </w:rPr>
      </w:pPr>
    </w:p>
    <w:p>
      <w:pPr>
        <w:ind w:left="2820" w:hanging="867"/>
        <w:spacing w:after="0"/>
        <w:tabs>
          <w:tab w:leader="none" w:pos="2820" w:val="left"/>
        </w:tabs>
        <w:numPr>
          <w:ilvl w:val="1"/>
          <w:numId w:val="507"/>
        </w:numPr>
        <w:rPr>
          <w:rFonts w:ascii="Arial" w:cs="Arial" w:eastAsia="Arial" w:hAnsi="Arial"/>
          <w:sz w:val="16"/>
          <w:szCs w:val="16"/>
          <w:color w:val="auto"/>
        </w:rPr>
      </w:pPr>
      <w:r>
        <w:rPr>
          <w:rFonts w:ascii="Arial" w:cs="Arial" w:eastAsia="Arial" w:hAnsi="Arial"/>
          <w:sz w:val="16"/>
          <w:szCs w:val="16"/>
          <w:color w:val="auto"/>
        </w:rPr>
        <w:t>a conversion of all, or part of, any such liability into shares or other instruments of ownership that may be issued to,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conferred on, it; and</w:t>
      </w:r>
    </w:p>
    <w:p>
      <w:pPr>
        <w:spacing w:after="0" w:line="210" w:lineRule="exact"/>
        <w:rPr>
          <w:rFonts w:ascii="Arial" w:cs="Arial" w:eastAsia="Arial" w:hAnsi="Arial"/>
          <w:sz w:val="16"/>
          <w:szCs w:val="16"/>
          <w:color w:val="auto"/>
        </w:rPr>
      </w:pPr>
    </w:p>
    <w:p>
      <w:pPr>
        <w:ind w:left="2760" w:hanging="807"/>
        <w:spacing w:after="0"/>
        <w:tabs>
          <w:tab w:leader="none" w:pos="276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 variation of any term of any Loan Document to the extent necessary to give effect to any Bail-In Action in relation to any</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such liability.</w:t>
      </w:r>
    </w:p>
    <w:p>
      <w:pPr>
        <w:spacing w:after="0" w:line="2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b w:val="1"/>
          <w:bCs w:val="1"/>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Hedge Agreements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1" w:name="page422"/>
    <w:bookmarkEnd w:id="421"/>
    <w:p>
      <w:pPr>
        <w:jc w:val="both"/>
        <w:ind w:firstLine="648"/>
        <w:spacing w:after="0" w:line="287" w:lineRule="auto"/>
        <w:rPr>
          <w:sz w:val="20"/>
          <w:szCs w:val="20"/>
          <w:color w:val="auto"/>
        </w:rPr>
      </w:pPr>
      <w:r>
        <w:rPr>
          <w:rFonts w:ascii="Arial" w:cs="Arial" w:eastAsia="Arial" w:hAnsi="Arial"/>
          <w:sz w:val="16"/>
          <w:szCs w:val="16"/>
          <w:color w:val="auto"/>
        </w:rPr>
        <w:t xml:space="preserve">17.16. </w:t>
      </w:r>
      <w:r>
        <w:rPr>
          <w:rFonts w:ascii="Arial" w:cs="Arial" w:eastAsia="Arial" w:hAnsi="Arial"/>
          <w:sz w:val="16"/>
          <w:szCs w:val="16"/>
          <w:b w:val="1"/>
          <w:bCs w:val="1"/>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Agent could purchase the first currency with such other currency on the Business Day preceding that on which final judgment is given. The obligation of each Borrower in respect of any such sum due from it to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Agent or such Lender, as the case may be, of any sum adjudged to be so due in the Judgment Currency, Agent or such Lender, as the case may be, may in accordance with normal banking procedures purchase the Agreement Currency with the Judgment Currency. If the amount of the Agreement Currency so purchased is less than the sum originally due to Agent or any Lender from any Borrower in the Agreement Currency, such Borrower agrees, as a separate obligation and notwithstanding any such judgment, to indemnify Agent or such Lender, as the case may be, against such loss. If the amount of the Agreement Currency so purchased is greater than the sum originally due to Agent or any Lender in such currency, Agent or such Lender, as the case may be, agrees to return the amount of any excess to such Borrower (or to any other Person who may be entitled thereto under applicable law).</w:t>
      </w:r>
    </w:p>
    <w:p>
      <w:pPr>
        <w:spacing w:after="0" w:line="16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17.17.</w:t>
      </w:r>
      <w:r>
        <w:rPr>
          <w:sz w:val="20"/>
          <w:szCs w:val="20"/>
          <w:color w:val="auto"/>
        </w:rPr>
        <w:tab/>
      </w:r>
      <w:r>
        <w:rPr>
          <w:rFonts w:ascii="Arial" w:cs="Arial" w:eastAsia="Arial" w:hAnsi="Arial"/>
          <w:sz w:val="16"/>
          <w:szCs w:val="16"/>
          <w:b w:val="1"/>
          <w:bCs w:val="1"/>
          <w:u w:val="single" w:color="auto"/>
          <w:color w:val="auto"/>
        </w:rPr>
        <w:t>Confirmation of Lender’s Status as a Swiss Qualifying Lender</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340" w:firstLine="1289"/>
        <w:spacing w:after="0" w:line="264" w:lineRule="auto"/>
        <w:tabs>
          <w:tab w:leader="none" w:pos="2524" w:val="left"/>
        </w:tabs>
        <w:numPr>
          <w:ilvl w:val="0"/>
          <w:numId w:val="508"/>
        </w:numPr>
        <w:rPr>
          <w:rFonts w:ascii="Arial" w:cs="Arial" w:eastAsia="Arial" w:hAnsi="Arial"/>
          <w:sz w:val="18"/>
          <w:szCs w:val="18"/>
          <w:color w:val="auto"/>
        </w:rPr>
      </w:pPr>
      <w:r>
        <w:rPr>
          <w:rFonts w:ascii="Arial" w:cs="Arial" w:eastAsia="Arial" w:hAnsi="Arial"/>
          <w:sz w:val="18"/>
          <w:szCs w:val="18"/>
          <w:color w:val="auto"/>
        </w:rPr>
        <w:t>Each Lender confirms that, as of the Closing Date, unless notified in writing to Parent and Agent prior to the Closing Date, such Lender is a Swiss Qualifying Lender and has not entered into a participation arrangement with respect to this Agreement with any Person that is a Swiss Non-Qualifying Lender.</w:t>
      </w:r>
    </w:p>
    <w:p>
      <w:pPr>
        <w:spacing w:after="0" w:line="181" w:lineRule="exact"/>
        <w:rPr>
          <w:rFonts w:ascii="Arial" w:cs="Arial" w:eastAsia="Arial" w:hAnsi="Arial"/>
          <w:sz w:val="18"/>
          <w:szCs w:val="18"/>
          <w:color w:val="auto"/>
        </w:rPr>
      </w:pPr>
    </w:p>
    <w:p>
      <w:pPr>
        <w:jc w:val="both"/>
        <w:ind w:left="340" w:firstLine="1289"/>
        <w:spacing w:after="0" w:line="264" w:lineRule="auto"/>
        <w:tabs>
          <w:tab w:leader="none" w:pos="265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Without limitation to any consent or other rights provided for in this Agreement (including </w:t>
      </w:r>
      <w:r>
        <w:rPr>
          <w:rFonts w:ascii="Arial" w:cs="Arial" w:eastAsia="Arial" w:hAnsi="Arial"/>
          <w:sz w:val="18"/>
          <w:szCs w:val="18"/>
          <w:u w:val="single" w:color="auto"/>
          <w:color w:val="auto"/>
        </w:rPr>
        <w:t>Section 13</w:t>
      </w:r>
      <w:r>
        <w:rPr>
          <w:rFonts w:ascii="Arial" w:cs="Arial" w:eastAsia="Arial" w:hAnsi="Arial"/>
          <w:sz w:val="18"/>
          <w:szCs w:val="18"/>
          <w:color w:val="auto"/>
        </w:rPr>
        <w:t>), any Person that shall become an assignee, Participant or sub-participant with respect to any Lender or Participant pursuant to this Agreement shall confirm in writing to Parent and Agent prior to the date such Person becomes a Lender, Participant or sub-participant, that: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2" w:name="page423"/>
    <w:bookmarkEnd w:id="422"/>
    <w:p>
      <w:pPr>
        <w:spacing w:after="0" w:line="117" w:lineRule="exact"/>
        <w:rPr>
          <w:sz w:val="20"/>
          <w:szCs w:val="20"/>
          <w:color w:val="auto"/>
        </w:rPr>
      </w:pPr>
    </w:p>
    <w:p>
      <w:pPr>
        <w:ind w:firstLine="1953"/>
        <w:spacing w:after="0" w:line="277" w:lineRule="auto"/>
        <w:tabs>
          <w:tab w:leader="none" w:pos="289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it is a Swiss Qualifying Lender and has not entered into a participation (including sub-participation) arrangement with respect to this Agreement with any Person that is a Swiss Non-Qualifying Lender; or</w:t>
      </w:r>
    </w:p>
    <w:p>
      <w:pPr>
        <w:spacing w:after="0" w:line="170" w:lineRule="exact"/>
        <w:rPr>
          <w:rFonts w:ascii="Arial" w:cs="Arial" w:eastAsia="Arial" w:hAnsi="Arial"/>
          <w:sz w:val="18"/>
          <w:szCs w:val="18"/>
          <w:color w:val="auto"/>
        </w:rPr>
      </w:pPr>
    </w:p>
    <w:p>
      <w:pPr>
        <w:ind w:firstLine="1953"/>
        <w:spacing w:after="0" w:line="277" w:lineRule="auto"/>
        <w:tabs>
          <w:tab w:leader="none" w:pos="298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it is a Swiss Non-Qualifying Lender, it counts as one single creditor for purposes of the Swiss Non-Bank Rules (taking into account any participations and sub-participations).</w:t>
      </w:r>
    </w:p>
    <w:p>
      <w:pPr>
        <w:spacing w:after="0" w:line="170" w:lineRule="exact"/>
        <w:rPr>
          <w:sz w:val="20"/>
          <w:szCs w:val="20"/>
          <w:color w:val="auto"/>
        </w:rPr>
      </w:pPr>
    </w:p>
    <w:p>
      <w:pPr>
        <w:ind w:left="340" w:firstLine="1289"/>
        <w:spacing w:after="0" w:line="277" w:lineRule="auto"/>
        <w:tabs>
          <w:tab w:leader="none" w:pos="251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Each Lender or Participant (including sub-participants) shall promptly notify Parent and Agent if for any reason it ceases to be a Swiss Qualifying Lender.</w:t>
      </w:r>
    </w:p>
    <w:p>
      <w:pPr>
        <w:spacing w:after="0" w:line="16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17.18.</w:t>
      </w:r>
      <w:r>
        <w:rPr>
          <w:sz w:val="20"/>
          <w:szCs w:val="20"/>
          <w:color w:val="auto"/>
        </w:rPr>
        <w:tab/>
      </w:r>
      <w:r>
        <w:rPr>
          <w:rFonts w:ascii="Arial" w:cs="Arial" w:eastAsia="Arial" w:hAnsi="Arial"/>
          <w:sz w:val="15"/>
          <w:szCs w:val="15"/>
          <w:b w:val="1"/>
          <w:bCs w:val="1"/>
          <w:u w:val="single" w:color="auto"/>
          <w:color w:val="auto"/>
        </w:rPr>
        <w:t>Swiss limitations</w:t>
      </w:r>
      <w:r>
        <w:rPr>
          <w:rFonts w:ascii="Arial" w:cs="Arial" w:eastAsia="Arial" w:hAnsi="Arial"/>
          <w:sz w:val="15"/>
          <w:szCs w:val="15"/>
          <w:color w:val="auto"/>
        </w:rPr>
        <w:t>.</w:t>
      </w:r>
    </w:p>
    <w:p>
      <w:pPr>
        <w:spacing w:after="0" w:line="229" w:lineRule="exact"/>
        <w:rPr>
          <w:sz w:val="20"/>
          <w:szCs w:val="20"/>
          <w:color w:val="auto"/>
        </w:rPr>
      </w:pPr>
    </w:p>
    <w:p>
      <w:pPr>
        <w:jc w:val="both"/>
        <w:ind w:left="340" w:firstLine="1289"/>
        <w:spacing w:after="0" w:line="291" w:lineRule="auto"/>
        <w:tabs>
          <w:tab w:leader="none" w:pos="2578" w:val="left"/>
        </w:tabs>
        <w:numPr>
          <w:ilvl w:val="0"/>
          <w:numId w:val="511"/>
        </w:numPr>
        <w:rPr>
          <w:rFonts w:ascii="Arial" w:cs="Arial" w:eastAsia="Arial" w:hAnsi="Arial"/>
          <w:sz w:val="16"/>
          <w:szCs w:val="16"/>
          <w:color w:val="auto"/>
        </w:rPr>
      </w:pPr>
      <w:r>
        <w:rPr>
          <w:rFonts w:ascii="Arial" w:cs="Arial" w:eastAsia="Arial" w:hAnsi="Arial"/>
          <w:sz w:val="16"/>
          <w:szCs w:val="16"/>
          <w:color w:val="auto"/>
        </w:rPr>
        <w:t>If and to the extent a Swiss Loan Party becomes liable under this Agreement or any other Loan Document for obligations of any other Loan Party (other than the wholly owned direct or indirect subsidiaries of such Swiss Loan Party) (the "</w:t>
      </w:r>
      <w:r>
        <w:rPr>
          <w:rFonts w:ascii="Arial" w:cs="Arial" w:eastAsia="Arial" w:hAnsi="Arial"/>
          <w:sz w:val="16"/>
          <w:szCs w:val="16"/>
          <w:u w:val="single" w:color="auto"/>
          <w:color w:val="auto"/>
        </w:rPr>
        <w:t>Restricted Obligations</w:t>
      </w:r>
      <w:r>
        <w:rPr>
          <w:rFonts w:ascii="Arial" w:cs="Arial" w:eastAsia="Arial" w:hAnsi="Arial"/>
          <w:sz w:val="16"/>
          <w:szCs w:val="16"/>
          <w:color w:val="auto"/>
        </w:rPr>
        <w:t>") and if complying with such obligations would constitute a repayment of capital (</w:t>
      </w:r>
      <w:r>
        <w:rPr>
          <w:rFonts w:ascii="Arial" w:cs="Arial" w:eastAsia="Arial" w:hAnsi="Arial"/>
          <w:sz w:val="16"/>
          <w:szCs w:val="16"/>
          <w:i w:val="1"/>
          <w:iCs w:val="1"/>
          <w:color w:val="auto"/>
        </w:rPr>
        <w:t>Einlagerückgewähr</w:t>
      </w:r>
      <w:r>
        <w:rPr>
          <w:rFonts w:ascii="Arial" w:cs="Arial" w:eastAsia="Arial" w:hAnsi="Arial"/>
          <w:sz w:val="16"/>
          <w:szCs w:val="16"/>
          <w:color w:val="auto"/>
        </w:rPr>
        <w:t>), a violation of the legally protected reserves (</w:t>
      </w:r>
      <w:r>
        <w:rPr>
          <w:rFonts w:ascii="Arial" w:cs="Arial" w:eastAsia="Arial" w:hAnsi="Arial"/>
          <w:sz w:val="16"/>
          <w:szCs w:val="16"/>
          <w:i w:val="1"/>
          <w:iCs w:val="1"/>
          <w:color w:val="auto"/>
        </w:rPr>
        <w:t>gesetzlich</w:t>
      </w:r>
      <w:r>
        <w:rPr>
          <w:rFonts w:ascii="Arial" w:cs="Arial" w:eastAsia="Arial" w:hAnsi="Arial"/>
          <w:sz w:val="16"/>
          <w:szCs w:val="16"/>
          <w:color w:val="auto"/>
        </w:rPr>
        <w:t xml:space="preserve"> </w:t>
      </w:r>
      <w:r>
        <w:rPr>
          <w:rFonts w:ascii="Arial" w:cs="Arial" w:eastAsia="Arial" w:hAnsi="Arial"/>
          <w:sz w:val="16"/>
          <w:szCs w:val="16"/>
          <w:i w:val="1"/>
          <w:iCs w:val="1"/>
          <w:color w:val="auto"/>
        </w:rPr>
        <w:t>geschützte Reserven</w:t>
      </w:r>
      <w:r>
        <w:rPr>
          <w:rFonts w:ascii="Arial" w:cs="Arial" w:eastAsia="Arial" w:hAnsi="Arial"/>
          <w:sz w:val="16"/>
          <w:szCs w:val="16"/>
          <w:color w:val="auto"/>
        </w:rPr>
        <w:t>) or the payment of a (constructive) dividend (</w:t>
      </w:r>
      <w:r>
        <w:rPr>
          <w:rFonts w:ascii="Arial" w:cs="Arial" w:eastAsia="Arial" w:hAnsi="Arial"/>
          <w:sz w:val="16"/>
          <w:szCs w:val="16"/>
          <w:i w:val="1"/>
          <w:iCs w:val="1"/>
          <w:color w:val="auto"/>
        </w:rPr>
        <w:t>Gewinnausschüttung</w:t>
      </w:r>
      <w:r>
        <w:rPr>
          <w:rFonts w:ascii="Arial" w:cs="Arial" w:eastAsia="Arial" w:hAnsi="Arial"/>
          <w:sz w:val="16"/>
          <w:szCs w:val="16"/>
          <w:color w:val="auto"/>
        </w:rPr>
        <w:t>) by such Swiss Loan Party or would otherwise be restricted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Swiss law and practice then applicable, such Swiss Loan Party's aggregate liability for Restricted Obligations shall not exceed the amount of the Swiss Loan Party's freely disposable equity (</w:t>
      </w:r>
      <w:r>
        <w:rPr>
          <w:rFonts w:ascii="Arial" w:cs="Arial" w:eastAsia="Arial" w:hAnsi="Arial"/>
          <w:sz w:val="16"/>
          <w:szCs w:val="16"/>
          <w:i w:val="1"/>
          <w:iCs w:val="1"/>
          <w:color w:val="auto"/>
        </w:rPr>
        <w:t>frei verfügbares Eigenkapital</w:t>
      </w:r>
      <w:r>
        <w:rPr>
          <w:rFonts w:ascii="Arial" w:cs="Arial" w:eastAsia="Arial" w:hAnsi="Arial"/>
          <w:sz w:val="16"/>
          <w:szCs w:val="16"/>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16"/>
          <w:szCs w:val="16"/>
          <w:u w:val="single" w:color="auto"/>
          <w:color w:val="auto"/>
        </w:rPr>
        <w:t>Freely Disposable Amount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340" w:firstLine="1289"/>
        <w:spacing w:after="0" w:line="255" w:lineRule="auto"/>
        <w:tabs>
          <w:tab w:leader="none" w:pos="254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This limitation shall only apply to the extent it is a requirement under applicable law at the time the applicable Swiss Loan Party is required to perform Restricted Obligations under the Loan Documents. Such limitation shall not free the applicable Swiss Loan Party from its obligations in excess of the Freely Disposable Amount, but merely postpone the performance date thereof until such times when such Swiss Loan Party has again freely disposable equity. The limitation set out in this Section shall not apply to the extent a Swiss Loan Party guarantees or otherwise secures any amounts borrowed under any Loan Document which are on-lent to such Swiss Loan Party or to wholly owned direct or indirect subsidiaries of such Swiss Loan Party.</w:t>
      </w:r>
    </w:p>
    <w:p>
      <w:pPr>
        <w:spacing w:after="0" w:line="193" w:lineRule="exact"/>
        <w:rPr>
          <w:rFonts w:ascii="Arial" w:cs="Arial" w:eastAsia="Arial" w:hAnsi="Arial"/>
          <w:sz w:val="18"/>
          <w:szCs w:val="18"/>
          <w:color w:val="auto"/>
        </w:rPr>
      </w:pPr>
    </w:p>
    <w:p>
      <w:pPr>
        <w:jc w:val="both"/>
        <w:ind w:left="340" w:firstLine="1289"/>
        <w:spacing w:after="0" w:line="297" w:lineRule="auto"/>
        <w:tabs>
          <w:tab w:leader="none" w:pos="2551" w:val="left"/>
        </w:tabs>
        <w:numPr>
          <w:ilvl w:val="0"/>
          <w:numId w:val="511"/>
        </w:numPr>
        <w:rPr>
          <w:rFonts w:ascii="Arial" w:cs="Arial" w:eastAsia="Arial" w:hAnsi="Arial"/>
          <w:sz w:val="16"/>
          <w:szCs w:val="16"/>
          <w:color w:val="auto"/>
        </w:rPr>
      </w:pPr>
      <w:r>
        <w:rPr>
          <w:rFonts w:ascii="Arial" w:cs="Arial" w:eastAsia="Arial" w:hAnsi="Arial"/>
          <w:sz w:val="16"/>
          <w:szCs w:val="16"/>
          <w:color w:val="auto"/>
        </w:rPr>
        <w:t>If the enforcement of the obligations of a Swiss Loan Party under the Loan Documents would be limited due to the effects referred to in this Agreement, such Swiss Loan Party shall further, to the extent permitted by applicable law and Swiss accounting standards and upon request by Agent, (i) write up or sell any of its assets that are shown in its balance sheet with a book value that is significantly lower than the market value of the assets, in case of sale, however, only if such assets are not necessary for such Swiss Loan Party's business (</w:t>
      </w:r>
      <w:r>
        <w:rPr>
          <w:rFonts w:ascii="Arial" w:cs="Arial" w:eastAsia="Arial" w:hAnsi="Arial"/>
          <w:sz w:val="16"/>
          <w:szCs w:val="16"/>
          <w:i w:val="1"/>
          <w:iCs w:val="1"/>
          <w:color w:val="auto"/>
        </w:rPr>
        <w:t>nicht betriebsnotwendig</w:t>
      </w:r>
      <w:r>
        <w:rPr>
          <w:rFonts w:ascii="Arial" w:cs="Arial" w:eastAsia="Arial" w:hAnsi="Arial"/>
          <w:sz w:val="16"/>
          <w:szCs w:val="16"/>
          <w:color w:val="auto"/>
        </w:rPr>
        <w:t xml:space="preserve">) and (ii) reduce its share capital to the minimum allowed under then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steps are permitted under the Loan Documents.</w:t>
      </w:r>
    </w:p>
    <w:p>
      <w:pPr>
        <w:spacing w:after="0" w:line="158" w:lineRule="exact"/>
        <w:rPr>
          <w:rFonts w:ascii="Arial" w:cs="Arial" w:eastAsia="Arial" w:hAnsi="Arial"/>
          <w:sz w:val="16"/>
          <w:szCs w:val="16"/>
          <w:color w:val="auto"/>
        </w:rPr>
      </w:pPr>
    </w:p>
    <w:p>
      <w:pPr>
        <w:jc w:val="both"/>
        <w:ind w:left="340" w:firstLine="1289"/>
        <w:spacing w:after="0" w:line="270" w:lineRule="auto"/>
        <w:tabs>
          <w:tab w:leader="none" w:pos="2643" w:val="left"/>
        </w:tabs>
        <w:numPr>
          <w:ilvl w:val="0"/>
          <w:numId w:val="511"/>
        </w:numPr>
        <w:rPr>
          <w:rFonts w:ascii="Arial" w:cs="Arial" w:eastAsia="Arial" w:hAnsi="Arial"/>
          <w:sz w:val="17"/>
          <w:szCs w:val="17"/>
          <w:color w:val="auto"/>
        </w:rPr>
      </w:pPr>
      <w:r>
        <w:rPr>
          <w:rFonts w:ascii="Arial" w:cs="Arial" w:eastAsia="Arial" w:hAnsi="Arial"/>
          <w:sz w:val="17"/>
          <w:szCs w:val="17"/>
          <w:color w:val="auto"/>
        </w:rPr>
        <w:t>Each Swiss Loan Party and any direct holding company of such Swiss Loan Party which is a party to a Loan Document shall procure that such Swiss Loan Party will take and will cause to be taken all and any action as soon as reasonably practicable but in any event within 30 Business Days from the request of Agent, including, without limitation, (i) the passing of any shareholders' resolutions to approve any payment or other performance under this Agreement or any other Loan Documents, (ii) the provision of an audited interim balance sheet, (iii) the provision of a determination by such Swiss Loan Party of the Freely Disposable Amount based on such audited interim balance sheet, (iv) the provision of a confirmation from the auditors of such Swiss Loan Party that a payment of such Swiss Loan Party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such Swiss Loan Party is required to make a payment or perform other obligations under this Agreement or any other Loan Document, in order to allow a prompt payment in relation to Restricted Obligations with a minimum of limitations.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3" w:name="page424"/>
    <w:bookmarkEnd w:id="423"/>
    <w:p>
      <w:pPr>
        <w:ind w:left="340" w:firstLine="1289"/>
        <w:spacing w:after="0" w:line="277" w:lineRule="auto"/>
        <w:tabs>
          <w:tab w:leader="none" w:pos="2849"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so required under applicable law (including tax treaties) at the time it is required to make a payment under this Agreement, each Swiss Loan Party:</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3042" w:val="left"/>
        </w:tabs>
        <w:numPr>
          <w:ilvl w:val="1"/>
          <w:numId w:val="512"/>
        </w:numPr>
        <w:rPr>
          <w:rFonts w:ascii="Arial" w:cs="Arial" w:eastAsia="Arial" w:hAnsi="Arial"/>
          <w:sz w:val="18"/>
          <w:szCs w:val="18"/>
          <w:color w:val="auto"/>
        </w:rPr>
      </w:pPr>
      <w:r>
        <w:rPr>
          <w:rFonts w:ascii="Arial" w:cs="Arial" w:eastAsia="Arial" w:hAnsi="Arial"/>
          <w:sz w:val="18"/>
          <w:szCs w:val="18"/>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849" w:val="left"/>
        </w:tabs>
        <w:numPr>
          <w:ilvl w:val="1"/>
          <w:numId w:val="512"/>
        </w:numPr>
        <w:rPr>
          <w:rFonts w:ascii="Arial" w:cs="Arial" w:eastAsia="Arial" w:hAnsi="Arial"/>
          <w:sz w:val="18"/>
          <w:szCs w:val="18"/>
          <w:color w:val="auto"/>
        </w:rPr>
      </w:pPr>
      <w:r>
        <w:rPr>
          <w:rFonts w:ascii="Arial" w:cs="Arial" w:eastAsia="Arial" w:hAnsi="Arial"/>
          <w:sz w:val="18"/>
          <w:szCs w:val="18"/>
          <w:color w:val="auto"/>
        </w:rPr>
        <w:t xml:space="preserve">shall deduct the Swiss withholding tax at such rate (being 35% on the date hereof) as in force from time to time if the notification procedure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applies for a part of the Swiss withholding tax only; and shall pay within the time allowed any such taxes deducted to the Swiss Federal Tax Administration; and</w:t>
      </w:r>
    </w:p>
    <w:p>
      <w:pPr>
        <w:spacing w:after="0" w:line="186" w:lineRule="exact"/>
        <w:rPr>
          <w:rFonts w:ascii="Arial" w:cs="Arial" w:eastAsia="Arial" w:hAnsi="Arial"/>
          <w:sz w:val="18"/>
          <w:szCs w:val="18"/>
          <w:color w:val="auto"/>
        </w:rPr>
      </w:pPr>
    </w:p>
    <w:p>
      <w:pPr>
        <w:jc w:val="both"/>
        <w:ind w:firstLine="1953"/>
        <w:spacing w:after="0" w:line="264" w:lineRule="auto"/>
        <w:tabs>
          <w:tab w:leader="none" w:pos="2795" w:val="left"/>
        </w:tabs>
        <w:numPr>
          <w:ilvl w:val="1"/>
          <w:numId w:val="512"/>
        </w:numPr>
        <w:rPr>
          <w:rFonts w:ascii="Arial" w:cs="Arial" w:eastAsia="Arial" w:hAnsi="Arial"/>
          <w:sz w:val="18"/>
          <w:szCs w:val="18"/>
          <w:color w:val="auto"/>
        </w:rPr>
      </w:pPr>
      <w:r>
        <w:rPr>
          <w:rFonts w:ascii="Arial" w:cs="Arial" w:eastAsia="Arial" w:hAnsi="Arial"/>
          <w:sz w:val="18"/>
          <w:szCs w:val="18"/>
          <w:color w:val="auto"/>
        </w:rPr>
        <w:t>shall promptly notify Agent that such notification or, as the case may be, deduction has been made, and provide Agent with evidence that such a notification of the Swiss Federal Tax Administration has been made or, as the case may be, such taxes deducted have been paid to the Swiss Federal Tax Administration.</w:t>
      </w:r>
    </w:p>
    <w:p>
      <w:pPr>
        <w:spacing w:after="0" w:line="181" w:lineRule="exact"/>
        <w:rPr>
          <w:rFonts w:ascii="Arial" w:cs="Arial" w:eastAsia="Arial" w:hAnsi="Arial"/>
          <w:sz w:val="18"/>
          <w:szCs w:val="18"/>
          <w:color w:val="auto"/>
        </w:rPr>
      </w:pPr>
    </w:p>
    <w:p>
      <w:pPr>
        <w:jc w:val="both"/>
        <w:ind w:left="340" w:firstLine="1289"/>
        <w:spacing w:after="0" w:line="264" w:lineRule="auto"/>
        <w:tabs>
          <w:tab w:leader="none" w:pos="2712"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each Swiss Loan Party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request a refund of the Swiss withholding tax under applicable law (including tax treaties), and</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pay to Agent upon receipt any amount so refunded.</w:t>
      </w:r>
    </w:p>
    <w:p>
      <w:pPr>
        <w:spacing w:after="0" w:line="225" w:lineRule="exact"/>
        <w:rPr>
          <w:rFonts w:ascii="Arial" w:cs="Arial" w:eastAsia="Arial" w:hAnsi="Arial"/>
          <w:sz w:val="18"/>
          <w:szCs w:val="18"/>
          <w:color w:val="auto"/>
        </w:rPr>
      </w:pPr>
    </w:p>
    <w:p>
      <w:pPr>
        <w:ind w:left="2520" w:hanging="891"/>
        <w:spacing w:after="0"/>
        <w:tabs>
          <w:tab w:leader="none" w:pos="25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Agent shall co-operate with each Swiss Loan Party to secure such refund.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4" w:name="page425"/>
    <w:bookmarkEnd w:id="424"/>
    <w:p>
      <w:pPr>
        <w:jc w:val="both"/>
        <w:ind w:firstLine="1289"/>
        <w:spacing w:after="0" w:line="291" w:lineRule="auto"/>
        <w:tabs>
          <w:tab w:leader="none" w:pos="2357"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To the extent any Swiss Loan Party is required to deduct Swiss withholding tax pursuant to this Agreement, and if the Freely Disposable Amount is not fully utilized, such Swiss Loan Party will be required to pay an additional amount so that after making any required deduction of Swiss withholding tax the aggregate net amount paid to Agent is equal to the amount which would have been paid if no deduction of Swiss withholding tax had been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paid (including the additional amount) shall in any event be limited to the Freely Disposable Amount and (ii) such gross up is permitted under the applicable law, and (iii) such steps are permitted under the Loan Documents. If a refund is made to an Agent-Related Person, a Lender-Related Person, the Issuing Bank or a Participant, as applicable, such party shall transfer the refund so received to the applicable Swiss Loan Party, subject to any right of set-off of such party pursuant to the Loan Documents.</w:t>
      </w:r>
    </w:p>
    <w:p>
      <w:pPr>
        <w:spacing w:after="0" w:line="1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pages to follow</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425" w:name="page426"/>
    <w:bookmarkEnd w:id="425"/>
    <w:p>
      <w:pPr>
        <w:ind w:left="13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and delivered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8"/>
                <w:szCs w:val="18"/>
                <w:b w:val="1"/>
                <w:bCs w:val="1"/>
                <w:color w:val="auto"/>
              </w:rPr>
              <w:t>PARENT:</w:t>
            </w:r>
          </w:p>
        </w:tc>
        <w:tc>
          <w:tcPr>
            <w:tcW w:w="6040" w:type="dxa"/>
            <w:vAlign w:val="bottom"/>
            <w:gridSpan w:val="2"/>
          </w:tcPr>
          <w:p>
            <w:pPr>
              <w:ind w:left="2240"/>
              <w:spacing w:after="0"/>
              <w:rPr>
                <w:sz w:val="20"/>
                <w:szCs w:val="20"/>
                <w:color w:val="auto"/>
              </w:rPr>
            </w:pPr>
            <w:r>
              <w:rPr>
                <w:rFonts w:ascii="Arial" w:cs="Arial" w:eastAsia="Arial" w:hAnsi="Arial"/>
                <w:sz w:val="18"/>
                <w:szCs w:val="18"/>
                <w:b w:val="1"/>
                <w:bCs w:val="1"/>
                <w:color w:val="auto"/>
              </w:rPr>
              <w:t>WEATHERFORD INTERNATIONAL PLC</w:t>
            </w:r>
            <w:r>
              <w:rPr>
                <w:rFonts w:ascii="Arial" w:cs="Arial" w:eastAsia="Arial" w:hAnsi="Arial"/>
                <w:sz w:val="18"/>
                <w:szCs w:val="18"/>
                <w:color w:val="auto"/>
              </w:rPr>
              <w:t>, a</w:t>
            </w:r>
          </w:p>
        </w:tc>
        <w:tc>
          <w:tcPr>
            <w:tcW w:w="1160" w:type="dxa"/>
            <w:vAlign w:val="bottom"/>
          </w:tcPr>
          <w:p>
            <w:pPr>
              <w:jc w:val="center"/>
              <w:spacing w:after="0"/>
              <w:rPr>
                <w:sz w:val="20"/>
                <w:szCs w:val="20"/>
                <w:color w:val="auto"/>
              </w:rPr>
            </w:pPr>
            <w:r>
              <w:rPr>
                <w:rFonts w:ascii="Arial" w:cs="Arial" w:eastAsia="Arial" w:hAnsi="Arial"/>
                <w:sz w:val="18"/>
                <w:szCs w:val="18"/>
                <w:color w:val="auto"/>
              </w:rPr>
              <w:t>public limited</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company</w:t>
            </w:r>
          </w:p>
        </w:tc>
      </w:tr>
      <w:tr>
        <w:trPr>
          <w:trHeight w:val="230"/>
        </w:trPr>
        <w:tc>
          <w:tcPr>
            <w:tcW w:w="3480" w:type="dxa"/>
            <w:vAlign w:val="bottom"/>
          </w:tcPr>
          <w:p>
            <w:pPr>
              <w:spacing w:after="0"/>
              <w:rPr>
                <w:sz w:val="20"/>
                <w:szCs w:val="20"/>
                <w:color w:val="auto"/>
              </w:rPr>
            </w:pPr>
          </w:p>
        </w:tc>
        <w:tc>
          <w:tcPr>
            <w:tcW w:w="6040" w:type="dxa"/>
            <w:vAlign w:val="bottom"/>
            <w:gridSpan w:val="2"/>
          </w:tcPr>
          <w:p>
            <w:pPr>
              <w:ind w:left="2240"/>
              <w:spacing w:after="0"/>
              <w:rPr>
                <w:sz w:val="20"/>
                <w:szCs w:val="20"/>
                <w:color w:val="auto"/>
              </w:rPr>
            </w:pPr>
            <w:r>
              <w:rPr>
                <w:rFonts w:ascii="Arial" w:cs="Arial" w:eastAsia="Arial" w:hAnsi="Arial"/>
                <w:sz w:val="18"/>
                <w:szCs w:val="18"/>
                <w:color w:val="auto"/>
              </w:rPr>
              <w:t>incorporated in the Republic of Ireland</w:t>
            </w: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Fraser</w:t>
            </w:r>
          </w:p>
        </w:tc>
        <w:tc>
          <w:tcPr>
            <w:tcW w:w="1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0"/>
        </w:trPr>
        <w:tc>
          <w:tcPr>
            <w:tcW w:w="348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Name: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Stuart Fraser</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398"/>
        </w:trPr>
        <w:tc>
          <w:tcPr>
            <w:tcW w:w="348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6040" w:type="dxa"/>
            <w:vAlign w:val="bottom"/>
            <w:gridSpan w:val="2"/>
          </w:tcPr>
          <w:p>
            <w:pPr>
              <w:ind w:left="2240"/>
              <w:spacing w:after="0"/>
              <w:rPr>
                <w:sz w:val="20"/>
                <w:szCs w:val="20"/>
                <w:color w:val="auto"/>
              </w:rPr>
            </w:pPr>
            <w:r>
              <w:rPr>
                <w:rFonts w:ascii="Arial" w:cs="Arial" w:eastAsia="Arial" w:hAnsi="Arial"/>
                <w:sz w:val="18"/>
                <w:szCs w:val="18"/>
                <w:b w:val="1"/>
                <w:bCs w:val="1"/>
                <w:color w:val="auto"/>
              </w:rPr>
              <w:t>WEATHERFORD  INTERNATIONAL  LTD.</w:t>
            </w: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a  Bermuda</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exempted</w:t>
            </w:r>
          </w:p>
        </w:tc>
      </w:tr>
      <w:tr>
        <w:trPr>
          <w:trHeight w:val="230"/>
        </w:trPr>
        <w:tc>
          <w:tcPr>
            <w:tcW w:w="3480" w:type="dxa"/>
            <w:vAlign w:val="bottom"/>
          </w:tcPr>
          <w:p>
            <w:pPr>
              <w:spacing w:after="0"/>
              <w:rPr>
                <w:sz w:val="20"/>
                <w:szCs w:val="20"/>
                <w:color w:val="auto"/>
              </w:rPr>
            </w:pPr>
          </w:p>
        </w:tc>
        <w:tc>
          <w:tcPr>
            <w:tcW w:w="6040" w:type="dxa"/>
            <w:vAlign w:val="bottom"/>
            <w:gridSpan w:val="2"/>
          </w:tcPr>
          <w:p>
            <w:pPr>
              <w:ind w:left="2240"/>
              <w:spacing w:after="0"/>
              <w:rPr>
                <w:sz w:val="20"/>
                <w:szCs w:val="20"/>
                <w:color w:val="auto"/>
              </w:rPr>
            </w:pPr>
            <w:r>
              <w:rPr>
                <w:rFonts w:ascii="Arial" w:cs="Arial" w:eastAsia="Arial" w:hAnsi="Arial"/>
                <w:sz w:val="18"/>
                <w:szCs w:val="18"/>
                <w:color w:val="auto"/>
              </w:rPr>
              <w:t>company limited by shares</w:t>
            </w: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Mohammed Dadhiwala</w:t>
            </w:r>
          </w:p>
        </w:tc>
        <w:tc>
          <w:tcPr>
            <w:tcW w:w="1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0"/>
        </w:trPr>
        <w:tc>
          <w:tcPr>
            <w:tcW w:w="348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Name: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Mohammed Dadhiwala</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2800" w:type="dxa"/>
            <w:vAlign w:val="bottom"/>
          </w:tcPr>
          <w:p>
            <w:pPr>
              <w:ind w:left="2240"/>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bl>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LLC</w:t>
      </w:r>
      <w:r>
        <w:rPr>
          <w:rFonts w:ascii="Arial" w:cs="Arial" w:eastAsia="Arial" w:hAnsi="Arial"/>
          <w:sz w:val="18"/>
          <w:szCs w:val="18"/>
          <w:color w:val="auto"/>
        </w:rPr>
        <w:t>, a Delaware limited liability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Christine M. Morrison</w:t>
            </w: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6" w:name="page427"/>
    <w:bookmarkEnd w:id="426"/>
    <w:p>
      <w:pPr>
        <w:jc w:val="center"/>
        <w:ind w:right="20"/>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ASSIGNMENT AND ACCEPTANCE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3"/>
          </w:tcPr>
          <w:p>
            <w:pPr>
              <w:ind w:left="130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ASSIGNMENT  AND  ACCEPTANCE  AGREEMENT</w:t>
            </w:r>
          </w:p>
        </w:tc>
        <w:tc>
          <w:tcPr>
            <w:tcW w:w="4820" w:type="dxa"/>
            <w:vAlign w:val="bottom"/>
            <w:gridSpan w:val="6"/>
          </w:tcPr>
          <w:p>
            <w:pPr>
              <w:ind w:left="120"/>
              <w:spacing w:after="0"/>
              <w:rPr>
                <w:sz w:val="20"/>
                <w:szCs w:val="20"/>
                <w:color w:val="auto"/>
              </w:rPr>
            </w:pPr>
            <w:r>
              <w:rPr>
                <w:rFonts w:ascii="Arial" w:cs="Arial" w:eastAsia="Arial" w:hAnsi="Arial"/>
                <w:sz w:val="18"/>
                <w:szCs w:val="18"/>
                <w:color w:val="auto"/>
              </w:rPr>
              <w:t>("Assignment  Agreement")   is   entered   into   as   of</w:t>
            </w:r>
          </w:p>
        </w:tc>
      </w:tr>
      <w:tr>
        <w:trPr>
          <w:trHeight w:val="196"/>
        </w:trPr>
        <w:tc>
          <w:tcPr>
            <w:tcW w:w="3220" w:type="dxa"/>
            <w:vAlign w:val="bottom"/>
          </w:tcPr>
          <w:p>
            <w:pPr>
              <w:spacing w:after="0"/>
              <w:rPr>
                <w:sz w:val="17"/>
                <w:szCs w:val="17"/>
                <w:color w:val="auto"/>
              </w:rPr>
            </w:pPr>
          </w:p>
        </w:tc>
        <w:tc>
          <w:tcPr>
            <w:tcW w:w="780" w:type="dxa"/>
            <w:vAlign w:val="bottom"/>
          </w:tcPr>
          <w:p>
            <w:pPr>
              <w:ind w:left="100"/>
              <w:spacing w:after="0" w:line="196" w:lineRule="exact"/>
              <w:rPr>
                <w:sz w:val="20"/>
                <w:szCs w:val="20"/>
                <w:color w:val="auto"/>
              </w:rPr>
            </w:pPr>
            <w:r>
              <w:rPr>
                <w:rFonts w:ascii="Arial" w:cs="Arial" w:eastAsia="Arial" w:hAnsi="Arial"/>
                <w:sz w:val="18"/>
                <w:szCs w:val="18"/>
                <w:color w:val="auto"/>
                <w:w w:val="96"/>
              </w:rPr>
              <w:t>between</w:t>
            </w:r>
          </w:p>
        </w:tc>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Borders>
              <w:top w:val="single" w:sz="8" w:color="auto"/>
            </w:tcBorders>
            <w:gridSpan w:val="4"/>
          </w:tcPr>
          <w:p>
            <w:pPr>
              <w:ind w:left="80"/>
              <w:spacing w:after="0" w:line="196" w:lineRule="exact"/>
              <w:rPr>
                <w:sz w:val="20"/>
                <w:szCs w:val="20"/>
                <w:color w:val="auto"/>
              </w:rPr>
            </w:pPr>
            <w:r>
              <w:rPr>
                <w:rFonts w:ascii="Arial" w:cs="Arial" w:eastAsia="Arial" w:hAnsi="Arial"/>
                <w:sz w:val="18"/>
                <w:szCs w:val="18"/>
                <w:color w:val="auto"/>
              </w:rPr>
              <w:t>("Assignor") and</w:t>
            </w:r>
          </w:p>
        </w:tc>
        <w:tc>
          <w:tcPr>
            <w:tcW w:w="2700" w:type="dxa"/>
            <w:vAlign w:val="bottom"/>
          </w:tcPr>
          <w:p>
            <w:pPr>
              <w:spacing w:after="0"/>
              <w:rPr>
                <w:sz w:val="17"/>
                <w:szCs w:val="17"/>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jc w:val="both"/>
        <w:ind w:firstLine="10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Reference is made to the Agreement described in Annex I hereto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and not otherwise defined shall have the meanings ascribed to them in the Credit Agreement.</w:t>
      </w:r>
    </w:p>
    <w:p>
      <w:pPr>
        <w:spacing w:after="0" w:line="170" w:lineRule="exact"/>
        <w:rPr>
          <w:sz w:val="20"/>
          <w:szCs w:val="20"/>
          <w:color w:val="auto"/>
        </w:rPr>
      </w:pPr>
    </w:p>
    <w:p>
      <w:pPr>
        <w:jc w:val="both"/>
        <w:ind w:firstLine="1305"/>
        <w:spacing w:after="0" w:line="259" w:lineRule="auto"/>
        <w:tabs>
          <w:tab w:leader="none" w:pos="216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xml:space="preserve">In accordance with the terms and conditions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Credit Agreement, the Assignor hereby sells and assigns to the Assignee, and the Assignee hereby purchases and assumes from the Assignor, that interest in and to the Assignor's rights and obligations under the Loan Documents as of the date hereof with respect to the Obligations owing to the Assignor, and Assignor's portion of the Commitments, all to the extent specified on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2106"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The Assignor (a) represents and warrants that (i) it is the legal and beneficial owner of the interest being assigned by it hereunder and that such interest is free and clear of any adverse claim and (ii) it has full power and authority, and has taken all action necessary, to execute and deliver this Assignment Agreement and to consummate the transactions contemplated hereby; (b) makes no representation or warranty and assumes no responsibility with respect to (i) any statements, representations or warranties made in or in connection with the Loan Documents, or (ii) the execution, legality, validity, enforceability, genuineness, sufficiency or value of the Loan Documents or any other instrument or document furnished pursuant thereto; (c) makes no representation or warranty and assumes no responsibility with respect to the financial condition of any Borrower or any Guarantor or the performance or observance by any Borrower or any Guarantor of any of their respective obligations under the Loan Documents or any other instrument or document furnished pursuant thereto, and (d) represents and warrants that the amount set forth as the Purchase Price on Annex I represents the amount owed by Borrowers to Assignor with respect to Assignor's share of the Term Loan and the Revolving Loans assigned hereunder, as reflected on Assignor's books and records.</w:t>
      </w:r>
    </w:p>
    <w:p>
      <w:pPr>
        <w:spacing w:after="0" w:line="177" w:lineRule="exact"/>
        <w:rPr>
          <w:rFonts w:ascii="Arial" w:cs="Arial" w:eastAsia="Arial" w:hAnsi="Arial"/>
          <w:sz w:val="17"/>
          <w:szCs w:val="17"/>
          <w:color w:val="auto"/>
        </w:rPr>
      </w:pPr>
    </w:p>
    <w:p>
      <w:pPr>
        <w:jc w:val="both"/>
        <w:ind w:firstLine="1305"/>
        <w:spacing w:after="0" w:line="284" w:lineRule="auto"/>
        <w:tabs>
          <w:tab w:leader="none" w:pos="2268" w:val="left"/>
        </w:tabs>
        <w:numPr>
          <w:ilvl w:val="0"/>
          <w:numId w:val="514"/>
        </w:numPr>
        <w:rPr>
          <w:rFonts w:ascii="Arial" w:cs="Arial" w:eastAsia="Arial" w:hAnsi="Arial"/>
          <w:sz w:val="16"/>
          <w:szCs w:val="16"/>
          <w:color w:val="auto"/>
        </w:rPr>
      </w:pPr>
      <w:r>
        <w:rPr>
          <w:rFonts w:ascii="Arial" w:cs="Arial" w:eastAsia="Arial" w:hAnsi="Arial"/>
          <w:sz w:val="16"/>
          <w:szCs w:val="16"/>
          <w:color w:val="auto"/>
        </w:rPr>
        <w:t>The Assignee (a) confirms that it has received copies of the Credit Agreement and the other Loan Documents, together with copies of the financial statements referred to therein and such other documents and information as it has deemed appropriate to make its own credit analysis and decision to enter into this Assignment Agreement; (b) agrees that it will, independently and without reliance upon Agent, Assignor, or any other Lender, based upon such documents and information as it shall deem appropriate at the time, continue to make its own credit decisions in taking or not taking any action under the Loan Documents; (c) confirms that it is an Eligible Transferee; (d) appoints and authorizes the Agent to take such action as agent on its behalf and to exercise such powers under the Loan Documents as are delegated to Agent by the terms thereof, together with such powers as are reasonably incidental thereto; (e) agrees that it will perform in accordance with their terms all of the obligations which by the terms of the Loan Documents are required</w:t>
      </w:r>
    </w:p>
    <w:p>
      <w:pPr>
        <w:spacing w:after="0" w:line="3"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 xml:space="preserve">to be performed by it as a Lender; </w:t>
      </w:r>
      <w:r>
        <w:rPr>
          <w:rFonts w:ascii="Arial" w:cs="Arial" w:eastAsia="Arial" w:hAnsi="Arial"/>
          <w:sz w:val="18"/>
          <w:szCs w:val="18"/>
          <w:b w:val="1"/>
          <w:bCs w:val="1"/>
          <w:color w:val="auto"/>
        </w:rPr>
        <w:t>(f) confirms that it is a U.S. Qualifying Lender</w:t>
      </w: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[and a Swiss Qualifying Lender]</w:t>
      </w:r>
      <w:r>
        <w:rPr>
          <w:rFonts w:ascii="Arial" w:cs="Arial" w:eastAsia="Arial" w:hAnsi="Arial"/>
          <w:sz w:val="30"/>
          <w:szCs w:val="30"/>
          <w:b w:val="1"/>
          <w:bCs w:val="1"/>
          <w:color w:val="auto"/>
          <w:vertAlign w:val="superscript"/>
        </w:rPr>
        <w:t>2</w:t>
      </w:r>
      <w:r>
        <w:rPr>
          <w:rFonts w:ascii="Arial" w:cs="Arial" w:eastAsia="Arial" w:hAnsi="Arial"/>
          <w:sz w:val="18"/>
          <w:szCs w:val="18"/>
          <w:b w:val="1"/>
          <w:bCs w:val="1"/>
          <w:color w:val="auto"/>
        </w:rPr>
        <w:t>; [and (g) attaches the forms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required under </w:t>
      </w:r>
      <w:r>
        <w:rPr>
          <w:rFonts w:ascii="Arial" w:cs="Arial" w:eastAsia="Arial" w:hAnsi="Arial"/>
          <w:sz w:val="18"/>
          <w:szCs w:val="18"/>
          <w:b w:val="1"/>
          <w:bCs w:val="1"/>
          <w:u w:val="single" w:color="auto"/>
          <w:color w:val="auto"/>
        </w:rPr>
        <w:t>Section 16.2</w:t>
      </w:r>
      <w:r>
        <w:rPr>
          <w:rFonts w:ascii="Arial" w:cs="Arial" w:eastAsia="Arial" w:hAnsi="Arial"/>
          <w:sz w:val="18"/>
          <w:szCs w:val="18"/>
          <w:b w:val="1"/>
          <w:bCs w:val="1"/>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7" w:name="page428"/>
    <w:bookmarkEnd w:id="427"/>
    <w:p>
      <w:pPr>
        <w:jc w:val="both"/>
        <w:ind w:firstLine="1305"/>
        <w:spacing w:after="0" w:line="302" w:lineRule="auto"/>
        <w:tabs>
          <w:tab w:leader="none" w:pos="2106" w:val="left"/>
        </w:tabs>
        <w:numPr>
          <w:ilvl w:val="0"/>
          <w:numId w:val="515"/>
        </w:numPr>
        <w:rPr>
          <w:rFonts w:ascii="Arial" w:cs="Arial" w:eastAsia="Arial" w:hAnsi="Arial"/>
          <w:sz w:val="16"/>
          <w:szCs w:val="16"/>
          <w:color w:val="auto"/>
        </w:rPr>
      </w:pPr>
      <w:r>
        <w:rPr>
          <w:rFonts w:ascii="Arial" w:cs="Arial" w:eastAsia="Arial" w:hAnsi="Arial"/>
          <w:sz w:val="16"/>
          <w:szCs w:val="16"/>
          <w:color w:val="auto"/>
        </w:rPr>
        <w:t>Following the execution of this Assignment Agreement by the Assignor and Assignee, the Assignor will deliver this Assignment Agreement to the Agent for recording by the Agent. The effective date of this Assignment (the "</w:t>
      </w:r>
      <w:r>
        <w:rPr>
          <w:rFonts w:ascii="Arial" w:cs="Arial" w:eastAsia="Arial" w:hAnsi="Arial"/>
          <w:sz w:val="16"/>
          <w:szCs w:val="16"/>
          <w:u w:val="single" w:color="auto"/>
          <w:color w:val="auto"/>
        </w:rPr>
        <w:t>Settlement Date</w:t>
      </w:r>
      <w:r>
        <w:rPr>
          <w:rFonts w:ascii="Arial" w:cs="Arial" w:eastAsia="Arial" w:hAnsi="Arial"/>
          <w:sz w:val="16"/>
          <w:szCs w:val="16"/>
          <w:color w:val="auto"/>
        </w:rPr>
        <w:t>") shall be the latest to occur of (a) the date of the execution and delivery hereof by the Assignor and the Assignee, (b) the receipt by Agent for its sole and separate account a processing fee in the amount of $3,500 (if required by the Credit Agreement), (c) the receipt of any required consent of the Agent, and (d) the date specified in Annex I.</w:t>
      </w:r>
    </w:p>
    <w:p>
      <w:pPr>
        <w:spacing w:after="0" w:line="154" w:lineRule="exact"/>
        <w:rPr>
          <w:rFonts w:ascii="Arial" w:cs="Arial" w:eastAsia="Arial" w:hAnsi="Arial"/>
          <w:sz w:val="16"/>
          <w:szCs w:val="16"/>
          <w:color w:val="auto"/>
        </w:rPr>
      </w:pPr>
    </w:p>
    <w:p>
      <w:pPr>
        <w:jc w:val="both"/>
        <w:ind w:firstLine="1305"/>
        <w:spacing w:after="0" w:line="297" w:lineRule="auto"/>
        <w:tabs>
          <w:tab w:leader="none" w:pos="2228" w:val="left"/>
        </w:tabs>
        <w:numPr>
          <w:ilvl w:val="0"/>
          <w:numId w:val="515"/>
        </w:numPr>
        <w:rPr>
          <w:rFonts w:ascii="Arial" w:cs="Arial" w:eastAsia="Arial" w:hAnsi="Arial"/>
          <w:sz w:val="16"/>
          <w:szCs w:val="16"/>
          <w:color w:val="auto"/>
        </w:rPr>
      </w:pPr>
      <w:r>
        <w:rPr>
          <w:rFonts w:ascii="Arial" w:cs="Arial" w:eastAsia="Arial" w:hAnsi="Arial"/>
          <w:sz w:val="16"/>
          <w:szCs w:val="16"/>
          <w:color w:val="auto"/>
        </w:rPr>
        <w:t xml:space="preserve">As of the Settlement Date (a) the Assignee shall be a party to the Credit Agreement and, to the extent of the interest assigned pursuant to this Assignment Agreement, have the rights and obligations of a Lender thereunder and under the other Loan Documents, and (b) the Assignor shall, to the extent of the interest assigned pursuant to this Assignment Agreement, relinquish its rights and be released from its obligations under the Credit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herein shall release any assigning Lender from obligations that survive the termination of the Credit Agreement, including such assigning Lender's obligations under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17.9(a)</w:t>
      </w:r>
      <w:r>
        <w:rPr>
          <w:rFonts w:ascii="Arial" w:cs="Arial" w:eastAsia="Arial" w:hAnsi="Arial"/>
          <w:sz w:val="16"/>
          <w:szCs w:val="16"/>
          <w:color w:val="auto"/>
        </w:rPr>
        <w:t xml:space="preserve"> of the Credit Agreement.</w:t>
      </w:r>
    </w:p>
    <w:p>
      <w:pPr>
        <w:spacing w:after="0" w:line="158" w:lineRule="exact"/>
        <w:rPr>
          <w:rFonts w:ascii="Arial" w:cs="Arial" w:eastAsia="Arial" w:hAnsi="Arial"/>
          <w:sz w:val="16"/>
          <w:szCs w:val="16"/>
          <w:color w:val="auto"/>
        </w:rPr>
      </w:pPr>
    </w:p>
    <w:p>
      <w:pPr>
        <w:jc w:val="both"/>
        <w:ind w:firstLine="1305"/>
        <w:spacing w:after="0" w:line="293" w:lineRule="auto"/>
        <w:tabs>
          <w:tab w:leader="none" w:pos="2291" w:val="left"/>
        </w:tabs>
        <w:numPr>
          <w:ilvl w:val="0"/>
          <w:numId w:val="515"/>
        </w:numPr>
        <w:rPr>
          <w:rFonts w:ascii="Arial" w:cs="Arial" w:eastAsia="Arial" w:hAnsi="Arial"/>
          <w:sz w:val="16"/>
          <w:szCs w:val="16"/>
          <w:color w:val="auto"/>
        </w:rPr>
      </w:pPr>
      <w:r>
        <w:rPr>
          <w:rFonts w:ascii="Arial" w:cs="Arial" w:eastAsia="Arial" w:hAnsi="Arial"/>
          <w:sz w:val="16"/>
          <w:szCs w:val="16"/>
          <w:color w:val="auto"/>
        </w:rPr>
        <w:t xml:space="preserve">Upon the Settlement Date, Assignee shall pay to Assignor the Purchase Price (as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From and after the Settlement Date, Agent shall make all payments that are due and payable to the holder of the interest assigned hereunder (including payments of principal, interest, fees and other amounts) to Assignor for amounts which have accrued up to but excluding the Settlement Date and to Assignee for amounts which have accrued from and after the Settlement Date. On the Settlement Date, Assignor shall pay to Assignee an amount equal to the portion of any interest, fee, or any other charge that was paid to Assignor prior to the Settlement Date on account of the interest assigned hereunder and that are due and payable to Assignee with respect thereto, to the extent that such interest, fee or other charge relates to the period of time from and after the Settlement Date.</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2187"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This Assignment Agreement may be executed in counterparts and by the parties hereto in separate counterparts, each of which when so executed and delivered shall be an original, but all of which shall together constitute one and the same instrument. This Assignment Agreement may be executed and delivered by telecopier or other facsimile transmission all with the same force and effect as if the same were a fully executed and delivered original manual counterpart.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47"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THIS ASSIGNMENT AGREEMENT SHALL BE SUBJECT TO THE PROVISIONS REGARDING CHOICE OF LAW AND VENUE, JURY TRIAL WAIVER, AND JUDICIAL REFERENCE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CREDIT AGREEMENT, AND SUCH PROVISIONS ARE INCORPORATED HEREIN BY THIS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516"/>
        </w:numPr>
        <w:rPr>
          <w:rFonts w:ascii="Arial" w:cs="Arial" w:eastAsia="Arial" w:hAnsi="Arial"/>
          <w:sz w:val="30"/>
          <w:szCs w:val="30"/>
          <w:color w:val="auto"/>
          <w:vertAlign w:val="superscript"/>
        </w:rPr>
      </w:pPr>
      <w:r>
        <w:rPr>
          <w:rFonts w:ascii="Arial" w:cs="Arial" w:eastAsia="Arial" w:hAnsi="Arial"/>
          <w:sz w:val="18"/>
          <w:szCs w:val="18"/>
          <w:color w:val="auto"/>
        </w:rPr>
        <w:t>Statement required unless an Event of Default has occurred and is continuing.</w:t>
      </w:r>
    </w:p>
    <w:p>
      <w:pPr>
        <w:spacing w:after="0" w:line="26" w:lineRule="exact"/>
        <w:rPr>
          <w:sz w:val="20"/>
          <w:szCs w:val="20"/>
          <w:color w:val="auto"/>
        </w:rPr>
      </w:pPr>
    </w:p>
    <w:p>
      <w:pPr>
        <w:ind w:firstLine="8"/>
        <w:spacing w:after="0" w:line="194" w:lineRule="auto"/>
        <w:tabs>
          <w:tab w:leader="none" w:pos="136" w:val="left"/>
        </w:tabs>
        <w:numPr>
          <w:ilvl w:val="0"/>
          <w:numId w:val="517"/>
        </w:numPr>
        <w:rPr>
          <w:rFonts w:ascii="Arial" w:cs="Arial" w:eastAsia="Arial" w:hAnsi="Arial"/>
          <w:sz w:val="30"/>
          <w:szCs w:val="30"/>
          <w:color w:val="auto"/>
          <w:vertAlign w:val="superscript"/>
        </w:rPr>
      </w:pPr>
      <w:r>
        <w:rPr>
          <w:rFonts w:ascii="Arial" w:cs="Arial" w:eastAsia="Arial" w:hAnsi="Arial"/>
          <w:sz w:val="18"/>
          <w:szCs w:val="18"/>
          <w:color w:val="auto"/>
        </w:rPr>
        <w:t>Unless an Event of Default has occurred and is continuing, there shall be not more than ten (10) Lenders and Participants that are not Swiss Qualifying Lenders.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429" w:name="page430"/>
    <w:bookmarkEnd w:id="429"/>
    <w:p>
      <w:pPr>
        <w:ind w:firstLine="1297"/>
        <w:spacing w:after="0" w:line="277" w:lineRule="auto"/>
        <w:rPr>
          <w:sz w:val="20"/>
          <w:szCs w:val="20"/>
          <w:color w:val="auto"/>
        </w:rPr>
      </w:pPr>
      <w:r>
        <w:rPr>
          <w:rFonts w:ascii="Arial" w:cs="Arial" w:eastAsia="Arial" w:hAnsi="Arial"/>
          <w:sz w:val="18"/>
          <w:szCs w:val="18"/>
          <w:color w:val="auto"/>
        </w:rPr>
        <w:t xml:space="preserve">IN WITNESS WHEREOF, the parties hereto have caused this Assignment Agreement and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to be executed by their respective officers, as of the first date written above.</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[NAME OF ASSIGNOR]</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Assignor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[NAME OF ASSIGNEE]</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Assignee</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w w:val="97"/>
              </w:rPr>
              <w:t>ACCEPTED THIS</w:t>
            </w:r>
          </w:p>
        </w:tc>
        <w:tc>
          <w:tcPr>
            <w:tcW w:w="720" w:type="dxa"/>
            <w:vAlign w:val="bottom"/>
            <w:tcBorders>
              <w:bottom w:val="single" w:sz="8" w:color="auto"/>
            </w:tcBorders>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5"/>
              </w:rPr>
              <w:t>DAY OF</w:t>
            </w:r>
          </w:p>
        </w:tc>
      </w:tr>
      <w:tr>
        <w:trPr>
          <w:trHeight w:val="237"/>
        </w:trPr>
        <w:tc>
          <w:tcPr>
            <w:tcW w:w="214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66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 national banking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Agent, as Swing Lender and as 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20" w:type="dxa"/>
            <w:vAlign w:val="bottom"/>
          </w:tcPr>
          <w:p>
            <w:pP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 [as Swing Lender] [and] [as</w:t>
            </w:r>
          </w:p>
        </w:tc>
        <w:tc>
          <w:tcPr>
            <w:tcW w:w="40" w:type="dxa"/>
            <w:vAlign w:val="bottom"/>
          </w:tcPr>
          <w:p>
            <w:pPr>
              <w:spacing w:after="0"/>
              <w:rPr>
                <w:sz w:val="24"/>
                <w:szCs w:val="24"/>
                <w:color w:val="auto"/>
              </w:rPr>
            </w:pPr>
          </w:p>
        </w:tc>
      </w:tr>
      <w:tr>
        <w:trPr>
          <w:trHeight w:val="237"/>
        </w:trPr>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Issuing Bank]</w:t>
            </w: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By</w:t>
            </w: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Name:</w:t>
            </w:r>
          </w:p>
        </w:tc>
        <w:tc>
          <w:tcPr>
            <w:tcW w:w="4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877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80975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6" w:lineRule="exact"/>
        <w:rPr>
          <w:sz w:val="20"/>
          <w:szCs w:val="20"/>
          <w:color w:val="auto"/>
        </w:rPr>
      </w:pPr>
    </w:p>
    <w:p>
      <w:pPr>
        <w:ind w:left="120" w:hanging="112"/>
        <w:spacing w:after="0"/>
        <w:tabs>
          <w:tab w:leader="none" w:pos="120" w:val="left"/>
        </w:tabs>
        <w:numPr>
          <w:ilvl w:val="0"/>
          <w:numId w:val="518"/>
        </w:numPr>
        <w:rPr>
          <w:rFonts w:ascii="Arial" w:cs="Arial" w:eastAsia="Arial" w:hAnsi="Arial"/>
          <w:sz w:val="30"/>
          <w:szCs w:val="30"/>
          <w:color w:val="auto"/>
          <w:vertAlign w:val="superscript"/>
        </w:rPr>
      </w:pPr>
      <w:r>
        <w:rPr>
          <w:rFonts w:ascii="Arial" w:cs="Arial" w:eastAsia="Arial" w:hAnsi="Arial"/>
          <w:sz w:val="18"/>
          <w:szCs w:val="18"/>
          <w:color w:val="auto"/>
        </w:rPr>
        <w:t xml:space="preserve">Include to the extent required by </w:t>
      </w:r>
      <w:r>
        <w:rPr>
          <w:rFonts w:ascii="Arial" w:cs="Arial" w:eastAsia="Arial" w:hAnsi="Arial"/>
          <w:sz w:val="18"/>
          <w:szCs w:val="18"/>
          <w:u w:val="single" w:color="auto"/>
          <w:color w:val="auto"/>
        </w:rPr>
        <w:t>Sections 13.1(a)(i)(A) or 13.1(k)</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91" w:right="1440"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color w:val="auto"/>
        </w:rPr>
        <w:t>ANNEX FOR ASSIGNMENT AND ACCEPTANCE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both"/>
        <w:ind w:left="660" w:hanging="652"/>
        <w:spacing w:after="0" w:line="264" w:lineRule="auto"/>
        <w:tabs>
          <w:tab w:leader="none" w:pos="6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Borrowers: Weatherford International Ltd., a Bermuda exempted company limited by shares, Weatherford International, LLC, a Delaware limited liability company, and those additional entities that become parties to the Credit Agreement referenced below as Borrowers in accordance with the terms thereof by executing the form of Joinder attached to the Credit Agreement as Exhibit J-1</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Name and Date of Credit Agreement:</w:t>
      </w:r>
    </w:p>
    <w:p>
      <w:pPr>
        <w:spacing w:after="0" w:line="225" w:lineRule="exact"/>
        <w:rPr>
          <w:sz w:val="20"/>
          <w:szCs w:val="20"/>
          <w:color w:val="auto"/>
        </w:rPr>
      </w:pPr>
    </w:p>
    <w:p>
      <w:pPr>
        <w:jc w:val="both"/>
        <w:ind w:left="1400"/>
        <w:spacing w:after="0" w:line="254" w:lineRule="auto"/>
        <w:rPr>
          <w:sz w:val="20"/>
          <w:szCs w:val="20"/>
          <w:color w:val="auto"/>
        </w:rPr>
      </w:pPr>
      <w:r>
        <w:rPr>
          <w:rFonts w:ascii="Arial" w:cs="Arial" w:eastAsia="Arial" w:hAnsi="Arial"/>
          <w:sz w:val="18"/>
          <w:szCs w:val="18"/>
          <w:color w:val="auto"/>
        </w:rPr>
        <w:t>Credit Agreement dated as of December 13,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Weatherford International plc, a public limited company incorporated in the Republic of Ireland, as parent ("</w:t>
      </w:r>
      <w:r>
        <w:rPr>
          <w:rFonts w:ascii="Arial" w:cs="Arial" w:eastAsia="Arial" w:hAnsi="Arial"/>
          <w:sz w:val="18"/>
          <w:szCs w:val="18"/>
          <w:u w:val="single" w:color="auto"/>
          <w:color w:val="auto"/>
        </w:rPr>
        <w:t>Parent</w:t>
      </w:r>
      <w:r>
        <w:rPr>
          <w:rFonts w:ascii="Arial" w:cs="Arial" w:eastAsia="Arial" w:hAnsi="Arial"/>
          <w:sz w:val="18"/>
          <w:szCs w:val="18"/>
          <w:color w:val="auto"/>
        </w:rPr>
        <w:t>"), Borrowers, the lenders party thereto as "</w:t>
      </w:r>
      <w:r>
        <w:rPr>
          <w:rFonts w:ascii="Arial" w:cs="Arial" w:eastAsia="Arial" w:hAnsi="Arial"/>
          <w:sz w:val="18"/>
          <w:szCs w:val="18"/>
          <w:u w:val="single" w:color="auto"/>
          <w:color w:val="auto"/>
        </w:rPr>
        <w:t>Lenders</w:t>
      </w:r>
      <w:r>
        <w:rPr>
          <w:rFonts w:ascii="Arial" w:cs="Arial" w:eastAsia="Arial" w:hAnsi="Arial"/>
          <w:sz w:val="18"/>
          <w:szCs w:val="18"/>
          <w:color w:val="auto"/>
        </w:rPr>
        <w:t>", Wells Fargo Bank, National Association, a national banking association ("</w:t>
      </w:r>
      <w:r>
        <w:rPr>
          <w:rFonts w:ascii="Arial" w:cs="Arial" w:eastAsia="Arial" w:hAnsi="Arial"/>
          <w:sz w:val="18"/>
          <w:szCs w:val="18"/>
          <w:u w:val="single" w:color="auto"/>
          <w:color w:val="auto"/>
        </w:rPr>
        <w:t>Wells Fargo</w:t>
      </w:r>
      <w:r>
        <w:rPr>
          <w:rFonts w:ascii="Arial" w:cs="Arial" w:eastAsia="Arial" w:hAnsi="Arial"/>
          <w:sz w:val="18"/>
          <w:szCs w:val="18"/>
          <w:color w:val="auto"/>
        </w:rPr>
        <w:t>"), as administrative agent for each member of the Lender Group and the Bank Product Providers, Wells Fargo, Deutsche Bank Securities Inc. ("</w:t>
      </w:r>
      <w:r>
        <w:rPr>
          <w:rFonts w:ascii="Arial" w:cs="Arial" w:eastAsia="Arial" w:hAnsi="Arial"/>
          <w:sz w:val="18"/>
          <w:szCs w:val="18"/>
          <w:u w:val="single" w:color="auto"/>
          <w:color w:val="auto"/>
        </w:rPr>
        <w:t>Deutsche Bank</w:t>
      </w:r>
      <w:r>
        <w:rPr>
          <w:rFonts w:ascii="Arial" w:cs="Arial" w:eastAsia="Arial" w:hAnsi="Arial"/>
          <w:sz w:val="18"/>
          <w:szCs w:val="18"/>
          <w:color w:val="auto"/>
        </w:rPr>
        <w:t>"), Barclays Bank PLC ("</w:t>
      </w:r>
      <w:r>
        <w:rPr>
          <w:rFonts w:ascii="Arial" w:cs="Arial" w:eastAsia="Arial" w:hAnsi="Arial"/>
          <w:sz w:val="18"/>
          <w:szCs w:val="18"/>
          <w:u w:val="single" w:color="auto"/>
          <w:color w:val="auto"/>
        </w:rPr>
        <w:t>Barclays</w:t>
      </w:r>
      <w:r>
        <w:rPr>
          <w:rFonts w:ascii="Arial" w:cs="Arial" w:eastAsia="Arial" w:hAnsi="Arial"/>
          <w:sz w:val="18"/>
          <w:szCs w:val="18"/>
          <w:color w:val="auto"/>
        </w:rPr>
        <w:t>")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joint lead arrangers (in such capacity, together with their successors and assigns in such capacity, the "</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and Wells Fargo, Deutsche Bank, Barclays and Citibank, as joint book runners (in such capacity, together with their successors and assigns in such capacity, the "</w:t>
      </w:r>
      <w:r>
        <w:rPr>
          <w:rFonts w:ascii="Arial" w:cs="Arial" w:eastAsia="Arial" w:hAnsi="Arial"/>
          <w:sz w:val="18"/>
          <w:szCs w:val="18"/>
          <w:u w:val="single" w:color="auto"/>
          <w:color w:val="auto"/>
        </w:rPr>
        <w:t>Joint Book Runners</w:t>
      </w:r>
      <w:r>
        <w:rPr>
          <w:rFonts w:ascii="Arial" w:cs="Arial" w:eastAsia="Arial" w:hAnsi="Arial"/>
          <w:sz w:val="18"/>
          <w:szCs w:val="18"/>
          <w:color w:val="auto"/>
        </w:rPr>
        <w:t>").</w:t>
      </w:r>
    </w:p>
    <w:p>
      <w:pPr>
        <w:spacing w:after="0" w:line="192" w:lineRule="exact"/>
        <w:rPr>
          <w:sz w:val="20"/>
          <w:szCs w:val="20"/>
          <w:color w:val="auto"/>
        </w:rPr>
      </w:pPr>
    </w:p>
    <w:p>
      <w:pPr>
        <w:ind w:left="580" w:hanging="572"/>
        <w:spacing w:after="0"/>
        <w:tabs>
          <w:tab w:leader="none" w:pos="5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Date of Assignment Agreement:</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-267335</wp:posOffset>
            </wp:positionV>
            <wp:extent cx="7289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Assigned Amount of Revolver Commitment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13335</wp:posOffset>
            </wp:positionV>
            <wp:extent cx="7200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720"/>
            <w:col w:w="1260"/>
          </w:cols>
          <w:pgMar w:left="240" w:top="908" w:right="239" w:bottom="1440" w:gutter="0" w:footer="0" w:header="0"/>
          <w:type w:val="continuous"/>
        </w:sectPr>
      </w:pPr>
    </w:p>
    <w:p>
      <w:pPr>
        <w:spacing w:after="0" w:line="37"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Assigned Amount of Revolving Loans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43815</wp:posOffset>
            </wp:positionV>
            <wp:extent cx="7289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40" w:space="720"/>
            <w:col w:w="1260"/>
          </w:cols>
          <w:pgMar w:left="240" w:top="908" w:right="239" w:bottom="1440" w:gutter="0" w:footer="0" w:header="0"/>
          <w:type w:val="continuous"/>
        </w:sectPr>
      </w:pPr>
    </w:p>
    <w:p>
      <w:pPr>
        <w:spacing w:after="0" w:line="62" w:lineRule="exact"/>
        <w:rPr>
          <w:sz w:val="20"/>
          <w:szCs w:val="20"/>
          <w:color w:val="auto"/>
        </w:rPr>
      </w:pPr>
    </w:p>
    <w:p>
      <w:pPr>
        <w:ind w:left="580" w:hanging="572"/>
        <w:spacing w:after="0"/>
        <w:tabs>
          <w:tab w:leader="none" w:pos="5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14605</wp:posOffset>
            </wp:positionV>
            <wp:extent cx="7289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60" w:val="left"/>
          <w:tab w:leader="none" w:pos="101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Purchase Price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6350</wp:posOffset>
            </wp:positionV>
            <wp:extent cx="7200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Notice and Payment Instructions, etc.</w:t>
      </w:r>
    </w:p>
    <w:p>
      <w:pPr>
        <w:spacing w:after="0" w:line="225"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Assignee:</w:t>
      </w:r>
      <w:r>
        <w:rPr>
          <w:sz w:val="20"/>
          <w:szCs w:val="20"/>
          <w:color w:val="auto"/>
        </w:rPr>
        <w:tab/>
      </w: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443865</wp:posOffset>
            </wp:positionV>
            <wp:extent cx="579755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297815</wp:posOffset>
            </wp:positionV>
            <wp:extent cx="579755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152400</wp:posOffset>
            </wp:positionV>
            <wp:extent cx="579755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32" w:name="page433"/>
    <w:bookmarkEnd w:id="432"/>
    <w:p>
      <w:pPr>
        <w:jc w:val="center"/>
        <w:ind w:right="20"/>
        <w:spacing w:after="0"/>
        <w:rPr>
          <w:sz w:val="20"/>
          <w:szCs w:val="20"/>
          <w:color w:val="auto"/>
        </w:rPr>
      </w:pPr>
      <w:r>
        <w:rPr>
          <w:rFonts w:ascii="Arial" w:cs="Arial" w:eastAsia="Arial" w:hAnsi="Arial"/>
          <w:sz w:val="18"/>
          <w:szCs w:val="18"/>
          <w:b w:val="1"/>
          <w:bCs w:val="1"/>
          <w:color w:val="auto"/>
        </w:rPr>
        <w:t>EXHIBIT A-2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ASSIGNEE CERTIFICATE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LegalWeatherford@weatherford.com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Loan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(866) 551-0750</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Reference is hereby made to that certain Credit Agreement, dated as of December 13, 2019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Weatherford International PLC, a public limited company incorporated in the Republic of Ireland ("</w:t>
      </w:r>
      <w:r>
        <w:rPr>
          <w:rFonts w:ascii="Arial" w:cs="Arial" w:eastAsia="Arial" w:hAnsi="Arial"/>
          <w:sz w:val="16"/>
          <w:szCs w:val="16"/>
          <w:u w:val="single" w:color="auto"/>
          <w:color w:val="auto"/>
        </w:rPr>
        <w:t>Parent</w:t>
      </w:r>
      <w:r>
        <w:rPr>
          <w:rFonts w:ascii="Arial" w:cs="Arial" w:eastAsia="Arial" w:hAnsi="Arial"/>
          <w:sz w:val="16"/>
          <w:szCs w:val="16"/>
          <w:color w:val="auto"/>
        </w:rPr>
        <w:t>"), Weatherford International Ltd., a Bermuda exempted company limited by shares ("</w:t>
      </w:r>
      <w:r>
        <w:rPr>
          <w:rFonts w:ascii="Arial" w:cs="Arial" w:eastAsia="Arial" w:hAnsi="Arial"/>
          <w:sz w:val="16"/>
          <w:szCs w:val="16"/>
          <w:u w:val="single" w:color="auto"/>
          <w:color w:val="auto"/>
        </w:rPr>
        <w:t>WIL-Bermuda</w:t>
      </w:r>
      <w:r>
        <w:rPr>
          <w:rFonts w:ascii="Arial" w:cs="Arial" w:eastAsia="Arial" w:hAnsi="Arial"/>
          <w:sz w:val="16"/>
          <w:szCs w:val="16"/>
          <w:color w:val="auto"/>
        </w:rPr>
        <w:t>"), Weatherford International, LLC, a Delaware limited liability company ("</w:t>
      </w:r>
      <w:r>
        <w:rPr>
          <w:rFonts w:ascii="Arial" w:cs="Arial" w:eastAsia="Arial" w:hAnsi="Arial"/>
          <w:sz w:val="16"/>
          <w:szCs w:val="16"/>
          <w:u w:val="single" w:color="auto"/>
          <w:color w:val="auto"/>
        </w:rPr>
        <w:t>WIL-Delaware</w:t>
      </w:r>
      <w:r>
        <w:rPr>
          <w:rFonts w:ascii="Arial" w:cs="Arial" w:eastAsia="Arial" w:hAnsi="Arial"/>
          <w:sz w:val="16"/>
          <w:szCs w:val="16"/>
          <w:color w:val="auto"/>
        </w:rPr>
        <w:t>") and those additional entities that become parties thereto as Borrowers in accordance with the terms thereof (together with WIL-Bermuda and WIL-Delaware, each, a "</w:t>
      </w:r>
      <w:r>
        <w:rPr>
          <w:rFonts w:ascii="Arial" w:cs="Arial" w:eastAsia="Arial" w:hAnsi="Arial"/>
          <w:sz w:val="16"/>
          <w:szCs w:val="16"/>
          <w:u w:val="single" w:color="auto"/>
          <w:color w:val="auto"/>
        </w:rPr>
        <w:t>Borrower</w:t>
      </w:r>
      <w:r>
        <w:rPr>
          <w:rFonts w:ascii="Arial" w:cs="Arial" w:eastAsia="Arial" w:hAnsi="Arial"/>
          <w:sz w:val="16"/>
          <w:szCs w:val="16"/>
          <w:color w:val="auto"/>
        </w:rPr>
        <w:t>" and individually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the lenders identified on the signature pages thereof (each of such lenders, together with its successors and permitted assigns, is referred to hereinafter as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Wells Fargo Bank, National Association, a national banking association, as administrative agent for each member of the Lender Group and the Bank Product Providers (in such capacity, together with its successors and assigns in such capacity "</w:t>
      </w:r>
      <w:r>
        <w:rPr>
          <w:rFonts w:ascii="Arial" w:cs="Arial" w:eastAsia="Arial" w:hAnsi="Arial"/>
          <w:sz w:val="16"/>
          <w:szCs w:val="16"/>
          <w:u w:val="single" w:color="auto"/>
          <w:color w:val="auto"/>
        </w:rPr>
        <w:t>Agent</w:t>
      </w:r>
      <w:r>
        <w:rPr>
          <w:rFonts w:ascii="Arial" w:cs="Arial" w:eastAsia="Arial" w:hAnsi="Arial"/>
          <w:sz w:val="16"/>
          <w:szCs w:val="16"/>
          <w:color w:val="auto"/>
        </w:rPr>
        <w:t>"). Capitalized terms used but not otherwise defined herein shall have the respective meanings specified therefor in the Credit Agreement.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13.1(a)(ii)(H)</w:t>
      </w:r>
      <w:r>
        <w:rPr>
          <w:rFonts w:ascii="Arial" w:cs="Arial" w:eastAsia="Arial" w:hAnsi="Arial"/>
          <w:sz w:val="18"/>
          <w:szCs w:val="18"/>
          <w:color w:val="auto"/>
        </w:rPr>
        <w:t xml:space="preserve"> of the Credit Agreement, the undersigned is a prospective assignee of rights and obligations of a Lender under the Credit Agreement but is not currently a Lender (the “</w:t>
      </w:r>
      <w:r>
        <w:rPr>
          <w:rFonts w:ascii="Arial" w:cs="Arial" w:eastAsia="Arial" w:hAnsi="Arial"/>
          <w:sz w:val="18"/>
          <w:szCs w:val="18"/>
          <w:u w:val="single" w:color="auto"/>
          <w:color w:val="auto"/>
        </w:rPr>
        <w:t>Assignee</w:t>
      </w:r>
      <w:r>
        <w:rPr>
          <w:rFonts w:ascii="Arial" w:cs="Arial" w:eastAsia="Arial" w:hAnsi="Arial"/>
          <w:sz w:val="18"/>
          <w:szCs w:val="18"/>
          <w:color w:val="auto"/>
        </w:rPr>
        <w:t>”) and is required to deliver this Assignee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Assignee hereby confirms that, as of date set forth below (check one):</w:t>
      </w:r>
    </w:p>
    <w:p>
      <w:pPr>
        <w:spacing w:after="0" w:line="221" w:lineRule="exact"/>
        <w:rPr>
          <w:sz w:val="20"/>
          <w:szCs w:val="20"/>
          <w:color w:val="auto"/>
        </w:rPr>
      </w:pPr>
    </w:p>
    <w:p>
      <w:pPr>
        <w:ind w:left="1300" w:hanging="320"/>
        <w:spacing w:after="0" w:line="282" w:lineRule="auto"/>
        <w:tabs>
          <w:tab w:leader="none" w:pos="1300" w:val="left"/>
        </w:tabs>
        <w:numPr>
          <w:ilvl w:val="0"/>
          <w:numId w:val="523"/>
        </w:numPr>
        <w:rPr>
          <w:rFonts w:ascii="MS PGothic" w:cs="MS PGothic" w:eastAsia="MS PGothic" w:hAnsi="MS PGothic"/>
          <w:sz w:val="18"/>
          <w:szCs w:val="18"/>
          <w:color w:val="auto"/>
        </w:rPr>
      </w:pPr>
      <w:r>
        <w:rPr>
          <w:rFonts w:ascii="Arial" w:cs="Arial" w:eastAsia="Arial" w:hAnsi="Arial"/>
          <w:sz w:val="18"/>
          <w:szCs w:val="18"/>
          <w:color w:val="auto"/>
        </w:rPr>
        <w:t>Assignee is a Swiss Qualifying Lender and [</w:t>
      </w:r>
      <w:r>
        <w:rPr>
          <w:rFonts w:ascii="Arial" w:cs="Arial" w:eastAsia="Arial" w:hAnsi="Arial"/>
          <w:sz w:val="18"/>
          <w:szCs w:val="18"/>
          <w:b w:val="1"/>
          <w:bCs w:val="1"/>
          <w:color w:val="auto"/>
        </w:rPr>
        <w:t>has/has not</w:t>
      </w:r>
      <w:r>
        <w:rPr>
          <w:rFonts w:ascii="Arial" w:cs="Arial" w:eastAsia="Arial" w:hAnsi="Arial"/>
          <w:sz w:val="18"/>
          <w:szCs w:val="18"/>
          <w:color w:val="auto"/>
        </w:rPr>
        <w:t>] entered into a participation (including sub-participation) arrangement with respect to the Credit Agreement with any Person that is a Swiss Non-Qualifying Lender.</w:t>
      </w:r>
    </w:p>
    <w:p>
      <w:pPr>
        <w:spacing w:after="0" w:line="161" w:lineRule="exact"/>
        <w:rPr>
          <w:rFonts w:ascii="MS PGothic" w:cs="MS PGothic" w:eastAsia="MS PGothic" w:hAnsi="MS PGothic"/>
          <w:sz w:val="18"/>
          <w:szCs w:val="18"/>
          <w:color w:val="auto"/>
        </w:rPr>
      </w:pPr>
    </w:p>
    <w:p>
      <w:pPr>
        <w:jc w:val="both"/>
        <w:ind w:left="1300" w:hanging="320"/>
        <w:spacing w:after="0" w:line="266" w:lineRule="auto"/>
        <w:tabs>
          <w:tab w:leader="none" w:pos="1300" w:val="left"/>
        </w:tabs>
        <w:numPr>
          <w:ilvl w:val="0"/>
          <w:numId w:val="523"/>
        </w:numPr>
        <w:rPr>
          <w:rFonts w:ascii="MS PGothic" w:cs="MS PGothic" w:eastAsia="MS PGothic" w:hAnsi="MS PGothic"/>
          <w:sz w:val="18"/>
          <w:szCs w:val="18"/>
          <w:color w:val="auto"/>
        </w:rPr>
      </w:pPr>
      <w:r>
        <w:rPr>
          <w:rFonts w:ascii="Arial" w:cs="Arial" w:eastAsia="Arial" w:hAnsi="Arial"/>
          <w:sz w:val="18"/>
          <w:szCs w:val="18"/>
          <w:color w:val="auto"/>
        </w:rPr>
        <w:t>Assignee is a Swiss Non-Qualifying Lender, and [</w:t>
      </w:r>
      <w:r>
        <w:rPr>
          <w:rFonts w:ascii="Arial" w:cs="Arial" w:eastAsia="Arial" w:hAnsi="Arial"/>
          <w:sz w:val="18"/>
          <w:szCs w:val="18"/>
          <w:b w:val="1"/>
          <w:bCs w:val="1"/>
          <w:color w:val="auto"/>
        </w:rPr>
        <w:t>counts/does not count</w:t>
      </w:r>
      <w:r>
        <w:rPr>
          <w:rFonts w:ascii="Arial" w:cs="Arial" w:eastAsia="Arial" w:hAnsi="Arial"/>
          <w:sz w:val="18"/>
          <w:szCs w:val="18"/>
          <w:color w:val="auto"/>
        </w:rPr>
        <w:t>] as one single creditor for purposes of the Swiss Non-Bank Rules and [</w:t>
      </w:r>
      <w:r>
        <w:rPr>
          <w:rFonts w:ascii="Arial" w:cs="Arial" w:eastAsia="Arial" w:hAnsi="Arial"/>
          <w:sz w:val="18"/>
          <w:szCs w:val="18"/>
          <w:b w:val="1"/>
          <w:bCs w:val="1"/>
          <w:color w:val="auto"/>
        </w:rPr>
        <w:t>has/has not</w:t>
      </w:r>
      <w:r>
        <w:rPr>
          <w:rFonts w:ascii="Arial" w:cs="Arial" w:eastAsia="Arial" w:hAnsi="Arial"/>
          <w:sz w:val="18"/>
          <w:szCs w:val="18"/>
          <w:color w:val="auto"/>
        </w:rPr>
        <w:t>] entered into a participation (including any sub-participation) arrangement with respect to the Agreement with any Person that is a Swiss Non-Qualifying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(Merkblatt "Verrechnungssteuer auf Zinsen von Bankguthaben, deren Gläubiger Banken sind (Interbankguthaben)" vom 22. September 1986), circular letter No. 47 in relation to bonds of 25 July 2019 (1-047-V-2019) (Kreisschreiben Nr. 47 "Obligationen" vom 25. Juli 2019), guideline S-02.130.1 in relation to money market instruments and book claims of April 1999 (Merkblatt vom April 1999 betreffend Geldmarktpapiere und Buchforderungen inländischer Schuldner), circular letter No. 46 of 24 July 2019 (1-046-VS-2019) in relation to syndicated credit facilities (Kreisschreiben Nr. 46 "Steuerliche Behandlung von Konsortialdarlehen, Schuldscheindarlehen, Wechseln und Unterbeteiligungen" vom 24. Juli 2019), circular letter No. 34 of 26 July 2011 (1-034-V-2011) in relation to deposits (Kreisschreiben Nr. 34 "Kundenguthaben" vom 26. Juli 2011); the circular letter No. 15 of 3 October 2017 (1-015-DVS- 2017) in relation to bonds and derivative financial instruments as subject matter of taxation of Swiss federal income tax, Swiss withholding tax and Swiss stamp taxes (Kreisschreiben Nr. 15 "Obligationen und derivative Finanzinstrumente als Gegenstand der direkten Bundessteuer, der Verrechnungssteuer und der Stempelabgaben" vom 3. Oktober 2017) and the notification regarding credit balances in groups (Mitteilung 010-DVS-2019 of February 2019 betreffend "Verrechnungssteuer: 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Person that (i) is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left blank;</w:t>
      </w:r>
      <w:r>
        <w:rPr>
          <w:rFonts w:ascii="Arial" w:cs="Arial" w:eastAsia="Arial" w:hAnsi="Arial"/>
          <w:sz w:val="18"/>
          <w:szCs w:val="18"/>
          <w:color w:val="auto"/>
        </w:rPr>
        <w:t xml:space="preserve"> s</w:t>
      </w:r>
      <w:r>
        <w:rPr>
          <w:rFonts w:ascii="Arial" w:cs="Arial" w:eastAsia="Arial" w:hAnsi="Arial"/>
          <w:sz w:val="18"/>
          <w:szCs w:val="18"/>
          <w:i w:val="1"/>
          <w:iCs w:val="1"/>
          <w:color w:val="auto"/>
        </w:rPr>
        <w:t>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4" w:name="page435"/>
    <w:bookmarkEnd w:id="434"/>
    <w:p>
      <w:pPr>
        <w:spacing w:after="0"/>
        <w:tabs>
          <w:tab w:leader="none" w:pos="6840" w:val="left"/>
          <w:tab w:leader="none" w:pos="8600" w:val="left"/>
          <w:tab w:leader="none" w:pos="9180" w:val="left"/>
        </w:tabs>
        <w:rPr>
          <w:sz w:val="20"/>
          <w:szCs w:val="20"/>
          <w:color w:val="auto"/>
        </w:rPr>
      </w:pPr>
      <w:r>
        <w:rPr>
          <w:rFonts w:ascii="Arial" w:cs="Arial" w:eastAsia="Arial" w:hAnsi="Arial"/>
          <w:sz w:val="18"/>
          <w:szCs w:val="18"/>
          <w:color w:val="auto"/>
        </w:rPr>
        <w:t>IN WITNESS WHEREOF, the undersigned has executed this Assignee Certificate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-10160</wp:posOffset>
            </wp:positionV>
            <wp:extent cx="185991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ASSIGNEE</w:t>
      </w:r>
      <w:r>
        <w:rPr>
          <w:rFonts w:ascii="Arial" w:cs="Arial" w:eastAsia="Arial" w:hAnsi="Arial"/>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-130810</wp:posOffset>
            </wp:positionV>
            <wp:extent cx="33274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79"/>
          </w:cols>
          <w:pgMar w:left="980" w:top="909" w:right="1440" w:bottom="1440" w:gutter="0" w:footer="0" w:header="0"/>
        </w:sectPr>
      </w:pPr>
    </w:p>
    <w:bookmarkStart w:id="435" w:name="page436"/>
    <w:bookmarkEnd w:id="435"/>
    <w:p>
      <w:pPr>
        <w:jc w:val="center"/>
        <w:ind w:right="-20"/>
        <w:spacing w:after="0"/>
        <w:rPr>
          <w:sz w:val="20"/>
          <w:szCs w:val="20"/>
          <w:color w:val="auto"/>
        </w:rPr>
      </w:pPr>
      <w:r>
        <w:rPr>
          <w:rFonts w:ascii="Arial" w:cs="Arial" w:eastAsia="Arial" w:hAnsi="Arial"/>
          <w:sz w:val="18"/>
          <w:szCs w:val="18"/>
          <w:b w:val="1"/>
          <w:bCs w:val="1"/>
          <w:color w:val="auto"/>
        </w:rPr>
        <w:t>EXHIBIT B-1</w:t>
      </w:r>
    </w:p>
    <w:p>
      <w:pPr>
        <w:sectPr>
          <w:pgSz w:w="11900" w:h="16838" w:orient="portrait"/>
          <w:cols w:equalWidth="0" w:num="1">
            <w:col w:w="9019"/>
          </w:cols>
          <w:pgMar w:left="1440" w:top="904" w:right="1440" w:bottom="1440" w:gutter="0" w:footer="0" w:header="0"/>
        </w:sectPr>
      </w:pP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456565</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009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7246620" cy="800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jc w:val="center"/>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BANK PRODUCT PROVIDER AGREEMENT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[Letterhead of Specified Bank Product Provider]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Loan Portfolio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5"/>
        <w:spacing w:after="0" w:line="268" w:lineRule="auto"/>
        <w:rPr>
          <w:sz w:val="20"/>
          <w:szCs w:val="20"/>
          <w:color w:val="auto"/>
        </w:rPr>
      </w:pPr>
      <w:r>
        <w:rPr>
          <w:rFonts w:ascii="Arial" w:cs="Arial" w:eastAsia="Arial" w:hAnsi="Arial"/>
          <w:sz w:val="17"/>
          <w:szCs w:val="17"/>
          <w:color w:val="auto"/>
        </w:rPr>
        <w:t>Reference is hereby made to that certain Credit Agreement, dated as of December 13,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Weatherford International plc, a public limited company incorporated in the Republic of Ireland ("</w:t>
      </w:r>
      <w:r>
        <w:rPr>
          <w:rFonts w:ascii="Arial" w:cs="Arial" w:eastAsia="Arial" w:hAnsi="Arial"/>
          <w:sz w:val="17"/>
          <w:szCs w:val="17"/>
          <w:u w:val="single" w:color="auto"/>
          <w:color w:val="auto"/>
        </w:rPr>
        <w:t>Parent</w:t>
      </w:r>
      <w:r>
        <w:rPr>
          <w:rFonts w:ascii="Arial" w:cs="Arial" w:eastAsia="Arial" w:hAnsi="Arial"/>
          <w:sz w:val="17"/>
          <w:szCs w:val="17"/>
          <w:color w:val="auto"/>
        </w:rPr>
        <w:t>"), Weatherford International Ltd., a Bermuda exempted company limited by shares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LLC, a Delaware limited liability company ("</w:t>
      </w:r>
      <w:r>
        <w:rPr>
          <w:rFonts w:ascii="Arial" w:cs="Arial" w:eastAsia="Arial" w:hAnsi="Arial"/>
          <w:sz w:val="17"/>
          <w:szCs w:val="17"/>
          <w:u w:val="single" w:color="auto"/>
          <w:color w:val="auto"/>
        </w:rPr>
        <w:t>WIL-Delaware</w:t>
      </w:r>
      <w:r>
        <w:rPr>
          <w:rFonts w:ascii="Arial" w:cs="Arial" w:eastAsia="Arial" w:hAnsi="Arial"/>
          <w:sz w:val="17"/>
          <w:szCs w:val="17"/>
          <w:color w:val="auto"/>
        </w:rPr>
        <w:t xml:space="preserve">") and those additional entities that become parties thereto as Borrowers in accordance with the terms thereof by executing the form of Joinder attached thereto as </w:t>
      </w:r>
      <w:r>
        <w:rPr>
          <w:rFonts w:ascii="Arial" w:cs="Arial" w:eastAsia="Arial" w:hAnsi="Arial"/>
          <w:sz w:val="17"/>
          <w:szCs w:val="17"/>
          <w:u w:val="single" w:color="auto"/>
          <w:color w:val="auto"/>
        </w:rPr>
        <w:t>Exhibit J-1</w:t>
      </w:r>
      <w:r>
        <w:rPr>
          <w:rFonts w:ascii="Arial" w:cs="Arial" w:eastAsia="Arial" w:hAnsi="Arial"/>
          <w:sz w:val="17"/>
          <w:szCs w:val="17"/>
          <w:color w:val="auto"/>
        </w:rPr>
        <w:t xml:space="preserve"> (together with WIL-Bermuda and WIL-Delaware,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identified on the signature pages thereof (each of such lenders, together with its successors and permitted assigns, is referred to hereinafter as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Wells Fargo Bank, National Association, a national banking association ("</w:t>
      </w:r>
      <w:r>
        <w:rPr>
          <w:rFonts w:ascii="Arial" w:cs="Arial" w:eastAsia="Arial" w:hAnsi="Arial"/>
          <w:sz w:val="17"/>
          <w:szCs w:val="17"/>
          <w:u w:val="single" w:color="auto"/>
          <w:color w:val="auto"/>
        </w:rPr>
        <w:t>Wells Fargo</w:t>
      </w:r>
      <w:r>
        <w:rPr>
          <w:rFonts w:ascii="Arial" w:cs="Arial" w:eastAsia="Arial" w:hAnsi="Arial"/>
          <w:sz w:val="17"/>
          <w:szCs w:val="17"/>
          <w:color w:val="auto"/>
        </w:rPr>
        <w:t>"), as administrative agent for each member of the Lender Group and the Bank Product Providers (in such capacity, together with its successors and assigns in such capacity "</w:t>
      </w:r>
      <w:r>
        <w:rPr>
          <w:rFonts w:ascii="Arial" w:cs="Arial" w:eastAsia="Arial" w:hAnsi="Arial"/>
          <w:sz w:val="17"/>
          <w:szCs w:val="17"/>
          <w:u w:val="single" w:color="auto"/>
          <w:color w:val="auto"/>
        </w:rPr>
        <w:t>Agent</w:t>
      </w:r>
      <w:r>
        <w:rPr>
          <w:rFonts w:ascii="Arial" w:cs="Arial" w:eastAsia="Arial" w:hAnsi="Arial"/>
          <w:sz w:val="17"/>
          <w:szCs w:val="17"/>
          <w:color w:val="auto"/>
        </w:rPr>
        <w:t>"), Wells Fargo, Deutsche Bank Securities Inc. ("</w:t>
      </w:r>
      <w:r>
        <w:rPr>
          <w:rFonts w:ascii="Arial" w:cs="Arial" w:eastAsia="Arial" w:hAnsi="Arial"/>
          <w:sz w:val="17"/>
          <w:szCs w:val="17"/>
          <w:u w:val="single" w:color="auto"/>
          <w:color w:val="auto"/>
        </w:rPr>
        <w:t>Deutsche Bank</w:t>
      </w:r>
      <w:r>
        <w:rPr>
          <w:rFonts w:ascii="Arial" w:cs="Arial" w:eastAsia="Arial" w:hAnsi="Arial"/>
          <w:sz w:val="17"/>
          <w:szCs w:val="17"/>
          <w:color w:val="auto"/>
        </w:rPr>
        <w:t>"), Barclays Bank PLC ("</w:t>
      </w:r>
      <w:r>
        <w:rPr>
          <w:rFonts w:ascii="Arial" w:cs="Arial" w:eastAsia="Arial" w:hAnsi="Arial"/>
          <w:sz w:val="17"/>
          <w:szCs w:val="17"/>
          <w:u w:val="single" w:color="auto"/>
          <w:color w:val="auto"/>
        </w:rPr>
        <w:t>Barclays</w:t>
      </w:r>
      <w:r>
        <w:rPr>
          <w:rFonts w:ascii="Arial" w:cs="Arial" w:eastAsia="Arial" w:hAnsi="Arial"/>
          <w:sz w:val="17"/>
          <w:szCs w:val="17"/>
          <w:color w:val="auto"/>
        </w:rPr>
        <w:t>") and Citibank, N.A. ("</w:t>
      </w:r>
      <w:r>
        <w:rPr>
          <w:rFonts w:ascii="Arial" w:cs="Arial" w:eastAsia="Arial" w:hAnsi="Arial"/>
          <w:sz w:val="17"/>
          <w:szCs w:val="17"/>
          <w:u w:val="single" w:color="auto"/>
          <w:color w:val="auto"/>
        </w:rPr>
        <w:t>Citiban</w:t>
      </w:r>
      <w:r>
        <w:rPr>
          <w:rFonts w:ascii="Arial" w:cs="Arial" w:eastAsia="Arial" w:hAnsi="Arial"/>
          <w:sz w:val="17"/>
          <w:szCs w:val="17"/>
          <w:color w:val="auto"/>
        </w:rPr>
        <w:t>k"), as joint lead arrangers (in such capacity, together with their successors and assigns in such capacity, the "</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and Wells Fargo, Deutsche Bank, Barclays and Citibank, as joint book runners (in such capacity, together with their successors and assigns in such capacity, the "</w:t>
      </w:r>
      <w:r>
        <w:rPr>
          <w:rFonts w:ascii="Arial" w:cs="Arial" w:eastAsia="Arial" w:hAnsi="Arial"/>
          <w:sz w:val="17"/>
          <w:szCs w:val="17"/>
          <w:u w:val="single" w:color="auto"/>
          <w:color w:val="auto"/>
        </w:rPr>
        <w:t>Joint Book Runners</w:t>
      </w:r>
      <w:r>
        <w:rPr>
          <w:rFonts w:ascii="Arial" w:cs="Arial" w:eastAsia="Arial" w:hAnsi="Arial"/>
          <w:sz w:val="17"/>
          <w:szCs w:val="17"/>
          <w:color w:val="auto"/>
        </w:rPr>
        <w:t>"). Capitalized terms used herein, but not specifically defined herein, shall have the meanings ascribed to them in the Credit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Reference is also made to that certain [</w:t>
      </w:r>
      <w:r>
        <w:rPr>
          <w:rFonts w:ascii="Arial" w:cs="Arial" w:eastAsia="Arial" w:hAnsi="Arial"/>
          <w:sz w:val="17"/>
          <w:szCs w:val="17"/>
          <w:b w:val="1"/>
          <w:bCs w:val="1"/>
          <w:color w:val="auto"/>
        </w:rPr>
        <w:t>description of the Bank Product Agreement or Agreements</w:t>
      </w:r>
      <w:r>
        <w:rPr>
          <w:rFonts w:ascii="Arial" w:cs="Arial" w:eastAsia="Arial" w:hAnsi="Arial"/>
          <w:sz w:val="17"/>
          <w:szCs w:val="17"/>
          <w:color w:val="auto"/>
        </w:rPr>
        <w:t>] (the "</w:t>
      </w:r>
      <w:r>
        <w:rPr>
          <w:rFonts w:ascii="Arial" w:cs="Arial" w:eastAsia="Arial" w:hAnsi="Arial"/>
          <w:sz w:val="17"/>
          <w:szCs w:val="17"/>
          <w:u w:val="single" w:color="auto"/>
          <w:color w:val="auto"/>
        </w:rPr>
        <w:t>Specified Bank Product</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Agreement [</w:t>
      </w:r>
      <w:r>
        <w:rPr>
          <w:rFonts w:ascii="Arial" w:cs="Arial" w:eastAsia="Arial" w:hAnsi="Arial"/>
          <w:sz w:val="18"/>
          <w:szCs w:val="18"/>
          <w:b w:val="1"/>
          <w:bCs w:val="1"/>
          <w:u w:val="single" w:color="auto"/>
          <w:color w:val="auto"/>
        </w:rPr>
        <w:t>Agreements</w:t>
      </w:r>
      <w:r>
        <w:rPr>
          <w:rFonts w:ascii="Arial" w:cs="Arial" w:eastAsia="Arial" w:hAnsi="Arial"/>
          <w:sz w:val="18"/>
          <w:szCs w:val="18"/>
          <w:u w:val="single" w:color="auto"/>
          <w:color w:val="auto"/>
        </w:rPr>
        <w:t>]</w:t>
      </w:r>
      <w:r>
        <w:rPr>
          <w:rFonts w:ascii="Arial" w:cs="Arial" w:eastAsia="Arial" w:hAnsi="Arial"/>
          <w:sz w:val="18"/>
          <w:szCs w:val="18"/>
          <w:color w:val="auto"/>
        </w:rPr>
        <w:t>") dated as of , by and between [</w:t>
      </w:r>
      <w:r>
        <w:rPr>
          <w:rFonts w:ascii="Arial" w:cs="Arial" w:eastAsia="Arial" w:hAnsi="Arial"/>
          <w:sz w:val="18"/>
          <w:szCs w:val="18"/>
          <w:b w:val="1"/>
          <w:bCs w:val="1"/>
          <w:color w:val="auto"/>
        </w:rPr>
        <w:t>Lender or Affiliate of Lender</w:t>
      </w:r>
      <w:r>
        <w:rPr>
          <w:rFonts w:ascii="Arial" w:cs="Arial" w:eastAsia="Arial" w:hAnsi="Arial"/>
          <w:sz w:val="18"/>
          <w:szCs w:val="18"/>
          <w:color w:val="auto"/>
        </w:rPr>
        <w:t>] (the "</w:t>
      </w:r>
      <w:r>
        <w:rPr>
          <w:rFonts w:ascii="Arial" w:cs="Arial" w:eastAsia="Arial" w:hAnsi="Arial"/>
          <w:sz w:val="18"/>
          <w:szCs w:val="18"/>
          <w:u w:val="single" w:color="auto"/>
          <w:color w:val="auto"/>
        </w:rPr>
        <w:t>Specified Bank Product Provider</w:t>
      </w:r>
      <w:r>
        <w:rPr>
          <w:rFonts w:ascii="Arial" w:cs="Arial" w:eastAsia="Arial" w:hAnsi="Arial"/>
          <w:sz w:val="18"/>
          <w:szCs w:val="18"/>
          <w:color w:val="auto"/>
        </w:rPr>
        <w:t>") and [</w:t>
      </w:r>
      <w:r>
        <w:rPr>
          <w:rFonts w:ascii="Arial" w:cs="Arial" w:eastAsia="Arial" w:hAnsi="Arial"/>
          <w:sz w:val="18"/>
          <w:szCs w:val="18"/>
          <w:b w:val="1"/>
          <w:bCs w:val="1"/>
          <w:color w:val="auto"/>
        </w:rPr>
        <w:t>identify the Loan Party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-173990</wp:posOffset>
            </wp:positionV>
            <wp:extent cx="90297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902970" cy="8890"/>
                    </a:xfrm>
                    <a:prstGeom prst="rect">
                      <a:avLst/>
                    </a:prstGeom>
                    <a:noFill/>
                  </pic:spPr>
                </pic:pic>
              </a:graphicData>
            </a:graphic>
          </wp:anchor>
        </w:drawing>
      </w:r>
    </w:p>
    <w:p>
      <w:pPr>
        <w:spacing w:after="0" w:line="164" w:lineRule="exact"/>
        <w:rPr>
          <w:sz w:val="20"/>
          <w:szCs w:val="20"/>
          <w:color w:val="auto"/>
        </w:rPr>
      </w:pPr>
    </w:p>
    <w:p>
      <w:pPr>
        <w:jc w:val="both"/>
        <w:ind w:firstLine="656"/>
        <w:spacing w:after="0" w:line="271" w:lineRule="auto"/>
        <w:tabs>
          <w:tab w:leader="none" w:pos="1485" w:val="left"/>
        </w:tabs>
        <w:numPr>
          <w:ilvl w:val="0"/>
          <w:numId w:val="524"/>
        </w:numPr>
        <w:rPr>
          <w:rFonts w:ascii="Arial" w:cs="Arial" w:eastAsia="Arial" w:hAnsi="Arial"/>
          <w:sz w:val="17"/>
          <w:szCs w:val="17"/>
          <w:color w:val="auto"/>
        </w:rPr>
      </w:pPr>
      <w:r>
        <w:rPr>
          <w:rFonts w:ascii="Arial" w:cs="Arial" w:eastAsia="Arial" w:hAnsi="Arial"/>
          <w:sz w:val="17"/>
          <w:szCs w:val="17"/>
          <w:u w:val="single" w:color="auto"/>
          <w:color w:val="auto"/>
        </w:rPr>
        <w:t>Appointment of Agent</w:t>
      </w:r>
      <w:r>
        <w:rPr>
          <w:rFonts w:ascii="Arial" w:cs="Arial" w:eastAsia="Arial" w:hAnsi="Arial"/>
          <w:sz w:val="17"/>
          <w:szCs w:val="17"/>
          <w:color w:val="auto"/>
        </w:rPr>
        <w:t xml:space="preserve">. The Specified Bank Product Provider hereby designates and appoints Agent, and Agent by its signature below hereby accepts such appointment, as its agent under the Credit Agreement and the other Loan Documents. The Specified Bank Product Provider hereby acknowledges that it has reviewed </w:t>
      </w:r>
      <w:r>
        <w:rPr>
          <w:rFonts w:ascii="Arial" w:cs="Arial" w:eastAsia="Arial" w:hAnsi="Arial"/>
          <w:sz w:val="17"/>
          <w:szCs w:val="17"/>
          <w:u w:val="single" w:color="auto"/>
          <w:color w:val="auto"/>
        </w:rPr>
        <w:t>Sections 15.1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15.15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15.17</w:t>
      </w:r>
      <w:r>
        <w:rPr>
          <w:rFonts w:ascii="Arial" w:cs="Arial" w:eastAsia="Arial" w:hAnsi="Arial"/>
          <w:sz w:val="17"/>
          <w:szCs w:val="17"/>
          <w:color w:val="auto"/>
        </w:rPr>
        <w:t xml:space="preserve">, </w:t>
      </w:r>
      <w:r>
        <w:rPr>
          <w:rFonts w:ascii="Arial" w:cs="Arial" w:eastAsia="Arial" w:hAnsi="Arial"/>
          <w:sz w:val="17"/>
          <w:szCs w:val="17"/>
          <w:u w:val="single" w:color="auto"/>
          <w:color w:val="auto"/>
        </w:rPr>
        <w:t>15.18</w:t>
      </w:r>
      <w:r>
        <w:rPr>
          <w:rFonts w:ascii="Arial" w:cs="Arial" w:eastAsia="Arial" w:hAnsi="Arial"/>
          <w:sz w:val="17"/>
          <w:szCs w:val="17"/>
          <w:color w:val="auto"/>
        </w:rPr>
        <w:t xml:space="preserve">, </w:t>
      </w:r>
      <w:r>
        <w:rPr>
          <w:rFonts w:ascii="Arial" w:cs="Arial" w:eastAsia="Arial" w:hAnsi="Arial"/>
          <w:sz w:val="17"/>
          <w:szCs w:val="17"/>
          <w:u w:val="single" w:color="auto"/>
          <w:color w:val="auto"/>
        </w:rPr>
        <w:t>15.19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17.5</w:t>
      </w:r>
      <w:r>
        <w:rPr>
          <w:rFonts w:ascii="Arial" w:cs="Arial" w:eastAsia="Arial" w:hAnsi="Arial"/>
          <w:sz w:val="17"/>
          <w:szCs w:val="17"/>
          <w:color w:val="auto"/>
        </w:rPr>
        <w:t xml:space="preserve"> (collectively such sections are referred to herein as the "</w:t>
      </w:r>
      <w:r>
        <w:rPr>
          <w:rFonts w:ascii="Arial" w:cs="Arial" w:eastAsia="Arial" w:hAnsi="Arial"/>
          <w:sz w:val="17"/>
          <w:szCs w:val="17"/>
          <w:u w:val="single" w:color="auto"/>
          <w:color w:val="auto"/>
        </w:rPr>
        <w:t>Agency Provisions</w:t>
      </w:r>
      <w:r>
        <w:rPr>
          <w:rFonts w:ascii="Arial" w:cs="Arial" w:eastAsia="Arial" w:hAnsi="Arial"/>
          <w:sz w:val="17"/>
          <w:szCs w:val="17"/>
          <w:color w:val="auto"/>
        </w:rPr>
        <w:t xml:space="preserve">"), including, as applicable, the defined terms used therein. The Specified Bank Product Provider and Agent each agree that the Agency Provisions which govern the relationship, and certain representations, acknowledgements, appointments, rights, restrictions, and agreements, between the Agent, on the one hand, and the Lenders, on the other hand, shall, from and after the date of this letter agreement, also apply to and govern,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 the relationship between the Agent, on the one hand, and the Specified Bank Product Provider with respect to the Bank Products provided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Specified Bank Product Agreement[</w:t>
      </w:r>
      <w:r>
        <w:rPr>
          <w:rFonts w:ascii="Arial" w:cs="Arial" w:eastAsia="Arial" w:hAnsi="Arial"/>
          <w:sz w:val="17"/>
          <w:szCs w:val="17"/>
          <w:b w:val="1"/>
          <w:bCs w:val="1"/>
          <w:color w:val="auto"/>
        </w:rPr>
        <w:t>s</w:t>
      </w:r>
      <w:r>
        <w:rPr>
          <w:rFonts w:ascii="Arial" w:cs="Arial" w:eastAsia="Arial" w:hAnsi="Arial"/>
          <w:sz w:val="17"/>
          <w:szCs w:val="17"/>
          <w:color w:val="auto"/>
        </w:rPr>
        <w:t>],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8" w:name="page439"/>
    <w:bookmarkEnd w:id="438"/>
    <w:p>
      <w:pPr>
        <w:jc w:val="both"/>
        <w:ind w:firstLine="656"/>
        <w:spacing w:after="0" w:line="297" w:lineRule="auto"/>
        <w:tabs>
          <w:tab w:leader="none" w:pos="1557"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Acknowledgement of Certain Provisions of Credit Agreement</w:t>
      </w:r>
      <w:r>
        <w:rPr>
          <w:rFonts w:ascii="Arial" w:cs="Arial" w:eastAsia="Arial" w:hAnsi="Arial"/>
          <w:sz w:val="16"/>
          <w:szCs w:val="16"/>
          <w:color w:val="auto"/>
        </w:rPr>
        <w:t xml:space="preserve">. The Specified Bank Product Provider hereby acknowledges that it has reviewed the provisions of </w:t>
      </w:r>
      <w:r>
        <w:rPr>
          <w:rFonts w:ascii="Arial" w:cs="Arial" w:eastAsia="Arial" w:hAnsi="Arial"/>
          <w:sz w:val="16"/>
          <w:szCs w:val="16"/>
          <w:u w:val="single" w:color="auto"/>
          <w:color w:val="auto"/>
        </w:rPr>
        <w:t>Section 2.4(b)(ii)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17.5</w:t>
      </w:r>
      <w:r>
        <w:rPr>
          <w:rFonts w:ascii="Arial" w:cs="Arial" w:eastAsia="Arial" w:hAnsi="Arial"/>
          <w:sz w:val="16"/>
          <w:szCs w:val="16"/>
          <w:color w:val="auto"/>
        </w:rPr>
        <w:t xml:space="preserve"> of the Credit Agreement, including, as applicable, the defined terms used therein, and agrees to be bound by the provisions thereof. Without limiting the generality of any of the foregoing referenced provisions, Specified Bank Product Provider understands and agrees that its rights and benefits under the Loan Documents consist solely of it being a beneficiary of the Liens and security interests granted to Agent and the right to share in proceeds of the Collateral to the extent set forth in the Credit Agreement.</w:t>
      </w:r>
    </w:p>
    <w:p>
      <w:pPr>
        <w:spacing w:after="0" w:line="158" w:lineRule="exact"/>
        <w:rPr>
          <w:rFonts w:ascii="Arial" w:cs="Arial" w:eastAsia="Arial" w:hAnsi="Arial"/>
          <w:sz w:val="16"/>
          <w:szCs w:val="16"/>
          <w:color w:val="auto"/>
        </w:rPr>
      </w:pPr>
    </w:p>
    <w:p>
      <w:pPr>
        <w:jc w:val="both"/>
        <w:ind w:firstLine="656"/>
        <w:spacing w:after="0" w:line="289" w:lineRule="auto"/>
        <w:tabs>
          <w:tab w:leader="none" w:pos="1395"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Reporting Requirements</w:t>
      </w:r>
      <w:r>
        <w:rPr>
          <w:rFonts w:ascii="Arial" w:cs="Arial" w:eastAsia="Arial" w:hAnsi="Arial"/>
          <w:sz w:val="16"/>
          <w:szCs w:val="16"/>
          <w:color w:val="auto"/>
        </w:rPr>
        <w:t>. Agent shall have no obligation to calculate the amount due and payable with respect to any Bank Products. On a monthly basis (not later than the 10th Business Day of each calendar month) or as more frequently as Agent shall reasonably request, the Specified Bank Product Provider agrees to provide Agent with a written report, in form and substance satisfactory to Agent, detailing Specified Bank Product Provider's reasonable determination of the liabilities and obligations (and mark-to-market exposure) of Parent, Borrowers and the other Loan Parties in respect of the Bank Products provided by Specified Bank Product Provider pursuant to the Specified Bank Product Agreement[</w:t>
      </w:r>
      <w:r>
        <w:rPr>
          <w:rFonts w:ascii="Arial" w:cs="Arial" w:eastAsia="Arial" w:hAnsi="Arial"/>
          <w:sz w:val="16"/>
          <w:szCs w:val="16"/>
          <w:b w:val="1"/>
          <w:bCs w:val="1"/>
          <w:color w:val="auto"/>
        </w:rPr>
        <w:t>s</w:t>
      </w:r>
      <w:r>
        <w:rPr>
          <w:rFonts w:ascii="Arial" w:cs="Arial" w:eastAsia="Arial" w:hAnsi="Arial"/>
          <w:sz w:val="16"/>
          <w:szCs w:val="16"/>
          <w:color w:val="auto"/>
        </w:rPr>
        <w:t>]. If Agent does not receive such written report within the time period provided above, Agent shall be entitled to assume that the reasonable determination of the liabilities and obligations of Parent, Borrowers and the other Loan Parties with respect to the Bank Products provided pursuant to the Specified Bank Product Agreement[</w:t>
      </w:r>
      <w:r>
        <w:rPr>
          <w:rFonts w:ascii="Arial" w:cs="Arial" w:eastAsia="Arial" w:hAnsi="Arial"/>
          <w:sz w:val="16"/>
          <w:szCs w:val="16"/>
          <w:b w:val="1"/>
          <w:bCs w:val="1"/>
          <w:color w:val="auto"/>
        </w:rPr>
        <w:t>s</w:t>
      </w:r>
      <w:r>
        <w:rPr>
          <w:rFonts w:ascii="Arial" w:cs="Arial" w:eastAsia="Arial" w:hAnsi="Arial"/>
          <w:sz w:val="16"/>
          <w:szCs w:val="16"/>
          <w:color w:val="auto"/>
        </w:rPr>
        <w:t xml:space="preserve">] is the amount last certified to Agent by such Bank Product Provider as being due and payable (less any distributions made to such Bank Product Provider on account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such report was previously delivered, Agent shall be entitled to assume the amount is zero.</w:t>
      </w:r>
    </w:p>
    <w:p>
      <w:pPr>
        <w:spacing w:after="0" w:line="166" w:lineRule="exact"/>
        <w:rPr>
          <w:rFonts w:ascii="Arial" w:cs="Arial" w:eastAsia="Arial" w:hAnsi="Arial"/>
          <w:sz w:val="16"/>
          <w:szCs w:val="16"/>
          <w:color w:val="auto"/>
        </w:rPr>
      </w:pPr>
    </w:p>
    <w:p>
      <w:pPr>
        <w:jc w:val="both"/>
        <w:ind w:firstLine="656"/>
        <w:spacing w:after="0" w:line="273" w:lineRule="auto"/>
        <w:tabs>
          <w:tab w:leader="none" w:pos="1436" w:val="left"/>
        </w:tabs>
        <w:numPr>
          <w:ilvl w:val="0"/>
          <w:numId w:val="525"/>
        </w:numPr>
        <w:rPr>
          <w:rFonts w:ascii="Arial" w:cs="Arial" w:eastAsia="Arial" w:hAnsi="Arial"/>
          <w:sz w:val="17"/>
          <w:szCs w:val="17"/>
          <w:color w:val="auto"/>
        </w:rPr>
      </w:pPr>
      <w:r>
        <w:rPr>
          <w:rFonts w:ascii="Arial" w:cs="Arial" w:eastAsia="Arial" w:hAnsi="Arial"/>
          <w:sz w:val="17"/>
          <w:szCs w:val="17"/>
          <w:u w:val="single" w:color="auto"/>
          <w:color w:val="auto"/>
        </w:rPr>
        <w:t>Bank Product Reserve Conditions</w:t>
      </w:r>
      <w:r>
        <w:rPr>
          <w:rFonts w:ascii="Arial" w:cs="Arial" w:eastAsia="Arial" w:hAnsi="Arial"/>
          <w:sz w:val="17"/>
          <w:szCs w:val="17"/>
          <w:color w:val="auto"/>
        </w:rPr>
        <w:t>. The Specified Bank Product Provider further acknowledges and agrees that Agent shall have the right its Permitted Discretion (to the extent permitted pursuant to the Credit Agreement), but shall have no obligation to establish, maintain, relax, or release reserves in respect of any of the Bank Product Obligations and that if such reserves are established there is no obligation on the part of the Agent to determine or insure whether the amount of any such reserve is appropriate or not (including whether it is sufficient in amount). If Agent chooses to implement a reserve in accordance with the Credit Agreement, the Specified Bank Product Provider acknowledges and agrees that Agent shall be entitled to rely on the information in the reports described above to establish the Bank Product Reserves.</w:t>
      </w:r>
    </w:p>
    <w:p>
      <w:pPr>
        <w:spacing w:after="0" w:line="178" w:lineRule="exact"/>
        <w:rPr>
          <w:rFonts w:ascii="Arial" w:cs="Arial" w:eastAsia="Arial" w:hAnsi="Arial"/>
          <w:sz w:val="17"/>
          <w:szCs w:val="17"/>
          <w:color w:val="auto"/>
        </w:rPr>
      </w:pPr>
    </w:p>
    <w:p>
      <w:pPr>
        <w:jc w:val="both"/>
        <w:ind w:firstLine="656"/>
        <w:spacing w:after="0" w:line="255" w:lineRule="auto"/>
        <w:tabs>
          <w:tab w:leader="none" w:pos="1422"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From and after the delivery to Agent of this agreement duly executed by Specified Bank Product Provider and the acknowledgement of this agreement by Agent and Administrative Borrower, the obligations and liabilities of Parent and its Restricted Subsidiaries to Specified Bank Product Provider in respect of Bank Products evidenced by the Specified Bank Product Agreement[</w:t>
      </w:r>
      <w:r>
        <w:rPr>
          <w:rFonts w:ascii="Arial" w:cs="Arial" w:eastAsia="Arial" w:hAnsi="Arial"/>
          <w:sz w:val="18"/>
          <w:szCs w:val="18"/>
          <w:b w:val="1"/>
          <w:bCs w:val="1"/>
          <w:color w:val="auto"/>
        </w:rPr>
        <w:t>s</w:t>
      </w:r>
      <w:r>
        <w:rPr>
          <w:rFonts w:ascii="Arial" w:cs="Arial" w:eastAsia="Arial" w:hAnsi="Arial"/>
          <w:sz w:val="18"/>
          <w:szCs w:val="18"/>
          <w:color w:val="auto"/>
        </w:rPr>
        <w:t>] shall constitute Bank Product Obligations (and which, in turn, shall constitute Obligations), and Specified Bank Product Provider shall constitute a Bank Product Provider until such time as the Specified Bank Product Provider or its Affiliate is no longer a Lender. The Specified Bank Product Provider acknowledges that other Bank Products (which may or may not be Specified Bank Products) may exist at any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9" w:name="page440"/>
    <w:bookmarkEnd w:id="439"/>
    <w:p>
      <w:pPr>
        <w:jc w:val="both"/>
        <w:ind w:right="20" w:firstLine="656"/>
        <w:spacing w:after="0" w:line="257" w:lineRule="auto"/>
        <w:tabs>
          <w:tab w:leader="none" w:pos="1350"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provided for hereunder shall be given in the form and manner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and, if to Agent, shall be mailed, sent, or delivered to Agent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in the Credit Agreement, if to any Borrower, shall be mailed, sent, or delivered to Borrowers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in the Credit Agreement, and, if to the Specified Bank Product Provider, shall be mailed, sent, or delivered to the address set forth below, or, in each case as to any party, at such other address as shall be designated by such party in a written notice to the other party.</w:t>
      </w: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If to Specified Bank</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Product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-130810</wp:posOffset>
            </wp:positionV>
            <wp:extent cx="30784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-130810</wp:posOffset>
            </wp:positionV>
            <wp:extent cx="30784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-130810</wp:posOffset>
            </wp:positionV>
            <wp:extent cx="27101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27101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jc w:val="both"/>
        <w:ind w:firstLine="656"/>
        <w:spacing w:after="0" w:line="290" w:lineRule="auto"/>
        <w:tabs>
          <w:tab w:leader="none" w:pos="1427" w:val="left"/>
        </w:tabs>
        <w:numPr>
          <w:ilvl w:val="0"/>
          <w:numId w:val="52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This agreement shall bind and inure to the benefit of the respective successors and assigns of each of the parties hereto (including any successor agent pursuant to </w:t>
      </w:r>
      <w:r>
        <w:rPr>
          <w:rFonts w:ascii="Arial" w:cs="Arial" w:eastAsia="Arial" w:hAnsi="Arial"/>
          <w:sz w:val="16"/>
          <w:szCs w:val="16"/>
          <w:u w:val="single" w:color="auto"/>
          <w:color w:val="auto"/>
        </w:rPr>
        <w:t>Section 15.9</w:t>
      </w:r>
      <w:r>
        <w:rPr>
          <w:rFonts w:ascii="Arial" w:cs="Arial" w:eastAsia="Arial" w:hAnsi="Arial"/>
          <w:sz w:val="16"/>
          <w:szCs w:val="16"/>
          <w:color w:val="auto"/>
        </w:rPr>
        <w:t xml:space="preserve">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Borrowers may not assign this agreement or any rights or duties hereunder without the other parties' prior written consent and any prohibited assignment shall be absolutely void </w:t>
      </w:r>
      <w:r>
        <w:rPr>
          <w:rFonts w:ascii="Arial" w:cs="Arial" w:eastAsia="Arial" w:hAnsi="Arial"/>
          <w:sz w:val="16"/>
          <w:szCs w:val="16"/>
          <w:i w:val="1"/>
          <w:iCs w:val="1"/>
          <w:color w:val="auto"/>
        </w:rPr>
        <w:t>ab initio</w:t>
      </w:r>
      <w:r>
        <w:rPr>
          <w:rFonts w:ascii="Arial" w:cs="Arial" w:eastAsia="Arial" w:hAnsi="Arial"/>
          <w:sz w:val="16"/>
          <w:szCs w:val="16"/>
          <w:color w:val="auto"/>
        </w:rPr>
        <w:t>. Unless the context of this agreement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This agreement may be executed in any number of counterparts and by different parties on separate counterparts. Each of such counterparts shall be deemed to be an original, and all of such counterparts, taken together, shall constitute but one and the same agreement. Delivery of an executed counterpart of this letter by telefacsimile or other means of electronic transmission shall be equally effective as delivery of a manually executed counterpart.</w:t>
      </w:r>
    </w:p>
    <w:p>
      <w:pPr>
        <w:spacing w:after="0" w:line="166" w:lineRule="exact"/>
        <w:rPr>
          <w:rFonts w:ascii="Arial" w:cs="Arial" w:eastAsia="Arial" w:hAnsi="Arial"/>
          <w:sz w:val="16"/>
          <w:szCs w:val="16"/>
          <w:color w:val="auto"/>
        </w:rPr>
      </w:pPr>
    </w:p>
    <w:p>
      <w:pPr>
        <w:ind w:left="1300" w:hanging="644"/>
        <w:spacing w:after="0"/>
        <w:tabs>
          <w:tab w:leader="none" w:pos="1300"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31"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VALIDITY OF THIS AGREEMENT, THE CONSTRUCTION, INTERPRETATION, AND ENFORCEMENT HEREOF, THE RIGHTS OF THE PARTIES HERETO WITH RESPECT TO ALL MATTERS ARISING HEREUNDER OR RELATED HERETO, AND ANY CLAIMS, CONTROVERSIES OR DISPUTES ARISING HEREUNDER OR RELATED HERETO SHALL BE DETERMINED UNDER, GOVERNED BY, AND CONSTRUED IN ACCORDANCE WITH THE LAWS OF THE STATE OF NEW YORK.</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2600" w:val="left"/>
        </w:tabs>
        <w:numPr>
          <w:ilvl w:val="1"/>
          <w:numId w:val="527"/>
        </w:numPr>
        <w:rPr>
          <w:rFonts w:ascii="Arial" w:cs="Arial" w:eastAsia="Arial" w:hAnsi="Arial"/>
          <w:sz w:val="17"/>
          <w:szCs w:val="17"/>
          <w:color w:val="auto"/>
        </w:rPr>
      </w:pPr>
      <w:r>
        <w:rPr>
          <w:rFonts w:ascii="Arial" w:cs="Arial" w:eastAsia="Arial" w:hAnsi="Arial"/>
          <w:sz w:val="17"/>
          <w:szCs w:val="17"/>
          <w:color w:val="auto"/>
        </w:rPr>
        <w:t xml:space="preserve">THE PARTIES AGREE THAT ALL ACTIONS OR PROCEEDINGS ARISING IN CONNECTION WITH THIS AGREEMENT SHALL BE TRIED AND LITIGATED ONLY IN THE STATE AND, TO THE EXTENT PERMITTED BY APPLICABLE LAW, FEDERAL COURTS LOCATED IN THE COUNTY OF NEW YORK, STATE OF NEW YORK. EACH PARTY HERETO WAIVES, TO THE EXTENT PERMITTED UNDER APPLICABLE LAW, ANY RIGHT IT MAY HAVE TO ASSERT THE DOCTRINE OF </w:t>
      </w:r>
      <w:r>
        <w:rPr>
          <w:rFonts w:ascii="Arial" w:cs="Arial" w:eastAsia="Arial" w:hAnsi="Arial"/>
          <w:sz w:val="17"/>
          <w:szCs w:val="17"/>
          <w:u w:val="single" w:color="auto"/>
          <w:color w:val="auto"/>
        </w:rPr>
        <w:t>FORUM NON CONVENIENS</w:t>
      </w:r>
      <w:r>
        <w:rPr>
          <w:rFonts w:ascii="Arial" w:cs="Arial" w:eastAsia="Arial" w:hAnsi="Arial"/>
          <w:sz w:val="17"/>
          <w:szCs w:val="17"/>
          <w:color w:val="auto"/>
        </w:rPr>
        <w:t xml:space="preserve"> OR TO OBJECT TO VENUE TO THE EXTENT ANY PROCEEDING IS BROUGHT IN ACCORDANCE WITH THIS </w:t>
      </w:r>
      <w:r>
        <w:rPr>
          <w:rFonts w:ascii="Arial" w:cs="Arial" w:eastAsia="Arial" w:hAnsi="Arial"/>
          <w:sz w:val="17"/>
          <w:szCs w:val="17"/>
          <w:u w:val="single" w:color="auto"/>
          <w:color w:val="auto"/>
        </w:rPr>
        <w:t>SECTION 8(b)</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0" w:name="page441"/>
    <w:bookmarkEnd w:id="440"/>
    <w:p>
      <w:pPr>
        <w:jc w:val="both"/>
        <w:ind w:firstLine="1305"/>
        <w:spacing w:after="0" w:line="255" w:lineRule="auto"/>
        <w:tabs>
          <w:tab w:leader="none" w:pos="2243"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TO THE MAXIMUM EXTENT PERMITTED BY APPLICABLE LAW, EACH PARTY HERETO HEREBY WAIVES ITS RIGHT, IF ANY, TO A JURY TRIAL OF ANY CLAIM OR CAUSE OF ACTION BASED UPON OR ARISING OUT OF THIS AGREEMENT OR ANY OF THE LOAN DOCUMENTS OR ANY OF THE TRANSACTIONS CONTEMPLATED HEREIN OR THEREIN, INCLUDING CONTRACT CLAIMS, TORT CLAIMS, BREACH OF DUTY CLAIMS, AND ALL OTHER COMMON LAW OR STATUTORY CLAIMS. EACH PARTY HERETO REPRESENTS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9" w:lineRule="exact"/>
        <w:rPr>
          <w:rFonts w:ascii="Arial" w:cs="Arial" w:eastAsia="Arial" w:hAnsi="Arial"/>
          <w:sz w:val="18"/>
          <w:szCs w:val="18"/>
          <w:color w:val="auto"/>
        </w:rPr>
      </w:pPr>
    </w:p>
    <w:p>
      <w:pPr>
        <w:jc w:val="both"/>
        <w:ind w:firstLine="1305"/>
        <w:spacing w:after="0" w:line="257" w:lineRule="auto"/>
        <w:tabs>
          <w:tab w:leader="none" w:pos="2199"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41" w:name="page442"/>
    <w:bookmarkEnd w:id="441"/>
    <w:p>
      <w:pPr>
        <w:ind w:left="44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[SPECIFIED BANK PRODUCT PROVIDER]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-123190</wp:posOffset>
            </wp:positionV>
            <wp:extent cx="329311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21590</wp:posOffset>
            </wp:positionV>
            <wp:extent cx="329311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459105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color w:val="auto"/>
        </w:rPr>
        <w:t>Acknowledged, 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-130810</wp:posOffset>
            </wp:positionV>
            <wp:extent cx="32670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-130810</wp:posOffset>
            </wp:positionV>
            <wp:extent cx="32670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14605</wp:posOffset>
            </wp:positionV>
            <wp:extent cx="326707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color w:val="auto"/>
        </w:rPr>
        <w:t>Acknowledged, accepted,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-19050</wp:posOffset>
            </wp:positionV>
            <wp:extent cx="14001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ASSOCIATION</w:t>
      </w:r>
      <w:r>
        <w:rPr>
          <w:rFonts w:ascii="Arial" w:cs="Arial" w:eastAsia="Arial" w:hAnsi="Arial"/>
          <w:sz w:val="16"/>
          <w:szCs w:val="16"/>
          <w:color w:val="auto"/>
        </w:rPr>
        <w:t>, a national banking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-130810</wp:posOffset>
            </wp:positionV>
            <wp:extent cx="32670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-130810</wp:posOffset>
            </wp:positionV>
            <wp:extent cx="32670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14605</wp:posOffset>
            </wp:positionV>
            <wp:extent cx="326707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EXHIBIT C-1</w:t>
            </w:r>
          </w:p>
        </w:tc>
      </w:tr>
      <w:tr>
        <w:trPr>
          <w:trHeight w:val="432"/>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560" w:type="dxa"/>
            <w:vAlign w:val="bottom"/>
            <w:gridSpan w:val="5"/>
          </w:tcPr>
          <w:p>
            <w:pPr>
              <w:jc w:val="center"/>
              <w:ind w:left="2050"/>
              <w:spacing w:after="0"/>
              <w:rPr>
                <w:sz w:val="20"/>
                <w:szCs w:val="20"/>
                <w:color w:val="auto"/>
              </w:rPr>
            </w:pPr>
            <w:r>
              <w:rPr>
                <w:rFonts w:ascii="Arial" w:cs="Arial" w:eastAsia="Arial" w:hAnsi="Arial"/>
                <w:sz w:val="18"/>
                <w:szCs w:val="18"/>
                <w:b w:val="1"/>
                <w:bCs w:val="1"/>
                <w:color w:val="auto"/>
              </w:rPr>
              <w:t>FORM OF COMPLIANCE CERTIFICATE</w:t>
            </w:r>
          </w:p>
        </w:tc>
      </w:tr>
      <w:tr>
        <w:trPr>
          <w:trHeight w:val="432"/>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8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on Parent's letterhead</w:t>
            </w:r>
            <w:r>
              <w:rPr>
                <w:rFonts w:ascii="Arial" w:cs="Arial" w:eastAsia="Arial" w:hAnsi="Arial"/>
                <w:sz w:val="18"/>
                <w:szCs w:val="18"/>
                <w:color w:val="auto"/>
                <w:w w:val="91"/>
              </w:rPr>
              <w:t>]</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To:</w:t>
            </w: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Wells Fargo Bank, National Association</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14241 Dallas Parkway, Suite 1300</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Dallas, Texas, 75254</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Attn: Loan Portfolio Manager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480" w:type="dxa"/>
            <w:vAlign w:val="bottom"/>
          </w:tcPr>
          <w:p>
            <w:pPr>
              <w:spacing w:after="0"/>
              <w:rPr>
                <w:sz w:val="24"/>
                <w:szCs w:val="24"/>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rPr>
              <w:t>Re:</w:t>
            </w:r>
          </w:p>
        </w:tc>
        <w:tc>
          <w:tcPr>
            <w:tcW w:w="2480" w:type="dxa"/>
            <w:vAlign w:val="bottom"/>
          </w:tcPr>
          <w:p>
            <w:pPr>
              <w:ind w:left="320"/>
              <w:spacing w:after="0"/>
              <w:rPr>
                <w:sz w:val="20"/>
                <w:szCs w:val="20"/>
                <w:color w:val="auto"/>
              </w:rPr>
            </w:pPr>
            <w:r>
              <w:rPr>
                <w:rFonts w:ascii="Arial" w:cs="Arial" w:eastAsia="Arial" w:hAnsi="Arial"/>
                <w:sz w:val="18"/>
                <w:szCs w:val="18"/>
                <w:color w:val="auto"/>
                <w:w w:val="92"/>
              </w:rPr>
              <w:t>Compliance Certificate dated</w:t>
            </w:r>
          </w:p>
        </w:tc>
        <w:tc>
          <w:tcPr>
            <w:tcW w:w="1580" w:type="dxa"/>
            <w:vAlign w:val="bottom"/>
            <w:gridSpan w:val="2"/>
          </w:tcPr>
          <w:p>
            <w:pPr>
              <w:jc w:val="center"/>
              <w:ind w:left="1110"/>
              <w:spacing w:after="0"/>
              <w:rPr>
                <w:sz w:val="20"/>
                <w:szCs w:val="20"/>
                <w:color w:val="auto"/>
              </w:rPr>
            </w:pPr>
            <w:r>
              <w:rPr>
                <w:rFonts w:ascii="Arial" w:cs="Arial" w:eastAsia="Arial" w:hAnsi="Arial"/>
                <w:sz w:val="18"/>
                <w:szCs w:val="18"/>
                <w:color w:val="auto"/>
                <w:w w:val="86"/>
              </w:rPr>
              <w:t>, 20</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5"/>
        <w:spacing w:after="0" w:line="268" w:lineRule="auto"/>
        <w:rPr>
          <w:sz w:val="20"/>
          <w:szCs w:val="20"/>
          <w:color w:val="auto"/>
        </w:rPr>
      </w:pPr>
      <w:r>
        <w:rPr>
          <w:rFonts w:ascii="Arial" w:cs="Arial" w:eastAsia="Arial" w:hAnsi="Arial"/>
          <w:sz w:val="17"/>
          <w:szCs w:val="17"/>
          <w:color w:val="auto"/>
        </w:rPr>
        <w:t>Reference is hereby made to that certain Credit Agreement, dated as of December 13,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Weatherford International plc, a public limited company incorporated in the Republic of Ireland ("</w:t>
      </w:r>
      <w:r>
        <w:rPr>
          <w:rFonts w:ascii="Arial" w:cs="Arial" w:eastAsia="Arial" w:hAnsi="Arial"/>
          <w:sz w:val="17"/>
          <w:szCs w:val="17"/>
          <w:u w:val="single" w:color="auto"/>
          <w:color w:val="auto"/>
        </w:rPr>
        <w:t>Parent</w:t>
      </w:r>
      <w:r>
        <w:rPr>
          <w:rFonts w:ascii="Arial" w:cs="Arial" w:eastAsia="Arial" w:hAnsi="Arial"/>
          <w:sz w:val="17"/>
          <w:szCs w:val="17"/>
          <w:color w:val="auto"/>
        </w:rPr>
        <w:t>"), Weatherford International Ltd., a Bermuda exempted company limited by shares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LLC, a Delaware limited liability company ("</w:t>
      </w:r>
      <w:r>
        <w:rPr>
          <w:rFonts w:ascii="Arial" w:cs="Arial" w:eastAsia="Arial" w:hAnsi="Arial"/>
          <w:sz w:val="17"/>
          <w:szCs w:val="17"/>
          <w:u w:val="single" w:color="auto"/>
          <w:color w:val="auto"/>
        </w:rPr>
        <w:t>WIL-Delaware</w:t>
      </w:r>
      <w:r>
        <w:rPr>
          <w:rFonts w:ascii="Arial" w:cs="Arial" w:eastAsia="Arial" w:hAnsi="Arial"/>
          <w:sz w:val="17"/>
          <w:szCs w:val="17"/>
          <w:color w:val="auto"/>
        </w:rPr>
        <w:t xml:space="preserve">") and those additional entities that become parties thereto as Borrowers in accordance with the terms thereof by executing the form of Joinder attached thereto as </w:t>
      </w:r>
      <w:r>
        <w:rPr>
          <w:rFonts w:ascii="Arial" w:cs="Arial" w:eastAsia="Arial" w:hAnsi="Arial"/>
          <w:sz w:val="17"/>
          <w:szCs w:val="17"/>
          <w:u w:val="single" w:color="auto"/>
          <w:color w:val="auto"/>
        </w:rPr>
        <w:t>Exhibit J-1</w:t>
      </w:r>
      <w:r>
        <w:rPr>
          <w:rFonts w:ascii="Arial" w:cs="Arial" w:eastAsia="Arial" w:hAnsi="Arial"/>
          <w:sz w:val="17"/>
          <w:szCs w:val="17"/>
          <w:color w:val="auto"/>
        </w:rPr>
        <w:t xml:space="preserve"> (together with WIL-Bermuda and WIL-Delaware,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identified on the signature pages thereof (each of such lenders, together with its successors and permitted assigns, is referred to hereinafter as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Wells Fargo Bank, National Association, a national banking association ("</w:t>
      </w:r>
      <w:r>
        <w:rPr>
          <w:rFonts w:ascii="Arial" w:cs="Arial" w:eastAsia="Arial" w:hAnsi="Arial"/>
          <w:sz w:val="17"/>
          <w:szCs w:val="17"/>
          <w:u w:val="single" w:color="auto"/>
          <w:color w:val="auto"/>
        </w:rPr>
        <w:t>Wells Fargo</w:t>
      </w:r>
      <w:r>
        <w:rPr>
          <w:rFonts w:ascii="Arial" w:cs="Arial" w:eastAsia="Arial" w:hAnsi="Arial"/>
          <w:sz w:val="17"/>
          <w:szCs w:val="17"/>
          <w:color w:val="auto"/>
        </w:rPr>
        <w:t>"), as administrative agent for each member of the Lender Group and the Bank Product Providers (in such capacity, together with its successors and assigns in such capacity "</w:t>
      </w:r>
      <w:r>
        <w:rPr>
          <w:rFonts w:ascii="Arial" w:cs="Arial" w:eastAsia="Arial" w:hAnsi="Arial"/>
          <w:sz w:val="17"/>
          <w:szCs w:val="17"/>
          <w:u w:val="single" w:color="auto"/>
          <w:color w:val="auto"/>
        </w:rPr>
        <w:t>Agent</w:t>
      </w:r>
      <w:r>
        <w:rPr>
          <w:rFonts w:ascii="Arial" w:cs="Arial" w:eastAsia="Arial" w:hAnsi="Arial"/>
          <w:sz w:val="17"/>
          <w:szCs w:val="17"/>
          <w:color w:val="auto"/>
        </w:rPr>
        <w:t>"), Wells Fargo, Deutsche Bank Securities Inc. ("</w:t>
      </w:r>
      <w:r>
        <w:rPr>
          <w:rFonts w:ascii="Arial" w:cs="Arial" w:eastAsia="Arial" w:hAnsi="Arial"/>
          <w:sz w:val="17"/>
          <w:szCs w:val="17"/>
          <w:u w:val="single" w:color="auto"/>
          <w:color w:val="auto"/>
        </w:rPr>
        <w:t>Deutsche Bank</w:t>
      </w:r>
      <w:r>
        <w:rPr>
          <w:rFonts w:ascii="Arial" w:cs="Arial" w:eastAsia="Arial" w:hAnsi="Arial"/>
          <w:sz w:val="17"/>
          <w:szCs w:val="17"/>
          <w:color w:val="auto"/>
        </w:rPr>
        <w:t>"), Barclays Bank PLC ("</w:t>
      </w:r>
      <w:r>
        <w:rPr>
          <w:rFonts w:ascii="Arial" w:cs="Arial" w:eastAsia="Arial" w:hAnsi="Arial"/>
          <w:sz w:val="17"/>
          <w:szCs w:val="17"/>
          <w:u w:val="single" w:color="auto"/>
          <w:color w:val="auto"/>
        </w:rPr>
        <w:t>Barclays</w:t>
      </w:r>
      <w:r>
        <w:rPr>
          <w:rFonts w:ascii="Arial" w:cs="Arial" w:eastAsia="Arial" w:hAnsi="Arial"/>
          <w:sz w:val="17"/>
          <w:szCs w:val="17"/>
          <w:color w:val="auto"/>
        </w:rPr>
        <w:t>") and Citibank, N.A. ("</w:t>
      </w:r>
      <w:r>
        <w:rPr>
          <w:rFonts w:ascii="Arial" w:cs="Arial" w:eastAsia="Arial" w:hAnsi="Arial"/>
          <w:sz w:val="17"/>
          <w:szCs w:val="17"/>
          <w:u w:val="single" w:color="auto"/>
          <w:color w:val="auto"/>
        </w:rPr>
        <w:t>Citibank</w:t>
      </w:r>
      <w:r>
        <w:rPr>
          <w:rFonts w:ascii="Arial" w:cs="Arial" w:eastAsia="Arial" w:hAnsi="Arial"/>
          <w:sz w:val="17"/>
          <w:szCs w:val="17"/>
          <w:color w:val="auto"/>
        </w:rPr>
        <w:t>"), as joint lead arrangers (in such capacity, together with their successors and assigns in such capacity, the "</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and Wells Fargo, Deutsche Bank, Barclays and Citibank, as joint book runners (in such capacity, together with their successors and assigns in such capacity, the "</w:t>
      </w:r>
      <w:r>
        <w:rPr>
          <w:rFonts w:ascii="Arial" w:cs="Arial" w:eastAsia="Arial" w:hAnsi="Arial"/>
          <w:sz w:val="17"/>
          <w:szCs w:val="17"/>
          <w:u w:val="single" w:color="auto"/>
          <w:color w:val="auto"/>
        </w:rPr>
        <w:t>Joint Book Runners</w:t>
      </w:r>
      <w:r>
        <w:rPr>
          <w:rFonts w:ascii="Arial" w:cs="Arial" w:eastAsia="Arial" w:hAnsi="Arial"/>
          <w:sz w:val="17"/>
          <w:szCs w:val="17"/>
          <w:color w:val="auto"/>
        </w:rPr>
        <w:t>"). Capitalized terms used herein, but not specifically defined herein, shall have the meanings ascribed to them in the Credit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the Credit Agreement, the undersigned Principal Financial Officer of Parent, acting in his or her capacity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of the Parent and not in his or her individual capacity, hereby certifies as of the date hereof that:</w:t>
      </w:r>
    </w:p>
    <w:p>
      <w:pPr>
        <w:spacing w:after="0" w:line="211" w:lineRule="exact"/>
        <w:rPr>
          <w:sz w:val="20"/>
          <w:szCs w:val="20"/>
          <w:color w:val="auto"/>
        </w:rPr>
      </w:pPr>
    </w:p>
    <w:p>
      <w:pPr>
        <w:jc w:val="both"/>
        <w:ind w:firstLine="1305"/>
        <w:spacing w:after="0" w:line="286" w:lineRule="auto"/>
        <w:tabs>
          <w:tab w:leader="none" w:pos="216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The financial information of Parent and its Subsidiaries furnished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the Credit Agreement, has been prepared in accordance with GAAP (except, in the case of unaudited financial statements, for year-end audit adjustments and the lack of footnotes), and fairly presents in all material respects the financial condition of Parent and its Subsidiaries as of the date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5" w:name="page446"/>
    <w:bookmarkEnd w:id="445"/>
    <w:p>
      <w:pPr>
        <w:jc w:val="both"/>
        <w:ind w:firstLine="1305"/>
        <w:spacing w:after="0" w:line="264" w:lineRule="auto"/>
        <w:tabs>
          <w:tab w:leader="none" w:pos="2138"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xml:space="preserve">Such officer has reviewed the terms of the Credit Agreement and has made, or caused to be made under his/her supervision, a review in reasonable detail of the transactions and financial condition of Parent and its Subsidiaries during the accounting period covered by the financial statements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Credit Agreement.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38"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xml:space="preserve">Such review has not disclosed the existence on and as of the date hereof, and the undersigned does not have knowledge of the existence as of the date hereof, of any event or condition that constitutes a Default or Event of Default, except for such conditions or events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attached hereto, in each case specifying the nature and period of existence thereof and what action Parent and/or its Restricted Subsidiaries have taken, are taking, or propose to take with respect thereto.</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2286" w:val="left"/>
        </w:tabs>
        <w:numPr>
          <w:ilvl w:val="0"/>
          <w:numId w:val="53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hereto, (a) since the delivery of the most recent Compliance Certificate, (i) no Restricted Subsidiary is a Material Specified Subsidiary that is organized in a Specified Jurisdiction that has not complied with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5.11(a)</w:t>
      </w:r>
      <w:r>
        <w:rPr>
          <w:rFonts w:ascii="Arial" w:cs="Arial" w:eastAsia="Arial" w:hAnsi="Arial"/>
          <w:sz w:val="17"/>
          <w:szCs w:val="17"/>
          <w:color w:val="auto"/>
        </w:rPr>
        <w:t xml:space="preserve"> (whether on the Closing Date or at any time thereafter), (ii) no Restricted Subsidiary has guaranteed or otherwise become an obligor in respect of Indebtedness or other obligations under the L/C Facility or any other third party Indebtedness for borrowed money of a Loan Party in an aggregate principal amount in excess of $20,000,000 and has not complied with the provisions of </w:t>
      </w:r>
      <w:r>
        <w:rPr>
          <w:rFonts w:ascii="Arial" w:cs="Arial" w:eastAsia="Arial" w:hAnsi="Arial"/>
          <w:sz w:val="17"/>
          <w:szCs w:val="17"/>
          <w:u w:val="single" w:color="auto"/>
          <w:color w:val="auto"/>
        </w:rPr>
        <w:t>Section 5.11(a)</w:t>
      </w:r>
      <w:r>
        <w:rPr>
          <w:rFonts w:ascii="Arial" w:cs="Arial" w:eastAsia="Arial" w:hAnsi="Arial"/>
          <w:sz w:val="17"/>
          <w:szCs w:val="17"/>
          <w:color w:val="auto"/>
        </w:rPr>
        <w:t>, and (b) no Material Specified Subsidiary exists that is organized in a jurisdiction that is not a Specified Jurisdiction or an Excluded Jurisdiction.</w:t>
      </w:r>
    </w:p>
    <w:p>
      <w:pPr>
        <w:spacing w:after="0" w:line="178" w:lineRule="exact"/>
        <w:rPr>
          <w:rFonts w:ascii="Arial" w:cs="Arial" w:eastAsia="Arial" w:hAnsi="Arial"/>
          <w:sz w:val="17"/>
          <w:szCs w:val="17"/>
          <w:color w:val="auto"/>
        </w:rPr>
      </w:pPr>
    </w:p>
    <w:p>
      <w:pPr>
        <w:ind w:right="20" w:firstLine="1305"/>
        <w:spacing w:after="0" w:line="277" w:lineRule="auto"/>
        <w:tabs>
          <w:tab w:leader="none" w:pos="212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xml:space="preserve">As of the date hereof, Parent and each Borrower are in compliance with the applicable covenants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Credit Agreement as demonstrated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46" w:name="page447"/>
    <w:bookmarkEnd w:id="446"/>
    <w:p>
      <w:pPr>
        <w:ind w:left="200"/>
        <w:spacing w:after="0"/>
        <w:tabs>
          <w:tab w:leader="none" w:pos="7180" w:val="left"/>
          <w:tab w:leader="none" w:pos="8940" w:val="left"/>
          <w:tab w:leader="none" w:pos="9560" w:val="left"/>
        </w:tabs>
        <w:rPr>
          <w:sz w:val="20"/>
          <w:szCs w:val="20"/>
          <w:color w:val="auto"/>
        </w:rPr>
      </w:pPr>
      <w:r>
        <w:rPr>
          <w:rFonts w:ascii="Arial" w:cs="Arial" w:eastAsia="Arial" w:hAnsi="Arial"/>
          <w:sz w:val="18"/>
          <w:szCs w:val="18"/>
          <w:color w:val="auto"/>
        </w:rPr>
        <w:t>IN WITNESS WHEREOF, this Compliance Certificate is executed by the undersigned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-10160</wp:posOffset>
            </wp:positionV>
            <wp:extent cx="17741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 public limited company incorporated in the Republic</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 Ireland, as Parent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-130810</wp:posOffset>
            </wp:positionV>
            <wp:extent cx="329311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14605</wp:posOffset>
            </wp:positionV>
            <wp:extent cx="329311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451485</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40"/>
          </w:cols>
          <w:pgMar w:left="1440" w:top="909" w:right="819" w:bottom="1440" w:gutter="0" w:footer="0" w:header="0"/>
        </w:sectPr>
      </w:pPr>
    </w:p>
    <w:bookmarkStart w:id="447" w:name="page448"/>
    <w:bookmarkEnd w:id="447"/>
    <w:p>
      <w:pPr>
        <w:jc w:val="center"/>
        <w:ind w:right="-2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Default or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448" w:name="page449"/>
    <w:bookmarkEnd w:id="448"/>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5.11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467995</wp:posOffset>
            </wp:positionV>
            <wp:extent cx="72466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49" w:name="page450"/>
    <w:bookmarkEnd w:id="449"/>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SCHEDULE 3</w:t>
            </w:r>
          </w:p>
        </w:tc>
        <w:tc>
          <w:tcPr>
            <w:tcW w:w="45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2300" w:type="dxa"/>
            <w:vAlign w:val="bottom"/>
          </w:tcPr>
          <w:p>
            <w:pPr>
              <w:spacing w:after="0"/>
              <w:rPr>
                <w:sz w:val="24"/>
                <w:szCs w:val="24"/>
                <w:color w:val="auto"/>
              </w:rPr>
            </w:pPr>
          </w:p>
        </w:tc>
        <w:tc>
          <w:tcPr>
            <w:tcW w:w="8560" w:type="dxa"/>
            <w:vAlign w:val="bottom"/>
            <w:gridSpan w:val="6"/>
          </w:tcPr>
          <w:p>
            <w:pPr>
              <w:jc w:val="center"/>
              <w:ind w:right="1740"/>
              <w:spacing w:after="0"/>
              <w:rPr>
                <w:sz w:val="20"/>
                <w:szCs w:val="20"/>
                <w:color w:val="auto"/>
              </w:rPr>
            </w:pPr>
            <w:r>
              <w:rPr>
                <w:rFonts w:ascii="Arial" w:cs="Arial" w:eastAsia="Arial" w:hAnsi="Arial"/>
                <w:sz w:val="18"/>
                <w:szCs w:val="18"/>
                <w:b w:val="1"/>
                <w:bCs w:val="1"/>
                <w:color w:val="auto"/>
                <w:w w:val="90"/>
              </w:rPr>
              <w:t>Financial Covenants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0860" w:type="dxa"/>
            <w:vAlign w:val="bottom"/>
            <w:gridSpan w:val="7"/>
          </w:tcPr>
          <w:p>
            <w:pPr>
              <w:spacing w:after="0"/>
              <w:rPr>
                <w:sz w:val="20"/>
                <w:szCs w:val="20"/>
                <w:color w:val="auto"/>
              </w:rPr>
            </w:pPr>
            <w:r>
              <w:rPr>
                <w:rFonts w:ascii="Arial" w:cs="Arial" w:eastAsia="Arial" w:hAnsi="Arial"/>
                <w:sz w:val="18"/>
                <w:szCs w:val="18"/>
                <w:b w:val="1"/>
                <w:bCs w:val="1"/>
                <w:color w:val="auto"/>
              </w:rPr>
              <w:t>Fixed Charge Coverage Ratio.</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860" w:type="dxa"/>
            <w:vAlign w:val="bottom"/>
            <w:gridSpan w:val="7"/>
          </w:tcPr>
          <w:p>
            <w:pPr>
              <w:ind w:left="1300"/>
              <w:spacing w:after="0"/>
              <w:rPr>
                <w:sz w:val="20"/>
                <w:szCs w:val="20"/>
                <w:color w:val="auto"/>
              </w:rPr>
            </w:pPr>
            <w:r>
              <w:rPr>
                <w:rFonts w:ascii="Arial" w:cs="Arial" w:eastAsia="Arial" w:hAnsi="Arial"/>
                <w:sz w:val="18"/>
                <w:szCs w:val="18"/>
                <w:color w:val="auto"/>
                <w:w w:val="96"/>
              </w:rPr>
              <w:t>The Fixed Charge Coverage Ratio of Parent and Borrowers, measured on a quarter- end basis, for the quarter period ending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60" w:type="dxa"/>
            <w:vAlign w:val="bottom"/>
            <w:gridSpan w:val="7"/>
          </w:tcPr>
          <w:p>
            <w:pPr>
              <w:spacing w:after="0" w:line="196" w:lineRule="exact"/>
              <w:rPr>
                <w:sz w:val="20"/>
                <w:szCs w:val="20"/>
                <w:color w:val="auto"/>
              </w:rPr>
            </w:pPr>
            <w:r>
              <w:rPr>
                <w:rFonts w:ascii="Arial" w:cs="Arial" w:eastAsia="Arial" w:hAnsi="Arial"/>
                <w:sz w:val="18"/>
                <w:szCs w:val="18"/>
                <w:color w:val="auto"/>
                <w:w w:val="95"/>
              </w:rPr>
              <w:t>20 , is :1.00, which ratio [</w:t>
            </w:r>
            <w:r>
              <w:rPr>
                <w:rFonts w:ascii="Arial" w:cs="Arial" w:eastAsia="Arial" w:hAnsi="Arial"/>
                <w:sz w:val="18"/>
                <w:szCs w:val="18"/>
                <w:b w:val="1"/>
                <w:bCs w:val="1"/>
                <w:color w:val="auto"/>
                <w:w w:val="95"/>
              </w:rPr>
              <w:t>is/is not</w:t>
            </w:r>
            <w:r>
              <w:rPr>
                <w:rFonts w:ascii="Arial" w:cs="Arial" w:eastAsia="Arial" w:hAnsi="Arial"/>
                <w:sz w:val="18"/>
                <w:szCs w:val="18"/>
                <w:color w:val="auto"/>
                <w:w w:val="95"/>
              </w:rPr>
              <w:t>] greater than or equal to the ratio set forth in Section 7 of the Credit Agreement for the corresponding period.</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96"/>
        </w:trPr>
        <w:tc>
          <w:tcPr>
            <w:tcW w:w="2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50" w:name="page451"/>
    <w:bookmarkEnd w:id="45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EXHIBIT J-1</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512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rPr>
              <w:t>FORM OF JOINDER AGREEMENT</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6040" w:type="dxa"/>
            <w:vAlign w:val="bottom"/>
            <w:gridSpan w:val="4"/>
          </w:tcPr>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(this "Agreement"), is entered into as of</w:t>
            </w:r>
          </w:p>
        </w:tc>
        <w:tc>
          <w:tcPr>
            <w:tcW w:w="1960" w:type="dxa"/>
            <w:vAlign w:val="bottom"/>
            <w:gridSpan w:val="2"/>
          </w:tcPr>
          <w:p>
            <w:pPr>
              <w:ind w:left="460"/>
              <w:spacing w:after="0"/>
              <w:rPr>
                <w:sz w:val="20"/>
                <w:szCs w:val="20"/>
                <w:color w:val="auto"/>
              </w:rPr>
            </w:pPr>
            <w:r>
              <w:rPr>
                <w:rFonts w:ascii="Arial" w:cs="Arial" w:eastAsia="Arial" w:hAnsi="Arial"/>
                <w:sz w:val="18"/>
                <w:szCs w:val="18"/>
                <w:color w:val="auto"/>
                <w:w w:val="92"/>
              </w:rPr>
              <w:t>, 20 , by and among</w:t>
            </w:r>
          </w:p>
        </w:tc>
        <w:tc>
          <w:tcPr>
            <w:tcW w:w="1580" w:type="dxa"/>
            <w:vAlign w:val="bottom"/>
            <w:gridSpan w:val="2"/>
          </w:tcPr>
          <w:p>
            <w:pPr>
              <w:ind w:left="1420"/>
              <w:spacing w:after="0"/>
              <w:rPr>
                <w:sz w:val="20"/>
                <w:szCs w:val="20"/>
                <w:color w:val="auto"/>
              </w:rPr>
            </w:pPr>
            <w:r>
              <w:rPr>
                <w:rFonts w:ascii="Arial" w:cs="Arial" w:eastAsia="Arial" w:hAnsi="Arial"/>
                <w:sz w:val="17"/>
                <w:szCs w:val="17"/>
                <w:color w:val="auto"/>
                <w:w w:val="73"/>
              </w:rPr>
              <w:t>, a</w:t>
            </w:r>
          </w:p>
        </w:tc>
      </w:tr>
      <w:tr>
        <w:trPr>
          <w:trHeight w:val="20"/>
        </w:trPr>
        <w:tc>
          <w:tcPr>
            <w:tcW w:w="2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6532880</wp:posOffset>
            </wp:positionH>
            <wp:positionV relativeFrom="paragraph">
              <wp:posOffset>-8255</wp:posOffset>
            </wp:positionV>
            <wp:extent cx="71437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jc w:val="both"/>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Borrower</w:t>
      </w:r>
      <w:r>
        <w:rPr>
          <w:rFonts w:ascii="Arial" w:cs="Arial" w:eastAsia="Arial" w:hAnsi="Arial"/>
          <w:sz w:val="16"/>
          <w:szCs w:val="16"/>
          <w:color w:val="auto"/>
        </w:rPr>
        <w:t xml:space="preserve">"), and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a national banking association ("</w:t>
      </w:r>
      <w:r>
        <w:rPr>
          <w:rFonts w:ascii="Arial" w:cs="Arial" w:eastAsia="Arial" w:hAnsi="Arial"/>
          <w:sz w:val="16"/>
          <w:szCs w:val="16"/>
          <w:u w:val="single" w:color="auto"/>
          <w:color w:val="auto"/>
        </w:rPr>
        <w:t>Wells Fargo</w:t>
      </w:r>
      <w:r>
        <w:rPr>
          <w:rFonts w:ascii="Arial" w:cs="Arial" w:eastAsia="Arial" w:hAnsi="Arial"/>
          <w:sz w:val="16"/>
          <w:szCs w:val="16"/>
          <w:color w:val="auto"/>
        </w:rPr>
        <w:t>"), as administrative agent for each member of the Lender Group and the Bank Product Providers (in such capacity, together with its successors and assigns in such capacity, "</w:t>
      </w:r>
      <w:r>
        <w:rPr>
          <w:rFonts w:ascii="Arial" w:cs="Arial" w:eastAsia="Arial" w:hAnsi="Arial"/>
          <w:sz w:val="16"/>
          <w:szCs w:val="16"/>
          <w:u w:val="single" w:color="auto"/>
          <w:color w:val="auto"/>
        </w:rPr>
        <w:t>Agent</w:t>
      </w:r>
      <w:r>
        <w:rPr>
          <w:rFonts w:ascii="Arial" w:cs="Arial" w:eastAsia="Arial" w:hAnsi="Arial"/>
          <w:sz w:val="16"/>
          <w:szCs w:val="16"/>
          <w:color w:val="auto"/>
        </w:rPr>
        <w:t>").</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that certain Credit Agreement, dated as of December 13, 2019 (as amended, restated, supplemented or otherwise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lenders identified on the signature pages thereto (each of such lenders, together with its successor and permitted assigns, a "</w:t>
      </w:r>
      <w:r>
        <w:rPr>
          <w:rFonts w:ascii="Arial" w:cs="Arial" w:eastAsia="Arial" w:hAnsi="Arial"/>
          <w:sz w:val="16"/>
          <w:szCs w:val="16"/>
          <w:u w:val="single" w:color="auto"/>
          <w:color w:val="auto"/>
        </w:rPr>
        <w:t>Lender</w:t>
      </w:r>
      <w:r>
        <w:rPr>
          <w:rFonts w:ascii="Arial" w:cs="Arial" w:eastAsia="Arial" w:hAnsi="Arial"/>
          <w:sz w:val="16"/>
          <w:szCs w:val="16"/>
          <w:color w:val="auto"/>
        </w:rPr>
        <w:t>"), Agent, Wells Fargo, Deutsche Bank Securities Inc. ("</w:t>
      </w:r>
      <w:r>
        <w:rPr>
          <w:rFonts w:ascii="Arial" w:cs="Arial" w:eastAsia="Arial" w:hAnsi="Arial"/>
          <w:sz w:val="16"/>
          <w:szCs w:val="16"/>
          <w:u w:val="single" w:color="auto"/>
          <w:color w:val="auto"/>
        </w:rPr>
        <w:t>Deutsche Bank</w:t>
      </w:r>
      <w:r>
        <w:rPr>
          <w:rFonts w:ascii="Arial" w:cs="Arial" w:eastAsia="Arial" w:hAnsi="Arial"/>
          <w:sz w:val="16"/>
          <w:szCs w:val="16"/>
          <w:color w:val="auto"/>
        </w:rPr>
        <w:t>"), Barclays Bank PLC ("</w:t>
      </w:r>
      <w:r>
        <w:rPr>
          <w:rFonts w:ascii="Arial" w:cs="Arial" w:eastAsia="Arial" w:hAnsi="Arial"/>
          <w:sz w:val="16"/>
          <w:szCs w:val="16"/>
          <w:u w:val="single" w:color="auto"/>
          <w:color w:val="auto"/>
        </w:rPr>
        <w:t>Barclays</w:t>
      </w:r>
      <w:r>
        <w:rPr>
          <w:rFonts w:ascii="Arial" w:cs="Arial" w:eastAsia="Arial" w:hAnsi="Arial"/>
          <w:sz w:val="16"/>
          <w:szCs w:val="16"/>
          <w:color w:val="auto"/>
        </w:rPr>
        <w:t>") and Citibank, N.A. ("</w:t>
      </w:r>
      <w:r>
        <w:rPr>
          <w:rFonts w:ascii="Arial" w:cs="Arial" w:eastAsia="Arial" w:hAnsi="Arial"/>
          <w:sz w:val="16"/>
          <w:szCs w:val="16"/>
          <w:u w:val="single" w:color="auto"/>
          <w:color w:val="auto"/>
        </w:rPr>
        <w:t>Citibank</w:t>
      </w:r>
      <w:r>
        <w:rPr>
          <w:rFonts w:ascii="Arial" w:cs="Arial" w:eastAsia="Arial" w:hAnsi="Arial"/>
          <w:sz w:val="16"/>
          <w:szCs w:val="16"/>
          <w:color w:val="auto"/>
        </w:rPr>
        <w:t>"), as joint lead arrangers (in such capacity, together with their successors and assigns in such capacity, the "</w:t>
      </w:r>
      <w:r>
        <w:rPr>
          <w:rFonts w:ascii="Arial" w:cs="Arial" w:eastAsia="Arial" w:hAnsi="Arial"/>
          <w:sz w:val="16"/>
          <w:szCs w:val="16"/>
          <w:u w:val="single" w:color="auto"/>
          <w:color w:val="auto"/>
        </w:rPr>
        <w:t>Joint Lead Arrangers</w:t>
      </w:r>
      <w:r>
        <w:rPr>
          <w:rFonts w:ascii="Arial" w:cs="Arial" w:eastAsia="Arial" w:hAnsi="Arial"/>
          <w:sz w:val="16"/>
          <w:szCs w:val="16"/>
          <w:color w:val="auto"/>
        </w:rPr>
        <w:t>"), Wells Fargo, Deutsche Bank, Barclays and Citibank, as joint book runners (in such capacity, together with their successors and assigns in such capacity, the "</w:t>
      </w:r>
      <w:r>
        <w:rPr>
          <w:rFonts w:ascii="Arial" w:cs="Arial" w:eastAsia="Arial" w:hAnsi="Arial"/>
          <w:sz w:val="16"/>
          <w:szCs w:val="16"/>
          <w:u w:val="single" w:color="auto"/>
          <w:color w:val="auto"/>
        </w:rPr>
        <w:t>Joint Book Runners</w:t>
      </w:r>
      <w:r>
        <w:rPr>
          <w:rFonts w:ascii="Arial" w:cs="Arial" w:eastAsia="Arial" w:hAnsi="Arial"/>
          <w:sz w:val="16"/>
          <w:szCs w:val="16"/>
          <w:color w:val="auto"/>
        </w:rPr>
        <w:t>") Weatherford International plc, a public limited company incorporated in the Republic of Ireland ("</w:t>
      </w:r>
      <w:r>
        <w:rPr>
          <w:rFonts w:ascii="Arial" w:cs="Arial" w:eastAsia="Arial" w:hAnsi="Arial"/>
          <w:sz w:val="16"/>
          <w:szCs w:val="16"/>
          <w:u w:val="single" w:color="auto"/>
          <w:color w:val="auto"/>
        </w:rPr>
        <w:t>Parent</w:t>
      </w:r>
      <w:r>
        <w:rPr>
          <w:rFonts w:ascii="Arial" w:cs="Arial" w:eastAsia="Arial" w:hAnsi="Arial"/>
          <w:sz w:val="16"/>
          <w:szCs w:val="16"/>
          <w:color w:val="auto"/>
        </w:rPr>
        <w:t>"), Weatherford International Ltd., a Bermuda exempted company limited by shares ("</w:t>
      </w:r>
      <w:r>
        <w:rPr>
          <w:rFonts w:ascii="Arial" w:cs="Arial" w:eastAsia="Arial" w:hAnsi="Arial"/>
          <w:sz w:val="16"/>
          <w:szCs w:val="16"/>
          <w:u w:val="single" w:color="auto"/>
          <w:color w:val="auto"/>
        </w:rPr>
        <w:t>WIL-Bermuda</w:t>
      </w:r>
      <w:r>
        <w:rPr>
          <w:rFonts w:ascii="Arial" w:cs="Arial" w:eastAsia="Arial" w:hAnsi="Arial"/>
          <w:sz w:val="16"/>
          <w:szCs w:val="16"/>
          <w:color w:val="auto"/>
        </w:rPr>
        <w:t>"), Weatherford International, LLC, a Delaware limited liability company ("</w:t>
      </w:r>
      <w:r>
        <w:rPr>
          <w:rFonts w:ascii="Arial" w:cs="Arial" w:eastAsia="Arial" w:hAnsi="Arial"/>
          <w:sz w:val="16"/>
          <w:szCs w:val="16"/>
          <w:u w:val="single" w:color="auto"/>
          <w:color w:val="auto"/>
        </w:rPr>
        <w:t>WIL-Delaware</w:t>
      </w:r>
      <w:r>
        <w:rPr>
          <w:rFonts w:ascii="Arial" w:cs="Arial" w:eastAsia="Arial" w:hAnsi="Arial"/>
          <w:sz w:val="16"/>
          <w:szCs w:val="16"/>
          <w:color w:val="auto"/>
        </w:rPr>
        <w:t xml:space="preserve">") (together with together with WIL-Bermuda and WIL-Delaware and those additional Persons that joined as a party to the Credit Agreement by executing the form of Joinder attached thereto as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prior to the date hereof, each, a "</w:t>
      </w:r>
      <w:r>
        <w:rPr>
          <w:rFonts w:ascii="Arial" w:cs="Arial" w:eastAsia="Arial" w:hAnsi="Arial"/>
          <w:sz w:val="16"/>
          <w:szCs w:val="16"/>
          <w:u w:val="single" w:color="auto"/>
          <w:color w:val="auto"/>
        </w:rPr>
        <w:t>Borrower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the Lender Group has agreed to make or issue Loans, Letters of Credit and other certain financial accommodations thereunder;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initially capitalized terms used but not defined herein shall have the meanings ascribed to such terms in the Credit Agreement;</w:t>
      </w:r>
    </w:p>
    <w:p>
      <w:pPr>
        <w:spacing w:after="0" w:line="237" w:lineRule="exact"/>
        <w:rPr>
          <w:sz w:val="20"/>
          <w:szCs w:val="20"/>
          <w:color w:val="auto"/>
        </w:rPr>
      </w:pPr>
    </w:p>
    <w:p>
      <w:pPr>
        <w:jc w:val="both"/>
        <w:ind w:firstLine="647"/>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that certain Intercompany Subordination Agreement, dated as of December 13, 2019 (as amended, restated, supplemented</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modified from time to time, the "</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by and among Parent and certain of Parent's Restricted Subsidiaries listed on the signature pages thereto as an obligor and Agent, each party thereto has agreed to the subordination of indebtedness owing from any Loan Party (other than Parent) to a Restricted Subsidiary that is not a Loan Party or an Unrestricted Subsidiary according to the terms set forth therein;</w:t>
      </w:r>
    </w:p>
    <w:p>
      <w:pPr>
        <w:spacing w:after="0" w:line="151" w:lineRule="exact"/>
        <w:rPr>
          <w:sz w:val="20"/>
          <w:szCs w:val="20"/>
          <w:color w:val="auto"/>
        </w:rPr>
      </w:pPr>
    </w:p>
    <w:p>
      <w:pPr>
        <w:jc w:val="both"/>
        <w:ind w:right="20" w:firstLine="64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amended and restated Fee Letter, dated as of December 13, 2019 (as amended, restated, supplemented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modified from time to the, the "</w:t>
      </w:r>
      <w:r>
        <w:rPr>
          <w:rFonts w:ascii="Arial" w:cs="Arial" w:eastAsia="Arial" w:hAnsi="Arial"/>
          <w:sz w:val="18"/>
          <w:szCs w:val="18"/>
          <w:u w:val="single" w:color="auto"/>
          <w:color w:val="auto"/>
        </w:rPr>
        <w:t>Fee Letter</w:t>
      </w:r>
      <w:r>
        <w:rPr>
          <w:rFonts w:ascii="Arial" w:cs="Arial" w:eastAsia="Arial" w:hAnsi="Arial"/>
          <w:sz w:val="18"/>
          <w:szCs w:val="18"/>
          <w:color w:val="auto"/>
        </w:rPr>
        <w:t>"), by and among Borrowers and Agent, each Borrower has agreed to pay certain fees to Agent on the terms set forth therein;</w:t>
      </w:r>
    </w:p>
    <w:p>
      <w:pPr>
        <w:spacing w:after="0" w:line="176" w:lineRule="exact"/>
        <w:rPr>
          <w:sz w:val="20"/>
          <w:szCs w:val="20"/>
          <w:color w:val="auto"/>
        </w:rPr>
      </w:pPr>
    </w:p>
    <w:p>
      <w:pPr>
        <w:jc w:val="both"/>
        <w:ind w:right="20" w:firstLine="64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New Borrower is required to become a party to the Credit Agreement by, among other things, executing and delivering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1" w:name="page452"/>
    <w:bookmarkEnd w:id="451"/>
    <w:p>
      <w:pPr>
        <w:jc w:val="both"/>
        <w:ind w:firstLine="64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New Borrower has determined that the execution, delivery and performance of this Agreement directly benefit, and are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purposes and in the best interests of, New Borrower, by virtue of the financial accommodations available to New Borrower from time to time pursuant to the terms and conditions of the Credit Agreement.</w:t>
      </w:r>
    </w:p>
    <w:p>
      <w:pPr>
        <w:spacing w:after="0" w:line="176" w:lineRule="exact"/>
        <w:rPr>
          <w:sz w:val="20"/>
          <w:szCs w:val="20"/>
          <w:color w:val="auto"/>
        </w:rPr>
      </w:pPr>
    </w:p>
    <w:p>
      <w:pPr>
        <w:jc w:val="both"/>
        <w:ind w:firstLine="64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herein contained,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each of the parties hereto hereby agrees as follow:</w:t>
      </w:r>
    </w:p>
    <w:p>
      <w:pPr>
        <w:spacing w:after="0" w:line="166" w:lineRule="exact"/>
        <w:rPr>
          <w:sz w:val="20"/>
          <w:szCs w:val="20"/>
          <w:color w:val="auto"/>
        </w:rPr>
      </w:pPr>
    </w:p>
    <w:p>
      <w:pPr>
        <w:jc w:val="both"/>
        <w:ind w:firstLine="655"/>
        <w:spacing w:after="0" w:line="271" w:lineRule="auto"/>
        <w:tabs>
          <w:tab w:leader="none" w:pos="1520"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Joinder of New Borrower to the Credit Agreement</w:t>
      </w:r>
      <w:r>
        <w:rPr>
          <w:rFonts w:ascii="Arial" w:cs="Arial" w:eastAsia="Arial" w:hAnsi="Arial"/>
          <w:sz w:val="17"/>
          <w:szCs w:val="17"/>
          <w:color w:val="auto"/>
        </w:rPr>
        <w:t>. By its execution of this Agreement, New Borrower hereby (a) agrees that from and after the date of this Agreement it shall be a party to the Credit Agreement as a "Borrower" [</w:t>
      </w:r>
      <w:r>
        <w:rPr>
          <w:rFonts w:ascii="Arial" w:cs="Arial" w:eastAsia="Arial" w:hAnsi="Arial"/>
          <w:sz w:val="17"/>
          <w:szCs w:val="17"/>
          <w:b w:val="1"/>
          <w:bCs w:val="1"/>
          <w:color w:val="auto"/>
        </w:rPr>
        <w:t>and as the "[German] [Swiss] Borrower"</w:t>
      </w:r>
      <w:r>
        <w:rPr>
          <w:rFonts w:ascii="Arial" w:cs="Arial" w:eastAsia="Arial" w:hAnsi="Arial"/>
          <w:sz w:val="17"/>
          <w:szCs w:val="17"/>
          <w:color w:val="auto"/>
        </w:rPr>
        <w:t xml:space="preserve">] and shall be bound by all of the terms, conditions, covenants, agreements and obligations set forth in the Credit Agreement, (b) accepts liability for the Obligations pursuant to the terms of the Loan Documents, and (c) confirms that, after giving effect to the supplement to the Schedules to the Credit Agreement provided for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the representations and warranties contained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Credit Agreement are true and correct as they relate to New Borrower as of the date this Agreement. New Borrower hereby agrees that each reference to a "Borrower" or the "Borrowers" in the Credit Agreement and the other Loan Documents shall include New Borrower. New Borrower acknowledges that it has received a copy of the Credit Agreement and the other Loan Documents and that it has read and understands the terms thereof.</w:t>
      </w:r>
    </w:p>
    <w:p>
      <w:pPr>
        <w:spacing w:after="0" w:line="182" w:lineRule="exact"/>
        <w:rPr>
          <w:rFonts w:ascii="Arial" w:cs="Arial" w:eastAsia="Arial" w:hAnsi="Arial"/>
          <w:sz w:val="17"/>
          <w:szCs w:val="17"/>
          <w:color w:val="auto"/>
        </w:rPr>
      </w:pPr>
    </w:p>
    <w:p>
      <w:pPr>
        <w:jc w:val="both"/>
        <w:ind w:firstLine="655"/>
        <w:spacing w:after="0" w:line="267" w:lineRule="auto"/>
        <w:tabs>
          <w:tab w:leader="none" w:pos="1551" w:val="left"/>
        </w:tabs>
        <w:numPr>
          <w:ilvl w:val="1"/>
          <w:numId w:val="531"/>
        </w:numPr>
        <w:rPr>
          <w:rFonts w:ascii="Arial" w:cs="Arial" w:eastAsia="Arial" w:hAnsi="Arial"/>
          <w:sz w:val="16"/>
          <w:szCs w:val="16"/>
          <w:color w:val="auto"/>
        </w:rPr>
      </w:pPr>
      <w:r>
        <w:rPr>
          <w:rFonts w:ascii="Arial" w:cs="Arial" w:eastAsia="Arial" w:hAnsi="Arial"/>
          <w:sz w:val="16"/>
          <w:szCs w:val="16"/>
          <w:u w:val="single" w:color="auto"/>
          <w:color w:val="auto"/>
        </w:rPr>
        <w:t>Updated Schedules</w:t>
      </w:r>
      <w:r>
        <w:rPr>
          <w:rFonts w:ascii="Arial" w:cs="Arial" w:eastAsia="Arial" w:hAnsi="Arial"/>
          <w:sz w:val="16"/>
          <w:szCs w:val="16"/>
          <w:color w:val="auto"/>
        </w:rPr>
        <w:t xml:space="preserv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are updated copies of Schedule 4.1(c)</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to the Credit Agreement revised to include all information required to be provided therein including information with respect to New Borrower. Each such Schedule shall be attached to the Credit Agreement, and on and after the date hereof all references in any Loan Document to any such Schedule to the Credit Agreement shall mean such Schedule as so amended; </w:t>
      </w:r>
      <w:r>
        <w:rPr>
          <w:rFonts w:ascii="Arial" w:cs="Arial" w:eastAsia="Arial" w:hAnsi="Arial"/>
          <w:sz w:val="16"/>
          <w:szCs w:val="16"/>
          <w:u w:val="single" w:color="auto"/>
          <w:color w:val="auto"/>
        </w:rPr>
        <w:t>provided</w:t>
      </w:r>
      <w:r>
        <w:rPr>
          <w:rFonts w:ascii="Arial" w:cs="Arial" w:eastAsia="Arial" w:hAnsi="Arial"/>
          <w:sz w:val="16"/>
          <w:szCs w:val="16"/>
          <w:color w:val="auto"/>
        </w:rPr>
        <w:t>, that any use of the term "as of the date hereof" or any term of similar import, in any provision of the Credit Agreement relating to New Borrower or any of the information amended by such Schedule hereby, shall be deemed to refer to the date of this Agreement.</w:t>
      </w:r>
    </w:p>
    <w:p>
      <w:pPr>
        <w:spacing w:after="0" w:line="181" w:lineRule="exact"/>
        <w:rPr>
          <w:rFonts w:ascii="Arial" w:cs="Arial" w:eastAsia="Arial" w:hAnsi="Arial"/>
          <w:sz w:val="16"/>
          <w:szCs w:val="16"/>
          <w:color w:val="auto"/>
        </w:rPr>
      </w:pPr>
    </w:p>
    <w:p>
      <w:pPr>
        <w:jc w:val="both"/>
        <w:ind w:firstLine="655"/>
        <w:spacing w:after="0" w:line="273" w:lineRule="auto"/>
        <w:tabs>
          <w:tab w:leader="none" w:pos="1524"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Joinder of New Borrower to the Intercompany Subordination Agreement</w:t>
      </w:r>
      <w:r>
        <w:rPr>
          <w:rFonts w:ascii="Arial" w:cs="Arial" w:eastAsia="Arial" w:hAnsi="Arial"/>
          <w:sz w:val="17"/>
          <w:szCs w:val="17"/>
          <w:color w:val="auto"/>
        </w:rPr>
        <w:t>. By its execution of this Agreement, New Borrower hereby (a) agrees that from and after the date of this Agreement it shall be a Company under the Intercompany Subordination Agreement as if it were a signatory thereto and shall be bound by all of the provisions thereof, and (b) agrees that it shall comply with and be subject to all the terms, conditions, covenants, agreements and obligations set forth in the Intercompany Subordination Agreement. New Borrower hereby agrees that each reference to a "Company" or the "Companies" in the Intercompany Subordination Agreement shall include New Borrower. New Borrower acknowledges that it has received a copy of the Intercompany Subordination Agreement and that it has read and understands the terms thereof.</w:t>
      </w:r>
    </w:p>
    <w:p>
      <w:pPr>
        <w:spacing w:after="0" w:line="178" w:lineRule="exact"/>
        <w:rPr>
          <w:rFonts w:ascii="Arial" w:cs="Arial" w:eastAsia="Arial" w:hAnsi="Arial"/>
          <w:sz w:val="17"/>
          <w:szCs w:val="17"/>
          <w:color w:val="auto"/>
        </w:rPr>
      </w:pPr>
    </w:p>
    <w:p>
      <w:pPr>
        <w:jc w:val="both"/>
        <w:ind w:firstLine="655"/>
        <w:spacing w:after="0" w:line="291" w:lineRule="auto"/>
        <w:tabs>
          <w:tab w:leader="none" w:pos="1524" w:val="left"/>
        </w:tabs>
        <w:numPr>
          <w:ilvl w:val="1"/>
          <w:numId w:val="531"/>
        </w:numPr>
        <w:rPr>
          <w:rFonts w:ascii="Arial" w:cs="Arial" w:eastAsia="Arial" w:hAnsi="Arial"/>
          <w:sz w:val="16"/>
          <w:szCs w:val="16"/>
          <w:color w:val="auto"/>
        </w:rPr>
      </w:pPr>
      <w:r>
        <w:rPr>
          <w:rFonts w:ascii="Arial" w:cs="Arial" w:eastAsia="Arial" w:hAnsi="Arial"/>
          <w:sz w:val="16"/>
          <w:szCs w:val="16"/>
          <w:u w:val="single" w:color="auto"/>
          <w:color w:val="auto"/>
        </w:rPr>
        <w:t>Joinder of New Borrower to the Fee Letter</w:t>
      </w:r>
      <w:r>
        <w:rPr>
          <w:rFonts w:ascii="Arial" w:cs="Arial" w:eastAsia="Arial" w:hAnsi="Arial"/>
          <w:sz w:val="16"/>
          <w:szCs w:val="16"/>
          <w:color w:val="auto"/>
        </w:rPr>
        <w:t>. By its execution of this Agreement, New Borrower hereby (a) agrees that from and after the date of this Agreement it shall be a "Borrower" party to the Fee Letter as if it were a signatory thereto and shall be bound by all of the provisions thereof, and</w:t>
      </w:r>
    </w:p>
    <w:p>
      <w:pPr>
        <w:ind w:left="260" w:hanging="252"/>
        <w:spacing w:after="0"/>
        <w:tabs>
          <w:tab w:leader="none" w:pos="2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agrees that it shall comply with and be subject to all of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1" w:lineRule="exact"/>
        <w:rPr>
          <w:sz w:val="20"/>
          <w:szCs w:val="20"/>
          <w:color w:val="auto"/>
        </w:rPr>
      </w:pPr>
    </w:p>
    <w:p>
      <w:pPr>
        <w:ind w:left="380" w:hanging="372"/>
        <w:spacing w:after="0"/>
        <w:tabs>
          <w:tab w:leader="none" w:pos="380" w:val="left"/>
        </w:tabs>
        <w:numPr>
          <w:ilvl w:val="0"/>
          <w:numId w:val="533"/>
        </w:numPr>
        <w:rPr>
          <w:rFonts w:ascii="Arial" w:cs="Arial" w:eastAsia="Arial" w:hAnsi="Arial"/>
          <w:sz w:val="30"/>
          <w:szCs w:val="30"/>
          <w:color w:val="auto"/>
          <w:vertAlign w:val="superscript"/>
        </w:rPr>
      </w:pPr>
      <w:r>
        <w:rPr>
          <w:rFonts w:ascii="Arial" w:cs="Arial" w:eastAsia="Arial" w:hAnsi="Arial"/>
          <w:sz w:val="18"/>
          <w:szCs w:val="18"/>
          <w:color w:val="auto"/>
        </w:rPr>
        <w:t>Include any additional Schedules to be updated as well.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2" w:name="page453"/>
    <w:bookmarkEnd w:id="452"/>
    <w:p>
      <w:pPr>
        <w:jc w:val="both"/>
        <w:spacing w:after="0" w:line="264" w:lineRule="auto"/>
        <w:rPr>
          <w:sz w:val="20"/>
          <w:szCs w:val="20"/>
          <w:color w:val="auto"/>
        </w:rPr>
      </w:pPr>
      <w:r>
        <w:rPr>
          <w:rFonts w:ascii="Arial" w:cs="Arial" w:eastAsia="Arial" w:hAnsi="Arial"/>
          <w:sz w:val="18"/>
          <w:szCs w:val="18"/>
          <w:color w:val="auto"/>
        </w:rPr>
        <w:t>conditions, covenants, agreements and obligations set forth in the Fee Letter applicable to Borrowers. New Borrower hereby agrees that each reference to "Borrower" or "Borrowers" in the Fee Letter shall include New Borrower. New Borrower acknowledges that it has received a copy of the Fee Letter and that it has read and understands the terms thereof.</w:t>
      </w:r>
    </w:p>
    <w:p>
      <w:pPr>
        <w:spacing w:after="0" w:line="181" w:lineRule="exact"/>
        <w:rPr>
          <w:sz w:val="20"/>
          <w:szCs w:val="20"/>
          <w:color w:val="auto"/>
        </w:rPr>
      </w:pPr>
    </w:p>
    <w:p>
      <w:pPr>
        <w:ind w:right="20" w:firstLine="655"/>
        <w:spacing w:after="0" w:line="277" w:lineRule="auto"/>
        <w:tabs>
          <w:tab w:leader="none" w:pos="1524"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New Borrower</w:t>
      </w:r>
      <w:r>
        <w:rPr>
          <w:rFonts w:ascii="Arial" w:cs="Arial" w:eastAsia="Arial" w:hAnsi="Arial"/>
          <w:sz w:val="18"/>
          <w:szCs w:val="18"/>
          <w:color w:val="auto"/>
        </w:rPr>
        <w:t>. New Borrower hereby represents and warrants to Agent for the benefit of the Lender Group and the Bank Product Providers as follows:</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5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It (i) is duly organized and existing and in good standing (to the extent the concept of good standing is applicable) under the laws of the jurisdiction of its organization,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this Agreement and the other Loan Documents to which it is made a party and to carry out the transactions contemplated hereby and thereby.</w:t>
      </w:r>
    </w:p>
    <w:p>
      <w:pPr>
        <w:spacing w:after="0" w:line="188" w:lineRule="exact"/>
        <w:rPr>
          <w:rFonts w:ascii="Arial" w:cs="Arial" w:eastAsia="Arial" w:hAnsi="Arial"/>
          <w:sz w:val="18"/>
          <w:szCs w:val="18"/>
          <w:color w:val="auto"/>
        </w:rPr>
      </w:pPr>
    </w:p>
    <w:p>
      <w:pPr>
        <w:jc w:val="both"/>
        <w:ind w:firstLine="1305"/>
        <w:spacing w:after="0" w:line="268" w:lineRule="auto"/>
        <w:tabs>
          <w:tab w:leader="none" w:pos="1983" w:val="left"/>
        </w:tabs>
        <w:numPr>
          <w:ilvl w:val="1"/>
          <w:numId w:val="534"/>
        </w:numPr>
        <w:rPr>
          <w:rFonts w:ascii="Arial" w:cs="Arial" w:eastAsia="Arial" w:hAnsi="Arial"/>
          <w:sz w:val="17"/>
          <w:szCs w:val="17"/>
          <w:color w:val="auto"/>
        </w:rPr>
      </w:pPr>
      <w:r>
        <w:rPr>
          <w:rFonts w:ascii="Arial" w:cs="Arial" w:eastAsia="Arial" w:hAnsi="Arial"/>
          <w:sz w:val="17"/>
          <w:szCs w:val="17"/>
          <w:color w:val="auto"/>
        </w:rPr>
        <w:t>The execution, delivery, and performance by it of this Agreement and any other Loan Document to which New Borrower is made a party (i) have been duly authorized by all necessary action on the part of New Borrower and (ii) do not and will not (A) violate any material provision of federal, state, or local law or regulation applicable to New Borrower or its Restricted Subsidiaries, the Governing Documents of New Borrower or its Restricted Subsidiaries, or any order, judgment, or decree of any court or other Governmental Authority binding on New Borrower or its Restricted Subsidiaries, (B) conflict with, result in a breach of, or constitute (with due notice or lapse of time or both) a default under any material agreement of New Borrower or its Restricted Subsidiaries where any such conflict, breach or default could individually or in the aggregate reasonably be expected to have a Material Adverse Effect, (C) result in or require the creation or imposition of any Lien of any nature whatsoever upon any assets of New Borrower, other than Permitted Liens, (D) require any approval of New Borrower's interestholders or any approval or consent of any Person under any material agreement of New Borrower,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 or (E)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w:t>
      </w:r>
    </w:p>
    <w:p>
      <w:pPr>
        <w:spacing w:after="0" w:line="187" w:lineRule="exact"/>
        <w:rPr>
          <w:rFonts w:ascii="Arial" w:cs="Arial" w:eastAsia="Arial" w:hAnsi="Arial"/>
          <w:sz w:val="17"/>
          <w:szCs w:val="17"/>
          <w:color w:val="auto"/>
        </w:rPr>
      </w:pPr>
    </w:p>
    <w:p>
      <w:pPr>
        <w:jc w:val="both"/>
        <w:ind w:firstLine="1305"/>
        <w:spacing w:after="0" w:line="264" w:lineRule="auto"/>
        <w:tabs>
          <w:tab w:leader="none" w:pos="2072"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This Agreement and each Loan Document to which New Borrower is a party is the legally valid and binding obligation of New Borrower, enforceable against New Borrower in accordance with its respective terms, except as enforcement may be limited by equitable principles or by bankruptcy, insolvency, reorganization, moratorium, or similar laws relating to or limiting creditors' rights generally.</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15" w:val="left"/>
        </w:tabs>
        <w:numPr>
          <w:ilvl w:val="1"/>
          <w:numId w:val="534"/>
        </w:numPr>
        <w:rPr>
          <w:rFonts w:ascii="Arial" w:cs="Arial" w:eastAsia="Arial" w:hAnsi="Arial"/>
          <w:sz w:val="18"/>
          <w:szCs w:val="18"/>
          <w:color w:val="auto"/>
        </w:rPr>
      </w:pPr>
      <w:r>
        <w:rPr>
          <w:rFonts w:ascii="Arial" w:cs="Arial" w:eastAsia="Arial" w:hAnsi="Arial"/>
          <w:sz w:val="18"/>
          <w:szCs w:val="18"/>
          <w:color w:val="auto"/>
        </w:rPr>
        <w:t>Each other representation and warranty applicable to New Borrower as a Borrower under the Loan Documents is true, correct and complete, in all material respects (except that such materiality qualifier shall not be applicable to any representations and warranties that already are qualified or modified by materiality in the text thereof) on and as of the date hereof, as though made on such date (except to the extent that such representations and warranties relate solely to an earlier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3" w:name="page454"/>
    <w:bookmarkEnd w:id="453"/>
    <w:p>
      <w:pPr>
        <w:ind w:firstLine="655"/>
        <w:spacing w:after="0" w:line="311" w:lineRule="auto"/>
        <w:tabs>
          <w:tab w:leader="none" w:pos="1736" w:val="left"/>
        </w:tabs>
        <w:numPr>
          <w:ilvl w:val="0"/>
          <w:numId w:val="535"/>
        </w:numPr>
        <w:rPr>
          <w:rFonts w:ascii="Arial" w:cs="Arial" w:eastAsia="Arial" w:hAnsi="Arial"/>
          <w:sz w:val="17"/>
          <w:szCs w:val="17"/>
          <w:b w:val="1"/>
          <w:bCs w:val="1"/>
          <w:color w:val="auto"/>
        </w:rPr>
      </w:pPr>
      <w:r>
        <w:rPr>
          <w:rFonts w:ascii="Arial" w:cs="Arial" w:eastAsia="Arial" w:hAnsi="Arial"/>
          <w:sz w:val="17"/>
          <w:szCs w:val="17"/>
          <w:u w:val="single" w:color="auto"/>
          <w:color w:val="auto"/>
        </w:rPr>
        <w:t>Additional Requirements</w:t>
      </w:r>
      <w:r>
        <w:rPr>
          <w:rFonts w:ascii="Arial" w:cs="Arial" w:eastAsia="Arial" w:hAnsi="Arial"/>
          <w:sz w:val="17"/>
          <w:szCs w:val="17"/>
          <w:color w:val="auto"/>
        </w:rPr>
        <w:t>. Concurrent with the execution and delivery of this Agreement, Agent shall have received [</w:t>
      </w:r>
      <w:r>
        <w:rPr>
          <w:rFonts w:ascii="Arial" w:cs="Arial" w:eastAsia="Arial" w:hAnsi="Arial"/>
          <w:sz w:val="17"/>
          <w:szCs w:val="17"/>
          <w:b w:val="1"/>
          <w:bCs w:val="1"/>
          <w:color w:val="auto"/>
        </w:rPr>
        <w:t>each of the</w:t>
      </w:r>
      <w:r>
        <w:rPr>
          <w:rFonts w:ascii="Arial" w:cs="Arial" w:eastAsia="Arial" w:hAnsi="Arial"/>
          <w:sz w:val="17"/>
          <w:szCs w:val="17"/>
          <w:color w:val="auto"/>
        </w:rPr>
        <w:t xml:space="preserve"> </w:t>
      </w:r>
      <w:r>
        <w:rPr>
          <w:rFonts w:ascii="Arial" w:cs="Arial" w:eastAsia="Arial" w:hAnsi="Arial"/>
          <w:sz w:val="17"/>
          <w:szCs w:val="17"/>
          <w:b w:val="1"/>
          <w:bCs w:val="1"/>
          <w:color w:val="auto"/>
        </w:rPr>
        <w:t>deliveries set forth on Schedule 3.1(a)/3.1(b) to the Credit Agreement] [the following, each in form and substance satisfactory to Agent:</w:t>
      </w:r>
      <w:r>
        <w:rPr>
          <w:rFonts w:ascii="Arial" w:cs="Arial" w:eastAsia="Arial" w:hAnsi="Arial"/>
          <w:sz w:val="28"/>
          <w:szCs w:val="28"/>
          <w:b w:val="1"/>
          <w:bCs w:val="1"/>
          <w:color w:val="auto"/>
          <w:vertAlign w:val="superscript"/>
        </w:rPr>
        <w:t>2</w:t>
      </w:r>
    </w:p>
    <w:p>
      <w:pPr>
        <w:spacing w:after="0" w:line="18" w:lineRule="exact"/>
        <w:rPr>
          <w:rFonts w:ascii="Arial" w:cs="Arial" w:eastAsia="Arial" w:hAnsi="Arial"/>
          <w:sz w:val="17"/>
          <w:szCs w:val="17"/>
          <w:b w:val="1"/>
          <w:bCs w:val="1"/>
          <w:color w:val="auto"/>
        </w:rPr>
      </w:pPr>
    </w:p>
    <w:p>
      <w:pPr>
        <w:jc w:val="both"/>
        <w:ind w:firstLine="1305"/>
        <w:spacing w:after="0" w:line="258" w:lineRule="auto"/>
        <w:tabs>
          <w:tab w:leader="none" w:pos="2114" w:val="left"/>
        </w:tabs>
        <w:numPr>
          <w:ilvl w:val="1"/>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a Joinder No. to the Domestic Security Agreement, dated as of the date hereof, by and among New Borrower and Agent ("</w:t>
      </w:r>
      <w:r>
        <w:rPr>
          <w:rFonts w:ascii="Arial" w:cs="Arial" w:eastAsia="Arial" w:hAnsi="Arial"/>
          <w:sz w:val="18"/>
          <w:szCs w:val="18"/>
          <w:b w:val="1"/>
          <w:bCs w:val="1"/>
          <w:u w:val="single" w:color="auto"/>
          <w:color w:val="auto"/>
        </w:rPr>
        <w:t>Joinder No. __</w:t>
      </w:r>
      <w:r>
        <w:rPr>
          <w:rFonts w:ascii="Arial" w:cs="Arial" w:eastAsia="Arial" w:hAnsi="Arial"/>
          <w:sz w:val="18"/>
          <w:szCs w:val="18"/>
          <w:b w:val="1"/>
          <w:bCs w:val="1"/>
          <w:color w:val="auto"/>
        </w:rPr>
        <w:t>"), together with [a copy of] the original Equity Interest certificates, if any, representing all of the Equity Interests of the Subsidiaries of New Borrower required to be pledged under the Domestic Security Agreement and any original promissory notes of New Borrower, if any, required to be pledged under the Domestic Security Agreement, accompanied by undated Equity Interest powers/transfer forms executed in blank, and the same shall be in full force and effect;</w:t>
      </w:r>
    </w:p>
    <w:p>
      <w:pPr>
        <w:spacing w:after="0" w:line="183" w:lineRule="exact"/>
        <w:rPr>
          <w:rFonts w:ascii="Arial" w:cs="Arial" w:eastAsia="Arial" w:hAnsi="Arial"/>
          <w:sz w:val="18"/>
          <w:szCs w:val="18"/>
          <w:b w:val="1"/>
          <w:bCs w:val="1"/>
          <w:color w:val="auto"/>
        </w:rPr>
      </w:pPr>
    </w:p>
    <w:p>
      <w:pPr>
        <w:ind w:left="2060" w:hanging="755"/>
        <w:spacing w:after="0"/>
        <w:tabs>
          <w:tab w:leader="none" w:pos="2060" w:val="left"/>
        </w:tabs>
        <w:numPr>
          <w:ilvl w:val="1"/>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[list other applicable joinder or security documentation];</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(c) appropriate financing statement to be filed in the office of the [ ] Secretary of State against New Borrower to perfect the Agent's Liens in and to the Collateral of New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-185420</wp:posOffset>
            </wp:positionV>
            <wp:extent cx="52260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42" w:lineRule="exact"/>
        <w:rPr>
          <w:sz w:val="20"/>
          <w:szCs w:val="20"/>
          <w:color w:val="auto"/>
        </w:rPr>
      </w:pPr>
    </w:p>
    <w:p>
      <w:pPr>
        <w:jc w:val="both"/>
        <w:ind w:firstLine="1305"/>
        <w:spacing w:after="0" w:line="261" w:lineRule="auto"/>
        <w:tabs>
          <w:tab w:leader="none" w:pos="2273"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a certificate from the Secretary of New Borrower, dated as of the date hereof, (i) attesting to the resolutions of New Borrower's [Board of Directors][Managers] authorizing its execution, delivery, and performance of this Agreement and the other Loan Documents to which New Borrower is or will become a party, (ii) authorizing officers of New Borrower to execute the same, and (iii) attesting to the incumbency and signatures of such specific officers of New Borrower;</w:t>
      </w:r>
    </w:p>
    <w:p>
      <w:pPr>
        <w:spacing w:after="0" w:line="180" w:lineRule="exact"/>
        <w:rPr>
          <w:rFonts w:ascii="Arial" w:cs="Arial" w:eastAsia="Arial" w:hAnsi="Arial"/>
          <w:sz w:val="18"/>
          <w:szCs w:val="18"/>
          <w:b w:val="1"/>
          <w:bCs w:val="1"/>
          <w:color w:val="auto"/>
        </w:rPr>
      </w:pPr>
    </w:p>
    <w:p>
      <w:pPr>
        <w:jc w:val="both"/>
        <w:ind w:firstLine="1305"/>
        <w:spacing w:after="0" w:line="266" w:lineRule="auto"/>
        <w:tabs>
          <w:tab w:leader="none" w:pos="2275"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a certificate of status with respect to New Borrower, dated as of a recent date, such certificate to be issued by the appropriate officer of the jurisdiction of organization of New Borrower, which certificate shall indicate that New Borrower is in good standing in such jurisdiction;</w:t>
      </w:r>
    </w:p>
    <w:p>
      <w:pPr>
        <w:spacing w:after="0" w:line="176" w:lineRule="exact"/>
        <w:rPr>
          <w:rFonts w:ascii="Arial" w:cs="Arial" w:eastAsia="Arial" w:hAnsi="Arial"/>
          <w:sz w:val="18"/>
          <w:szCs w:val="18"/>
          <w:b w:val="1"/>
          <w:bCs w:val="1"/>
          <w:color w:val="auto"/>
        </w:rPr>
      </w:pPr>
    </w:p>
    <w:p>
      <w:pPr>
        <w:jc w:val="both"/>
        <w:ind w:firstLine="1305"/>
        <w:spacing w:after="0" w:line="314" w:lineRule="auto"/>
        <w:tabs>
          <w:tab w:leader="none" w:pos="2313" w:val="left"/>
        </w:tabs>
        <w:numPr>
          <w:ilvl w:val="0"/>
          <w:numId w:val="536"/>
        </w:numPr>
        <w:rPr>
          <w:rFonts w:ascii="Arial" w:cs="Arial" w:eastAsia="Arial" w:hAnsi="Arial"/>
          <w:sz w:val="16"/>
          <w:szCs w:val="16"/>
          <w:b w:val="1"/>
          <w:bCs w:val="1"/>
          <w:color w:val="auto"/>
        </w:rPr>
      </w:pPr>
      <w:r>
        <w:rPr>
          <w:rFonts w:ascii="Arial" w:cs="Arial" w:eastAsia="Arial" w:hAnsi="Arial"/>
          <w:sz w:val="16"/>
          <w:szCs w:val="16"/>
          <w:b w:val="1"/>
          <w:bCs w:val="1"/>
          <w:color w:val="auto"/>
        </w:rPr>
        <w:t>certificates of status with respect to New Borrower, dated as of a recent date, such certificates to be issued by the appropriate officer of the jurisdictions (other than the jurisdiction of organization of New Borrower) in which the failure to be duly qualified or licensed would constitute a Material Adverse Effect, which certificates shall indicate that New Borrower is in good standing in such jurisdictions;</w:t>
      </w:r>
    </w:p>
    <w:p>
      <w:pPr>
        <w:spacing w:after="0" w:line="142" w:lineRule="exact"/>
        <w:rPr>
          <w:rFonts w:ascii="Arial" w:cs="Arial" w:eastAsia="Arial" w:hAnsi="Arial"/>
          <w:sz w:val="16"/>
          <w:szCs w:val="16"/>
          <w:b w:val="1"/>
          <w:bCs w:val="1"/>
          <w:color w:val="auto"/>
        </w:rPr>
      </w:pPr>
    </w:p>
    <w:p>
      <w:pPr>
        <w:ind w:firstLine="1305"/>
        <w:spacing w:after="0" w:line="282" w:lineRule="auto"/>
        <w:tabs>
          <w:tab w:leader="none" w:pos="2096"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copies of New Borrower's Governing Documents, as amended, modified or supplemented to the date hereof, certified by the secretary or other similar responsible officer of New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80975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600" w:right="3840" w:hanging="5592"/>
        <w:spacing w:after="0" w:line="632" w:lineRule="auto"/>
        <w:tabs>
          <w:tab w:leader="none" w:pos="119" w:val="left"/>
        </w:tabs>
        <w:numPr>
          <w:ilvl w:val="0"/>
          <w:numId w:val="537"/>
        </w:numPr>
        <w:rPr>
          <w:rFonts w:ascii="Arial" w:cs="Arial" w:eastAsia="Arial" w:hAnsi="Arial"/>
          <w:sz w:val="29"/>
          <w:szCs w:val="29"/>
          <w:color w:val="auto"/>
          <w:vertAlign w:val="superscript"/>
        </w:rPr>
      </w:pPr>
      <w:r>
        <w:rPr>
          <w:rFonts w:ascii="Arial" w:cs="Arial" w:eastAsia="Arial" w:hAnsi="Arial"/>
          <w:sz w:val="18"/>
          <w:szCs w:val="18"/>
          <w:color w:val="auto"/>
        </w:rPr>
        <w:t>Delivery requirements to be revised in the case of a New Borrower formed under a foreign jurisdiction.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4" w:name="page455"/>
    <w:bookmarkEnd w:id="454"/>
    <w:p>
      <w:pPr>
        <w:ind w:left="2080" w:hanging="775"/>
        <w:spacing w:after="0"/>
        <w:tabs>
          <w:tab w:leader="none" w:pos="2080"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evidence that New Borrower has been added to the Loan Parties' existing insurance policies required by </w:t>
      </w:r>
      <w:r>
        <w:rPr>
          <w:rFonts w:ascii="Arial" w:cs="Arial" w:eastAsia="Arial" w:hAnsi="Arial"/>
          <w:sz w:val="16"/>
          <w:szCs w:val="16"/>
          <w:b w:val="1"/>
          <w:bCs w:val="1"/>
          <w:u w:val="single" w:color="auto"/>
          <w:color w:val="auto"/>
        </w:rPr>
        <w:t>Section 5.6</w:t>
      </w:r>
      <w:r>
        <w:rPr>
          <w:rFonts w:ascii="Arial" w:cs="Arial" w:eastAsia="Arial" w:hAnsi="Arial"/>
          <w:sz w:val="16"/>
          <w:szCs w:val="16"/>
          <w:b w:val="1"/>
          <w:bCs w:val="1"/>
          <w:color w:val="auto"/>
        </w:rPr>
        <w:t xml:space="preserve"> of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Credit Agreement;</w:t>
      </w:r>
    </w:p>
    <w:p>
      <w:pPr>
        <w:spacing w:after="0" w:line="206" w:lineRule="exact"/>
        <w:rPr>
          <w:rFonts w:ascii="Arial" w:cs="Arial" w:eastAsia="Arial" w:hAnsi="Arial"/>
          <w:sz w:val="16"/>
          <w:szCs w:val="16"/>
          <w:b w:val="1"/>
          <w:bCs w:val="1"/>
          <w:color w:val="auto"/>
        </w:rPr>
      </w:pPr>
    </w:p>
    <w:p>
      <w:pPr>
        <w:jc w:val="both"/>
        <w:ind w:right="20" w:firstLine="1305"/>
        <w:spacing w:after="0" w:line="314" w:lineRule="auto"/>
        <w:tabs>
          <w:tab w:leader="none" w:pos="2281" w:val="left"/>
        </w:tabs>
        <w:numPr>
          <w:ilvl w:val="1"/>
          <w:numId w:val="538"/>
        </w:numPr>
        <w:rPr>
          <w:rFonts w:ascii="Arial" w:cs="Arial" w:eastAsia="Arial" w:hAnsi="Arial"/>
          <w:sz w:val="16"/>
          <w:szCs w:val="16"/>
          <w:b w:val="1"/>
          <w:bCs w:val="1"/>
          <w:color w:val="auto"/>
        </w:rPr>
      </w:pPr>
      <w:r>
        <w:rPr>
          <w:rFonts w:ascii="Arial" w:cs="Arial" w:eastAsia="Arial" w:hAnsi="Arial"/>
          <w:sz w:val="16"/>
          <w:szCs w:val="16"/>
          <w:b w:val="1"/>
          <w:bCs w:val="1"/>
          <w:color w:val="auto"/>
        </w:rPr>
        <w:t>a customary opinion of counsel regarding such matters as to New Borrower as Agent or its counsel may reasonably request, and which is otherwise in form and substance reasonably satisfactory to Agent (it being understood that such opinion shall be limited to this Agreement, and the documents executed or delivered in connection herewith (including the financing statement filed against New Borrower); and</w:t>
      </w:r>
    </w:p>
    <w:p>
      <w:pPr>
        <w:spacing w:after="0" w:line="142" w:lineRule="exact"/>
        <w:rPr>
          <w:rFonts w:ascii="Arial" w:cs="Arial" w:eastAsia="Arial" w:hAnsi="Arial"/>
          <w:sz w:val="16"/>
          <w:szCs w:val="16"/>
          <w:b w:val="1"/>
          <w:bCs w:val="1"/>
          <w:color w:val="auto"/>
        </w:rPr>
      </w:pPr>
    </w:p>
    <w:p>
      <w:pPr>
        <w:jc w:val="both"/>
        <w:ind w:firstLine="1305"/>
        <w:spacing w:after="0" w:line="266" w:lineRule="auto"/>
        <w:tabs>
          <w:tab w:leader="none" w:pos="2016" w:val="left"/>
        </w:tabs>
        <w:numPr>
          <w:ilvl w:val="1"/>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such other agreements, instruments, approvals or other documents reasonably requested by Agent prior to the date hereof in order to create, perfect and establish, or otherwise protect, any Lien purported to be covered by any Loan Document to which New Borrower is a party and to otherwise effect the purposes of this Joinder Agreement.]</w:t>
      </w:r>
    </w:p>
    <w:p>
      <w:pPr>
        <w:spacing w:after="0" w:line="180" w:lineRule="exact"/>
        <w:rPr>
          <w:rFonts w:ascii="Arial" w:cs="Arial" w:eastAsia="Arial" w:hAnsi="Arial"/>
          <w:sz w:val="18"/>
          <w:szCs w:val="18"/>
          <w:b w:val="1"/>
          <w:bCs w:val="1"/>
          <w:color w:val="auto"/>
        </w:rPr>
      </w:pPr>
    </w:p>
    <w:p>
      <w:pPr>
        <w:jc w:val="both"/>
        <w:ind w:firstLine="655"/>
        <w:spacing w:after="0" w:line="264" w:lineRule="auto"/>
        <w:tabs>
          <w:tab w:leader="none" w:pos="1479"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upon the reasonable request of Agent, New Borrower shall promptly execute and deliver to Agent such Additional Documents as Agent shall reasonably request pursuant to the Credit Agreement and the other Loan Documents, in each case in form and substance reasonably satisfactory to Agent.</w:t>
      </w:r>
    </w:p>
    <w:p>
      <w:pPr>
        <w:spacing w:after="0" w:line="181" w:lineRule="exact"/>
        <w:rPr>
          <w:rFonts w:ascii="Arial" w:cs="Arial" w:eastAsia="Arial" w:hAnsi="Arial"/>
          <w:sz w:val="18"/>
          <w:szCs w:val="18"/>
          <w:color w:val="auto"/>
        </w:rPr>
      </w:pPr>
    </w:p>
    <w:p>
      <w:pPr>
        <w:ind w:left="1420" w:hanging="765"/>
        <w:spacing w:after="0"/>
        <w:tabs>
          <w:tab w:leader="none" w:pos="1420"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to New Borrower shall be given in the manner set forth for Borrowers in Section 11 of the Credit Agreement.</w:t>
      </w:r>
    </w:p>
    <w:p>
      <w:pPr>
        <w:spacing w:after="0" w:line="225" w:lineRule="exact"/>
        <w:rPr>
          <w:rFonts w:ascii="Arial" w:cs="Arial" w:eastAsia="Arial" w:hAnsi="Arial"/>
          <w:sz w:val="18"/>
          <w:szCs w:val="18"/>
          <w:color w:val="auto"/>
        </w:rPr>
      </w:pPr>
    </w:p>
    <w:p>
      <w:pPr>
        <w:jc w:val="both"/>
        <w:ind w:firstLine="655"/>
        <w:spacing w:after="0" w:line="286" w:lineRule="auto"/>
        <w:tabs>
          <w:tab w:leader="none" w:pos="1475"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Choice of Law and Venue; Jury Trial Waiver; Judicial Reference</w:t>
      </w:r>
      <w:r>
        <w:rPr>
          <w:rFonts w:ascii="Arial" w:cs="Arial" w:eastAsia="Arial" w:hAnsi="Arial"/>
          <w:sz w:val="17"/>
          <w:szCs w:val="17"/>
          <w:color w:val="auto"/>
        </w:rPr>
        <w:t>. THIS AGREEMENT SHALL BE SUBJECT TO THE PROVISIONS REGARDING CHOICE OF LAW AND VENUE, JURY TRIAL WAIVER, AND JUDICIAL REFERENCE SET FORTH IN SECTION 12 OF THE CREDIT AGREEMENT, AND SUCH PROVISIONS ARE INCORPORATED HEREIN BY THIS REFERENCE, MUTATIS MUTANDIS.</w:t>
      </w:r>
    </w:p>
    <w:p>
      <w:pPr>
        <w:spacing w:after="0" w:line="165" w:lineRule="exact"/>
        <w:rPr>
          <w:rFonts w:ascii="Arial" w:cs="Arial" w:eastAsia="Arial" w:hAnsi="Arial"/>
          <w:sz w:val="17"/>
          <w:szCs w:val="17"/>
          <w:color w:val="auto"/>
        </w:rPr>
      </w:pPr>
    </w:p>
    <w:p>
      <w:pPr>
        <w:ind w:firstLine="655"/>
        <w:spacing w:after="0" w:line="277" w:lineRule="auto"/>
        <w:tabs>
          <w:tab w:leader="none" w:pos="1426"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New Borrower and shall inure to the benefit of the Agent and the Lenders, together with their respective successors and permitted assigns.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Effect on Loan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2279" w:val="left"/>
        </w:tabs>
        <w:numPr>
          <w:ilvl w:val="1"/>
          <w:numId w:val="539"/>
        </w:numPr>
        <w:rPr>
          <w:rFonts w:ascii="Arial" w:cs="Arial" w:eastAsia="Arial" w:hAnsi="Arial"/>
          <w:sz w:val="18"/>
          <w:szCs w:val="18"/>
          <w:color w:val="auto"/>
        </w:rPr>
      </w:pPr>
      <w:r>
        <w:rPr>
          <w:rFonts w:ascii="Arial" w:cs="Arial" w:eastAsia="Arial" w:hAnsi="Arial"/>
          <w:sz w:val="18"/>
          <w:szCs w:val="18"/>
          <w:color w:val="auto"/>
        </w:rPr>
        <w:t>Except as contemplated to be supplemented hereby, the Credit Agreement, the Fee Letter, the Intercompany Subordination Agreement and each other Loan Document shall continue to be, and shall remain, in full force and effect. Except as expressly contemplated hereby, this Agreement shall not be deemed to be a waiver of, or consent to, or a modification or amendment of any other term or condition of the Credit Agreement, the Fee Letter, the Intercompany Subordination Agreement or any of the instruments or agreements referred to therein, as the same may be amended or modified from time to time.</w:t>
      </w:r>
    </w:p>
    <w:p>
      <w:pPr>
        <w:spacing w:after="0" w:line="188" w:lineRule="exact"/>
        <w:rPr>
          <w:rFonts w:ascii="Arial" w:cs="Arial" w:eastAsia="Arial" w:hAnsi="Arial"/>
          <w:sz w:val="18"/>
          <w:szCs w:val="18"/>
          <w:color w:val="auto"/>
        </w:rPr>
      </w:pPr>
    </w:p>
    <w:p>
      <w:pPr>
        <w:jc w:val="both"/>
        <w:ind w:firstLine="1305"/>
        <w:spacing w:after="0" w:line="257" w:lineRule="auto"/>
        <w:tabs>
          <w:tab w:leader="none" w:pos="2199" w:val="left"/>
        </w:tabs>
        <w:numPr>
          <w:ilvl w:val="1"/>
          <w:numId w:val="539"/>
        </w:numPr>
        <w:rPr>
          <w:rFonts w:ascii="Arial" w:cs="Arial" w:eastAsia="Arial" w:hAnsi="Arial"/>
          <w:sz w:val="18"/>
          <w:szCs w:val="18"/>
          <w:color w:val="auto"/>
        </w:rPr>
      </w:pPr>
      <w:r>
        <w:rPr>
          <w:rFonts w:ascii="Arial" w:cs="Arial" w:eastAsia="Arial" w:hAnsi="Arial"/>
          <w:sz w:val="18"/>
          <w:szCs w:val="18"/>
          <w:color w:val="auto"/>
        </w:rPr>
        <w:t>Each reference in the Credit Agreement and the other Loan Documents to "Borrower", "Company", "Loan Party" or words of like import referring to a Borrower, a Company or a Loan Party shall include and refer to New Borrower and each reference in the Credit Agreement, the Fee Letter, Intercompany Subordination Agreement or any other Loan Document to this "Agreement", "hereunder", "herein", "hereof", "thereunder", "therein", "thereof", or words of like import referring to the Credit Agreement, the Fee Letter, Intercompany Subordination Agreement or any other Loan Document shall mean and refer to such agreement as supplemented by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5" w:name="page456"/>
    <w:bookmarkEnd w:id="455"/>
    <w:p>
      <w:pPr>
        <w:ind w:left="1300" w:hanging="644"/>
        <w:spacing w:after="0"/>
        <w:tabs>
          <w:tab w:leader="none" w:pos="1300"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2081" w:val="left"/>
        </w:tabs>
        <w:numPr>
          <w:ilvl w:val="1"/>
          <w:numId w:val="540"/>
        </w:numPr>
        <w:rPr>
          <w:rFonts w:ascii="Arial" w:cs="Arial" w:eastAsia="Arial" w:hAnsi="Arial"/>
          <w:sz w:val="16"/>
          <w:szCs w:val="16"/>
          <w:color w:val="auto"/>
        </w:rPr>
      </w:pPr>
      <w:r>
        <w:rPr>
          <w:rFonts w:ascii="Arial" w:cs="Arial" w:eastAsia="Arial" w:hAnsi="Arial"/>
          <w:sz w:val="16"/>
          <w:szCs w:val="16"/>
          <w:color w:val="auto"/>
        </w:rPr>
        <w:t>This Agreement is a Loan Document. This Agreement may be executed in any number of counterparts and by different parties on separate counterparts, each of which, when executed and delivered, shall be deemed to be an original, and all of which, taken together, shall constitute but one and the same Agreement. Delivery of an executed counterpart of this Agreement by telefacsimile or other electronic image scan transmission (e.g., "PDF" or "tif" via email) shall be equally effective as delivery of an original executed counterpart of this Agreement. Any party delivering an executed counterpart of this Agreement by telefacsimile or other electronic image scan transmission also shall deliver an original executed counterpart of this Agreement but the failure to deliver an original executed counterpart shall not affect the validity, enforceability, and binding effect of this Agreement.</w:t>
      </w:r>
    </w:p>
    <w:p>
      <w:pPr>
        <w:spacing w:after="0" w:line="164" w:lineRule="exact"/>
        <w:rPr>
          <w:rFonts w:ascii="Arial" w:cs="Arial" w:eastAsia="Arial" w:hAnsi="Arial"/>
          <w:sz w:val="16"/>
          <w:szCs w:val="16"/>
          <w:color w:val="auto"/>
        </w:rPr>
      </w:pPr>
    </w:p>
    <w:p>
      <w:pPr>
        <w:jc w:val="both"/>
        <w:ind w:right="20" w:firstLine="1305"/>
        <w:spacing w:after="0" w:line="259" w:lineRule="auto"/>
        <w:tabs>
          <w:tab w:leader="none" w:pos="2168"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 Each provision of this Agreement shall be severable from every other provision of this Agreement for the purpose of determining the legal enforceability of any specific provision.</w:t>
      </w:r>
    </w:p>
    <w:p>
      <w:pPr>
        <w:spacing w:after="0" w:line="186" w:lineRule="exact"/>
        <w:rPr>
          <w:rFonts w:ascii="Arial" w:cs="Arial" w:eastAsia="Arial" w:hAnsi="Arial"/>
          <w:sz w:val="18"/>
          <w:szCs w:val="18"/>
          <w:color w:val="auto"/>
        </w:rPr>
      </w:pPr>
    </w:p>
    <w:p>
      <w:pPr>
        <w:ind w:firstLine="1305"/>
        <w:spacing w:after="0" w:line="277" w:lineRule="auto"/>
        <w:tabs>
          <w:tab w:leader="none" w:pos="2351" w:val="left"/>
        </w:tabs>
        <w:numPr>
          <w:ilvl w:val="1"/>
          <w:numId w:val="540"/>
        </w:numPr>
        <w:rPr>
          <w:rFonts w:ascii="Arial" w:cs="Arial" w:eastAsia="Arial" w:hAnsi="Arial"/>
          <w:sz w:val="18"/>
          <w:szCs w:val="18"/>
          <w:color w:val="auto"/>
        </w:rPr>
      </w:pPr>
      <w:r>
        <w:rPr>
          <w:rFonts w:ascii="Arial" w:cs="Arial" w:eastAsia="Arial" w:hAnsi="Arial"/>
          <w:sz w:val="18"/>
          <w:szCs w:val="18"/>
          <w:color w:val="auto"/>
        </w:rPr>
        <w:t>Headings and numbers have been set forth herein for convenience only. Unless the contrary is compelled by the context, everything contained in each Section applies equally to this entire Agreement.</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177" w:val="left"/>
        </w:tabs>
        <w:numPr>
          <w:ilvl w:val="1"/>
          <w:numId w:val="540"/>
        </w:numPr>
        <w:rPr>
          <w:rFonts w:ascii="Arial" w:cs="Arial" w:eastAsia="Arial" w:hAnsi="Arial"/>
          <w:sz w:val="17"/>
          <w:szCs w:val="17"/>
          <w:color w:val="auto"/>
        </w:rPr>
      </w:pPr>
      <w:r>
        <w:rPr>
          <w:rFonts w:ascii="Arial" w:cs="Arial" w:eastAsia="Arial" w:hAnsi="Arial"/>
          <w:sz w:val="17"/>
          <w:szCs w:val="17"/>
          <w:color w:val="auto"/>
        </w:rPr>
        <w:t>Neither this Agreement nor any uncertainty or ambiguity herein shall be construed against any member of the Lender Group or New Borrower, whether under any rule of construction or otherwise. This Agreement has been reviewed by all parties and shall be construed and interpreted according to the ordinary meaning of the words used so as to accomplish fairly the purposes and intentions of all parties hereto.</w:t>
      </w:r>
    </w:p>
    <w:p>
      <w:pPr>
        <w:spacing w:after="0" w:line="165" w:lineRule="exact"/>
        <w:rPr>
          <w:rFonts w:ascii="Arial" w:cs="Arial" w:eastAsia="Arial" w:hAnsi="Arial"/>
          <w:sz w:val="17"/>
          <w:szCs w:val="17"/>
          <w:color w:val="auto"/>
        </w:rPr>
      </w:pPr>
    </w:p>
    <w:p>
      <w:pPr>
        <w:ind w:firstLine="1305"/>
        <w:spacing w:after="0" w:line="277" w:lineRule="auto"/>
        <w:tabs>
          <w:tab w:leader="none" w:pos="225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The pronouns used herein shall include, when appropriate, either gender and both singular and plural, and the grammatical construction of sentences shall conform thereto.</w:t>
      </w:r>
    </w:p>
    <w:p>
      <w:pPr>
        <w:spacing w:after="0" w:line="170" w:lineRule="exact"/>
        <w:rPr>
          <w:rFonts w:ascii="Arial" w:cs="Arial" w:eastAsia="Arial" w:hAnsi="Arial"/>
          <w:sz w:val="18"/>
          <w:szCs w:val="18"/>
          <w:color w:val="auto"/>
        </w:rPr>
      </w:pPr>
    </w:p>
    <w:p>
      <w:pPr>
        <w:ind w:firstLine="1305"/>
        <w:spacing w:after="0" w:line="277" w:lineRule="auto"/>
        <w:tabs>
          <w:tab w:leader="none" w:pos="2156" w:val="left"/>
        </w:tabs>
        <w:numPr>
          <w:ilvl w:val="1"/>
          <w:numId w:val="540"/>
        </w:numPr>
        <w:rPr>
          <w:rFonts w:ascii="Arial" w:cs="Arial" w:eastAsia="Arial" w:hAnsi="Arial"/>
          <w:sz w:val="18"/>
          <w:szCs w:val="18"/>
          <w:color w:val="auto"/>
        </w:rPr>
      </w:pPr>
      <w:r>
        <w:rPr>
          <w:rFonts w:ascii="Arial" w:cs="Arial" w:eastAsia="Arial" w:hAnsi="Arial"/>
          <w:sz w:val="18"/>
          <w:szCs w:val="18"/>
          <w:color w:val="auto"/>
        </w:rPr>
        <w:t xml:space="preserve">This Agreement shall be subject to the rules of construction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the Credit Agreement, and such rules of construction are incorporated herein by this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6" w:name="page457"/>
    <w:bookmarkEnd w:id="456"/>
    <w:p>
      <w:pPr>
        <w:ind w:firstLine="647"/>
        <w:spacing w:after="0" w:line="277" w:lineRule="auto"/>
        <w:rPr>
          <w:sz w:val="20"/>
          <w:szCs w:val="20"/>
          <w:color w:val="auto"/>
        </w:rPr>
      </w:pPr>
      <w:r>
        <w:rPr>
          <w:rFonts w:ascii="Arial" w:cs="Arial" w:eastAsia="Arial" w:hAnsi="Arial"/>
          <w:sz w:val="18"/>
          <w:szCs w:val="18"/>
          <w:color w:val="auto"/>
        </w:rPr>
        <w:t>IN WITNESS WHEREOF, New Borrower and Agent have caused this Agreement to be duly executed by its authorized officer as of the day and year first above written.</w:t>
      </w:r>
    </w:p>
    <w:p>
      <w:pPr>
        <w:spacing w:after="0" w:line="166" w:lineRule="exact"/>
        <w:rPr>
          <w:sz w:val="20"/>
          <w:szCs w:val="20"/>
          <w:color w:val="auto"/>
        </w:rPr>
      </w:pPr>
    </w:p>
    <w:p>
      <w:pPr>
        <w:spacing w:after="0"/>
        <w:tabs>
          <w:tab w:leader="none" w:pos="8560" w:val="left"/>
        </w:tabs>
        <w:rPr>
          <w:sz w:val="20"/>
          <w:szCs w:val="20"/>
          <w:color w:val="auto"/>
        </w:rPr>
      </w:pPr>
      <w:r>
        <w:rPr>
          <w:rFonts w:ascii="Arial" w:cs="Arial" w:eastAsia="Arial" w:hAnsi="Arial"/>
          <w:sz w:val="18"/>
          <w:szCs w:val="18"/>
          <w:b w:val="1"/>
          <w:bCs w:val="1"/>
          <w:color w:val="auto"/>
        </w:rPr>
        <w:t>NEW BORROWER: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8890</wp:posOffset>
            </wp:positionV>
            <wp:extent cx="180975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-19050</wp:posOffset>
            </wp:positionV>
            <wp:extent cx="154305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9" w:right="57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AGENT:</w:t>
            </w:r>
          </w:p>
        </w:tc>
        <w:tc>
          <w:tcPr>
            <w:tcW w:w="8260" w:type="dxa"/>
            <w:vAlign w:val="bottom"/>
            <w:gridSpan w:val="2"/>
          </w:tcPr>
          <w:p>
            <w:pPr>
              <w:ind w:left="2480"/>
              <w:spacing w:after="0"/>
              <w:rPr>
                <w:sz w:val="20"/>
                <w:szCs w:val="20"/>
                <w:color w:val="auto"/>
              </w:rPr>
            </w:pPr>
            <w:r>
              <w:rPr>
                <w:rFonts w:ascii="Arial" w:cs="Arial" w:eastAsia="Arial" w:hAnsi="Arial"/>
                <w:sz w:val="18"/>
                <w:szCs w:val="18"/>
                <w:b w:val="1"/>
                <w:bCs w:val="1"/>
                <w:color w:val="auto"/>
              </w:rPr>
              <w:t>WELLS FARGO BANK, NATIONAL</w:t>
            </w:r>
          </w:p>
        </w:tc>
      </w:tr>
      <w:tr>
        <w:trPr>
          <w:trHeight w:val="234"/>
        </w:trPr>
        <w:tc>
          <w:tcPr>
            <w:tcW w:w="3160" w:type="dxa"/>
            <w:vAlign w:val="bottom"/>
          </w:tcPr>
          <w:p>
            <w:pPr>
              <w:spacing w:after="0"/>
              <w:rPr>
                <w:sz w:val="20"/>
                <w:szCs w:val="20"/>
                <w:color w:val="auto"/>
              </w:rPr>
            </w:pPr>
          </w:p>
        </w:tc>
        <w:tc>
          <w:tcPr>
            <w:tcW w:w="8260" w:type="dxa"/>
            <w:vAlign w:val="bottom"/>
            <w:gridSpan w:val="2"/>
          </w:tcPr>
          <w:p>
            <w:pPr>
              <w:ind w:left="248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 national banking association</w:t>
            </w:r>
          </w:p>
        </w:tc>
      </w:tr>
      <w:tr>
        <w:trPr>
          <w:trHeight w:val="432"/>
        </w:trPr>
        <w:tc>
          <w:tcPr>
            <w:tcW w:w="3160" w:type="dxa"/>
            <w:vAlign w:val="bottom"/>
          </w:tcPr>
          <w:p>
            <w:pPr>
              <w:spacing w:after="0"/>
              <w:rPr>
                <w:sz w:val="24"/>
                <w:szCs w:val="24"/>
                <w:color w:val="auto"/>
              </w:rPr>
            </w:pPr>
          </w:p>
        </w:tc>
        <w:tc>
          <w:tcPr>
            <w:tcW w:w="8260" w:type="dxa"/>
            <w:vAlign w:val="bottom"/>
            <w:gridSpan w:val="2"/>
          </w:tcPr>
          <w:p>
            <w:pPr>
              <w:ind w:left="2480"/>
              <w:spacing w:after="0"/>
              <w:rPr>
                <w:sz w:val="20"/>
                <w:szCs w:val="20"/>
                <w:color w:val="auto"/>
              </w:rPr>
            </w:pPr>
            <w:r>
              <w:rPr>
                <w:rFonts w:ascii="Arial" w:cs="Arial" w:eastAsia="Arial" w:hAnsi="Arial"/>
                <w:sz w:val="18"/>
                <w:szCs w:val="18"/>
                <w:color w:val="auto"/>
              </w:rPr>
              <w:t>By:</w:t>
            </w:r>
          </w:p>
        </w:tc>
      </w:tr>
      <w:tr>
        <w:trPr>
          <w:trHeight w:val="210"/>
        </w:trPr>
        <w:tc>
          <w:tcPr>
            <w:tcW w:w="3160" w:type="dxa"/>
            <w:vAlign w:val="bottom"/>
          </w:tcPr>
          <w:p>
            <w:pPr>
              <w:spacing w:after="0"/>
              <w:rPr>
                <w:sz w:val="18"/>
                <w:szCs w:val="18"/>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Name:</w:t>
            </w:r>
          </w:p>
        </w:tc>
        <w:tc>
          <w:tcPr>
            <w:tcW w:w="5200" w:type="dxa"/>
            <w:vAlign w:val="bottom"/>
            <w:tcBorders>
              <w:top w:val="single" w:sz="8" w:color="auto"/>
              <w:bottom w:val="single" w:sz="8" w:color="auto"/>
            </w:tcBorders>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Title:</w:t>
            </w:r>
          </w:p>
        </w:tc>
        <w:tc>
          <w:tcPr>
            <w:tcW w:w="5200" w:type="dxa"/>
            <w:vAlign w:val="bottom"/>
            <w:tcBorders>
              <w:bottom w:val="single" w:sz="8" w:color="auto"/>
            </w:tcBorders>
          </w:tcPr>
          <w:p>
            <w:pPr>
              <w:spacing w:after="0"/>
              <w:rPr>
                <w:sz w:val="18"/>
                <w:szCs w:val="18"/>
                <w:color w:val="auto"/>
              </w:rPr>
            </w:pPr>
          </w:p>
        </w:tc>
      </w:tr>
      <w:tr>
        <w:trPr>
          <w:trHeight w:val="669"/>
        </w:trPr>
        <w:tc>
          <w:tcPr>
            <w:tcW w:w="3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58" w:name="page459"/>
    <w:bookmarkEnd w:id="458"/>
    <w:p>
      <w:pPr>
        <w:jc w:val="center"/>
        <w:spacing w:after="0"/>
        <w:rPr>
          <w:sz w:val="20"/>
          <w:szCs w:val="20"/>
          <w:color w:val="auto"/>
        </w:rPr>
      </w:pPr>
      <w:r>
        <w:rPr>
          <w:rFonts w:ascii="Arial" w:cs="Arial" w:eastAsia="Arial" w:hAnsi="Arial"/>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59" w:name="page460"/>
    <w:bookmarkEnd w:id="459"/>
    <w:p>
      <w:pPr>
        <w:jc w:val="center"/>
        <w:spacing w:after="0"/>
        <w:rPr>
          <w:sz w:val="20"/>
          <w:szCs w:val="20"/>
          <w:color w:val="auto"/>
        </w:rPr>
      </w:pPr>
      <w:r>
        <w:rPr>
          <w:rFonts w:ascii="Arial" w:cs="Arial" w:eastAsia="Arial" w:hAnsi="Arial"/>
          <w:sz w:val="18"/>
          <w:szCs w:val="18"/>
          <w:b w:val="1"/>
          <w:bCs w:val="1"/>
          <w:color w:val="auto"/>
        </w:rPr>
        <w:t>SCHEDULE 4.1(c)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OF PARENT'S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0" w:name="page461"/>
    <w:bookmarkEnd w:id="460"/>
    <w:p>
      <w:pPr>
        <w:jc w:val="center"/>
        <w:spacing w:after="0"/>
        <w:rPr>
          <w:sz w:val="20"/>
          <w:szCs w:val="20"/>
          <w:color w:val="auto"/>
        </w:rPr>
      </w:pPr>
      <w:r>
        <w:rPr>
          <w:rFonts w:ascii="Arial" w:cs="Arial" w:eastAsia="Arial" w:hAnsi="Arial"/>
          <w:sz w:val="18"/>
          <w:szCs w:val="18"/>
          <w:b w:val="1"/>
          <w:bCs w:val="1"/>
          <w:color w:val="auto"/>
        </w:rPr>
        <w:t>EXHIBIT L-1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LIBOR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the below referenced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Loan Portfolio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5"/>
        <w:spacing w:after="0" w:line="268" w:lineRule="auto"/>
        <w:rPr>
          <w:sz w:val="20"/>
          <w:szCs w:val="20"/>
          <w:color w:val="auto"/>
        </w:rPr>
      </w:pPr>
      <w:r>
        <w:rPr>
          <w:rFonts w:ascii="Arial" w:cs="Arial" w:eastAsia="Arial" w:hAnsi="Arial"/>
          <w:sz w:val="17"/>
          <w:szCs w:val="17"/>
          <w:color w:val="auto"/>
        </w:rPr>
        <w:t>Reference is hereby made to that certain Credit Agreement, dated as of December 13,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Weatherford International plc, a public limited company incorporated in the Republic of Ireland ("</w:t>
      </w:r>
      <w:r>
        <w:rPr>
          <w:rFonts w:ascii="Arial" w:cs="Arial" w:eastAsia="Arial" w:hAnsi="Arial"/>
          <w:sz w:val="17"/>
          <w:szCs w:val="17"/>
          <w:u w:val="single" w:color="auto"/>
          <w:color w:val="auto"/>
        </w:rPr>
        <w:t>Parent</w:t>
      </w:r>
      <w:r>
        <w:rPr>
          <w:rFonts w:ascii="Arial" w:cs="Arial" w:eastAsia="Arial" w:hAnsi="Arial"/>
          <w:sz w:val="17"/>
          <w:szCs w:val="17"/>
          <w:color w:val="auto"/>
        </w:rPr>
        <w:t>"), Weatherford International Ltd., a Bermuda exempted company limited by shares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LLC, a Delaware limited liability company ("</w:t>
      </w:r>
      <w:r>
        <w:rPr>
          <w:rFonts w:ascii="Arial" w:cs="Arial" w:eastAsia="Arial" w:hAnsi="Arial"/>
          <w:sz w:val="17"/>
          <w:szCs w:val="17"/>
          <w:u w:val="single" w:color="auto"/>
          <w:color w:val="auto"/>
        </w:rPr>
        <w:t>WIL-Delaware</w:t>
      </w:r>
      <w:r>
        <w:rPr>
          <w:rFonts w:ascii="Arial" w:cs="Arial" w:eastAsia="Arial" w:hAnsi="Arial"/>
          <w:sz w:val="17"/>
          <w:szCs w:val="17"/>
          <w:color w:val="auto"/>
        </w:rPr>
        <w:t xml:space="preserve">") and those additional entities that become parties thereto as Borrowers in accordance with the terms thereof by executing the form of Joinder attached thereto as </w:t>
      </w:r>
      <w:r>
        <w:rPr>
          <w:rFonts w:ascii="Arial" w:cs="Arial" w:eastAsia="Arial" w:hAnsi="Arial"/>
          <w:sz w:val="17"/>
          <w:szCs w:val="17"/>
          <w:u w:val="single" w:color="auto"/>
          <w:color w:val="auto"/>
        </w:rPr>
        <w:t>Exhibit J-1</w:t>
      </w:r>
      <w:r>
        <w:rPr>
          <w:rFonts w:ascii="Arial" w:cs="Arial" w:eastAsia="Arial" w:hAnsi="Arial"/>
          <w:sz w:val="17"/>
          <w:szCs w:val="17"/>
          <w:color w:val="auto"/>
        </w:rPr>
        <w:t xml:space="preserve"> (together with WIL-Bermuda and WIL-Delaware,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identified on the signature pages thereof (each of such lenders, together with its successors and permitted assigns, is referred to hereinafter as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Wells Fargo Bank, National Association, a national banking association ("</w:t>
      </w:r>
      <w:r>
        <w:rPr>
          <w:rFonts w:ascii="Arial" w:cs="Arial" w:eastAsia="Arial" w:hAnsi="Arial"/>
          <w:sz w:val="17"/>
          <w:szCs w:val="17"/>
          <w:u w:val="single" w:color="auto"/>
          <w:color w:val="auto"/>
        </w:rPr>
        <w:t>Wells Fargo</w:t>
      </w:r>
      <w:r>
        <w:rPr>
          <w:rFonts w:ascii="Arial" w:cs="Arial" w:eastAsia="Arial" w:hAnsi="Arial"/>
          <w:sz w:val="17"/>
          <w:szCs w:val="17"/>
          <w:color w:val="auto"/>
        </w:rPr>
        <w:t>"), as administrative agent for each member of the Lender Group and the Bank Product Providers (in such capacity, together with its successors and assigns in such capacity "</w:t>
      </w:r>
      <w:r>
        <w:rPr>
          <w:rFonts w:ascii="Arial" w:cs="Arial" w:eastAsia="Arial" w:hAnsi="Arial"/>
          <w:sz w:val="17"/>
          <w:szCs w:val="17"/>
          <w:u w:val="single" w:color="auto"/>
          <w:color w:val="auto"/>
        </w:rPr>
        <w:t>Agent</w:t>
      </w:r>
      <w:r>
        <w:rPr>
          <w:rFonts w:ascii="Arial" w:cs="Arial" w:eastAsia="Arial" w:hAnsi="Arial"/>
          <w:sz w:val="17"/>
          <w:szCs w:val="17"/>
          <w:color w:val="auto"/>
        </w:rPr>
        <w:t>"), Wells Fargo, Deutsche Bank Securities Inc. ("</w:t>
      </w:r>
      <w:r>
        <w:rPr>
          <w:rFonts w:ascii="Arial" w:cs="Arial" w:eastAsia="Arial" w:hAnsi="Arial"/>
          <w:sz w:val="17"/>
          <w:szCs w:val="17"/>
          <w:u w:val="single" w:color="auto"/>
          <w:color w:val="auto"/>
        </w:rPr>
        <w:t>Deutsche Bank</w:t>
      </w:r>
      <w:r>
        <w:rPr>
          <w:rFonts w:ascii="Arial" w:cs="Arial" w:eastAsia="Arial" w:hAnsi="Arial"/>
          <w:sz w:val="17"/>
          <w:szCs w:val="17"/>
          <w:color w:val="auto"/>
        </w:rPr>
        <w:t>"), Barclays Bank PLC ("</w:t>
      </w:r>
      <w:r>
        <w:rPr>
          <w:rFonts w:ascii="Arial" w:cs="Arial" w:eastAsia="Arial" w:hAnsi="Arial"/>
          <w:sz w:val="17"/>
          <w:szCs w:val="17"/>
          <w:u w:val="single" w:color="auto"/>
          <w:color w:val="auto"/>
        </w:rPr>
        <w:t>Barclays</w:t>
      </w:r>
      <w:r>
        <w:rPr>
          <w:rFonts w:ascii="Arial" w:cs="Arial" w:eastAsia="Arial" w:hAnsi="Arial"/>
          <w:sz w:val="17"/>
          <w:szCs w:val="17"/>
          <w:color w:val="auto"/>
        </w:rPr>
        <w:t>") and Citibank, N.A. ("</w:t>
      </w:r>
      <w:r>
        <w:rPr>
          <w:rFonts w:ascii="Arial" w:cs="Arial" w:eastAsia="Arial" w:hAnsi="Arial"/>
          <w:sz w:val="17"/>
          <w:szCs w:val="17"/>
          <w:u w:val="single" w:color="auto"/>
          <w:color w:val="auto"/>
        </w:rPr>
        <w:t>Citibank</w:t>
      </w:r>
      <w:r>
        <w:rPr>
          <w:rFonts w:ascii="Arial" w:cs="Arial" w:eastAsia="Arial" w:hAnsi="Arial"/>
          <w:sz w:val="17"/>
          <w:szCs w:val="17"/>
          <w:color w:val="auto"/>
        </w:rPr>
        <w:t>"), as joint lead arrangers (in such capacity, together with their successors and assigns in such capacity, the "</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and Wells Fargo, Deutsche Bank, Barclays and Citibank, as joint book runners (in such capacity, together with their successors and assigns in such capacity, the "</w:t>
      </w:r>
      <w:r>
        <w:rPr>
          <w:rFonts w:ascii="Arial" w:cs="Arial" w:eastAsia="Arial" w:hAnsi="Arial"/>
          <w:sz w:val="17"/>
          <w:szCs w:val="17"/>
          <w:u w:val="single" w:color="auto"/>
          <w:color w:val="auto"/>
        </w:rPr>
        <w:t>Joint Book Runners</w:t>
      </w:r>
      <w:r>
        <w:rPr>
          <w:rFonts w:ascii="Arial" w:cs="Arial" w:eastAsia="Arial" w:hAnsi="Arial"/>
          <w:sz w:val="17"/>
          <w:szCs w:val="17"/>
          <w:color w:val="auto"/>
        </w:rPr>
        <w:t>"). Capitalized terms used herein, but not specifically defined herein, shall have the meanings ascribed to them in the Credit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LIBOR Notice represents Borrowers' request to elect the LIBOR Option with respect to outstanding Revolving Loans [</w:t>
      </w:r>
      <w:r>
        <w:rPr>
          <w:rFonts w:ascii="Arial" w:cs="Arial" w:eastAsia="Arial" w:hAnsi="Arial"/>
          <w:sz w:val="17"/>
          <w:szCs w:val="17"/>
          <w:b w:val="1"/>
          <w:bCs w:val="1"/>
          <w:color w:val="auto"/>
        </w:rPr>
        <w:t>and FILO</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Loans</w:t>
      </w:r>
      <w:r>
        <w:rPr>
          <w:rFonts w:ascii="Arial" w:cs="Arial" w:eastAsia="Arial" w:hAnsi="Arial"/>
          <w:sz w:val="18"/>
          <w:szCs w:val="18"/>
          <w:color w:val="auto"/>
        </w:rPr>
        <w:t>] in the amount of $ (the "</w:t>
      </w:r>
      <w:r>
        <w:rPr>
          <w:rFonts w:ascii="Arial" w:cs="Arial" w:eastAsia="Arial" w:hAnsi="Arial"/>
          <w:sz w:val="18"/>
          <w:szCs w:val="18"/>
          <w:u w:val="single" w:color="auto"/>
          <w:color w:val="auto"/>
        </w:rPr>
        <w:t>LIBOR Rate Advance</w:t>
      </w:r>
      <w:r>
        <w:rPr>
          <w:rFonts w:ascii="Arial" w:cs="Arial" w:eastAsia="Arial" w:hAnsi="Arial"/>
          <w:sz w:val="18"/>
          <w:szCs w:val="18"/>
          <w:color w:val="auto"/>
        </w:rPr>
        <w:t>")[</w:t>
      </w:r>
      <w:r>
        <w:rPr>
          <w:rFonts w:ascii="Arial" w:cs="Arial" w:eastAsia="Arial" w:hAnsi="Arial"/>
          <w:sz w:val="18"/>
          <w:szCs w:val="18"/>
          <w:b w:val="1"/>
          <w:bCs w:val="1"/>
          <w:color w:val="auto"/>
        </w:rPr>
        <w:t>, and is a written confirmation of the telephonic notice of such election given to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-173990</wp:posOffset>
            </wp:positionV>
            <wp:extent cx="70294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60" w:lineRule="exact"/>
        <w:rPr>
          <w:sz w:val="20"/>
          <w:szCs w:val="20"/>
          <w:color w:val="auto"/>
        </w:rPr>
      </w:pPr>
    </w:p>
    <w:p>
      <w:pPr>
        <w:ind w:left="1300"/>
        <w:spacing w:after="0"/>
        <w:tabs>
          <w:tab w:leader="none" w:pos="10680" w:val="left"/>
        </w:tabs>
        <w:rPr>
          <w:sz w:val="20"/>
          <w:szCs w:val="20"/>
          <w:color w:val="auto"/>
        </w:rPr>
      </w:pPr>
      <w:r>
        <w:rPr>
          <w:rFonts w:ascii="Arial" w:cs="Arial" w:eastAsia="Arial" w:hAnsi="Arial"/>
          <w:sz w:val="18"/>
          <w:szCs w:val="18"/>
          <w:color w:val="auto"/>
        </w:rPr>
        <w:t>The LIBOR Rate Advance will have an Interest Period of [</w:t>
      </w:r>
      <w:r>
        <w:rPr>
          <w:rFonts w:ascii="Arial" w:cs="Arial" w:eastAsia="Arial" w:hAnsi="Arial"/>
          <w:sz w:val="18"/>
          <w:szCs w:val="18"/>
          <w:b w:val="1"/>
          <w:bCs w:val="1"/>
          <w:color w:val="auto"/>
        </w:rPr>
        <w:t>1 week]</w:t>
      </w:r>
      <w:r>
        <w:rPr>
          <w:rFonts w:ascii="Arial" w:cs="Arial" w:eastAsia="Arial" w:hAnsi="Arial"/>
          <w:sz w:val="18"/>
          <w:szCs w:val="18"/>
          <w:color w:val="auto"/>
        </w:rPr>
        <w:t>[</w:t>
      </w:r>
      <w:r>
        <w:rPr>
          <w:rFonts w:ascii="Arial" w:cs="Arial" w:eastAsia="Arial" w:hAnsi="Arial"/>
          <w:sz w:val="18"/>
          <w:szCs w:val="18"/>
          <w:b w:val="1"/>
          <w:bCs w:val="1"/>
          <w:color w:val="auto"/>
        </w:rPr>
        <w:t>1, 3, or 6 month(s)</w:t>
      </w:r>
      <w:r>
        <w:rPr>
          <w:rFonts w:ascii="Arial" w:cs="Arial" w:eastAsia="Arial" w:hAnsi="Arial"/>
          <w:sz w:val="18"/>
          <w:szCs w:val="18"/>
          <w:color w:val="auto"/>
        </w:rPr>
        <w:t>] commencing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-7620</wp:posOffset>
            </wp:positionV>
            <wp:extent cx="11430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9" w:lineRule="exact"/>
        <w:rPr>
          <w:sz w:val="20"/>
          <w:szCs w:val="20"/>
          <w:color w:val="auto"/>
        </w:rPr>
      </w:pPr>
    </w:p>
    <w:p>
      <w:pPr>
        <w:jc w:val="both"/>
        <w:ind w:firstLine="1295"/>
        <w:spacing w:after="0" w:line="277" w:lineRule="auto"/>
        <w:rPr>
          <w:sz w:val="20"/>
          <w:szCs w:val="20"/>
          <w:color w:val="auto"/>
        </w:rPr>
      </w:pPr>
      <w:r>
        <w:rPr>
          <w:rFonts w:ascii="Arial" w:cs="Arial" w:eastAsia="Arial" w:hAnsi="Arial"/>
          <w:sz w:val="18"/>
          <w:szCs w:val="18"/>
          <w:color w:val="auto"/>
        </w:rPr>
        <w:t>This LIBOR Notice further confirms Borrowers' acceptance, for purposes of determining the rate of interest based on the LIBOR Rate as determined pursuant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color w:val="auto"/>
        </w:rPr>
        <w:t>Wells Fargo Bank, National Association,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1295"/>
        <w:spacing w:after="0" w:line="277" w:lineRule="auto"/>
        <w:rPr>
          <w:sz w:val="20"/>
          <w:szCs w:val="20"/>
          <w:color w:val="auto"/>
        </w:rPr>
      </w:pPr>
      <w:r>
        <w:rPr>
          <w:rFonts w:ascii="Arial" w:cs="Arial" w:eastAsia="Arial" w:hAnsi="Arial"/>
          <w:sz w:val="18"/>
          <w:szCs w:val="18"/>
          <w:color w:val="auto"/>
        </w:rPr>
        <w:t>Administrative Borrower represents and warrants that no Default or Event of Default has occurred and is continuing on the date hereof, nor will any thereof occur after giving effect to the request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62" w:name="page463"/>
    <w:bookmarkEnd w:id="462"/>
    <w:p>
      <w:pPr>
        <w:ind w:right="1380"/>
        <w:spacing w:after="0" w:line="277" w:lineRule="auto"/>
        <w:rPr>
          <w:sz w:val="20"/>
          <w:szCs w:val="20"/>
          <w:color w:val="auto"/>
        </w:rPr>
      </w:pPr>
      <w:r>
        <w:rPr>
          <w:rFonts w:ascii="Arial" w:cs="Arial" w:eastAsia="Arial" w:hAnsi="Arial"/>
          <w:sz w:val="18"/>
          <w:szCs w:val="18"/>
          <w:color w:val="auto"/>
        </w:rPr>
        <w:t>Wells Fargo Bank, National Association, as Agent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21" w:lineRule="exact"/>
        <w:rPr>
          <w:sz w:val="20"/>
          <w:szCs w:val="20"/>
          <w:color w:val="auto"/>
        </w:rPr>
      </w:pPr>
    </w:p>
    <w:p>
      <w:pPr>
        <w:ind w:right="1240"/>
        <w:spacing w:after="0" w:line="266"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9927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9927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29927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32588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right="599"/>
        <w:spacing w:after="0" w:line="264" w:lineRule="auto"/>
        <w:rPr>
          <w:sz w:val="20"/>
          <w:szCs w:val="20"/>
          <w:color w:val="auto"/>
        </w:rPr>
      </w:pPr>
      <w:r>
        <w:rPr>
          <w:rFonts w:ascii="Arial" w:cs="Arial" w:eastAsia="Arial" w:hAnsi="Arial"/>
          <w:sz w:val="18"/>
          <w:szCs w:val="18"/>
          <w:color w:val="auto"/>
        </w:rPr>
        <w:t>WEATHERFORD INTERNATIONAL, LLC, a Delaware limited liability company, as Administrative Borrower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-130810</wp:posOffset>
            </wp:positionV>
            <wp:extent cx="32588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-130810</wp:posOffset>
            </wp:positionV>
            <wp:extent cx="32588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14605</wp:posOffset>
            </wp:positionV>
            <wp:extent cx="32588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1849755</wp:posOffset>
            </wp:positionV>
            <wp:extent cx="72466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000" w:space="720"/>
            <w:col w:w="4499"/>
          </w:cols>
          <w:pgMar w:left="240" w:top="908" w:right="1440"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color w:val="auto"/>
        </w:rPr>
        <w:t>EXHIBIT P-2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PARTICIPANT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LENDER</w:t>
      </w:r>
      <w:r>
        <w:rPr>
          <w:rFonts w:ascii="Arial" w:cs="Arial" w:eastAsia="Arial" w:hAnsi="Arial"/>
          <w:sz w:val="18"/>
          <w:szCs w:val="18"/>
          <w:color w:val="auto"/>
        </w:rPr>
        <w:t>] (the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LegalWeatherford@weatherford.com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Loan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(866) 551-0750</w:t>
      </w:r>
    </w:p>
    <w:p>
      <w:pPr>
        <w:spacing w:after="0" w:line="211"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Reference is hereby made to that certain Credit Agreement, dated as of December 13, 2019 (as amended, restated, supplemented, or otherwise modified from time to time, the "Credit Agreement"), by and among Weatherford International PLC, a public limited company incorporated in the Republic of Ireland ("Parent"), Weatherford International Ltd., a Bermuda exempted company limited by shares ("WIL-Bermuda"), Weatherford International, LLC, a Delaware limited liability company ("WIL-Delaware") and those additional entities that become parties thereto as Borrowers in accordance with the terms thereof (together with WIL-Bermuda and WIL-Delaware, each, a "Borrower" and individually and collectively, the "Borrowers"), the lenders identified on the signature pages thereof (each of such lenders, together with its successors and permitted assigns, is referred to hereinafter as a "Lender" and, collectively, the "Lenders") and Wells Fargo Bank, National Association, a national banking association, as administrative agent for each member of the Lender Group and the Bank Product Providers (in such capacity, together with its successors and assigns in such capacity "Agent"). Capitalized terms used but not otherwise defined herein shall have the respective meanings specified therefor in the Credit Agreement.</w:t>
      </w:r>
    </w:p>
    <w:p>
      <w:pPr>
        <w:spacing w:after="0" w:line="167"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Pursuant to Section 13.1(e) of the Credit Agreement, the undersigned (the “Participant”) is a prospective purchaser of a participation (or sub-participation) under the Credit Agreement to be sold by the Seller and is required to deliver this Participant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hereby confirms that, as of date set forth below (check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4" w:name="page465"/>
    <w:bookmarkEnd w:id="464"/>
    <w:p>
      <w:pPr>
        <w:ind w:left="1300" w:right="120" w:hanging="320"/>
        <w:spacing w:after="0" w:line="282" w:lineRule="auto"/>
        <w:tabs>
          <w:tab w:leader="none" w:pos="1300" w:val="left"/>
        </w:tabs>
        <w:numPr>
          <w:ilvl w:val="0"/>
          <w:numId w:val="541"/>
        </w:numPr>
        <w:rPr>
          <w:rFonts w:ascii="MS PGothic" w:cs="MS PGothic" w:eastAsia="MS PGothic" w:hAnsi="MS PGothic"/>
          <w:sz w:val="18"/>
          <w:szCs w:val="18"/>
          <w:color w:val="auto"/>
        </w:rPr>
      </w:pPr>
      <w:r>
        <w:rPr>
          <w:rFonts w:ascii="Arial" w:cs="Arial" w:eastAsia="Arial" w:hAnsi="Arial"/>
          <w:sz w:val="18"/>
          <w:szCs w:val="18"/>
          <w:color w:val="auto"/>
        </w:rPr>
        <w:t>Participant is a Swiss Qualifying Lender and [</w:t>
      </w:r>
      <w:r>
        <w:rPr>
          <w:rFonts w:ascii="Arial" w:cs="Arial" w:eastAsia="Arial" w:hAnsi="Arial"/>
          <w:sz w:val="18"/>
          <w:szCs w:val="18"/>
          <w:b w:val="1"/>
          <w:bCs w:val="1"/>
          <w:color w:val="auto"/>
        </w:rPr>
        <w:t>has/has not</w:t>
      </w:r>
      <w:r>
        <w:rPr>
          <w:rFonts w:ascii="Arial" w:cs="Arial" w:eastAsia="Arial" w:hAnsi="Arial"/>
          <w:sz w:val="18"/>
          <w:szCs w:val="18"/>
          <w:color w:val="auto"/>
        </w:rPr>
        <w:t>] entered into a participation (including a sub-participation) arrangement with respect to the Credit Agreement with any Person that is a Swiss Non-Qualifying Lender.</w:t>
      </w:r>
    </w:p>
    <w:p>
      <w:pPr>
        <w:spacing w:after="0" w:line="161" w:lineRule="exact"/>
        <w:rPr>
          <w:rFonts w:ascii="MS PGothic" w:cs="MS PGothic" w:eastAsia="MS PGothic" w:hAnsi="MS PGothic"/>
          <w:sz w:val="18"/>
          <w:szCs w:val="18"/>
          <w:color w:val="auto"/>
        </w:rPr>
      </w:pPr>
    </w:p>
    <w:p>
      <w:pPr>
        <w:jc w:val="both"/>
        <w:ind w:left="1300" w:right="100" w:hanging="320"/>
        <w:spacing w:after="0" w:line="266" w:lineRule="auto"/>
        <w:tabs>
          <w:tab w:leader="none" w:pos="1300" w:val="left"/>
        </w:tabs>
        <w:numPr>
          <w:ilvl w:val="0"/>
          <w:numId w:val="541"/>
        </w:numPr>
        <w:rPr>
          <w:rFonts w:ascii="MS PGothic" w:cs="MS PGothic" w:eastAsia="MS PGothic" w:hAnsi="MS PGothic"/>
          <w:sz w:val="18"/>
          <w:szCs w:val="18"/>
          <w:color w:val="auto"/>
        </w:rPr>
      </w:pPr>
      <w:r>
        <w:rPr>
          <w:rFonts w:ascii="Arial" w:cs="Arial" w:eastAsia="Arial" w:hAnsi="Arial"/>
          <w:sz w:val="18"/>
          <w:szCs w:val="18"/>
          <w:color w:val="auto"/>
        </w:rPr>
        <w:t>Participant is a Swiss Non-Qualifying Lender, and [</w:t>
      </w:r>
      <w:r>
        <w:rPr>
          <w:rFonts w:ascii="Arial" w:cs="Arial" w:eastAsia="Arial" w:hAnsi="Arial"/>
          <w:sz w:val="18"/>
          <w:szCs w:val="18"/>
          <w:b w:val="1"/>
          <w:bCs w:val="1"/>
          <w:color w:val="auto"/>
        </w:rPr>
        <w:t>counts/does not count</w:t>
      </w:r>
      <w:r>
        <w:rPr>
          <w:rFonts w:ascii="Arial" w:cs="Arial" w:eastAsia="Arial" w:hAnsi="Arial"/>
          <w:sz w:val="18"/>
          <w:szCs w:val="18"/>
          <w:color w:val="auto"/>
        </w:rPr>
        <w:t>] as one single creditor for purposes of the Swiss Non-Bank Rules and [</w:t>
      </w:r>
      <w:r>
        <w:rPr>
          <w:rFonts w:ascii="Arial" w:cs="Arial" w:eastAsia="Arial" w:hAnsi="Arial"/>
          <w:sz w:val="18"/>
          <w:szCs w:val="18"/>
          <w:b w:val="1"/>
          <w:bCs w:val="1"/>
          <w:color w:val="auto"/>
        </w:rPr>
        <w:t>has/has not</w:t>
      </w:r>
      <w:r>
        <w:rPr>
          <w:rFonts w:ascii="Arial" w:cs="Arial" w:eastAsia="Arial" w:hAnsi="Arial"/>
          <w:sz w:val="18"/>
          <w:szCs w:val="18"/>
          <w:color w:val="auto"/>
        </w:rPr>
        <w:t>] entered into a participation (including any sub-participation) arrangement with respect to the Agreement with any Person that is a Swiss Non-Qualifying Lender.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"Swiss Guidelines" means, together, guideline S-02.123 in relation to interbank loans of 22 September 1986 (Merkblatt "Verrechnungssteuer auf Zinsen von Bankguthaben, deren Gläubiger Banken sind (Interbankguthaben)" vom 22. September 1986), circular letter No. 47 in relation to bonds of 25 July 2019 (1-047-V-2019) (Kreisschreiben Nr. 47 "Obligationen" vom 25. Juli 2019), guideline S-02.130.1 in relation to money market instruments and book claims of April 1999 (Merkblatt vom April 1999 betreffend Geldmarktpapiere und Buchforderungen inländischer Schuldner), circular letter No. 46 of 24 July 2019 (1-046-VS-2019) in relation to syndicated credit facilities (Kreisschreiben Nr. 46 "Steuerliche Behandlung von Konsortialdarlehen, Schuldscheindarlehen, Wechseln und Unterbeteiligungen" vom 24. Juli 2019), circular letter No. 34 of 26 July 2011 (1-034-V-2011) in relation to deposits (Kreisschreiben Nr. 34 "Kundenguthaben" vom 26. Juli 2011) and the circular letter No. 15 of 3 October 2017 (1-015- DVS-2017) in relation to bonds and derivative financial instruments as subject matter of taxation of Swiss federal income tax, Swiss withholding tax and Swiss stamp taxes (Kreisschreiben Nr. 15 "Obligationen und derivative Finanzinstrumente als Gegenstand der direkten Bundessteuer, der Verrechnungssteuer und der Stempelabgaben" vom 3. Oktober 2017)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“Swiss Qualifying Lender” means a Person that (i) is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“Swiss Non-Qualifying Lender” means a person which does not qualify as a Swiss Qualifying Lender.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left blank;</w:t>
      </w:r>
      <w:r>
        <w:rPr>
          <w:rFonts w:ascii="Arial" w:cs="Arial" w:eastAsia="Arial" w:hAnsi="Arial"/>
          <w:sz w:val="18"/>
          <w:szCs w:val="18"/>
          <w:color w:val="auto"/>
        </w:rPr>
        <w:t xml:space="preserve"> s</w:t>
      </w:r>
      <w:r>
        <w:rPr>
          <w:rFonts w:ascii="Arial" w:cs="Arial" w:eastAsia="Arial" w:hAnsi="Arial"/>
          <w:sz w:val="18"/>
          <w:szCs w:val="18"/>
          <w:i w:val="1"/>
          <w:iCs w:val="1"/>
          <w:color w:val="auto"/>
        </w:rPr>
        <w:t>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5" w:name="page466"/>
    <w:bookmarkEnd w:id="465"/>
    <w:p>
      <w:pPr>
        <w:spacing w:after="0"/>
        <w:tabs>
          <w:tab w:leader="none" w:pos="8100" w:val="left"/>
          <w:tab w:leader="none" w:pos="8860" w:val="left"/>
        </w:tabs>
        <w:rPr>
          <w:sz w:val="20"/>
          <w:szCs w:val="20"/>
          <w:color w:val="auto"/>
        </w:rPr>
      </w:pPr>
      <w:r>
        <w:rPr>
          <w:rFonts w:ascii="Arial" w:cs="Arial" w:eastAsia="Arial" w:hAnsi="Arial"/>
          <w:sz w:val="18"/>
          <w:szCs w:val="18"/>
          <w:color w:val="auto"/>
        </w:rPr>
        <w:t>IN WITNESS WHEREOF, the undersigned has executed this Participant Certificate this 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PARTICIPANT</w:t>
      </w:r>
      <w:r>
        <w:rPr>
          <w:rFonts w:ascii="Arial" w:cs="Arial" w:eastAsia="Arial" w:hAnsi="Arial"/>
          <w:sz w:val="18"/>
          <w:szCs w:val="18"/>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466" w:name="page467"/>
    <w:bookmarkEnd w:id="466"/>
    <w:p>
      <w:pPr>
        <w:jc w:val="right"/>
        <w:spacing w:after="0"/>
        <w:rPr>
          <w:sz w:val="20"/>
          <w:szCs w:val="20"/>
          <w:color w:val="auto"/>
        </w:rPr>
      </w:pPr>
      <w:r>
        <w:rPr>
          <w:rFonts w:ascii="Arial" w:cs="Arial" w:eastAsia="Arial" w:hAnsi="Arial"/>
          <w:sz w:val="22"/>
          <w:szCs w:val="22"/>
          <w:b w:val="1"/>
          <w:bCs w:val="1"/>
          <w:color w:val="auto"/>
        </w:rPr>
        <w:t>Exhibit 10.2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LC CREDIT AGREEMENT</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 AS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ECEMBER</w:t>
      </w:r>
      <w:r>
        <w:rPr>
          <w:rFonts w:ascii="Arial" w:cs="Arial" w:eastAsia="Arial" w:hAnsi="Arial"/>
          <w:sz w:val="18"/>
          <w:szCs w:val="18"/>
          <w:b w:val="1"/>
          <w:bCs w:val="1"/>
          <w:color w:val="auto"/>
        </w:rPr>
        <w:t xml:space="preserve"> 13, 2019</w:t>
      </w:r>
    </w:p>
    <w:p>
      <w:pPr>
        <w:spacing w:after="0" w:line="283"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AMONG</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 xml:space="preserve">A </w:t>
      </w:r>
      <w:r>
        <w:rPr>
          <w:rFonts w:ascii="Arial" w:cs="Arial" w:eastAsia="Arial" w:hAnsi="Arial"/>
          <w:sz w:val="18"/>
          <w:szCs w:val="18"/>
          <w:b w:val="1"/>
          <w:bCs w:val="1"/>
          <w:color w:val="auto"/>
        </w:rPr>
        <w:t>B</w:t>
      </w:r>
      <w:r>
        <w:rPr>
          <w:rFonts w:ascii="Arial" w:cs="Arial" w:eastAsia="Arial" w:hAnsi="Arial"/>
          <w:sz w:val="12"/>
          <w:szCs w:val="12"/>
          <w:b w:val="1"/>
          <w:bCs w:val="1"/>
          <w:color w:val="auto"/>
        </w:rPr>
        <w:t>ERMUDA EXEMPTED COMPANY</w:t>
      </w:r>
    </w:p>
    <w:p>
      <w:pPr>
        <w:spacing w:after="0" w:line="265"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AND</w:t>
      </w:r>
    </w:p>
    <w:p>
      <w:pPr>
        <w:spacing w:after="0" w:line="23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LLC,</w:t>
      </w:r>
    </w:p>
    <w:p>
      <w:pPr>
        <w:spacing w:after="0" w:line="27" w:lineRule="exact"/>
        <w:rPr>
          <w:sz w:val="20"/>
          <w:szCs w:val="20"/>
          <w:color w:val="auto"/>
        </w:rPr>
      </w:pPr>
    </w:p>
    <w:p>
      <w:pPr>
        <w:ind w:left="3980" w:right="4280" w:hanging="892"/>
        <w:spacing w:after="0" w:line="261" w:lineRule="auto"/>
        <w:tabs>
          <w:tab w:leader="none" w:pos="3231" w:val="left"/>
        </w:tabs>
        <w:numPr>
          <w:ilvl w:val="0"/>
          <w:numId w:val="542"/>
        </w:numPr>
        <w:rPr>
          <w:rFonts w:ascii="Arial" w:cs="Arial" w:eastAsia="Arial" w:hAnsi="Arial"/>
          <w:sz w:val="12"/>
          <w:szCs w:val="12"/>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ELAWARE LIMITED LIABILITY COMPANY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B</w:t>
      </w:r>
      <w:r>
        <w:rPr>
          <w:rFonts w:ascii="Arial" w:cs="Arial" w:eastAsia="Arial" w:hAnsi="Arial"/>
          <w:sz w:val="12"/>
          <w:szCs w:val="12"/>
          <w:b w:val="1"/>
          <w:bCs w:val="1"/>
          <w:color w:val="auto"/>
        </w:rPr>
        <w:t>ORROWERS</w:t>
      </w:r>
      <w:r>
        <w:rPr>
          <w:rFonts w:ascii="Arial" w:cs="Arial" w:eastAsia="Arial" w:hAnsi="Arial"/>
          <w:sz w:val="18"/>
          <w:szCs w:val="18"/>
          <w:b w:val="1"/>
          <w:bCs w:val="1"/>
          <w:color w:val="auto"/>
        </w:rPr>
        <w:t>,</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 PLC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ERETO</w:t>
      </w:r>
      <w:r>
        <w:rPr>
          <w:rFonts w:ascii="Arial" w:cs="Arial" w:eastAsia="Arial" w:hAnsi="Arial"/>
          <w:sz w:val="18"/>
          <w:szCs w:val="18"/>
          <w:b w:val="1"/>
          <w:bCs w:val="1"/>
          <w:color w:val="auto"/>
        </w:rPr>
        <w:t>,</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SSUING</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EREIN</w:t>
      </w:r>
      <w:r>
        <w:rPr>
          <w:rFonts w:ascii="Arial" w:cs="Arial" w:eastAsia="Arial" w:hAnsi="Arial"/>
          <w:sz w:val="18"/>
          <w:szCs w:val="18"/>
          <w:b w:val="1"/>
          <w:bCs w:val="1"/>
          <w:color w:val="auto"/>
        </w:rPr>
        <w:t>,</w:t>
      </w:r>
    </w:p>
    <w:p>
      <w:pPr>
        <w:spacing w:after="0" w:line="283"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AND</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EUTSCHE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MERICAS</w:t>
      </w:r>
      <w:r>
        <w:rPr>
          <w:rFonts w:ascii="Arial" w:cs="Arial" w:eastAsia="Arial" w:hAnsi="Arial"/>
          <w:sz w:val="18"/>
          <w:szCs w:val="18"/>
          <w:b w:val="1"/>
          <w:bCs w:val="1"/>
          <w:color w:val="auto"/>
        </w:rPr>
        <w: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A</w:t>
      </w:r>
      <w:r>
        <w:rPr>
          <w:rFonts w:ascii="Arial" w:cs="Arial" w:eastAsia="Arial" w:hAnsi="Arial"/>
          <w:sz w:val="12"/>
          <w:szCs w:val="12"/>
          <w:b w:val="1"/>
          <w:bCs w:val="1"/>
          <w:color w:val="auto"/>
        </w:rPr>
        <w:t xml:space="preserve">DMINISTRATIVE </w:t>
      </w:r>
      <w:r>
        <w:rPr>
          <w:rFonts w:ascii="Arial" w:cs="Arial" w:eastAsia="Arial" w:hAnsi="Arial"/>
          <w:sz w:val="18"/>
          <w:szCs w:val="18"/>
          <w:b w:val="1"/>
          <w:bCs w:val="1"/>
          <w:color w:val="auto"/>
        </w:rPr>
        <w:t>A</w:t>
      </w:r>
      <w:r>
        <w:rPr>
          <w:rFonts w:ascii="Arial" w:cs="Arial" w:eastAsia="Arial" w:hAnsi="Arial"/>
          <w:sz w:val="12"/>
          <w:szCs w:val="12"/>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189230</wp:posOffset>
            </wp:positionV>
            <wp:extent cx="180975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EUTSCHE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LLC</w:t>
      </w:r>
    </w:p>
    <w:p>
      <w:pPr>
        <w:spacing w:after="0" w:line="49"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AND</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ARCLAYS</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xml:space="preserve"> PLC,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 xml:space="preserve">AS </w:t>
      </w:r>
      <w:r>
        <w:rPr>
          <w:rFonts w:ascii="Arial" w:cs="Arial" w:eastAsia="Arial" w:hAnsi="Arial"/>
          <w:sz w:val="18"/>
          <w:szCs w:val="18"/>
          <w:b w:val="1"/>
          <w:bCs w:val="1"/>
          <w:color w:val="auto"/>
        </w:rPr>
        <w:t>J</w:t>
      </w:r>
      <w:r>
        <w:rPr>
          <w:rFonts w:ascii="Arial" w:cs="Arial" w:eastAsia="Arial" w:hAnsi="Arial"/>
          <w:sz w:val="12"/>
          <w:szCs w:val="12"/>
          <w:b w:val="1"/>
          <w:bCs w:val="1"/>
          <w:color w:val="auto"/>
        </w:rPr>
        <w:t xml:space="preserve">OINT </w:t>
      </w:r>
      <w:r>
        <w:rPr>
          <w:rFonts w:ascii="Arial" w:cs="Arial" w:eastAsia="Arial" w:hAnsi="Arial"/>
          <w:sz w:val="18"/>
          <w:szCs w:val="18"/>
          <w:b w:val="1"/>
          <w:bCs w:val="1"/>
          <w:color w:val="auto"/>
        </w:rPr>
        <w:t>L</w:t>
      </w:r>
      <w:r>
        <w:rPr>
          <w:rFonts w:ascii="Arial" w:cs="Arial" w:eastAsia="Arial" w:hAnsi="Arial"/>
          <w:sz w:val="12"/>
          <w:szCs w:val="12"/>
          <w:b w:val="1"/>
          <w:bCs w:val="1"/>
          <w:color w:val="auto"/>
        </w:rPr>
        <w:t xml:space="preserve">EAD </w:t>
      </w:r>
      <w:r>
        <w:rPr>
          <w:rFonts w:ascii="Arial" w:cs="Arial" w:eastAsia="Arial" w:hAnsi="Arial"/>
          <w:sz w:val="18"/>
          <w:szCs w:val="18"/>
          <w:b w:val="1"/>
          <w:bCs w:val="1"/>
          <w:color w:val="auto"/>
        </w:rPr>
        <w:t>A</w:t>
      </w:r>
      <w:r>
        <w:rPr>
          <w:rFonts w:ascii="Arial" w:cs="Arial" w:eastAsia="Arial" w:hAnsi="Arial"/>
          <w:sz w:val="12"/>
          <w:szCs w:val="12"/>
          <w:b w:val="1"/>
          <w:bCs w:val="1"/>
          <w:color w:val="auto"/>
        </w:rPr>
        <w:t xml:space="preserve">RRANGERS AND </w:t>
      </w:r>
      <w:r>
        <w:rPr>
          <w:rFonts w:ascii="Arial" w:cs="Arial" w:eastAsia="Arial" w:hAnsi="Arial"/>
          <w:sz w:val="18"/>
          <w:szCs w:val="18"/>
          <w:b w:val="1"/>
          <w:bCs w:val="1"/>
          <w:color w:val="auto"/>
        </w:rPr>
        <w:t>J</w:t>
      </w:r>
      <w:r>
        <w:rPr>
          <w:rFonts w:ascii="Arial" w:cs="Arial" w:eastAsia="Arial" w:hAnsi="Arial"/>
          <w:sz w:val="12"/>
          <w:szCs w:val="12"/>
          <w:b w:val="1"/>
          <w:bCs w:val="1"/>
          <w:color w:val="auto"/>
        </w:rPr>
        <w:t xml:space="preserve">OINT </w:t>
      </w:r>
      <w:r>
        <w:rPr>
          <w:rFonts w:ascii="Arial" w:cs="Arial" w:eastAsia="Arial" w:hAnsi="Arial"/>
          <w:sz w:val="18"/>
          <w:szCs w:val="18"/>
          <w:b w:val="1"/>
          <w:bCs w:val="1"/>
          <w:color w:val="auto"/>
        </w:rPr>
        <w:t>B</w:t>
      </w:r>
      <w:r>
        <w:rPr>
          <w:rFonts w:ascii="Arial" w:cs="Arial" w:eastAsia="Arial" w:hAnsi="Arial"/>
          <w:sz w:val="12"/>
          <w:szCs w:val="12"/>
          <w:b w:val="1"/>
          <w:bCs w:val="1"/>
          <w:color w:val="auto"/>
        </w:rPr>
        <w:t>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82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654"/>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00" w:type="dxa"/>
            <w:vAlign w:val="bottom"/>
            <w:gridSpan w:val="2"/>
          </w:tcPr>
          <w:p>
            <w:pPr>
              <w:jc w:val="center"/>
              <w:ind w:right="3000"/>
              <w:spacing w:after="0"/>
              <w:rPr>
                <w:sz w:val="20"/>
                <w:szCs w:val="20"/>
                <w:color w:val="auto"/>
              </w:rPr>
            </w:pPr>
            <w:r>
              <w:rPr>
                <w:rFonts w:ascii="Arial" w:cs="Arial" w:eastAsia="Arial" w:hAnsi="Arial"/>
                <w:sz w:val="18"/>
                <w:szCs w:val="18"/>
                <w:color w:val="auto"/>
                <w:w w:val="99"/>
              </w:rPr>
              <w:t>ARTICLE I</w:t>
            </w:r>
          </w:p>
        </w:tc>
        <w:tc>
          <w:tcPr>
            <w:tcW w:w="14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8260" w:type="dxa"/>
            <w:vAlign w:val="bottom"/>
            <w:gridSpan w:val="3"/>
          </w:tcPr>
          <w:p>
            <w:pPr>
              <w:jc w:val="center"/>
              <w:ind w:left="290"/>
              <w:spacing w:after="0"/>
              <w:rPr>
                <w:sz w:val="20"/>
                <w:szCs w:val="20"/>
                <w:color w:val="auto"/>
              </w:rPr>
            </w:pPr>
            <w:r>
              <w:rPr>
                <w:rFonts w:ascii="Arial" w:cs="Arial" w:eastAsia="Arial" w:hAnsi="Arial"/>
                <w:sz w:val="18"/>
                <w:szCs w:val="18"/>
                <w:color w:val="auto"/>
                <w:w w:val="96"/>
              </w:rPr>
              <w:t>DEFINITIONS; ACCOUNTING TERMS; INTERPRETATION</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w w:val="96"/>
              </w:rPr>
              <w:t>SECTION 1.01</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Definitions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1.02  Accounting Terms; Changes in GAAP</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1.03</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Interpretation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1.04</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LLC Divisions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1.05</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Luxembourg Terms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1.06</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Dutch Terms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1.07  Centre of Main Interest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w w:val="96"/>
              </w:rPr>
              <w:t>SECTION 1.08</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Quebec Terms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00" w:type="dxa"/>
            <w:vAlign w:val="bottom"/>
            <w:gridSpan w:val="2"/>
          </w:tcPr>
          <w:p>
            <w:pPr>
              <w:jc w:val="center"/>
              <w:ind w:right="2980"/>
              <w:spacing w:after="0"/>
              <w:rPr>
                <w:sz w:val="20"/>
                <w:szCs w:val="20"/>
                <w:color w:val="auto"/>
              </w:rPr>
            </w:pPr>
            <w:r>
              <w:rPr>
                <w:rFonts w:ascii="Arial" w:cs="Arial" w:eastAsia="Arial" w:hAnsi="Arial"/>
                <w:sz w:val="18"/>
                <w:szCs w:val="18"/>
                <w:color w:val="auto"/>
              </w:rPr>
              <w:t>ARTICLE II</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900" w:type="dxa"/>
            <w:vAlign w:val="bottom"/>
            <w:gridSpan w:val="2"/>
          </w:tcPr>
          <w:p>
            <w:pPr>
              <w:jc w:val="center"/>
              <w:ind w:right="3000"/>
              <w:spacing w:after="0"/>
              <w:rPr>
                <w:sz w:val="20"/>
                <w:szCs w:val="20"/>
                <w:color w:val="auto"/>
              </w:rPr>
            </w:pPr>
            <w:r>
              <w:rPr>
                <w:rFonts w:ascii="Arial" w:cs="Arial" w:eastAsia="Arial" w:hAnsi="Arial"/>
                <w:sz w:val="18"/>
                <w:szCs w:val="18"/>
                <w:color w:val="auto"/>
                <w:w w:val="98"/>
              </w:rPr>
              <w:t>COMMITMENTS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9440" w:type="dxa"/>
            <w:vAlign w:val="bottom"/>
            <w:gridSpan w:val="4"/>
          </w:tcPr>
          <w:p>
            <w:pPr>
              <w:spacing w:after="0"/>
              <w:rPr>
                <w:sz w:val="20"/>
                <w:szCs w:val="20"/>
                <w:color w:val="auto"/>
              </w:rPr>
            </w:pPr>
            <w:r>
              <w:rPr>
                <w:rFonts w:ascii="Arial" w:cs="Arial" w:eastAsia="Arial" w:hAnsi="Arial"/>
                <w:sz w:val="18"/>
                <w:szCs w:val="18"/>
                <w:color w:val="auto"/>
              </w:rPr>
              <w:t>SECTION 2.01  Termination and Reduction of Commitments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2.02  Repayment of Obligations; Evidence of Debt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2.03  Prepayment of Obligations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2.04</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Fees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2.05</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Interest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2.06  Alternate Rate of Fees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2.07</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Increased Costs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2.08  Several Liability; Agreement to Defer Exercise of Right of Contribution, Etc.</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2.09  Determination of Exchange Rates; Cash Collateralization as a Result of Currency Fluctuations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2.10</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Defaulting Lenders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2.11  Increase in Commitments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w w:val="96"/>
              </w:rPr>
              <w:t>SECTION 2.12</w:t>
            </w:r>
          </w:p>
        </w:tc>
        <w:tc>
          <w:tcPr>
            <w:tcW w:w="8260" w:type="dxa"/>
            <w:vAlign w:val="bottom"/>
            <w:gridSpan w:val="3"/>
          </w:tcPr>
          <w:p>
            <w:pPr>
              <w:ind w:left="60"/>
              <w:spacing w:after="0"/>
              <w:rPr>
                <w:sz w:val="20"/>
                <w:szCs w:val="20"/>
                <w:color w:val="auto"/>
              </w:rPr>
            </w:pPr>
            <w:r>
              <w:rPr>
                <w:rFonts w:ascii="Arial" w:cs="Arial" w:eastAsia="Arial" w:hAnsi="Arial"/>
                <w:sz w:val="18"/>
                <w:szCs w:val="18"/>
                <w:color w:val="auto"/>
              </w:rPr>
              <w:t>Activity Reports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00" w:type="dxa"/>
            <w:vAlign w:val="bottom"/>
            <w:gridSpan w:val="2"/>
          </w:tcPr>
          <w:p>
            <w:pPr>
              <w:jc w:val="center"/>
              <w:ind w:right="3000"/>
              <w:spacing w:after="0"/>
              <w:rPr>
                <w:sz w:val="20"/>
                <w:szCs w:val="20"/>
                <w:color w:val="auto"/>
              </w:rPr>
            </w:pPr>
            <w:r>
              <w:rPr>
                <w:rFonts w:ascii="Arial" w:cs="Arial" w:eastAsia="Arial" w:hAnsi="Arial"/>
                <w:sz w:val="18"/>
                <w:szCs w:val="18"/>
                <w:color w:val="auto"/>
              </w:rPr>
              <w:t>ARTICLE III</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900" w:type="dxa"/>
            <w:vAlign w:val="bottom"/>
            <w:gridSpan w:val="2"/>
          </w:tcPr>
          <w:p>
            <w:pPr>
              <w:jc w:val="center"/>
              <w:ind w:right="3000"/>
              <w:spacing w:after="0"/>
              <w:rPr>
                <w:sz w:val="20"/>
                <w:szCs w:val="20"/>
                <w:color w:val="auto"/>
              </w:rPr>
            </w:pPr>
            <w:r>
              <w:rPr>
                <w:rFonts w:ascii="Arial" w:cs="Arial" w:eastAsia="Arial" w:hAnsi="Arial"/>
                <w:sz w:val="18"/>
                <w:szCs w:val="18"/>
                <w:color w:val="auto"/>
                <w:w w:val="95"/>
              </w:rPr>
              <w:t>LETTERS OF CREDIT</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w w:val="96"/>
              </w:rPr>
              <w:t>SECTION 3.01</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Letters of Credit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00" w:type="dxa"/>
            <w:vAlign w:val="bottom"/>
            <w:gridSpan w:val="2"/>
          </w:tcPr>
          <w:p>
            <w:pPr>
              <w:jc w:val="center"/>
              <w:ind w:right="3000"/>
              <w:spacing w:after="0"/>
              <w:rPr>
                <w:sz w:val="20"/>
                <w:szCs w:val="20"/>
                <w:color w:val="auto"/>
              </w:rPr>
            </w:pPr>
            <w:r>
              <w:rPr>
                <w:rFonts w:ascii="Arial" w:cs="Arial" w:eastAsia="Arial" w:hAnsi="Arial"/>
                <w:sz w:val="18"/>
                <w:szCs w:val="18"/>
                <w:color w:val="auto"/>
                <w:w w:val="99"/>
              </w:rPr>
              <w:t>ARTICLE IV</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826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PAYMENTS; PRO RATA TREATMENT; TAXES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9440" w:type="dxa"/>
            <w:vAlign w:val="bottom"/>
            <w:gridSpan w:val="4"/>
          </w:tcPr>
          <w:p>
            <w:pPr>
              <w:spacing w:after="0"/>
              <w:rPr>
                <w:sz w:val="20"/>
                <w:szCs w:val="20"/>
                <w:color w:val="auto"/>
              </w:rPr>
            </w:pPr>
            <w:r>
              <w:rPr>
                <w:rFonts w:ascii="Arial" w:cs="Arial" w:eastAsia="Arial" w:hAnsi="Arial"/>
                <w:sz w:val="18"/>
                <w:szCs w:val="18"/>
                <w:color w:val="auto"/>
              </w:rPr>
              <w:t>SECTION 4.01  Payments Generally; Pro Rata Treatment; Sharing of Set-offs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4.02</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Taxes/Additional Payments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440" w:type="dxa"/>
            <w:vAlign w:val="bottom"/>
            <w:gridSpan w:val="4"/>
          </w:tcPr>
          <w:p>
            <w:pPr>
              <w:spacing w:after="0"/>
              <w:rPr>
                <w:sz w:val="20"/>
                <w:szCs w:val="20"/>
                <w:color w:val="auto"/>
              </w:rPr>
            </w:pPr>
            <w:r>
              <w:rPr>
                <w:rFonts w:ascii="Arial" w:cs="Arial" w:eastAsia="Arial" w:hAnsi="Arial"/>
                <w:sz w:val="18"/>
                <w:szCs w:val="18"/>
                <w:color w:val="auto"/>
              </w:rPr>
              <w:t>SECTION 4.03  Mitigation Obligations; Replacement of Lenders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4.04</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Financial Assistance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w w:val="96"/>
              </w:rPr>
              <w:t>SECTION 4.05</w:t>
            </w:r>
          </w:p>
        </w:tc>
        <w:tc>
          <w:tcPr>
            <w:tcW w:w="8260" w:type="dxa"/>
            <w:vAlign w:val="bottom"/>
            <w:gridSpan w:val="3"/>
          </w:tcPr>
          <w:p>
            <w:pPr>
              <w:ind w:left="80"/>
              <w:spacing w:after="0"/>
              <w:rPr>
                <w:sz w:val="20"/>
                <w:szCs w:val="20"/>
                <w:color w:val="auto"/>
              </w:rPr>
            </w:pPr>
            <w:r>
              <w:rPr>
                <w:rFonts w:ascii="Arial" w:cs="Arial" w:eastAsia="Arial" w:hAnsi="Arial"/>
                <w:sz w:val="18"/>
                <w:szCs w:val="18"/>
                <w:color w:val="auto"/>
              </w:rPr>
              <w:t>UK Limitation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78</w:t>
            </w:r>
          </w:p>
        </w:tc>
      </w:tr>
    </w:tbl>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891" w:right="23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920" w:type="dxa"/>
            <w:vAlign w:val="bottom"/>
          </w:tcPr>
          <w:p>
            <w:pPr>
              <w:jc w:val="center"/>
              <w:ind w:right="190"/>
              <w:spacing w:after="0"/>
              <w:rPr>
                <w:sz w:val="20"/>
                <w:szCs w:val="20"/>
                <w:color w:val="auto"/>
              </w:rPr>
            </w:pPr>
            <w:r>
              <w:rPr>
                <w:rFonts w:ascii="Arial" w:cs="Arial" w:eastAsia="Arial" w:hAnsi="Arial"/>
                <w:sz w:val="18"/>
                <w:szCs w:val="18"/>
                <w:color w:val="auto"/>
                <w:w w:val="98"/>
              </w:rPr>
              <w:t>ARTICLE V</w:t>
            </w:r>
          </w:p>
        </w:tc>
        <w:tc>
          <w:tcPr>
            <w:tcW w:w="110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8920" w:type="dxa"/>
            <w:vAlign w:val="bottom"/>
          </w:tcPr>
          <w:p>
            <w:pPr>
              <w:jc w:val="center"/>
              <w:ind w:right="210"/>
              <w:spacing w:after="0"/>
              <w:rPr>
                <w:sz w:val="20"/>
                <w:szCs w:val="20"/>
                <w:color w:val="auto"/>
              </w:rPr>
            </w:pPr>
            <w:r>
              <w:rPr>
                <w:rFonts w:ascii="Arial" w:cs="Arial" w:eastAsia="Arial" w:hAnsi="Arial"/>
                <w:sz w:val="18"/>
                <w:szCs w:val="18"/>
                <w:color w:val="auto"/>
                <w:w w:val="95"/>
              </w:rPr>
              <w:t>CONDITIONS PRECEDENT</w:t>
            </w:r>
          </w:p>
        </w:tc>
        <w:tc>
          <w:tcPr>
            <w:tcW w:w="1100" w:type="dxa"/>
            <w:vAlign w:val="bottom"/>
          </w:tcPr>
          <w:p>
            <w:pPr>
              <w:spacing w:after="0"/>
              <w:rPr>
                <w:sz w:val="20"/>
                <w:szCs w:val="20"/>
                <w:color w:val="auto"/>
              </w:rPr>
            </w:pPr>
          </w:p>
        </w:tc>
      </w:tr>
      <w:tr>
        <w:trPr>
          <w:trHeight w:val="418"/>
        </w:trPr>
        <w:tc>
          <w:tcPr>
            <w:tcW w:w="10100" w:type="dxa"/>
            <w:vAlign w:val="bottom"/>
            <w:gridSpan w:val="2"/>
          </w:tcPr>
          <w:p>
            <w:pPr>
              <w:spacing w:after="0"/>
              <w:rPr>
                <w:sz w:val="20"/>
                <w:szCs w:val="20"/>
                <w:color w:val="auto"/>
              </w:rPr>
            </w:pPr>
            <w:r>
              <w:rPr>
                <w:rFonts w:ascii="Arial" w:cs="Arial" w:eastAsia="Arial" w:hAnsi="Arial"/>
                <w:sz w:val="18"/>
                <w:szCs w:val="18"/>
                <w:color w:val="auto"/>
              </w:rPr>
              <w:t>SECTION 5.01  Conditions Precedent to the Effective Date</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SECTION 5.02  Conditions Precedent to All Credit Events</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180" w:type="dxa"/>
            <w:vAlign w:val="bottom"/>
          </w:tcPr>
          <w:p>
            <w:pPr>
              <w:spacing w:after="0"/>
              <w:rPr>
                <w:sz w:val="24"/>
                <w:szCs w:val="24"/>
                <w:color w:val="auto"/>
              </w:rPr>
            </w:pPr>
          </w:p>
        </w:tc>
        <w:tc>
          <w:tcPr>
            <w:tcW w:w="8920" w:type="dxa"/>
            <w:vAlign w:val="bottom"/>
          </w:tcPr>
          <w:p>
            <w:pPr>
              <w:jc w:val="center"/>
              <w:ind w:right="210"/>
              <w:spacing w:after="0"/>
              <w:rPr>
                <w:sz w:val="20"/>
                <w:szCs w:val="20"/>
                <w:color w:val="auto"/>
              </w:rPr>
            </w:pPr>
            <w:r>
              <w:rPr>
                <w:rFonts w:ascii="Arial" w:cs="Arial" w:eastAsia="Arial" w:hAnsi="Arial"/>
                <w:sz w:val="18"/>
                <w:szCs w:val="18"/>
                <w:color w:val="auto"/>
                <w:w w:val="99"/>
              </w:rPr>
              <w:t>ARTICLE VI</w:t>
            </w:r>
          </w:p>
        </w:tc>
        <w:tc>
          <w:tcPr>
            <w:tcW w:w="110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8920" w:type="dxa"/>
            <w:vAlign w:val="bottom"/>
          </w:tcPr>
          <w:p>
            <w:pPr>
              <w:jc w:val="center"/>
              <w:ind w:right="190"/>
              <w:spacing w:after="0"/>
              <w:rPr>
                <w:sz w:val="20"/>
                <w:szCs w:val="20"/>
                <w:color w:val="auto"/>
              </w:rPr>
            </w:pPr>
            <w:r>
              <w:rPr>
                <w:rFonts w:ascii="Arial" w:cs="Arial" w:eastAsia="Arial" w:hAnsi="Arial"/>
                <w:sz w:val="18"/>
                <w:szCs w:val="18"/>
                <w:color w:val="auto"/>
                <w:w w:val="95"/>
              </w:rPr>
              <w:t>REPRESENTATIONS AND WARRANTIES</w:t>
            </w:r>
          </w:p>
        </w:tc>
        <w:tc>
          <w:tcPr>
            <w:tcW w:w="1100" w:type="dxa"/>
            <w:vAlign w:val="bottom"/>
          </w:tcPr>
          <w:p>
            <w:pPr>
              <w:spacing w:after="0"/>
              <w:rPr>
                <w:sz w:val="20"/>
                <w:szCs w:val="20"/>
                <w:color w:val="auto"/>
              </w:rPr>
            </w:pPr>
          </w:p>
        </w:tc>
      </w:tr>
      <w:tr>
        <w:trPr>
          <w:trHeight w:val="418"/>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6.01  Organization and Qualification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6.02  Authorization, Validity, Etc.</w:t>
            </w: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6.03  Governmental Consents, Etc.</w:t>
            </w: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6.04  No Breach or Violation of Law or Agreements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6.05</w:t>
            </w:r>
          </w:p>
        </w:tc>
        <w:tc>
          <w:tcPr>
            <w:tcW w:w="892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6.06  Information; No Material Adverse Change</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6.07  Investment Company Act; Margin Regulations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6.08  ERISA; Canadian Defined Benefit Plans</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6.09  Tax Returns and Payments</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6.10  Requirements of Law</w:t>
            </w: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6.11</w:t>
            </w:r>
          </w:p>
        </w:tc>
        <w:tc>
          <w:tcPr>
            <w:tcW w:w="8920" w:type="dxa"/>
            <w:vAlign w:val="bottom"/>
          </w:tcPr>
          <w:p>
            <w:pPr>
              <w:ind w:left="80"/>
              <w:spacing w:after="0"/>
              <w:rPr>
                <w:sz w:val="20"/>
                <w:szCs w:val="20"/>
                <w:color w:val="auto"/>
              </w:rPr>
            </w:pPr>
            <w:r>
              <w:rPr>
                <w:rFonts w:ascii="Arial" w:cs="Arial" w:eastAsia="Arial" w:hAnsi="Arial"/>
                <w:sz w:val="18"/>
                <w:szCs w:val="18"/>
                <w:color w:val="auto"/>
              </w:rPr>
              <w:t>No Default</w:t>
            </w: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6.12  Anti-Corruption Laws and Sanctions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6.13</w:t>
            </w:r>
          </w:p>
        </w:tc>
        <w:tc>
          <w:tcPr>
            <w:tcW w:w="892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6.14  No Restrictive Agreements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6.15</w:t>
            </w:r>
          </w:p>
        </w:tc>
        <w:tc>
          <w:tcPr>
            <w:tcW w:w="8920" w:type="dxa"/>
            <w:vAlign w:val="bottom"/>
          </w:tcPr>
          <w:p>
            <w:pPr>
              <w:ind w:left="80"/>
              <w:spacing w:after="0"/>
              <w:rPr>
                <w:sz w:val="20"/>
                <w:szCs w:val="20"/>
                <w:color w:val="auto"/>
              </w:rPr>
            </w:pPr>
            <w:r>
              <w:rPr>
                <w:rFonts w:ascii="Arial" w:cs="Arial" w:eastAsia="Arial" w:hAnsi="Arial"/>
                <w:sz w:val="18"/>
                <w:szCs w:val="18"/>
                <w:color w:val="auto"/>
              </w:rPr>
              <w:t>Solvency</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6.16</w:t>
            </w:r>
          </w:p>
        </w:tc>
        <w:tc>
          <w:tcPr>
            <w:tcW w:w="8920" w:type="dxa"/>
            <w:vAlign w:val="bottom"/>
          </w:tcPr>
          <w:p>
            <w:pPr>
              <w:ind w:left="80"/>
              <w:spacing w:after="0"/>
              <w:rPr>
                <w:sz w:val="20"/>
                <w:szCs w:val="20"/>
                <w:color w:val="auto"/>
              </w:rPr>
            </w:pPr>
            <w:r>
              <w:rPr>
                <w:rFonts w:ascii="Arial" w:cs="Arial" w:eastAsia="Arial" w:hAnsi="Arial"/>
                <w:sz w:val="18"/>
                <w:szCs w:val="18"/>
                <w:color w:val="auto"/>
              </w:rPr>
              <w:t>Insurance</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6.17  Rank of Obligations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6.18</w:t>
            </w:r>
          </w:p>
        </w:tc>
        <w:tc>
          <w:tcPr>
            <w:tcW w:w="8920" w:type="dxa"/>
            <w:vAlign w:val="bottom"/>
          </w:tcPr>
          <w:p>
            <w:pPr>
              <w:ind w:left="80"/>
              <w:spacing w:after="0"/>
              <w:rPr>
                <w:sz w:val="20"/>
                <w:szCs w:val="20"/>
                <w:color w:val="auto"/>
              </w:rPr>
            </w:pPr>
            <w:r>
              <w:rPr>
                <w:rFonts w:ascii="Arial" w:cs="Arial" w:eastAsia="Arial" w:hAnsi="Arial"/>
                <w:sz w:val="18"/>
                <w:szCs w:val="18"/>
                <w:color w:val="auto"/>
              </w:rPr>
              <w:t>Liens</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6.19  Security Interest in Collateral</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6.20</w:t>
            </w:r>
          </w:p>
        </w:tc>
        <w:tc>
          <w:tcPr>
            <w:tcW w:w="8920" w:type="dxa"/>
            <w:vAlign w:val="bottom"/>
          </w:tcPr>
          <w:p>
            <w:pPr>
              <w:ind w:left="80"/>
              <w:spacing w:after="0"/>
              <w:rPr>
                <w:sz w:val="20"/>
                <w:szCs w:val="20"/>
                <w:color w:val="auto"/>
              </w:rPr>
            </w:pPr>
            <w:r>
              <w:rPr>
                <w:rFonts w:ascii="Arial" w:cs="Arial" w:eastAsia="Arial" w:hAnsi="Arial"/>
                <w:sz w:val="18"/>
                <w:szCs w:val="18"/>
                <w:color w:val="auto"/>
              </w:rPr>
              <w:t>Capital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6.21  EEA Financial Institutions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6.22  Compliance with the Swiss Non-Bank Rules</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6.23  Dutch Fiscal Unity</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6.24</w:t>
            </w:r>
          </w:p>
        </w:tc>
        <w:tc>
          <w:tcPr>
            <w:tcW w:w="8920" w:type="dxa"/>
            <w:vAlign w:val="bottom"/>
          </w:tcPr>
          <w:p>
            <w:pPr>
              <w:ind w:left="80"/>
              <w:spacing w:after="0"/>
              <w:rPr>
                <w:sz w:val="20"/>
                <w:szCs w:val="20"/>
                <w:color w:val="auto"/>
              </w:rPr>
            </w:pPr>
            <w:r>
              <w:rPr>
                <w:rFonts w:ascii="Arial" w:cs="Arial" w:eastAsia="Arial" w:hAnsi="Arial"/>
                <w:sz w:val="18"/>
                <w:szCs w:val="18"/>
                <w:color w:val="auto"/>
              </w:rPr>
              <w:t>Tax Residency</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SECTION 6.25  Status as a Holding Company</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18"/>
        </w:trPr>
        <w:tc>
          <w:tcPr>
            <w:tcW w:w="1180" w:type="dxa"/>
            <w:vAlign w:val="bottom"/>
          </w:tcPr>
          <w:p>
            <w:pPr>
              <w:spacing w:after="0"/>
              <w:rPr>
                <w:sz w:val="24"/>
                <w:szCs w:val="24"/>
                <w:color w:val="auto"/>
              </w:rPr>
            </w:pPr>
          </w:p>
        </w:tc>
        <w:tc>
          <w:tcPr>
            <w:tcW w:w="8920" w:type="dxa"/>
            <w:vAlign w:val="bottom"/>
          </w:tcPr>
          <w:p>
            <w:pPr>
              <w:jc w:val="center"/>
              <w:ind w:right="190"/>
              <w:spacing w:after="0"/>
              <w:rPr>
                <w:sz w:val="20"/>
                <w:szCs w:val="20"/>
                <w:color w:val="auto"/>
              </w:rPr>
            </w:pPr>
            <w:r>
              <w:rPr>
                <w:rFonts w:ascii="Arial" w:cs="Arial" w:eastAsia="Arial" w:hAnsi="Arial"/>
                <w:sz w:val="18"/>
                <w:szCs w:val="18"/>
                <w:color w:val="auto"/>
              </w:rPr>
              <w:t>ARTICLE VII</w:t>
            </w:r>
          </w:p>
        </w:tc>
        <w:tc>
          <w:tcPr>
            <w:tcW w:w="110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8920" w:type="dxa"/>
            <w:vAlign w:val="bottom"/>
          </w:tcPr>
          <w:p>
            <w:pPr>
              <w:jc w:val="center"/>
              <w:ind w:right="190"/>
              <w:spacing w:after="0"/>
              <w:rPr>
                <w:sz w:val="20"/>
                <w:szCs w:val="20"/>
                <w:color w:val="auto"/>
              </w:rPr>
            </w:pPr>
            <w:r>
              <w:rPr>
                <w:rFonts w:ascii="Arial" w:cs="Arial" w:eastAsia="Arial" w:hAnsi="Arial"/>
                <w:sz w:val="18"/>
                <w:szCs w:val="18"/>
                <w:color w:val="auto"/>
                <w:w w:val="98"/>
              </w:rPr>
              <w:t>AFFIRMATIVE COVENANTS</w:t>
            </w:r>
          </w:p>
        </w:tc>
        <w:tc>
          <w:tcPr>
            <w:tcW w:w="110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w w:val="96"/>
              </w:rPr>
              <w:t>SECTION 7.01</w:t>
            </w:r>
          </w:p>
        </w:tc>
        <w:tc>
          <w:tcPr>
            <w:tcW w:w="8920" w:type="dxa"/>
            <w:vAlign w:val="bottom"/>
          </w:tcPr>
          <w:p>
            <w:pPr>
              <w:ind w:left="80"/>
              <w:spacing w:after="0"/>
              <w:rPr>
                <w:sz w:val="20"/>
                <w:szCs w:val="20"/>
                <w:color w:val="auto"/>
              </w:rPr>
            </w:pPr>
            <w:r>
              <w:rPr>
                <w:rFonts w:ascii="Arial" w:cs="Arial" w:eastAsia="Arial" w:hAnsi="Arial"/>
                <w:sz w:val="18"/>
                <w:szCs w:val="18"/>
                <w:color w:val="auto"/>
              </w:rPr>
              <w:t>Information Covenants</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7.02  Books, Records and Inspections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7.03</w:t>
            </w:r>
          </w:p>
        </w:tc>
        <w:tc>
          <w:tcPr>
            <w:tcW w:w="8920" w:type="dxa"/>
            <w:vAlign w:val="bottom"/>
          </w:tcPr>
          <w:p>
            <w:pPr>
              <w:ind w:left="80"/>
              <w:spacing w:after="0"/>
              <w:rPr>
                <w:sz w:val="20"/>
                <w:szCs w:val="20"/>
                <w:color w:val="auto"/>
              </w:rPr>
            </w:pPr>
            <w:r>
              <w:rPr>
                <w:rFonts w:ascii="Arial" w:cs="Arial" w:eastAsia="Arial" w:hAnsi="Arial"/>
                <w:sz w:val="18"/>
                <w:szCs w:val="18"/>
                <w:color w:val="auto"/>
              </w:rPr>
              <w:t>Insurance</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7.04  Payment of Taxes and other Claims</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7.05</w:t>
            </w:r>
          </w:p>
        </w:tc>
        <w:tc>
          <w:tcPr>
            <w:tcW w:w="8920" w:type="dxa"/>
            <w:vAlign w:val="bottom"/>
          </w:tcPr>
          <w:p>
            <w:pPr>
              <w:ind w:left="80"/>
              <w:spacing w:after="0"/>
              <w:rPr>
                <w:sz w:val="20"/>
                <w:szCs w:val="20"/>
                <w:color w:val="auto"/>
              </w:rPr>
            </w:pPr>
            <w:r>
              <w:rPr>
                <w:rFonts w:ascii="Arial" w:cs="Arial" w:eastAsia="Arial" w:hAnsi="Arial"/>
                <w:sz w:val="18"/>
                <w:szCs w:val="18"/>
                <w:color w:val="auto"/>
              </w:rPr>
              <w:t>Existence</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7.06</w:t>
            </w:r>
          </w:p>
        </w:tc>
        <w:tc>
          <w:tcPr>
            <w:tcW w:w="8920" w:type="dxa"/>
            <w:vAlign w:val="bottom"/>
          </w:tcPr>
          <w:p>
            <w:pPr>
              <w:ind w:left="80"/>
              <w:spacing w:after="0"/>
              <w:rPr>
                <w:sz w:val="20"/>
                <w:szCs w:val="20"/>
                <w:color w:val="auto"/>
              </w:rPr>
            </w:pPr>
            <w:r>
              <w:rPr>
                <w:rFonts w:ascii="Arial" w:cs="Arial" w:eastAsia="Arial" w:hAnsi="Arial"/>
                <w:sz w:val="18"/>
                <w:szCs w:val="18"/>
                <w:color w:val="auto"/>
              </w:rPr>
              <w:t>ERISA Compliance</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7.07  Compliance with Laws and Material Contractual Obligations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7.08  Additional Guarantors; Additional Specified Jurisdictions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w w:val="99"/>
              </w:rPr>
              <w:t>SECTION 7.09  Designation of Unrestricted Subsidiaries; Redesignation of Unrestricted Subsidiaries as Restricted Subsidiaries</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7.10  Compliance with the Swiss Non-Bank Rules</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7.11  Post-Closing Grant and Perfection Requirements Matters</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7.12  Status as a Holding Company</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6"/>
              </w:rPr>
              <w:t>SECTION 7.13</w:t>
            </w:r>
          </w:p>
        </w:tc>
        <w:tc>
          <w:tcPr>
            <w:tcW w:w="8920" w:type="dxa"/>
            <w:vAlign w:val="bottom"/>
          </w:tcPr>
          <w:p>
            <w:pPr>
              <w:ind w:left="80"/>
              <w:spacing w:after="0"/>
              <w:rPr>
                <w:sz w:val="20"/>
                <w:szCs w:val="20"/>
                <w:color w:val="auto"/>
              </w:rPr>
            </w:pPr>
            <w:r>
              <w:rPr>
                <w:rFonts w:ascii="Arial" w:cs="Arial" w:eastAsia="Arial" w:hAnsi="Arial"/>
                <w:sz w:val="18"/>
                <w:szCs w:val="18"/>
                <w:color w:val="auto"/>
              </w:rPr>
              <w:t>Lender Meeting</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SECTION 7.14  Maintenance of Properties</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1151" w:right="23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760" w:type="dxa"/>
            <w:vAlign w:val="bottom"/>
          </w:tcPr>
          <w:p>
            <w:pPr>
              <w:jc w:val="center"/>
              <w:ind w:left="610"/>
              <w:spacing w:after="0"/>
              <w:rPr>
                <w:sz w:val="20"/>
                <w:szCs w:val="20"/>
                <w:color w:val="auto"/>
              </w:rPr>
            </w:pPr>
            <w:r>
              <w:rPr>
                <w:rFonts w:ascii="Arial" w:cs="Arial" w:eastAsia="Arial" w:hAnsi="Arial"/>
                <w:sz w:val="18"/>
                <w:szCs w:val="18"/>
                <w:color w:val="auto"/>
              </w:rPr>
              <w:t>ARTICLE VIII</w:t>
            </w:r>
          </w:p>
        </w:tc>
        <w:tc>
          <w:tcPr>
            <w:tcW w:w="220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7760" w:type="dxa"/>
            <w:vAlign w:val="bottom"/>
          </w:tcPr>
          <w:p>
            <w:pPr>
              <w:jc w:val="center"/>
              <w:ind w:left="650"/>
              <w:spacing w:after="0"/>
              <w:rPr>
                <w:sz w:val="20"/>
                <w:szCs w:val="20"/>
                <w:color w:val="auto"/>
              </w:rPr>
            </w:pPr>
            <w:r>
              <w:rPr>
                <w:rFonts w:ascii="Arial" w:cs="Arial" w:eastAsia="Arial" w:hAnsi="Arial"/>
                <w:sz w:val="18"/>
                <w:szCs w:val="18"/>
                <w:color w:val="auto"/>
                <w:w w:val="97"/>
              </w:rPr>
              <w:t>NEGATIVE COVENANTS</w:t>
            </w:r>
          </w:p>
        </w:tc>
        <w:tc>
          <w:tcPr>
            <w:tcW w:w="22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p>
        </w:tc>
        <w:tc>
          <w:tcPr>
            <w:tcW w:w="7760" w:type="dxa"/>
            <w:vAlign w:val="bottom"/>
          </w:tcPr>
          <w:p>
            <w:pPr>
              <w:ind w:left="20"/>
              <w:spacing w:after="0"/>
              <w:rPr>
                <w:sz w:val="20"/>
                <w:szCs w:val="20"/>
                <w:color w:val="auto"/>
              </w:rPr>
            </w:pPr>
            <w:r>
              <w:rPr>
                <w:rFonts w:ascii="Arial" w:cs="Arial" w:eastAsia="Arial" w:hAnsi="Arial"/>
                <w:sz w:val="18"/>
                <w:szCs w:val="18"/>
                <w:color w:val="auto"/>
              </w:rPr>
              <w:t>Indebtedness</w:t>
            </w:r>
          </w:p>
        </w:tc>
        <w:tc>
          <w:tcPr>
            <w:tcW w:w="22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p>
        </w:tc>
        <w:tc>
          <w:tcPr>
            <w:tcW w:w="7760" w:type="dxa"/>
            <w:vAlign w:val="bottom"/>
          </w:tcPr>
          <w:p>
            <w:pPr>
              <w:ind w:left="20"/>
              <w:spacing w:after="0"/>
              <w:rPr>
                <w:sz w:val="20"/>
                <w:szCs w:val="20"/>
                <w:color w:val="auto"/>
              </w:rPr>
            </w:pPr>
            <w:r>
              <w:rPr>
                <w:rFonts w:ascii="Arial" w:cs="Arial" w:eastAsia="Arial" w:hAnsi="Arial"/>
                <w:sz w:val="18"/>
                <w:szCs w:val="18"/>
                <w:color w:val="auto"/>
              </w:rPr>
              <w:t>Fundamental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8.03  Material Change in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p>
        </w:tc>
        <w:tc>
          <w:tcPr>
            <w:tcW w:w="7760" w:type="dxa"/>
            <w:vAlign w:val="bottom"/>
          </w:tcPr>
          <w:p>
            <w:pPr>
              <w:ind w:left="20"/>
              <w:spacing w:after="0"/>
              <w:rPr>
                <w:sz w:val="20"/>
                <w:szCs w:val="20"/>
                <w:color w:val="auto"/>
              </w:rPr>
            </w:pPr>
            <w:r>
              <w:rPr>
                <w:rFonts w:ascii="Arial" w:cs="Arial" w:eastAsia="Arial" w:hAnsi="Arial"/>
                <w:sz w:val="18"/>
                <w:szCs w:val="18"/>
                <w:color w:val="auto"/>
              </w:rPr>
              <w:t>Liens</w:t>
            </w:r>
          </w:p>
        </w:tc>
        <w:tc>
          <w:tcPr>
            <w:tcW w:w="2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8.05</w:t>
            </w:r>
          </w:p>
        </w:tc>
        <w:tc>
          <w:tcPr>
            <w:tcW w:w="7760" w:type="dxa"/>
            <w:vAlign w:val="bottom"/>
          </w:tcPr>
          <w:p>
            <w:pPr>
              <w:spacing w:after="0"/>
              <w:rPr>
                <w:sz w:val="20"/>
                <w:szCs w:val="20"/>
                <w:color w:val="auto"/>
              </w:rPr>
            </w:pPr>
            <w:r>
              <w:rPr>
                <w:rFonts w:ascii="Arial" w:cs="Arial" w:eastAsia="Arial" w:hAnsi="Arial"/>
                <w:sz w:val="18"/>
                <w:szCs w:val="18"/>
                <w:color w:val="auto"/>
              </w:rPr>
              <w:t>Asset Dispositions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8.06</w:t>
            </w:r>
          </w:p>
        </w:tc>
        <w:tc>
          <w:tcPr>
            <w:tcW w:w="77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8.07</w:t>
            </w:r>
          </w:p>
        </w:tc>
        <w:tc>
          <w:tcPr>
            <w:tcW w:w="7760" w:type="dxa"/>
            <w:vAlign w:val="bottom"/>
          </w:tcPr>
          <w:p>
            <w:pPr>
              <w:ind w:left="20"/>
              <w:spacing w:after="0"/>
              <w:rPr>
                <w:sz w:val="20"/>
                <w:szCs w:val="20"/>
                <w:color w:val="auto"/>
              </w:rPr>
            </w:pPr>
            <w:r>
              <w:rPr>
                <w:rFonts w:ascii="Arial" w:cs="Arial" w:eastAsia="Arial" w:hAnsi="Arial"/>
                <w:sz w:val="18"/>
                <w:szCs w:val="18"/>
                <w:color w:val="auto"/>
              </w:rPr>
              <w:t>Swap Agreements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8.08</w:t>
            </w:r>
          </w:p>
        </w:tc>
        <w:tc>
          <w:tcPr>
            <w:tcW w:w="7760" w:type="dxa"/>
            <w:vAlign w:val="bottom"/>
          </w:tcPr>
          <w:p>
            <w:pPr>
              <w:ind w:left="20"/>
              <w:spacing w:after="0"/>
              <w:rPr>
                <w:sz w:val="20"/>
                <w:szCs w:val="20"/>
                <w:color w:val="auto"/>
              </w:rPr>
            </w:pPr>
            <w:r>
              <w:rPr>
                <w:rFonts w:ascii="Arial" w:cs="Arial" w:eastAsia="Arial" w:hAnsi="Arial"/>
                <w:sz w:val="18"/>
                <w:szCs w:val="18"/>
                <w:color w:val="auto"/>
              </w:rPr>
              <w:t>Restricted Payments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8.09</w:t>
            </w:r>
          </w:p>
        </w:tc>
        <w:tc>
          <w:tcPr>
            <w:tcW w:w="7760" w:type="dxa"/>
            <w:vAlign w:val="bottom"/>
          </w:tcPr>
          <w:p>
            <w:pPr>
              <w:ind w:left="20"/>
              <w:spacing w:after="0"/>
              <w:rPr>
                <w:sz w:val="20"/>
                <w:szCs w:val="20"/>
                <w:color w:val="auto"/>
              </w:rPr>
            </w:pPr>
            <w:r>
              <w:rPr>
                <w:rFonts w:ascii="Arial" w:cs="Arial" w:eastAsia="Arial" w:hAnsi="Arial"/>
                <w:sz w:val="18"/>
                <w:szCs w:val="18"/>
                <w:color w:val="auto"/>
              </w:rPr>
              <w:t>Minimum Liquidity</w:t>
            </w:r>
          </w:p>
        </w:tc>
        <w:tc>
          <w:tcPr>
            <w:tcW w:w="22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8.10  Limitation on Transactions with Affiliates</w:t>
            </w:r>
          </w:p>
        </w:tc>
        <w:tc>
          <w:tcPr>
            <w:tcW w:w="22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8.11</w:t>
            </w:r>
          </w:p>
        </w:tc>
        <w:tc>
          <w:tcPr>
            <w:tcW w:w="7760" w:type="dxa"/>
            <w:vAlign w:val="bottom"/>
          </w:tcPr>
          <w:p>
            <w:pPr>
              <w:ind w:left="20"/>
              <w:spacing w:after="0"/>
              <w:rPr>
                <w:sz w:val="20"/>
                <w:szCs w:val="20"/>
                <w:color w:val="auto"/>
              </w:rPr>
            </w:pPr>
            <w:r>
              <w:rPr>
                <w:rFonts w:ascii="Arial" w:cs="Arial" w:eastAsia="Arial" w:hAnsi="Arial"/>
                <w:sz w:val="18"/>
                <w:szCs w:val="18"/>
                <w:color w:val="auto"/>
              </w:rPr>
              <w:t>Restrictive Agreements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8.12</w:t>
            </w:r>
          </w:p>
        </w:tc>
        <w:tc>
          <w:tcPr>
            <w:tcW w:w="776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22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8.13  Changes to Fiscal Year</w:t>
            </w:r>
          </w:p>
        </w:tc>
        <w:tc>
          <w:tcPr>
            <w:tcW w:w="22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8.14  Amendments to Documents Governing Certain Indebtedness</w:t>
            </w:r>
          </w:p>
        </w:tc>
        <w:tc>
          <w:tcPr>
            <w:tcW w:w="22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8.15  Limitation on Equity Issuances</w:t>
            </w:r>
          </w:p>
        </w:tc>
        <w:tc>
          <w:tcPr>
            <w:tcW w:w="22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SECTION 8.16  Book Value of Assets</w:t>
            </w:r>
          </w:p>
        </w:tc>
        <w:tc>
          <w:tcPr>
            <w:tcW w:w="22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18"/>
        </w:trPr>
        <w:tc>
          <w:tcPr>
            <w:tcW w:w="1240" w:type="dxa"/>
            <w:vAlign w:val="bottom"/>
          </w:tcPr>
          <w:p>
            <w:pPr>
              <w:spacing w:after="0"/>
              <w:rPr>
                <w:sz w:val="24"/>
                <w:szCs w:val="24"/>
                <w:color w:val="auto"/>
              </w:rPr>
            </w:pPr>
          </w:p>
        </w:tc>
        <w:tc>
          <w:tcPr>
            <w:tcW w:w="7760" w:type="dxa"/>
            <w:vAlign w:val="bottom"/>
          </w:tcPr>
          <w:p>
            <w:pPr>
              <w:jc w:val="center"/>
              <w:ind w:left="610"/>
              <w:spacing w:after="0"/>
              <w:rPr>
                <w:sz w:val="20"/>
                <w:szCs w:val="20"/>
                <w:color w:val="auto"/>
              </w:rPr>
            </w:pPr>
            <w:r>
              <w:rPr>
                <w:rFonts w:ascii="Arial" w:cs="Arial" w:eastAsia="Arial" w:hAnsi="Arial"/>
                <w:sz w:val="18"/>
                <w:szCs w:val="18"/>
                <w:color w:val="auto"/>
                <w:w w:val="99"/>
              </w:rPr>
              <w:t>ARTICLE IX</w:t>
            </w:r>
          </w:p>
        </w:tc>
        <w:tc>
          <w:tcPr>
            <w:tcW w:w="22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760" w:type="dxa"/>
            <w:vAlign w:val="bottom"/>
          </w:tcPr>
          <w:p>
            <w:pPr>
              <w:jc w:val="center"/>
              <w:ind w:left="650"/>
              <w:spacing w:after="0"/>
              <w:rPr>
                <w:sz w:val="20"/>
                <w:szCs w:val="20"/>
                <w:color w:val="auto"/>
              </w:rPr>
            </w:pPr>
            <w:r>
              <w:rPr>
                <w:rFonts w:ascii="Arial" w:cs="Arial" w:eastAsia="Arial" w:hAnsi="Arial"/>
                <w:sz w:val="18"/>
                <w:szCs w:val="18"/>
                <w:color w:val="auto"/>
                <w:w w:val="96"/>
              </w:rPr>
              <w:t>EVENTS OF DEFAULT AND REMEDIES</w:t>
            </w:r>
          </w:p>
        </w:tc>
        <w:tc>
          <w:tcPr>
            <w:tcW w:w="2200" w:type="dxa"/>
            <w:vAlign w:val="bottom"/>
          </w:tcPr>
          <w:p>
            <w:pPr>
              <w:spacing w:after="0"/>
              <w:rPr>
                <w:sz w:val="20"/>
                <w:szCs w:val="20"/>
                <w:color w:val="auto"/>
              </w:rPr>
            </w:pP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rPr>
              <w:t>SECTION 9.01  Events of Default and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7760" w:type="dxa"/>
            <w:vAlign w:val="bottom"/>
          </w:tcPr>
          <w:p>
            <w:pPr>
              <w:ind w:left="20"/>
              <w:spacing w:after="0"/>
              <w:rPr>
                <w:sz w:val="20"/>
                <w:szCs w:val="20"/>
                <w:color w:val="auto"/>
              </w:rPr>
            </w:pPr>
            <w:r>
              <w:rPr>
                <w:rFonts w:ascii="Arial" w:cs="Arial" w:eastAsia="Arial" w:hAnsi="Arial"/>
                <w:sz w:val="18"/>
                <w:szCs w:val="18"/>
                <w:color w:val="auto"/>
              </w:rPr>
              <w:t>Right of Setoff</w:t>
            </w:r>
          </w:p>
        </w:tc>
        <w:tc>
          <w:tcPr>
            <w:tcW w:w="2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9.03</w:t>
            </w:r>
          </w:p>
        </w:tc>
        <w:tc>
          <w:tcPr>
            <w:tcW w:w="7760" w:type="dxa"/>
            <w:vAlign w:val="bottom"/>
          </w:tcPr>
          <w:p>
            <w:pPr>
              <w:ind w:left="20"/>
              <w:spacing w:after="0"/>
              <w:rPr>
                <w:sz w:val="20"/>
                <w:szCs w:val="20"/>
                <w:color w:val="auto"/>
              </w:rPr>
            </w:pPr>
            <w:r>
              <w:rPr>
                <w:rFonts w:ascii="Arial" w:cs="Arial" w:eastAsia="Arial" w:hAnsi="Arial"/>
                <w:sz w:val="18"/>
                <w:szCs w:val="18"/>
                <w:color w:val="auto"/>
              </w:rPr>
              <w:t>Other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SECTION 9.04  Application of Moneys During Continuation of Event of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18"/>
        </w:trPr>
        <w:tc>
          <w:tcPr>
            <w:tcW w:w="1240" w:type="dxa"/>
            <w:vAlign w:val="bottom"/>
          </w:tcPr>
          <w:p>
            <w:pPr>
              <w:spacing w:after="0"/>
              <w:rPr>
                <w:sz w:val="24"/>
                <w:szCs w:val="24"/>
                <w:color w:val="auto"/>
              </w:rPr>
            </w:pPr>
          </w:p>
        </w:tc>
        <w:tc>
          <w:tcPr>
            <w:tcW w:w="7760" w:type="dxa"/>
            <w:vAlign w:val="bottom"/>
          </w:tcPr>
          <w:p>
            <w:pPr>
              <w:jc w:val="center"/>
              <w:ind w:left="610"/>
              <w:spacing w:after="0"/>
              <w:rPr>
                <w:sz w:val="20"/>
                <w:szCs w:val="20"/>
                <w:color w:val="auto"/>
              </w:rPr>
            </w:pPr>
            <w:r>
              <w:rPr>
                <w:rFonts w:ascii="Arial" w:cs="Arial" w:eastAsia="Arial" w:hAnsi="Arial"/>
                <w:sz w:val="18"/>
                <w:szCs w:val="18"/>
                <w:color w:val="auto"/>
              </w:rPr>
              <w:t>ARTICLE X</w:t>
            </w:r>
          </w:p>
        </w:tc>
        <w:tc>
          <w:tcPr>
            <w:tcW w:w="22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760" w:type="dxa"/>
            <w:vAlign w:val="bottom"/>
          </w:tcPr>
          <w:p>
            <w:pPr>
              <w:jc w:val="center"/>
              <w:ind w:left="650"/>
              <w:spacing w:after="0"/>
              <w:rPr>
                <w:sz w:val="20"/>
                <w:szCs w:val="20"/>
                <w:color w:val="auto"/>
              </w:rPr>
            </w:pPr>
            <w:r>
              <w:rPr>
                <w:rFonts w:ascii="Arial" w:cs="Arial" w:eastAsia="Arial" w:hAnsi="Arial"/>
                <w:sz w:val="18"/>
                <w:szCs w:val="18"/>
                <w:color w:val="auto"/>
                <w:w w:val="99"/>
              </w:rPr>
              <w:t>ADMINISTRATIVE AGENT</w:t>
            </w:r>
          </w:p>
        </w:tc>
        <w:tc>
          <w:tcPr>
            <w:tcW w:w="2200" w:type="dxa"/>
            <w:vAlign w:val="bottom"/>
          </w:tcPr>
          <w:p>
            <w:pPr>
              <w:spacing w:after="0"/>
              <w:rPr>
                <w:sz w:val="20"/>
                <w:szCs w:val="20"/>
                <w:color w:val="auto"/>
              </w:rPr>
            </w:pP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10.01  Authorization and Action</w:t>
            </w:r>
          </w:p>
        </w:tc>
        <w:tc>
          <w:tcPr>
            <w:tcW w:w="2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10.02  Liability of Agents</w:t>
            </w:r>
          </w:p>
        </w:tc>
        <w:tc>
          <w:tcPr>
            <w:tcW w:w="2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10.03  Reliance by Agents</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10.04  Delegation of Duties</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10.05</w:t>
            </w:r>
          </w:p>
        </w:tc>
        <w:tc>
          <w:tcPr>
            <w:tcW w:w="7760" w:type="dxa"/>
            <w:vAlign w:val="bottom"/>
          </w:tcPr>
          <w:p>
            <w:pPr>
              <w:ind w:left="100"/>
              <w:spacing w:after="0"/>
              <w:rPr>
                <w:sz w:val="20"/>
                <w:szCs w:val="20"/>
                <w:color w:val="auto"/>
              </w:rPr>
            </w:pPr>
            <w:r>
              <w:rPr>
                <w:rFonts w:ascii="Arial" w:cs="Arial" w:eastAsia="Arial" w:hAnsi="Arial"/>
                <w:sz w:val="18"/>
                <w:szCs w:val="18"/>
                <w:color w:val="auto"/>
              </w:rPr>
              <w:t>Successor Agents</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10.06</w:t>
            </w:r>
          </w:p>
        </w:tc>
        <w:tc>
          <w:tcPr>
            <w:tcW w:w="7760" w:type="dxa"/>
            <w:vAlign w:val="bottom"/>
          </w:tcPr>
          <w:p>
            <w:pPr>
              <w:ind w:left="100"/>
              <w:spacing w:after="0"/>
              <w:rPr>
                <w:sz w:val="20"/>
                <w:szCs w:val="20"/>
                <w:color w:val="auto"/>
              </w:rPr>
            </w:pPr>
            <w:r>
              <w:rPr>
                <w:rFonts w:ascii="Arial" w:cs="Arial" w:eastAsia="Arial" w:hAnsi="Arial"/>
                <w:sz w:val="18"/>
                <w:szCs w:val="18"/>
                <w:color w:val="auto"/>
              </w:rPr>
              <w:t>Credit Decision</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10.07  Other Agents; Joint Lead Arrangers</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10.08</w:t>
            </w:r>
          </w:p>
        </w:tc>
        <w:tc>
          <w:tcPr>
            <w:tcW w:w="7760" w:type="dxa"/>
            <w:vAlign w:val="bottom"/>
          </w:tcPr>
          <w:p>
            <w:pPr>
              <w:ind w:left="100"/>
              <w:spacing w:after="0"/>
              <w:rPr>
                <w:sz w:val="20"/>
                <w:szCs w:val="20"/>
                <w:color w:val="auto"/>
              </w:rPr>
            </w:pPr>
            <w:r>
              <w:rPr>
                <w:rFonts w:ascii="Arial" w:cs="Arial" w:eastAsia="Arial" w:hAnsi="Arial"/>
                <w:sz w:val="18"/>
                <w:szCs w:val="18"/>
                <w:color w:val="auto"/>
              </w:rPr>
              <w:t>No Joint Venture</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10.09</w:t>
            </w:r>
          </w:p>
        </w:tc>
        <w:tc>
          <w:tcPr>
            <w:tcW w:w="7760" w:type="dxa"/>
            <w:vAlign w:val="bottom"/>
          </w:tcPr>
          <w:p>
            <w:pPr>
              <w:ind w:left="100"/>
              <w:spacing w:after="0"/>
              <w:rPr>
                <w:sz w:val="20"/>
                <w:szCs w:val="20"/>
                <w:color w:val="auto"/>
              </w:rPr>
            </w:pPr>
            <w:r>
              <w:rPr>
                <w:rFonts w:ascii="Arial" w:cs="Arial" w:eastAsia="Arial" w:hAnsi="Arial"/>
                <w:sz w:val="18"/>
                <w:szCs w:val="18"/>
                <w:color w:val="auto"/>
              </w:rPr>
              <w:t>Secured Party</w:t>
            </w:r>
          </w:p>
        </w:tc>
        <w:tc>
          <w:tcPr>
            <w:tcW w:w="22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10.10  Administrative Agent May File Proofs of Claim</w:t>
            </w:r>
          </w:p>
        </w:tc>
        <w:tc>
          <w:tcPr>
            <w:tcW w:w="22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10.11  Foreign Collateral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10.12</w:t>
            </w:r>
          </w:p>
        </w:tc>
        <w:tc>
          <w:tcPr>
            <w:tcW w:w="7760" w:type="dxa"/>
            <w:vAlign w:val="bottom"/>
          </w:tcPr>
          <w:p>
            <w:pPr>
              <w:ind w:left="100"/>
              <w:spacing w:after="0"/>
              <w:rPr>
                <w:sz w:val="20"/>
                <w:szCs w:val="20"/>
                <w:color w:val="auto"/>
              </w:rPr>
            </w:pPr>
            <w:r>
              <w:rPr>
                <w:rFonts w:ascii="Arial" w:cs="Arial" w:eastAsia="Arial" w:hAnsi="Arial"/>
                <w:sz w:val="18"/>
                <w:szCs w:val="18"/>
                <w:color w:val="auto"/>
              </w:rPr>
              <w:t>Credit Bid</w:t>
            </w:r>
          </w:p>
        </w:tc>
        <w:tc>
          <w:tcPr>
            <w:tcW w:w="22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10.13  Certain ERISA Matters; Lender Representations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10.14</w:t>
            </w:r>
          </w:p>
        </w:tc>
        <w:tc>
          <w:tcPr>
            <w:tcW w:w="7760" w:type="dxa"/>
            <w:vAlign w:val="bottom"/>
          </w:tcPr>
          <w:p>
            <w:pPr>
              <w:ind w:left="100"/>
              <w:spacing w:after="0"/>
              <w:rPr>
                <w:sz w:val="20"/>
                <w:szCs w:val="20"/>
                <w:color w:val="auto"/>
              </w:rPr>
            </w:pPr>
            <w:r>
              <w:rPr>
                <w:rFonts w:ascii="Arial" w:cs="Arial" w:eastAsia="Arial" w:hAnsi="Arial"/>
                <w:sz w:val="18"/>
                <w:szCs w:val="18"/>
                <w:color w:val="auto"/>
              </w:rPr>
              <w:t>Intercreditor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10.15</w:t>
            </w:r>
          </w:p>
        </w:tc>
        <w:tc>
          <w:tcPr>
            <w:tcW w:w="7760" w:type="dxa"/>
            <w:vAlign w:val="bottom"/>
          </w:tcPr>
          <w:p>
            <w:pPr>
              <w:ind w:left="100"/>
              <w:spacing w:after="0"/>
              <w:rPr>
                <w:sz w:val="20"/>
                <w:szCs w:val="20"/>
                <w:color w:val="auto"/>
              </w:rPr>
            </w:pPr>
            <w:r>
              <w:rPr>
                <w:rFonts w:ascii="Arial" w:cs="Arial" w:eastAsia="Arial" w:hAnsi="Arial"/>
                <w:sz w:val="18"/>
                <w:szCs w:val="18"/>
                <w:color w:val="auto"/>
              </w:rPr>
              <w:t>Filings</w:t>
            </w:r>
          </w:p>
        </w:tc>
        <w:tc>
          <w:tcPr>
            <w:tcW w:w="2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10.16</w:t>
            </w:r>
          </w:p>
        </w:tc>
        <w:tc>
          <w:tcPr>
            <w:tcW w:w="776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2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10.17</w:t>
            </w:r>
          </w:p>
        </w:tc>
        <w:tc>
          <w:tcPr>
            <w:tcW w:w="7760" w:type="dxa"/>
            <w:vAlign w:val="bottom"/>
          </w:tcPr>
          <w:p>
            <w:pPr>
              <w:ind w:left="100"/>
              <w:spacing w:after="0"/>
              <w:rPr>
                <w:sz w:val="20"/>
                <w:szCs w:val="20"/>
                <w:color w:val="auto"/>
              </w:rPr>
            </w:pPr>
            <w:r>
              <w:rPr>
                <w:rFonts w:ascii="Arial" w:cs="Arial" w:eastAsia="Arial" w:hAnsi="Arial"/>
                <w:sz w:val="18"/>
                <w:szCs w:val="18"/>
                <w:color w:val="auto"/>
              </w:rPr>
              <w:t>No Risk of Funds</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3"/>
              </w:rPr>
              <w:t>SECTION 10.18</w:t>
            </w:r>
          </w:p>
        </w:tc>
        <w:tc>
          <w:tcPr>
            <w:tcW w:w="7760" w:type="dxa"/>
            <w:vAlign w:val="bottom"/>
          </w:tcPr>
          <w:p>
            <w:pPr>
              <w:ind w:left="100"/>
              <w:spacing w:after="0"/>
              <w:rPr>
                <w:sz w:val="20"/>
                <w:szCs w:val="20"/>
                <w:color w:val="auto"/>
              </w:rPr>
            </w:pPr>
            <w:r>
              <w:rPr>
                <w:rFonts w:ascii="Arial" w:cs="Arial" w:eastAsia="Arial" w:hAnsi="Arial"/>
                <w:sz w:val="18"/>
                <w:szCs w:val="18"/>
                <w:color w:val="auto"/>
              </w:rPr>
              <w:t>No Discretion</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10.19  Special, Consequential and Indirect Damages</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SECTION 10.20  No Environmental Liability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0" w:lineRule="exact"/>
        <w:rPr>
          <w:sz w:val="20"/>
          <w:szCs w:val="20"/>
          <w:color w:val="auto"/>
        </w:r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1151" w:right="239" w:bottom="1440" w:gutter="0" w:footer="0" w:header="0"/>
        </w:sectPr>
      </w:pPr>
    </w:p>
    <w:bookmarkStart w:id="470" w:name="page471"/>
    <w:bookmarkEnd w:id="470"/>
    <w:p>
      <w:pPr>
        <w:ind w:left="4980"/>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11.01  Waiver; Amendments; Joinder; Release of Guarantors; Release of Collateral</w:t>
            </w:r>
          </w:p>
        </w:tc>
        <w:tc>
          <w:tcPr>
            <w:tcW w:w="23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11.02</w:t>
            </w:r>
          </w:p>
        </w:tc>
        <w:tc>
          <w:tcPr>
            <w:tcW w:w="7600" w:type="dxa"/>
            <w:vAlign w:val="bottom"/>
          </w:tcPr>
          <w:p>
            <w:pPr>
              <w:ind w:left="6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11.03</w:t>
            </w:r>
          </w:p>
        </w:tc>
        <w:tc>
          <w:tcPr>
            <w:tcW w:w="7600" w:type="dxa"/>
            <w:vAlign w:val="bottom"/>
          </w:tcPr>
          <w:p>
            <w:pPr>
              <w:ind w:left="60"/>
              <w:spacing w:after="0"/>
              <w:rPr>
                <w:sz w:val="20"/>
                <w:szCs w:val="20"/>
                <w:color w:val="auto"/>
              </w:rPr>
            </w:pPr>
            <w:r>
              <w:rPr>
                <w:rFonts w:ascii="Arial" w:cs="Arial" w:eastAsia="Arial" w:hAnsi="Arial"/>
                <w:sz w:val="18"/>
                <w:szCs w:val="18"/>
                <w:color w:val="auto"/>
              </w:rPr>
              <w:t>Expenses, Etc.</w:t>
            </w:r>
          </w:p>
        </w:tc>
        <w:tc>
          <w:tcPr>
            <w:tcW w:w="23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11.04</w:t>
            </w:r>
          </w:p>
        </w:tc>
        <w:tc>
          <w:tcPr>
            <w:tcW w:w="7600" w:type="dxa"/>
            <w:vAlign w:val="bottom"/>
          </w:tcPr>
          <w:p>
            <w:pPr>
              <w:ind w:left="60"/>
              <w:spacing w:after="0"/>
              <w:rPr>
                <w:sz w:val="20"/>
                <w:szCs w:val="20"/>
                <w:color w:val="auto"/>
              </w:rPr>
            </w:pPr>
            <w:r>
              <w:rPr>
                <w:rFonts w:ascii="Arial" w:cs="Arial" w:eastAsia="Arial" w:hAnsi="Arial"/>
                <w:sz w:val="18"/>
                <w:szCs w:val="18"/>
                <w:color w:val="auto"/>
              </w:rPr>
              <w:t>Indemnity</w:t>
            </w:r>
          </w:p>
        </w:tc>
        <w:tc>
          <w:tcPr>
            <w:tcW w:w="23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11.05  Successors and Assigns</w:t>
            </w:r>
          </w:p>
        </w:tc>
        <w:tc>
          <w:tcPr>
            <w:tcW w:w="23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11.06</w:t>
            </w:r>
          </w:p>
        </w:tc>
        <w:tc>
          <w:tcPr>
            <w:tcW w:w="76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11.07</w:t>
            </w:r>
          </w:p>
        </w:tc>
        <w:tc>
          <w:tcPr>
            <w:tcW w:w="7600" w:type="dxa"/>
            <w:vAlign w:val="bottom"/>
          </w:tcPr>
          <w:p>
            <w:pPr>
              <w:ind w:left="60"/>
              <w:spacing w:after="0"/>
              <w:rPr>
                <w:sz w:val="20"/>
                <w:szCs w:val="20"/>
                <w:color w:val="auto"/>
              </w:rPr>
            </w:pPr>
            <w:r>
              <w:rPr>
                <w:rFonts w:ascii="Arial" w:cs="Arial" w:eastAsia="Arial" w:hAnsi="Arial"/>
                <w:sz w:val="18"/>
                <w:szCs w:val="18"/>
                <w:color w:val="auto"/>
              </w:rPr>
              <w:t>Survival</w:t>
            </w:r>
          </w:p>
        </w:tc>
        <w:tc>
          <w:tcPr>
            <w:tcW w:w="23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11.08</w:t>
            </w:r>
          </w:p>
        </w:tc>
        <w:tc>
          <w:tcPr>
            <w:tcW w:w="76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3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11.09  Independence of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11.10  Counterparts; Integration; Effectiveness; Electronic Execution</w:t>
            </w:r>
          </w:p>
        </w:tc>
        <w:tc>
          <w:tcPr>
            <w:tcW w:w="23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11.11</w:t>
            </w:r>
          </w:p>
        </w:tc>
        <w:tc>
          <w:tcPr>
            <w:tcW w:w="76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11.12  Conflicts Between This Agreement and the Other Loan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11.13</w:t>
            </w:r>
          </w:p>
        </w:tc>
        <w:tc>
          <w:tcPr>
            <w:tcW w:w="7600" w:type="dxa"/>
            <w:vAlign w:val="bottom"/>
          </w:tcPr>
          <w:p>
            <w:pPr>
              <w:ind w:left="60"/>
              <w:spacing w:after="0"/>
              <w:rPr>
                <w:sz w:val="20"/>
                <w:szCs w:val="20"/>
                <w:color w:val="auto"/>
              </w:rPr>
            </w:pPr>
            <w:r>
              <w:rPr>
                <w:rFonts w:ascii="Arial" w:cs="Arial" w:eastAsia="Arial" w:hAnsi="Arial"/>
                <w:sz w:val="18"/>
                <w:szCs w:val="18"/>
                <w:color w:val="auto"/>
              </w:rPr>
              <w:t>Headings</w:t>
            </w:r>
          </w:p>
        </w:tc>
        <w:tc>
          <w:tcPr>
            <w:tcW w:w="2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11.14  Limitation of Interest</w:t>
            </w:r>
          </w:p>
        </w:tc>
        <w:tc>
          <w:tcPr>
            <w:tcW w:w="2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11.15  Submission to Jurisdiction; Consent to Service of Process</w:t>
            </w:r>
          </w:p>
        </w:tc>
        <w:tc>
          <w:tcPr>
            <w:tcW w:w="23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11.16  Waiver of Jury Trial</w:t>
            </w:r>
          </w:p>
        </w:tc>
        <w:tc>
          <w:tcPr>
            <w:tcW w:w="2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11.17</w:t>
            </w:r>
          </w:p>
        </w:tc>
        <w:tc>
          <w:tcPr>
            <w:tcW w:w="7600" w:type="dxa"/>
            <w:vAlign w:val="bottom"/>
          </w:tcPr>
          <w:p>
            <w:pPr>
              <w:ind w:left="60"/>
              <w:spacing w:after="0"/>
              <w:rPr>
                <w:sz w:val="20"/>
                <w:szCs w:val="20"/>
                <w:color w:val="auto"/>
              </w:rPr>
            </w:pPr>
            <w:r>
              <w:rPr>
                <w:rFonts w:ascii="Arial" w:cs="Arial" w:eastAsia="Arial" w:hAnsi="Arial"/>
                <w:sz w:val="18"/>
                <w:szCs w:val="18"/>
                <w:color w:val="auto"/>
              </w:rPr>
              <w:t>Judgment Currency</w:t>
            </w:r>
          </w:p>
        </w:tc>
        <w:tc>
          <w:tcPr>
            <w:tcW w:w="2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11.18  No Fiduciary Duty, etc.</w:t>
            </w:r>
          </w:p>
        </w:tc>
        <w:tc>
          <w:tcPr>
            <w:tcW w:w="23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11.19</w:t>
            </w:r>
          </w:p>
        </w:tc>
        <w:tc>
          <w:tcPr>
            <w:tcW w:w="7600" w:type="dxa"/>
            <w:vAlign w:val="bottom"/>
          </w:tcPr>
          <w:p>
            <w:pPr>
              <w:ind w:left="60"/>
              <w:spacing w:after="0"/>
              <w:rPr>
                <w:sz w:val="20"/>
                <w:szCs w:val="20"/>
                <w:color w:val="auto"/>
              </w:rPr>
            </w:pPr>
            <w:r>
              <w:rPr>
                <w:rFonts w:ascii="Arial" w:cs="Arial" w:eastAsia="Arial" w:hAnsi="Arial"/>
                <w:sz w:val="18"/>
                <w:szCs w:val="18"/>
                <w:color w:val="auto"/>
              </w:rPr>
              <w:t>USA 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11.20  Appointment for Perfection</w:t>
            </w:r>
          </w:p>
        </w:tc>
        <w:tc>
          <w:tcPr>
            <w:tcW w:w="23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11.21  Payments Set Aside</w:t>
            </w:r>
          </w:p>
        </w:tc>
        <w:tc>
          <w:tcPr>
            <w:tcW w:w="23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11.22  No Fiduciary Duty</w:t>
            </w:r>
          </w:p>
        </w:tc>
        <w:tc>
          <w:tcPr>
            <w:tcW w:w="23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11.23  Release of Guarantors</w:t>
            </w:r>
          </w:p>
        </w:tc>
        <w:tc>
          <w:tcPr>
            <w:tcW w:w="23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11.24  Acknowledgement and Consent to Bail-In of EEA Financial Institutions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11.25  Confirmation of Lender’s Status as a Swiss Qualifying Lender</w:t>
            </w:r>
          </w:p>
        </w:tc>
        <w:tc>
          <w:tcPr>
            <w:tcW w:w="23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11.26  Joint Lead Arrangers and Joint Book Runners</w:t>
            </w:r>
          </w:p>
        </w:tc>
        <w:tc>
          <w:tcPr>
            <w:tcW w:w="23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11.27  Acknowledgement Regarding Any Supported QFCs</w:t>
            </w:r>
          </w:p>
        </w:tc>
        <w:tc>
          <w:tcPr>
            <w:tcW w:w="23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SECTION 11.28  Credit Reporting Act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200" w:lineRule="exact"/>
        <w:rPr>
          <w:sz w:val="20"/>
          <w:szCs w:val="20"/>
          <w:color w:val="auto"/>
        </w:rPr>
      </w:pPr>
    </w:p>
    <w:p>
      <w:pPr>
        <w:spacing w:after="0" w:line="2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1152" w:right="23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382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8"/>
        </w:trPr>
        <w:tc>
          <w:tcPr>
            <w:tcW w:w="16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Letter of Credit Request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Assignee Certificate</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Increasing Lender Supplement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Additional Lender Supplement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Intercreditor Agreement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U.S. Security Agreement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Canadian Security Agreement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3820" w:type="dxa"/>
            <w:vAlign w:val="bottom"/>
          </w:tcPr>
          <w:p>
            <w:pPr>
              <w:ind w:left="80"/>
              <w:spacing w:after="0"/>
              <w:rPr>
                <w:sz w:val="20"/>
                <w:szCs w:val="20"/>
                <w:color w:val="auto"/>
              </w:rPr>
            </w:pPr>
            <w:r>
              <w:rPr>
                <w:rFonts w:ascii="Arial" w:cs="Arial" w:eastAsia="Arial" w:hAnsi="Arial"/>
                <w:sz w:val="18"/>
                <w:szCs w:val="18"/>
                <w:color w:val="auto"/>
              </w:rPr>
              <w:t>Forms of IP Short Forms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English Security Agreements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3820" w:type="dxa"/>
            <w:vAlign w:val="bottom"/>
          </w:tcPr>
          <w:p>
            <w:pPr>
              <w:ind w:left="80"/>
              <w:spacing w:after="0"/>
              <w:rPr>
                <w:sz w:val="20"/>
                <w:szCs w:val="20"/>
                <w:color w:val="auto"/>
              </w:rPr>
            </w:pPr>
            <w:r>
              <w:rPr>
                <w:rFonts w:ascii="Arial" w:cs="Arial" w:eastAsia="Arial" w:hAnsi="Arial"/>
                <w:sz w:val="18"/>
                <w:szCs w:val="18"/>
                <w:color w:val="auto"/>
                <w:w w:val="92"/>
              </w:rPr>
              <w:t>Form of British Virgin Islands Security Agreements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3820" w:type="dxa"/>
            <w:vAlign w:val="bottom"/>
          </w:tcPr>
          <w:p>
            <w:pPr>
              <w:ind w:left="80"/>
              <w:spacing w:after="0"/>
              <w:rPr>
                <w:sz w:val="20"/>
                <w:szCs w:val="20"/>
                <w:color w:val="auto"/>
              </w:rPr>
            </w:pPr>
            <w:r>
              <w:rPr>
                <w:rFonts w:ascii="Arial" w:cs="Arial" w:eastAsia="Arial" w:hAnsi="Arial"/>
                <w:sz w:val="18"/>
                <w:szCs w:val="18"/>
                <w:color w:val="auto"/>
                <w:w w:val="96"/>
              </w:rPr>
              <w:t>Form of Intercompany Subordination Agreement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EXHIBIT N</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Participant Certificate</w:t>
            </w:r>
          </w:p>
        </w:tc>
      </w:t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EXHIBIT O</w:t>
            </w:r>
          </w:p>
        </w:tc>
        <w:tc>
          <w:tcPr>
            <w:tcW w:w="3820" w:type="dxa"/>
            <w:vAlign w:val="bottom"/>
          </w:tcPr>
          <w:p>
            <w:pPr>
              <w:ind w:left="80"/>
              <w:spacing w:after="0"/>
              <w:rPr>
                <w:sz w:val="20"/>
                <w:szCs w:val="20"/>
                <w:color w:val="auto"/>
              </w:rPr>
            </w:pPr>
            <w:r>
              <w:rPr>
                <w:rFonts w:ascii="Arial" w:cs="Arial" w:eastAsia="Arial" w:hAnsi="Arial"/>
                <w:sz w:val="18"/>
                <w:szCs w:val="18"/>
                <w:color w:val="auto"/>
              </w:rPr>
              <w:t>Form of Activity Report</w:t>
            </w:r>
          </w:p>
        </w:tc>
      </w:tr>
      <w:tr>
        <w:trPr>
          <w:trHeight w:val="392"/>
        </w:trPr>
        <w:tc>
          <w:tcPr>
            <w:tcW w:w="16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382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8"/>
        </w:trPr>
        <w:tc>
          <w:tcPr>
            <w:tcW w:w="162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3820" w:type="dxa"/>
            <w:vAlign w:val="bottom"/>
          </w:tcPr>
          <w:p>
            <w:pPr>
              <w:ind w:left="80"/>
              <w:spacing w:after="0"/>
              <w:rPr>
                <w:sz w:val="20"/>
                <w:szCs w:val="20"/>
                <w:color w:val="auto"/>
              </w:rPr>
            </w:pPr>
            <w:r>
              <w:rPr>
                <w:rFonts w:ascii="Arial" w:cs="Arial" w:eastAsia="Arial" w:hAnsi="Arial"/>
                <w:sz w:val="18"/>
                <w:szCs w:val="18"/>
                <w:color w:val="auto"/>
              </w:rPr>
              <w:t>Excluded Jurisdictions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3820" w:type="dxa"/>
            <w:vAlign w:val="bottom"/>
          </w:tcPr>
          <w:p>
            <w:pPr>
              <w:ind w:left="80"/>
              <w:spacing w:after="0"/>
              <w:rPr>
                <w:sz w:val="20"/>
                <w:szCs w:val="20"/>
                <w:color w:val="auto"/>
              </w:rPr>
            </w:pPr>
            <w:r>
              <w:rPr>
                <w:rFonts w:ascii="Arial" w:cs="Arial" w:eastAsia="Arial" w:hAnsi="Arial"/>
                <w:sz w:val="18"/>
                <w:szCs w:val="18"/>
                <w:color w:val="auto"/>
              </w:rPr>
              <w:t>Guarantors on the Effective Date</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1.01C</w:t>
            </w:r>
          </w:p>
        </w:tc>
        <w:tc>
          <w:tcPr>
            <w:tcW w:w="3820" w:type="dxa"/>
            <w:vAlign w:val="bottom"/>
          </w:tcPr>
          <w:p>
            <w:pPr>
              <w:ind w:left="80"/>
              <w:spacing w:after="0"/>
              <w:rPr>
                <w:sz w:val="20"/>
                <w:szCs w:val="20"/>
                <w:color w:val="auto"/>
              </w:rPr>
            </w:pPr>
            <w:r>
              <w:rPr>
                <w:rFonts w:ascii="Arial" w:cs="Arial" w:eastAsia="Arial" w:hAnsi="Arial"/>
                <w:sz w:val="18"/>
                <w:szCs w:val="18"/>
                <w:color w:val="auto"/>
              </w:rPr>
              <w:t>Effective Date Security Agreements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1.01D</w:t>
            </w:r>
          </w:p>
        </w:tc>
        <w:tc>
          <w:tcPr>
            <w:tcW w:w="3820" w:type="dxa"/>
            <w:vAlign w:val="bottom"/>
          </w:tcPr>
          <w:p>
            <w:pPr>
              <w:ind w:left="80"/>
              <w:spacing w:after="0"/>
              <w:rPr>
                <w:sz w:val="20"/>
                <w:szCs w:val="20"/>
                <w:color w:val="auto"/>
              </w:rPr>
            </w:pPr>
            <w:r>
              <w:rPr>
                <w:rFonts w:ascii="Arial" w:cs="Arial" w:eastAsia="Arial" w:hAnsi="Arial"/>
                <w:sz w:val="18"/>
                <w:szCs w:val="18"/>
                <w:color w:val="auto"/>
              </w:rPr>
              <w:t>Effective Date Real Property</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1.01E</w:t>
            </w:r>
          </w:p>
        </w:tc>
        <w:tc>
          <w:tcPr>
            <w:tcW w:w="3820" w:type="dxa"/>
            <w:vAlign w:val="bottom"/>
          </w:tcPr>
          <w:p>
            <w:pPr>
              <w:ind w:left="80"/>
              <w:spacing w:after="0"/>
              <w:rPr>
                <w:sz w:val="20"/>
                <w:szCs w:val="20"/>
                <w:color w:val="auto"/>
              </w:rPr>
            </w:pPr>
            <w:r>
              <w:rPr>
                <w:rFonts w:ascii="Arial" w:cs="Arial" w:eastAsia="Arial" w:hAnsi="Arial"/>
                <w:sz w:val="18"/>
                <w:szCs w:val="18"/>
                <w:color w:val="auto"/>
              </w:rPr>
              <w:t>Effective Date Letters of Credit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382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3.01</w:t>
            </w:r>
          </w:p>
        </w:tc>
        <w:tc>
          <w:tcPr>
            <w:tcW w:w="3820" w:type="dxa"/>
            <w:vAlign w:val="bottom"/>
          </w:tcPr>
          <w:p>
            <w:pPr>
              <w:ind w:left="8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3820" w:type="dxa"/>
            <w:vAlign w:val="bottom"/>
          </w:tcPr>
          <w:p>
            <w:pPr>
              <w:ind w:left="80"/>
              <w:spacing w:after="0"/>
              <w:rPr>
                <w:sz w:val="20"/>
                <w:szCs w:val="20"/>
                <w:color w:val="auto"/>
              </w:rPr>
            </w:pPr>
            <w:r>
              <w:rPr>
                <w:rFonts w:ascii="Arial" w:cs="Arial" w:eastAsia="Arial" w:hAnsi="Arial"/>
                <w:sz w:val="18"/>
                <w:szCs w:val="18"/>
                <w:color w:val="auto"/>
              </w:rPr>
              <w:t>Disclosed Litigation</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6.12</w:t>
            </w:r>
          </w:p>
        </w:tc>
        <w:tc>
          <w:tcPr>
            <w:tcW w:w="3820" w:type="dxa"/>
            <w:vAlign w:val="bottom"/>
          </w:tcPr>
          <w:p>
            <w:pPr>
              <w:ind w:left="80"/>
              <w:spacing w:after="0"/>
              <w:rPr>
                <w:sz w:val="20"/>
                <w:szCs w:val="20"/>
                <w:color w:val="auto"/>
              </w:rPr>
            </w:pPr>
            <w:r>
              <w:rPr>
                <w:rFonts w:ascii="Arial" w:cs="Arial" w:eastAsia="Arial" w:hAnsi="Arial"/>
                <w:sz w:val="18"/>
                <w:szCs w:val="18"/>
                <w:color w:val="auto"/>
              </w:rPr>
              <w:t>Sanctions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9"/>
              </w:rPr>
              <w:t>SCHEDULE 6.20(a)</w:t>
            </w:r>
          </w:p>
        </w:tc>
        <w:tc>
          <w:tcPr>
            <w:tcW w:w="3820" w:type="dxa"/>
            <w:vAlign w:val="bottom"/>
          </w:tcPr>
          <w:p>
            <w:pPr>
              <w:ind w:left="80"/>
              <w:spacing w:after="0"/>
              <w:rPr>
                <w:sz w:val="20"/>
                <w:szCs w:val="20"/>
                <w:color w:val="auto"/>
              </w:rPr>
            </w:pPr>
            <w:r>
              <w:rPr>
                <w:rFonts w:ascii="Arial" w:cs="Arial" w:eastAsia="Arial" w:hAnsi="Arial"/>
                <w:sz w:val="18"/>
                <w:szCs w:val="18"/>
                <w:color w:val="auto"/>
              </w:rPr>
              <w:t>Capitalization of Parent</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9"/>
              </w:rPr>
              <w:t>SCHEDULE 6.20(b)</w:t>
            </w:r>
          </w:p>
        </w:tc>
        <w:tc>
          <w:tcPr>
            <w:tcW w:w="3820" w:type="dxa"/>
            <w:vAlign w:val="bottom"/>
          </w:tcPr>
          <w:p>
            <w:pPr>
              <w:ind w:left="80"/>
              <w:spacing w:after="0"/>
              <w:rPr>
                <w:sz w:val="20"/>
                <w:szCs w:val="20"/>
                <w:color w:val="auto"/>
              </w:rPr>
            </w:pPr>
            <w:r>
              <w:rPr>
                <w:rFonts w:ascii="Arial" w:cs="Arial" w:eastAsia="Arial" w:hAnsi="Arial"/>
                <w:sz w:val="18"/>
                <w:szCs w:val="18"/>
                <w:color w:val="auto"/>
              </w:rPr>
              <w:t>Capitalization of Subsidiaries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7.11</w:t>
            </w:r>
          </w:p>
        </w:tc>
        <w:tc>
          <w:tcPr>
            <w:tcW w:w="3820" w:type="dxa"/>
            <w:vAlign w:val="bottom"/>
          </w:tcPr>
          <w:p>
            <w:pPr>
              <w:ind w:left="80"/>
              <w:spacing w:after="0"/>
              <w:rPr>
                <w:sz w:val="20"/>
                <w:szCs w:val="20"/>
                <w:color w:val="auto"/>
              </w:rPr>
            </w:pPr>
            <w:r>
              <w:rPr>
                <w:rFonts w:ascii="Arial" w:cs="Arial" w:eastAsia="Arial" w:hAnsi="Arial"/>
                <w:sz w:val="18"/>
                <w:szCs w:val="18"/>
                <w:color w:val="auto"/>
                <w:w w:val="95"/>
              </w:rPr>
              <w:t>Post-Closing Grant and Perfection Requirements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8.01</w:t>
            </w:r>
          </w:p>
        </w:tc>
        <w:tc>
          <w:tcPr>
            <w:tcW w:w="3820" w:type="dxa"/>
            <w:vAlign w:val="bottom"/>
          </w:tcPr>
          <w:p>
            <w:pPr>
              <w:ind w:left="80"/>
              <w:spacing w:after="0"/>
              <w:rPr>
                <w:sz w:val="20"/>
                <w:szCs w:val="20"/>
                <w:color w:val="auto"/>
              </w:rPr>
            </w:pPr>
            <w:r>
              <w:rPr>
                <w:rFonts w:ascii="Arial" w:cs="Arial" w:eastAsia="Arial" w:hAnsi="Arial"/>
                <w:sz w:val="18"/>
                <w:szCs w:val="18"/>
                <w:color w:val="auto"/>
              </w:rPr>
              <w:t>Existing Indebtedness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8.04</w:t>
            </w:r>
          </w:p>
        </w:tc>
        <w:tc>
          <w:tcPr>
            <w:tcW w:w="3820" w:type="dxa"/>
            <w:vAlign w:val="bottom"/>
          </w:tcPr>
          <w:p>
            <w:pPr>
              <w:ind w:left="80"/>
              <w:spacing w:after="0"/>
              <w:rPr>
                <w:sz w:val="20"/>
                <w:szCs w:val="20"/>
                <w:color w:val="auto"/>
              </w:rPr>
            </w:pPr>
            <w:r>
              <w:rPr>
                <w:rFonts w:ascii="Arial" w:cs="Arial" w:eastAsia="Arial" w:hAnsi="Arial"/>
                <w:sz w:val="18"/>
                <w:szCs w:val="18"/>
                <w:color w:val="auto"/>
              </w:rPr>
              <w:t>Existing Liens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w w:val="99"/>
              </w:rPr>
              <w:t>SCHEDULE 8.05(d)</w:t>
            </w:r>
          </w:p>
        </w:tc>
        <w:tc>
          <w:tcPr>
            <w:tcW w:w="3820" w:type="dxa"/>
            <w:vAlign w:val="bottom"/>
          </w:tcPr>
          <w:p>
            <w:pPr>
              <w:ind w:left="80"/>
              <w:spacing w:after="0"/>
              <w:rPr>
                <w:sz w:val="20"/>
                <w:szCs w:val="20"/>
                <w:color w:val="auto"/>
              </w:rPr>
            </w:pPr>
            <w:r>
              <w:rPr>
                <w:rFonts w:ascii="Arial" w:cs="Arial" w:eastAsia="Arial" w:hAnsi="Arial"/>
                <w:sz w:val="18"/>
                <w:szCs w:val="18"/>
                <w:color w:val="auto"/>
              </w:rPr>
              <w:t>Specified Dispositions</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SCHEDULE 8.06</w:t>
            </w:r>
          </w:p>
        </w:tc>
        <w:tc>
          <w:tcPr>
            <w:tcW w:w="3820" w:type="dxa"/>
            <w:vAlign w:val="bottom"/>
          </w:tcPr>
          <w:p>
            <w:pPr>
              <w:ind w:left="80"/>
              <w:spacing w:after="0"/>
              <w:rPr>
                <w:sz w:val="20"/>
                <w:szCs w:val="20"/>
                <w:color w:val="auto"/>
              </w:rPr>
            </w:pPr>
            <w:r>
              <w:rPr>
                <w:rFonts w:ascii="Arial" w:cs="Arial" w:eastAsia="Arial" w:hAnsi="Arial"/>
                <w:sz w:val="18"/>
                <w:szCs w:val="18"/>
                <w:color w:val="auto"/>
              </w:rPr>
              <w:t>Existing Investments</w:t>
            </w:r>
          </w:p>
        </w:tc>
      </w:t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SCHEDULE 8.11</w:t>
            </w:r>
          </w:p>
        </w:tc>
        <w:tc>
          <w:tcPr>
            <w:tcW w:w="3820" w:type="dxa"/>
            <w:vAlign w:val="bottom"/>
          </w:tcPr>
          <w:p>
            <w:pPr>
              <w:ind w:left="80"/>
              <w:spacing w:after="0"/>
              <w:rPr>
                <w:sz w:val="20"/>
                <w:szCs w:val="20"/>
                <w:color w:val="auto"/>
              </w:rPr>
            </w:pPr>
            <w:r>
              <w:rPr>
                <w:rFonts w:ascii="Arial" w:cs="Arial" w:eastAsia="Arial" w:hAnsi="Arial"/>
                <w:sz w:val="18"/>
                <w:szCs w:val="18"/>
                <w:color w:val="auto"/>
              </w:rPr>
              <w:t>Existing Restrictive Agreements</w:t>
            </w:r>
          </w:p>
        </w:tc>
      </w:tr>
    </w:tbl>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91" w:right="1440"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t>LC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LC CREDIT AGREEMENT, dated as of December 13, 2019, is among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LLC, a Delaware limited liability company (“</w:t>
      </w:r>
      <w:r>
        <w:rPr>
          <w:rFonts w:ascii="Arial" w:cs="Arial" w:eastAsia="Arial" w:hAnsi="Arial"/>
          <w:sz w:val="17"/>
          <w:szCs w:val="17"/>
          <w:u w:val="single" w:color="auto"/>
          <w:color w:val="auto"/>
        </w:rPr>
        <w:t>WIL</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Delaware</w:t>
      </w:r>
      <w:r>
        <w:rPr>
          <w:rFonts w:ascii="Arial" w:cs="Arial" w:eastAsia="Arial" w:hAnsi="Arial"/>
          <w:sz w:val="17"/>
          <w:szCs w:val="17"/>
          <w:color w:val="auto"/>
        </w:rPr>
        <w:t>” and together with WIL-Bermuda, the “</w:t>
      </w:r>
      <w:r>
        <w:rPr>
          <w:rFonts w:ascii="Arial" w:cs="Arial" w:eastAsia="Arial" w:hAnsi="Arial"/>
          <w:sz w:val="17"/>
          <w:szCs w:val="17"/>
          <w:u w:val="single" w:color="auto"/>
          <w:color w:val="auto"/>
        </w:rPr>
        <w:t>Borrowers</w:t>
      </w:r>
      <w:r>
        <w:rPr>
          <w:rFonts w:ascii="Arial" w:cs="Arial" w:eastAsia="Arial" w:hAnsi="Arial"/>
          <w:sz w:val="17"/>
          <w:szCs w:val="17"/>
          <w:color w:val="auto"/>
        </w:rPr>
        <w:t>”), WEATHERFORD INTERNATIONAL PLC, as Parent, the Lenders from time to time party hereto, DEUTSCHE BANK TRUST COMPANY AMERICAS, as administrative agent for the Lenders (“</w:t>
      </w:r>
      <w:r>
        <w:rPr>
          <w:rFonts w:ascii="Arial" w:cs="Arial" w:eastAsia="Arial" w:hAnsi="Arial"/>
          <w:sz w:val="17"/>
          <w:szCs w:val="17"/>
          <w:u w:val="single" w:color="auto"/>
          <w:color w:val="auto"/>
        </w:rPr>
        <w:t>DBTCA</w:t>
      </w:r>
      <w:r>
        <w:rPr>
          <w:rFonts w:ascii="Arial" w:cs="Arial" w:eastAsia="Arial" w:hAnsi="Arial"/>
          <w:sz w:val="17"/>
          <w:szCs w:val="17"/>
          <w:color w:val="auto"/>
        </w:rPr>
        <w:t>”), and the Issuing Banks from time to time party hereto.</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on July 1, 2019, Parent (as defined below) and the Borrowers (together, the “</w:t>
      </w:r>
      <w:r>
        <w:rPr>
          <w:rFonts w:ascii="Arial" w:cs="Arial" w:eastAsia="Arial" w:hAnsi="Arial"/>
          <w:sz w:val="18"/>
          <w:szCs w:val="18"/>
          <w:u w:val="single" w:color="auto"/>
          <w:color w:val="auto"/>
        </w:rPr>
        <w:t>Debtors</w:t>
      </w:r>
      <w:r>
        <w:rPr>
          <w:rFonts w:ascii="Arial" w:cs="Arial" w:eastAsia="Arial" w:hAnsi="Arial"/>
          <w:sz w:val="18"/>
          <w:szCs w:val="18"/>
          <w:color w:val="auto"/>
        </w:rPr>
        <w:t>”) filed voluntary petitions with the United States Bankruptcy Court for the Southern District of Texas, Houston Division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for relief under Chapter 11 of Title 11 of the United States Code and commenced their Chapter 11 proceedings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in connection with the Chapter 11 Cases, WIL-Bermuda has sought approval of, and to implement, a scheme of arrangement in Bermuda under Section 99 of the Companies Act 1981 (the “</w:t>
      </w:r>
      <w:r>
        <w:rPr>
          <w:rFonts w:ascii="Arial" w:cs="Arial" w:eastAsia="Arial" w:hAnsi="Arial"/>
          <w:sz w:val="16"/>
          <w:szCs w:val="16"/>
          <w:u w:val="single" w:color="auto"/>
          <w:color w:val="auto"/>
        </w:rPr>
        <w:t>Bermuda Scheme</w:t>
      </w:r>
      <w:r>
        <w:rPr>
          <w:rFonts w:ascii="Arial" w:cs="Arial" w:eastAsia="Arial" w:hAnsi="Arial"/>
          <w:sz w:val="16"/>
          <w:szCs w:val="16"/>
          <w:color w:val="auto"/>
        </w:rPr>
        <w:t>”) and the examiner of Parent has sought orders confirming and approving his proposals for a scheme of arrangement by the Irish High Court under section 541 of the Companies Act 2014 of Ireland (the “</w:t>
      </w:r>
      <w:r>
        <w:rPr>
          <w:rFonts w:ascii="Arial" w:cs="Arial" w:eastAsia="Arial" w:hAnsi="Arial"/>
          <w:sz w:val="16"/>
          <w:szCs w:val="16"/>
          <w:u w:val="single" w:color="auto"/>
          <w:color w:val="auto"/>
        </w:rPr>
        <w:t>Irish Scheme</w:t>
      </w:r>
      <w:r>
        <w:rPr>
          <w:rFonts w:ascii="Arial" w:cs="Arial" w:eastAsia="Arial" w:hAnsi="Arial"/>
          <w:sz w:val="16"/>
          <w:szCs w:val="16"/>
          <w:color w:val="auto"/>
        </w:rPr>
        <w: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on the Plan Effective Date (as defined below), the Debtors shall emerge from the Chapter 11 Cases upon the effectiveness of the Debtors’ Second Amended Joint Prepackaged Plan of Reorganization For Weatherford International PLC and its Affiliate Debtors Under Chapter 11 of the Bankruptcy Code (as amended, restated, amended and restated, supplemented or otherwise modified from time to time prior to the date hereof, the “</w:t>
      </w:r>
      <w:r>
        <w:rPr>
          <w:rFonts w:ascii="Arial" w:cs="Arial" w:eastAsia="Arial" w:hAnsi="Arial"/>
          <w:sz w:val="17"/>
          <w:szCs w:val="17"/>
          <w:u w:val="single" w:color="auto"/>
          <w:color w:val="auto"/>
        </w:rPr>
        <w:t>Plan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Reorganization</w:t>
      </w:r>
      <w:r>
        <w:rPr>
          <w:rFonts w:ascii="Arial" w:cs="Arial" w:eastAsia="Arial" w:hAnsi="Arial"/>
          <w:sz w:val="17"/>
          <w:szCs w:val="17"/>
          <w:color w:val="auto"/>
        </w:rPr>
        <w:t>”), which Plan of Reorganization was confirmed by the Bankruptcy Court on September 11, 2019; and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the Debtors’ emergence from the Chapter 11 Cases and concurrently with entry into this Agreement, Parent and/or certain of its Subsidiaries shall issue the Exit Senior Notes, enter into the ABL Credit Agreement (each as defined below), and the Bermuda Scheme and the Irish Scheme (both of which shall become effective in accordance with their terms).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TERMS; INTERPRETATION</w:t>
      </w:r>
    </w:p>
    <w:p>
      <w:pPr>
        <w:spacing w:after="0" w:line="21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Administrative Agent</w:t>
      </w:r>
      <w:r>
        <w:rPr>
          <w:rFonts w:ascii="Arial" w:cs="Arial" w:eastAsia="Arial" w:hAnsi="Arial"/>
          <w:sz w:val="18"/>
          <w:szCs w:val="18"/>
          <w:color w:val="auto"/>
        </w:rPr>
        <w:t>” means Wells Fargo Bank, N.A., in its capacity as administrative agent under the ABL Credit Agreement or any successor or substitute administrative agent thereunder.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3" w:name="page474"/>
    <w:bookmarkEnd w:id="473"/>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Collateral Agent</w:t>
      </w:r>
      <w:r>
        <w:rPr>
          <w:rFonts w:ascii="Arial" w:cs="Arial" w:eastAsia="Arial" w:hAnsi="Arial"/>
          <w:sz w:val="18"/>
          <w:szCs w:val="18"/>
          <w:color w:val="auto"/>
        </w:rPr>
        <w:t>” means Wells Fargo Bank, N.A., in its capacity as collateral agent under the ABL Credit Agreement or any successor or substitute collateral agent thereunder.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Agreement</w:t>
      </w:r>
      <w:r>
        <w:rPr>
          <w:rFonts w:ascii="Arial" w:cs="Arial" w:eastAsia="Arial" w:hAnsi="Arial"/>
          <w:sz w:val="18"/>
          <w:szCs w:val="18"/>
          <w:color w:val="auto"/>
        </w:rPr>
        <w:t>” means that certain ABL Credit Agreement, dated as of the date hereof, by and among Parent, WIL-Bermuda, WIL-Delaware, Weatherford Oil Tool Gmbh, Weatherford Products GmbH, the other borrowers from time to time party thereto, the lenders from time to time party thereto, the ABL Administrative Agent and the ABL Collateral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Documents</w:t>
      </w:r>
      <w:r>
        <w:rPr>
          <w:rFonts w:ascii="Arial" w:cs="Arial" w:eastAsia="Arial" w:hAnsi="Arial"/>
          <w:sz w:val="18"/>
          <w:szCs w:val="18"/>
          <w:color w:val="auto"/>
        </w:rPr>
        <w:t>” means the Loan Documents (as defined in the ABL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Facility</w:t>
      </w:r>
      <w:r>
        <w:rPr>
          <w:rFonts w:ascii="Arial" w:cs="Arial" w:eastAsia="Arial" w:hAnsi="Arial"/>
          <w:sz w:val="18"/>
          <w:szCs w:val="18"/>
          <w:color w:val="auto"/>
        </w:rPr>
        <w:t>” means the senior secured revolving asset-based credit facility provided pursuant to the ABL Credit Agreement and the other ABL Credit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Domestic Security Agreement</w:t>
      </w:r>
      <w:r>
        <w:rPr>
          <w:rFonts w:ascii="Arial" w:cs="Arial" w:eastAsia="Arial" w:hAnsi="Arial"/>
          <w:sz w:val="18"/>
          <w:szCs w:val="18"/>
          <w:color w:val="auto"/>
        </w:rPr>
        <w:t>” means the Domestic Security Agreement (as defined in the ABL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Maturity Date</w:t>
      </w:r>
      <w:r>
        <w:rPr>
          <w:rFonts w:ascii="Arial" w:cs="Arial" w:eastAsia="Arial" w:hAnsi="Arial"/>
          <w:sz w:val="18"/>
          <w:szCs w:val="18"/>
          <w:color w:val="auto"/>
        </w:rPr>
        <w:t>” means the Maturity Date (as defined in the ABL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Obligations</w:t>
      </w:r>
      <w:r>
        <w:rPr>
          <w:rFonts w:ascii="Arial" w:cs="Arial" w:eastAsia="Arial" w:hAnsi="Arial"/>
          <w:sz w:val="18"/>
          <w:szCs w:val="18"/>
          <w:color w:val="auto"/>
        </w:rPr>
        <w:t>” means the Obligations (as defined in the ABL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Secured Parties</w:t>
      </w:r>
      <w:r>
        <w:rPr>
          <w:rFonts w:ascii="Arial" w:cs="Arial" w:eastAsia="Arial" w:hAnsi="Arial"/>
          <w:sz w:val="18"/>
          <w:szCs w:val="18"/>
          <w:color w:val="auto"/>
        </w:rPr>
        <w:t>” means the Secured Parties (as defined in the ABL Domestic Security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Added Guarantor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7.08(h)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 Supplement</w:t>
      </w:r>
      <w:r>
        <w:rPr>
          <w:rFonts w:ascii="Arial" w:cs="Arial" w:eastAsia="Arial" w:hAnsi="Arial"/>
          <w:sz w:val="18"/>
          <w:szCs w:val="18"/>
          <w:color w:val="auto"/>
        </w:rPr>
        <w:t xml:space="preserve">” means an additional lender supplement entered into by the Borrowers and any Additional Lender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with respect to any fee for any LC Fee Period, an interest rate per annum (rounded upwards, if necessary, to the next 1/100 of 1%) equal to (a) the LIBO Rate for such LC Fee Period multiplied by (b) the Statutory Reserve Rate.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DBTCA in its capacity as administrative agent for the Lenders and any successor in such capacity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4" w:name="page475"/>
    <w:bookmarkEnd w:id="474"/>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w:t>
      </w:r>
    </w:p>
    <w:p>
      <w:pPr>
        <w:spacing w:after="0" w:line="5" w:lineRule="exact"/>
        <w:rPr>
          <w:sz w:val="20"/>
          <w:szCs w:val="20"/>
          <w:color w:val="auto"/>
        </w:rPr>
      </w:pPr>
    </w:p>
    <w:p>
      <w:pPr>
        <w:ind w:right="20" w:firstLine="8"/>
        <w:spacing w:after="0" w:line="261" w:lineRule="auto"/>
        <w:tabs>
          <w:tab w:leader="none" w:pos="27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each director (or comparable manager) of a Person shall be deemed to be an Affiliate of such Person, and (c) each partnership in which a Person is a general partner shall be deemed an Affiliate of such Person.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Guaranty</w:t>
      </w:r>
      <w:r>
        <w:rPr>
          <w:rFonts w:ascii="Arial" w:cs="Arial" w:eastAsia="Arial" w:hAnsi="Arial"/>
          <w:sz w:val="18"/>
          <w:szCs w:val="18"/>
          <w:color w:val="auto"/>
        </w:rPr>
        <w:t>” means that certain Affiliate Guaranty, dated as of the Effective Date, by and among the Guarantors party thereto in favor of the Administrative Agent, for the benefit of itself and the other holders of the Secured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at any time, the sum of the Commitments of all Lenders at such time. The amount of the Aggregate Commitments as of the date hereof is $195,000,000.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Excess Availability</w:t>
      </w:r>
      <w:r>
        <w:rPr>
          <w:rFonts w:ascii="Arial" w:cs="Arial" w:eastAsia="Arial" w:hAnsi="Arial"/>
          <w:sz w:val="18"/>
          <w:szCs w:val="18"/>
          <w:color w:val="auto"/>
        </w:rPr>
        <w:t>” has the meaning specified in the ABL Credit Agreement or, if applicable, the documentation for any Permitted Refinancing Indebtedness in respect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means any currency of a Specified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LC Credit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½ of 1% and (c) the Adjusted LIBO Rate on such day (or if such day is not a Business Day, the immediately preceding Business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 Screen Rate (or if the LIBO Screen Rate is not available for such one month LC Fee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Australian dollar, British pound sterling, Euro dollars, Swiss francs, Japanese yen, or one or more alternate currencies as requested by any Borrower and agreed to by the applicable Issuing Bank, with prior written consent of the Administrative Agent (such approvals and consents not to be unreasonably withheld).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5" w:name="page476"/>
    <w:bookmarkEnd w:id="47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Angolan Bond Investment</w:t>
      </w:r>
      <w:r>
        <w:rPr>
          <w:rFonts w:ascii="Arial" w:cs="Arial" w:eastAsia="Arial" w:hAnsi="Arial"/>
          <w:sz w:val="18"/>
          <w:szCs w:val="18"/>
          <w:color w:val="auto"/>
        </w:rPr>
        <w:t>” means the purchase of Dollar-linked or inflation-protected Angolan government sovereign bonds or similar instruments having a similar purpose by Parent or a Restricted Subsidiary.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Parent or any of its Subsidiaries from time to time concerning or relating to bribery or corruption, including the FCPA, the U.K. Bribery Act of 2010, as amended, and the Canadian Anti-Money Laundering &amp; Anti-Terrorism Legislation and the Corruption of Foreign Public Officials Act (Canada).</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for purposes of calculating the LC Participation Fee Rate, 3.50%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LC Participation Fee Rate is being calculated with reference to the Alternate Base Rate, 2.50% per annum.</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(carried out to the twelfth decimal place) of the Aggregate Commitments represented by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date hereof is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Assignee Certificate</w:t>
      </w:r>
      <w:r>
        <w:rPr>
          <w:rFonts w:ascii="Arial" w:cs="Arial" w:eastAsia="Arial" w:hAnsi="Arial"/>
          <w:sz w:val="16"/>
          <w:szCs w:val="16"/>
          <w:color w:val="auto"/>
        </w:rPr>
        <w:t xml:space="preserve">” means a certificate executed by an assignee under an Assignment and Assumption,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Receivables Amount</w:t>
      </w:r>
      <w:r>
        <w:rPr>
          <w:rFonts w:ascii="Arial" w:cs="Arial" w:eastAsia="Arial" w:hAnsi="Arial"/>
          <w:sz w:val="17"/>
          <w:szCs w:val="17"/>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the Effective Date to the earlier of (a) Maturity Date and (b) the date of termination of all of the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6" w:name="page477"/>
    <w:bookmarkEnd w:id="47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which has implemented, or which at any time implements, Article 55 BRRD, the relevant implementing law or regulation as described in the EU Bail-In Legislation Schedule from time to time, and (b) 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xml:space="preserve">” means, with respect to any Person, such Person becomes the subject of a bankruptcy or insolvency proceeding (whether on a provisional, interim, permanent or other basis), or has had a receiver, receiver or manager, conservator, trustee, administrator, custodian, examiner, liquidator, assignee for the benefit of creditors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Barclays</w:t>
      </w:r>
      <w:r>
        <w:rPr>
          <w:rFonts w:ascii="Arial" w:cs="Arial" w:eastAsia="Arial" w:hAnsi="Arial"/>
          <w:sz w:val="18"/>
          <w:szCs w:val="18"/>
          <w:color w:val="auto"/>
        </w:rPr>
        <w:t>” means Barclays Bank PLC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7" w:name="page478"/>
    <w:bookmarkEnd w:id="4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Scheme</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comparable managers) of such Person, or any committee thereof duly authorized to act on behalf of such board of directors (or comparable managers).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 Value of Assets</w:t>
      </w:r>
      <w:r>
        <w:rPr>
          <w:rFonts w:ascii="Arial" w:cs="Arial" w:eastAsia="Arial" w:hAnsi="Arial"/>
          <w:sz w:val="18"/>
          <w:szCs w:val="18"/>
          <w:color w:val="auto"/>
        </w:rPr>
        <w:t xml:space="preserve">” means, as of any date of determination, (I) with respect to Sections 8.16 and 7.01(h)(ii), the aggregate net book value of all Collateral, and (II) with respect to any Collateral Transfer, the aggregate net book value of all Collateral subject to such transfer, in each case (a) excluding the value of any such Collateral consisting of (i) cash, (ii) Cash Equivalents (and similar short-term marketable securities), (iii) intangible assets and (iv) Capital Stock of any Person, (b) calculated on a consolidated basis for all Obligors (so as to exclude the value of any such Collateral consisting of obligations owing by one Obligor to another Obligor) and (c) with such net book values as stated in the most recent consolidated financial statements of the Parent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WIL-Bermuda and WIL-Delaware.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British Virgin Islands Security Agreements</w:t>
      </w:r>
      <w:r>
        <w:rPr>
          <w:rFonts w:ascii="Arial" w:cs="Arial" w:eastAsia="Arial" w:hAnsi="Arial"/>
          <w:sz w:val="18"/>
          <w:szCs w:val="18"/>
          <w:color w:val="auto"/>
        </w:rPr>
        <w:t xml:space="preserve">” means the British Virgin Island law governed security agreements listed on Schedule 1.01C and in substantially the form attached hereto as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banks are authorized or required to close in the state of New York, except that, if a determination of a Business Day shall relate to the determination of the LIBO Rate, the term “Business Day” also shall exclude any day on which banks are closed for dealings in Dollar deposits in the London interbank market.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Anti-Money Laundering &amp; Anti-Terrorism Legislation</w:t>
      </w:r>
      <w:r>
        <w:rPr>
          <w:rFonts w:ascii="Arial" w:cs="Arial" w:eastAsia="Arial" w:hAnsi="Arial"/>
          <w:sz w:val="16"/>
          <w:szCs w:val="16"/>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Defined Benefit Plan</w:t>
      </w:r>
      <w:r>
        <w:rPr>
          <w:rFonts w:ascii="Arial" w:cs="Arial" w:eastAsia="Arial" w:hAnsi="Arial"/>
          <w:sz w:val="16"/>
          <w:szCs w:val="16"/>
          <w:color w:val="auto"/>
        </w:rPr>
        <w:t xml:space="preserve">” means any pension plan registered under the Income Tax Act (Canada), the </w:t>
      </w:r>
      <w:r>
        <w:rPr>
          <w:rFonts w:ascii="Arial" w:cs="Arial" w:eastAsia="Arial" w:hAnsi="Arial"/>
          <w:sz w:val="16"/>
          <w:szCs w:val="16"/>
          <w:i w:val="1"/>
          <w:iCs w:val="1"/>
          <w:color w:val="auto"/>
        </w:rPr>
        <w:t>Pension Benefits Act</w:t>
      </w:r>
      <w:r>
        <w:rPr>
          <w:rFonts w:ascii="Arial" w:cs="Arial" w:eastAsia="Arial" w:hAnsi="Arial"/>
          <w:sz w:val="16"/>
          <w:szCs w:val="16"/>
          <w:color w:val="auto"/>
        </w:rPr>
        <w:t xml:space="preserve"> (Ontario) or any other applicable pension standards legislation which contains a “defined benefit provision” as defined in subsection 147.1(1) of the Income Tax Act (Canada).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8" w:name="page479"/>
    <w:bookmarkEnd w:id="478"/>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Agreement</w:t>
      </w:r>
      <w:r>
        <w:rPr>
          <w:rFonts w:ascii="Arial" w:cs="Arial" w:eastAsia="Arial" w:hAnsi="Arial"/>
          <w:sz w:val="18"/>
          <w:szCs w:val="18"/>
          <w:color w:val="auto"/>
        </w:rPr>
        <w:t xml:space="preserve">” means that certain Canadian security agreement governed by the laws of the Province of Alberta, dated as of the Effective Date, by and among the Obligors that are Canadian Subsidiaries from time to time party thereto and the Administrative Agent,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1.01C</w:t>
      </w:r>
      <w:r>
        <w:rPr>
          <w:rFonts w:ascii="Arial" w:cs="Arial" w:eastAsia="Arial" w:hAnsi="Arial"/>
          <w:sz w:val="18"/>
          <w:szCs w:val="18"/>
          <w:color w:val="auto"/>
        </w:rPr>
        <w:t xml:space="preserve"> hereto and in substantially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Subsidiaries</w:t>
      </w:r>
      <w:r>
        <w:rPr>
          <w:rFonts w:ascii="Arial" w:cs="Arial" w:eastAsia="Arial" w:hAnsi="Arial"/>
          <w:sz w:val="18"/>
          <w:szCs w:val="18"/>
          <w:color w:val="auto"/>
        </w:rPr>
        <w:t>” means a Subsidiary of Parent organized under the laws of a jurisdiction located in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for financial reporting purposes in accordance with GAAP.</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with respect to any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w:t>
      </w:r>
      <w:r>
        <w:rPr>
          <w:rFonts w:ascii="Arial" w:cs="Arial" w:eastAsia="Arial" w:hAnsi="Arial"/>
          <w:sz w:val="17"/>
          <w:szCs w:val="17"/>
          <w:color w:val="auto"/>
        </w:rPr>
        <w:t>” means that portion of the obligations under a Capital Lease that is required to be capitalized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Domestic Cash Equivalents, and (b) Foreign Cash Equivalents.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jc w:val="both"/>
        <w:ind w:firstLine="1305"/>
        <w:spacing w:after="0" w:line="259" w:lineRule="auto"/>
        <w:tabs>
          <w:tab w:leader="none" w:pos="228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Person or two or more Persons acting in concert (other than Permitted Holders) shall have acquired beneficial ownership, directly or indirectly, of equity interests of Weatherford Parent Company (or other securities convertible into such equity interests) representing 30%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9" w:name="page480"/>
    <w:bookmarkEnd w:id="479"/>
    <w:p>
      <w:pPr>
        <w:jc w:val="both"/>
        <w:ind w:firstLine="1305"/>
        <w:spacing w:after="0" w:line="264" w:lineRule="auto"/>
        <w:tabs>
          <w:tab w:leader="none" w:pos="241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181" w:lineRule="exact"/>
        <w:rPr>
          <w:rFonts w:ascii="Arial" w:cs="Arial" w:eastAsia="Arial" w:hAnsi="Arial"/>
          <w:sz w:val="18"/>
          <w:szCs w:val="18"/>
          <w:color w:val="auto"/>
        </w:rPr>
      </w:pPr>
    </w:p>
    <w:p>
      <w:pPr>
        <w:ind w:left="2260" w:hanging="955"/>
        <w:spacing w:after="0"/>
        <w:tabs>
          <w:tab w:leader="none" w:pos="226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the occurrence of any “Change of Control” or similar event under the ABL Credit Agreement or the Exit Senior Notes.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leased or operated by an Obligor covered by the Collateral Documents and any and all other property of any Obligor,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Transfer</w:t>
      </w:r>
      <w:r>
        <w:rPr>
          <w:rFonts w:ascii="Arial" w:cs="Arial" w:eastAsia="Arial" w:hAnsi="Arial"/>
          <w:sz w:val="18"/>
          <w:szCs w:val="18"/>
          <w:color w:val="auto"/>
        </w:rPr>
        <w:t>” means any Disposition, Investment or Restricted Payment involving any Collateral.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means any letter of credit or similar instrument issued for the purpose of providing the primary payment mechanism in connection with the purchase of materials, goods or services.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commitment of such Lender to acquire participations in Letters of Credit hereunder in an aggregate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heading “Commitment”, as such amount may be (a) reduced from time to time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0" w:name="page481"/>
    <w:bookmarkEnd w:id="48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11.02(e)(ii)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with respect to any fiscal period, a certificate of a Principal Financial Officer of Parent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certifying as to (a) whether a Default has occurred and, if a Default has occurred, specifying the details thereof and any action taken or proposed to be taken with respect thereto, (b) setting forth reasonably detailed calculations demonstrating compliance with the covenant set forth in </w:t>
      </w:r>
      <w:r>
        <w:rPr>
          <w:rFonts w:ascii="Arial" w:cs="Arial" w:eastAsia="Arial" w:hAnsi="Arial"/>
          <w:sz w:val="17"/>
          <w:szCs w:val="17"/>
          <w:u w:val="single" w:color="auto"/>
          <w:color w:val="auto"/>
        </w:rPr>
        <w:t>Section 8.09</w:t>
      </w:r>
      <w:r>
        <w:rPr>
          <w:rFonts w:ascii="Arial" w:cs="Arial" w:eastAsia="Arial" w:hAnsi="Arial"/>
          <w:sz w:val="17"/>
          <w:szCs w:val="17"/>
          <w:color w:val="auto"/>
        </w:rPr>
        <w:t xml:space="preserve"> 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and, if any such change has occurred, specifying the effect of such change on the financial statements accompanying such certificate, and (f) any changes to exhibits or schedules to any Collateral Document as required by such Collateral Document.</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of Parent and its Restricted Subsidiaries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expenses or charges (without duplication) and to the extent deducted from revenues in determining consolidated net income for such period:</w:t>
      </w:r>
    </w:p>
    <w:p>
      <w:pPr>
        <w:spacing w:after="0" w:line="32" w:lineRule="exact"/>
        <w:rPr>
          <w:sz w:val="20"/>
          <w:szCs w:val="20"/>
          <w:color w:val="auto"/>
        </w:rPr>
      </w:pPr>
    </w:p>
    <w:p>
      <w:pPr>
        <w:jc w:val="both"/>
        <w:ind w:firstLine="8"/>
        <w:spacing w:after="0" w:line="283" w:lineRule="auto"/>
        <w:tabs>
          <w:tab w:leader="none" w:pos="229" w:val="left"/>
        </w:tabs>
        <w:numPr>
          <w:ilvl w:val="0"/>
          <w:numId w:val="546"/>
        </w:numPr>
        <w:rPr>
          <w:rFonts w:ascii="Arial" w:cs="Arial" w:eastAsia="Arial" w:hAnsi="Arial"/>
          <w:sz w:val="16"/>
          <w:szCs w:val="16"/>
          <w:color w:val="auto"/>
        </w:rPr>
      </w:pPr>
      <w:r>
        <w:rPr>
          <w:rFonts w:ascii="Arial" w:cs="Arial" w:eastAsia="Arial" w:hAnsi="Arial"/>
          <w:sz w:val="16"/>
          <w:szCs w:val="16"/>
          <w:color w:val="auto"/>
        </w:rPr>
        <w:t xml:space="preserve">consolidated interest expense, (ii) expense for income taxes, (iii) depreciation, (iv) amortization, (v) professional fees incurred and exit bankruptcy fees incurred within 12 months after the Effective Date in an aggregate amount not to exceed $50,000,000, (vi) cash restructuring costs incurred and paid during the fourth quarter prior to the Effective Date associated with the transformation, severance and restructuring costs program in an aggregate amount not to exceed $30,000,000, (vii) cash restructuring costs incurred during the fourth Fiscal Quarter of 2019 (but not paid prior to the Effective Date) associated with the transformation, severance and restructuring costs program in an aggregate amount not to exceed $50,000,000, (viii) from and after the Testing Period ending on March 31, 2020, 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bankruptcy, reorganization, litigation, settlement and judgment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addbacks made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shall not exceed (x) $100,000,000 during any Testing Period ending on or prior to December 31, 2020 and (y) the greater of (1) $25,000,000 and (2) 10% of Consolidated Adjusted EBITDA for any Testing Period thereafter (calculated prior to giving effect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it being understood that any such addback used in determining the EBITDA Plug Numbers (as defined below) shall be permitted and shall not count against such limitations, (ix) any non-cash losses or charges under Hedge Agreements resulting from the application of FASB ASC 815, (x) non-cash compensation expenses or costs related to any management equity plan or stock option plan or any other management or employee benefit plan or agreement, (xi) fees, expenses, premiums and similar charges incurred in connection with the ABL Credit Agreement, this Agreement and the Transactions, and (xii) all other non-cash charges, expenses or losses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following items of income or gains (without duplication) to the extent included in consolidated net income for such period, (i) interest income, (ii) income tax benefits (to the extent not netted from tax expense), (iii) any cash payments made during such period in respect of non-cash items described in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above subsequent to the Fiscal Quarter in which such non-cash expenses or losses were incurred, (iv) any non-cash gains under Swap Agreements resulting from the application of FASB ASC 815 and (v) all other non-cash income or gains, all calculated in accordance with GAAP on a consolidated basis.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1" w:name="page482"/>
    <w:bookmarkEnd w:id="481"/>
    <w:p>
      <w:pPr>
        <w:jc w:val="both"/>
        <w:ind w:firstLine="648"/>
        <w:spacing w:after="0" w:line="255" w:lineRule="auto"/>
        <w:rPr>
          <w:sz w:val="20"/>
          <w:szCs w:val="20"/>
          <w:color w:val="auto"/>
        </w:rPr>
      </w:pPr>
      <w:r>
        <w:rPr>
          <w:rFonts w:ascii="Arial" w:cs="Arial" w:eastAsia="Arial" w:hAnsi="Arial"/>
          <w:sz w:val="18"/>
          <w:szCs w:val="18"/>
          <w:color w:val="auto"/>
        </w:rPr>
        <w:t xml:space="preserve">In addition, notwithstanding the above, (a) Consolidated Adjusted EBITDA for the Fiscal Quarter ended December 31, 2018, shall be deemed to be $210,000,000, (b) Consolidated Adjusted EBITDA for the Fiscal Quarter ended March 31, 2019, shall be deemed to be $120,000,000, (c) Consolidated Adjusted EBITDA for the Fiscal Quarter ended June 30, 2019, shall be deemed to be $124,000,000, (d) Consolidated Adjusted EBITDA for the Fiscal Quarter ended September 30, 2019, shall be deemed to be $172,000,000, and (e) Consolidated Adjusted EBITDA for the Fiscal Quarter ended December 31, 2019, shall be calculated in a manner consistent with the calculation methodology used in determining the amounts set forth in the preceding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EBITDA Plug Numbers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w:t>
      </w:r>
      <w:r>
        <w:rPr>
          <w:rFonts w:ascii="Arial" w:cs="Arial" w:eastAsia="Arial" w:hAnsi="Arial"/>
          <w:sz w:val="17"/>
          <w:szCs w:val="17"/>
          <w:color w:val="auto"/>
        </w:rPr>
        <w:t>”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either the Permitted Holders or a majority of the Continuing Directors.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or any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DBTCA</w:t>
      </w:r>
      <w:r>
        <w:rPr>
          <w:rFonts w:ascii="Arial" w:cs="Arial" w:eastAsia="Arial" w:hAnsi="Arial"/>
          <w:sz w:val="18"/>
          <w:szCs w:val="18"/>
          <w:color w:val="auto"/>
        </w:rPr>
        <w:t>” means Deutsche Bank Trust Company Americas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the occurrence of any event that with the giving of notice or the passage of time or both would become an Event of Default.</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(2) Business Days of the date required to be funded or paid, to (i) fund any portion of its participations in Letters of Credit or (ii) pay over to any Credit Party any other amount required to be paid by it hereunder, (b) 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 (3) Business Days after request by any Obligor Party or any Credit Party, acting in good faith, to provide a certification in writing from an authorized officer of such Lender that it will comply with its obligations to fund participations in then-outstanding Letters of Credit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Any determination by the Administrative Agent that a Lender is a Defaulting Lender shall be conclusive and binding absent manifest error, and such Lender shall be deemed to be a Defaulting Lender upon delivery of written notice of such determination to the Borrowers, Issuing Bank and each Lender.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2" w:name="page483"/>
    <w:bookmarkEnd w:id="4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Deutsche Bank</w:t>
      </w:r>
      <w:r>
        <w:rPr>
          <w:rFonts w:ascii="Arial" w:cs="Arial" w:eastAsia="Arial" w:hAnsi="Arial"/>
          <w:sz w:val="18"/>
          <w:szCs w:val="18"/>
          <w:color w:val="auto"/>
        </w:rPr>
        <w:t>” means Deutsche Bank AG New York Branch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means to sell, lease, assign, exchange, convey or otherwise transfer (excluding the granting of a Lien on) any property or license any Intellectual Property to another Person. “</w:t>
      </w:r>
      <w:r>
        <w:rPr>
          <w:rFonts w:ascii="Arial" w:cs="Arial" w:eastAsia="Arial" w:hAnsi="Arial"/>
          <w:sz w:val="18"/>
          <w:szCs w:val="18"/>
          <w:u w:val="single" w:color="auto"/>
          <w:color w:val="auto"/>
        </w:rPr>
        <w:t>Disposition</w:t>
      </w:r>
      <w:r>
        <w:rPr>
          <w:rFonts w:ascii="Arial" w:cs="Arial" w:eastAsia="Arial" w:hAnsi="Arial"/>
          <w:sz w:val="18"/>
          <w:szCs w:val="18"/>
          <w:color w:val="auto"/>
        </w:rPr>
        <w:t>” has a meaning correlative thereto.</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latest to occur of (i) the Maturity Date and</w:t>
      </w:r>
    </w:p>
    <w:p>
      <w:pPr>
        <w:spacing w:after="0" w:line="2" w:lineRule="exact"/>
        <w:rPr>
          <w:sz w:val="20"/>
          <w:szCs w:val="20"/>
          <w:color w:val="auto"/>
        </w:rPr>
      </w:pPr>
    </w:p>
    <w:p>
      <w:pPr>
        <w:jc w:val="both"/>
        <w:ind w:firstLine="8"/>
        <w:spacing w:after="0" w:line="292" w:lineRule="auto"/>
        <w:tabs>
          <w:tab w:leader="none" w:pos="278" w:val="left"/>
        </w:tabs>
        <w:numPr>
          <w:ilvl w:val="0"/>
          <w:numId w:val="547"/>
        </w:numPr>
        <w:rPr>
          <w:rFonts w:ascii="Arial" w:cs="Arial" w:eastAsia="Arial" w:hAnsi="Arial"/>
          <w:sz w:val="16"/>
          <w:szCs w:val="16"/>
          <w:color w:val="auto"/>
        </w:rPr>
      </w:pPr>
      <w:r>
        <w:rPr>
          <w:rFonts w:ascii="Arial" w:cs="Arial" w:eastAsia="Arial" w:hAnsi="Arial"/>
          <w:sz w:val="16"/>
          <w:szCs w:val="16"/>
          <w:color w:val="auto"/>
        </w:rPr>
        <w:t xml:space="preserve">the ABL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latest to occur of (i) the Maturity Date and (ii) the ABL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on any date of determination, (a) with respect to any amount denominated in Dollars, such amount and (b) with respect to any amount denominated in an Alternative Currency, the equivalent in Dollars of such amount determined by the Administrative Agent (or, in the case of reimbursement obligations required to be paid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the calculation of fronting fees, by the applicable Issuing Bank being reimbursed) in accordance with normal banking industry practice using the Exchange Rate on such date of determination. In making any determination of the Dollar Equivalent for any purpose, the Administrative Agent (or Issuing Bank, as the case may be) shall use the relevant Exchange Rate in effect on the date on which a Dollar Equivalent is required to be determined pursuant to the provisions of this Agreement. As appropriate, amounts specified in this Agreement as amounts in Dollars shall be or include any relevant Dollar Equivalent amount.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3" w:name="page484"/>
    <w:bookmarkEnd w:id="483"/>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Cash Equivalents</w:t>
      </w:r>
      <w:r>
        <w:rPr>
          <w:rFonts w:ascii="Arial" w:cs="Arial" w:eastAsia="Arial" w:hAnsi="Arial"/>
          <w:sz w:val="16"/>
          <w:szCs w:val="16"/>
          <w:color w:val="auto"/>
        </w:rPr>
        <w:t xml:space="preserve">”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(g) debt securities with maturities of six months or less from the date of acquisition backed by standby letters of credit issued by any commercial bank satisfying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and (h) Investments in money market funds substantially all of whose assets are invested in the types of assets described in clauses (a) through (g) above.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any Obligor that is organized under the laws of a jurisdiction located in the United States of America.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each party hereto has executed and delivered this Agreement and the other conditions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are first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Letters of Credit</w:t>
      </w:r>
      <w:r>
        <w:rPr>
          <w:rFonts w:ascii="Arial" w:cs="Arial" w:eastAsia="Arial" w:hAnsi="Arial"/>
          <w:sz w:val="18"/>
          <w:szCs w:val="18"/>
          <w:color w:val="auto"/>
        </w:rPr>
        <w:t xml:space="preserve">” means the Letters of Credit described on </w:t>
      </w:r>
      <w:r>
        <w:rPr>
          <w:rFonts w:ascii="Arial" w:cs="Arial" w:eastAsia="Arial" w:hAnsi="Arial"/>
          <w:sz w:val="18"/>
          <w:szCs w:val="18"/>
          <w:u w:val="single" w:color="auto"/>
          <w:color w:val="auto"/>
        </w:rPr>
        <w:t>Schedule 1.01E</w:t>
      </w:r>
      <w:r>
        <w:rPr>
          <w:rFonts w:ascii="Arial" w:cs="Arial" w:eastAsia="Arial" w:hAnsi="Arial"/>
          <w:sz w:val="18"/>
          <w:szCs w:val="18"/>
          <w:color w:val="auto"/>
        </w:rPr>
        <w:t xml:space="preserve"> and to be issued on the Effective Date by the applicable Issuing Banks referenced on such schedule.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Real Property</w:t>
      </w:r>
      <w:r>
        <w:rPr>
          <w:rFonts w:ascii="Arial" w:cs="Arial" w:eastAsia="Arial" w:hAnsi="Arial"/>
          <w:sz w:val="18"/>
          <w:szCs w:val="18"/>
          <w:color w:val="auto"/>
        </w:rPr>
        <w:t xml:space="preserve">” means the real property listed on </w:t>
      </w:r>
      <w:r>
        <w:rPr>
          <w:rFonts w:ascii="Arial" w:cs="Arial" w:eastAsia="Arial" w:hAnsi="Arial"/>
          <w:sz w:val="18"/>
          <w:szCs w:val="18"/>
          <w:u w:val="single" w:color="auto"/>
          <w:color w:val="auto"/>
        </w:rPr>
        <w:t>Schedule 1.01D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4" w:name="page485"/>
    <w:bookmarkEnd w:id="48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Jurisdiction</w:t>
      </w:r>
      <w:r>
        <w:rPr>
          <w:rFonts w:ascii="Arial" w:cs="Arial" w:eastAsia="Arial" w:hAnsi="Arial"/>
          <w:sz w:val="18"/>
          <w:szCs w:val="18"/>
          <w:color w:val="auto"/>
        </w:rPr>
        <w:t xml:space="preserve">” 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Arial" w:cs="Arial" w:eastAsia="Arial" w:hAnsi="Arial"/>
          <w:sz w:val="18"/>
          <w:szCs w:val="18"/>
          <w:u w:val="single" w:color="auto"/>
          <w:color w:val="auto"/>
        </w:rPr>
        <w:t>provided</w:t>
      </w:r>
      <w:r>
        <w:rPr>
          <w:rFonts w:ascii="Arial" w:cs="Arial" w:eastAsia="Arial" w:hAnsi="Arial"/>
          <w:sz w:val="18"/>
          <w:szCs w:val="18"/>
          <w:color w:val="auto"/>
        </w:rPr>
        <w:t>, that the ABL Administrative Agent and the Borrowers, by mutual written agreement, may re-categorize any country between the definitions of “Eligible Jurisdiction” and “Ineligible Jurisdiction”.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English Security Documents</w:t>
      </w:r>
      <w:r>
        <w:rPr>
          <w:rFonts w:ascii="Arial" w:cs="Arial" w:eastAsia="Arial" w:hAnsi="Arial"/>
          <w:sz w:val="18"/>
          <w:szCs w:val="18"/>
          <w:color w:val="auto"/>
        </w:rPr>
        <w:t xml:space="preserve">” means the English-law-governed security agreements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and in substantially the form as attached to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 an intention to terminate any Plan or Multiemployer Plan or to appoint a trustee to administer any Plan;</w:t>
      </w:r>
    </w:p>
    <w:p>
      <w:pPr>
        <w:spacing w:after="0" w:line="3" w:lineRule="exact"/>
        <w:rPr>
          <w:sz w:val="20"/>
          <w:szCs w:val="20"/>
          <w:color w:val="auto"/>
        </w:rPr>
      </w:pPr>
    </w:p>
    <w:p>
      <w:pPr>
        <w:jc w:val="both"/>
        <w:ind w:firstLine="8"/>
        <w:spacing w:after="0" w:line="265" w:lineRule="auto"/>
        <w:tabs>
          <w:tab w:leader="none" w:pos="261" w:val="left"/>
        </w:tabs>
        <w:numPr>
          <w:ilvl w:val="0"/>
          <w:numId w:val="548"/>
        </w:numPr>
        <w:rPr>
          <w:rFonts w:ascii="Arial" w:cs="Arial" w:eastAsia="Arial" w:hAnsi="Arial"/>
          <w:sz w:val="17"/>
          <w:szCs w:val="17"/>
          <w:color w:val="auto"/>
        </w:rPr>
      </w:pPr>
      <w:r>
        <w:rPr>
          <w:rFonts w:ascii="Arial" w:cs="Arial" w:eastAsia="Arial" w:hAnsi="Arial"/>
          <w:sz w:val="17"/>
          <w:szCs w:val="17"/>
          <w:color w:val="auto"/>
        </w:rPr>
        <w:t>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w:t>
      </w:r>
    </w:p>
    <w:p>
      <w:pPr>
        <w:jc w:val="both"/>
        <w:ind w:firstLine="8"/>
        <w:spacing w:after="0" w:line="254" w:lineRule="auto"/>
        <w:tabs>
          <w:tab w:leader="none" w:pos="237"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5" w:name="page486"/>
    <w:bookmarkEnd w:id="48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w:t>
      </w:r>
      <w:r>
        <w:rPr>
          <w:rFonts w:ascii="Arial" w:cs="Arial" w:eastAsia="Arial" w:hAnsi="Arial"/>
          <w:sz w:val="16"/>
          <w:szCs w:val="16"/>
          <w:color w:val="auto"/>
        </w:rPr>
        <w:t>”, when used in reference to any fee, refers to whether such fee is bearing interest at a rate determined by reference to the Adjusted LIBO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Insolvency Regulation</w:t>
      </w:r>
      <w:r>
        <w:rPr>
          <w:rFonts w:ascii="Arial" w:cs="Arial" w:eastAsia="Arial" w:hAnsi="Arial"/>
          <w:sz w:val="18"/>
          <w:szCs w:val="18"/>
          <w:color w:val="auto"/>
        </w:rPr>
        <w:t>” means Regulation (EU) 2015/848 of the European Parliament and of the Council of 20 May 2015 on insolvency proceedings (recast).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shall mean, on any day, (a) with respect to any Alternative Currency on a particular date, the rate of exchange for the purchase of Dollars with such Alternative Currency in the London foreign exchange market at the end of the applicable Business Day as quoted by Bloomberg as the “ask price”, or as displayed on such other information service which publishes that rate of exchange from time to time in place of Bloomberg (or if such service ceases to be available, the equivalent of such amount in Dollars as determined by the Administrative Agent, in consultation with the Borrowers, using any method of determination it deems reasonably appropriate) and (b) if such amount is denominated in any other currency (other than Dollars), the equivalent of such amount in Dollars as determined by the Administrative Agent, in consultation with the Borrowers, using any method of determination it deems reasonably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determination by the Administrative Agent of the equivalent of such amount in Dollars, as applicable, pursuant to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upon the written request of any Borrower, the Administrative Agent shall notify such Borrower of the sources used to determine such amount.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ABL Credit Agreement and this Agreement) or other obligations, in each case, to the extent such cash collateral is expressly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is exclusively used for such purpose, (c) any Specified Eligible Deposit Account, (d) any Specified Ineligible Deposit Account, and (e) other deposit accounts of the Obligors to the extent the aggregate cash or Cash Equivalent balance of all such other deposit accounts described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does not at any time exceed $10,000,000.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6" w:name="page487"/>
    <w:bookmarkEnd w:id="486"/>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means, collectively, (a) any Capital Stock in any Foreign Subsidiary, joint venture or non-Wholly-Owned Subsidiary that is a Foreign Subsidiary of an Obligor that, in each case, is not organized in a Specified Jurisdiction;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asset will only constitute an Excluded Asset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Arial" w:cs="Arial" w:eastAsia="Arial" w:hAnsi="Arial"/>
          <w:sz w:val="16"/>
          <w:szCs w:val="16"/>
          <w:u w:val="single" w:color="auto"/>
          <w:color w:val="auto"/>
        </w:rPr>
        <w:t>clause</w:t>
      </w:r>
    </w:p>
    <w:p>
      <w:pPr>
        <w:spacing w:after="0" w:line="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and (o) any real property other than the Effective Date Real Property that has a net book value of less than $10,000,000 as reflected in the most recent consolidated financial statements of Parent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the foregoing exclusions shall not apply to any asset or property of any Borrower and its Subsidiaries on which a Lien has been granted in favor of the ABL Collateral Agent to secure the ABL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7" w:name="page488"/>
    <w:bookmarkEnd w:id="4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Jurisdictions</w:t>
      </w:r>
      <w:r>
        <w:rPr>
          <w:rFonts w:ascii="Arial" w:cs="Arial" w:eastAsia="Arial" w:hAnsi="Arial"/>
          <w:sz w:val="18"/>
          <w:szCs w:val="18"/>
          <w:color w:val="auto"/>
        </w:rPr>
        <w:t xml:space="preserve">” means the countries or other jurisdictions identified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 (c) in the case of a Lender (other than an assignee pursuant to an assignment requested by a Borrower under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4.02(e)</w:t>
      </w:r>
      <w:r>
        <w:rPr>
          <w:rFonts w:ascii="Arial" w:cs="Arial" w:eastAsia="Arial" w:hAnsi="Arial"/>
          <w:sz w:val="16"/>
          <w:szCs w:val="16"/>
          <w:color w:val="auto"/>
        </w:rPr>
        <w:t>, (f) any United States federal withholding Taxes imposed by FATCA, (g) any Taxes assessed on a Lender under the laws of Germany solely due to the fact that the Obligations are secured (directly or indirectly) by real estate located in Germany (</w:t>
      </w:r>
      <w:r>
        <w:rPr>
          <w:rFonts w:ascii="Arial" w:cs="Arial" w:eastAsia="Arial" w:hAnsi="Arial"/>
          <w:sz w:val="16"/>
          <w:szCs w:val="16"/>
          <w:i w:val="1"/>
          <w:iCs w:val="1"/>
          <w:color w:val="auto"/>
        </w:rPr>
        <w:t>inländischer</w:t>
      </w:r>
      <w:r>
        <w:rPr>
          <w:rFonts w:ascii="Arial" w:cs="Arial" w:eastAsia="Arial" w:hAnsi="Arial"/>
          <w:sz w:val="16"/>
          <w:szCs w:val="16"/>
          <w:color w:val="auto"/>
        </w:rPr>
        <w:t xml:space="preserve"> </w:t>
      </w:r>
      <w:r>
        <w:rPr>
          <w:rFonts w:ascii="Arial" w:cs="Arial" w:eastAsia="Arial" w:hAnsi="Arial"/>
          <w:sz w:val="16"/>
          <w:szCs w:val="16"/>
          <w:i w:val="1"/>
          <w:iCs w:val="1"/>
          <w:color w:val="auto"/>
        </w:rPr>
        <w:t>Grundbesitz</w:t>
      </w:r>
      <w:r>
        <w:rPr>
          <w:rFonts w:ascii="Arial" w:cs="Arial" w:eastAsia="Arial" w:hAnsi="Arial"/>
          <w:sz w:val="16"/>
          <w:szCs w:val="16"/>
          <w:color w:val="auto"/>
        </w:rPr>
        <w:t>) or by German rights subject to the civil code provisions relating to real estate (</w:t>
      </w:r>
      <w:r>
        <w:rPr>
          <w:rFonts w:ascii="Arial" w:cs="Arial" w:eastAsia="Arial" w:hAnsi="Arial"/>
          <w:sz w:val="16"/>
          <w:szCs w:val="16"/>
          <w:i w:val="1"/>
          <w:iCs w:val="1"/>
          <w:color w:val="auto"/>
        </w:rPr>
        <w:t>inländische Rechte, die den Vorschriften des bürgerlichen Rechts über Grundstücke unterliegen</w:t>
      </w:r>
      <w:r>
        <w:rPr>
          <w:rFonts w:ascii="Arial" w:cs="Arial" w:eastAsia="Arial" w:hAnsi="Arial"/>
          <w:sz w:val="16"/>
          <w:szCs w:val="16"/>
          <w:color w:val="auto"/>
        </w:rPr>
        <w:t>) or ships which are registered in a German ship register and (h) any German withholding tax for which the relevant obligor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the relevant German tax office to make a Tax deduction on account of German Tax pursuant to Section 50a paragraph 7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xml:space="preserve">) or a comparable replacement regulation;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8" w:name="page489"/>
    <w:bookmarkEnd w:id="4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outstanding letters of credit issued by the Issuing Banks and set forth on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Exit Senior Notes</w:t>
      </w:r>
      <w:r>
        <w:rPr>
          <w:rFonts w:ascii="Arial" w:cs="Arial" w:eastAsia="Arial" w:hAnsi="Arial"/>
          <w:sz w:val="16"/>
          <w:szCs w:val="16"/>
          <w:color w:val="auto"/>
        </w:rPr>
        <w:t>” means the unsecured senior notes of WIL-Bermuda to be issued on the Effective Date pursuant to the Plan of Reorganization.</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Senior Notes Indenture</w:t>
      </w:r>
      <w:r>
        <w:rPr>
          <w:rFonts w:ascii="Arial" w:cs="Arial" w:eastAsia="Arial" w:hAnsi="Arial"/>
          <w:sz w:val="18"/>
          <w:szCs w:val="18"/>
          <w:color w:val="auto"/>
        </w:rPr>
        <w:t>” means the indenture, dated on or about the date hereof, governing the Exit Senior Notes, which is in substantially the form attached as an exhibit to the Parent’s Form T-3, as amended, filed with the Securities and Exchange Commission, and in form and substance reasonably satisfactory to the Joint Lead Arrangers to permit the Secured Obligations and the Transactions.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Expiration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0.500% per annum.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9" w:name="page490"/>
    <w:bookmarkEnd w:id="48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Standby Letter of Credit</w:t>
      </w:r>
      <w:r>
        <w:rPr>
          <w:rFonts w:ascii="Arial" w:cs="Arial" w:eastAsia="Arial" w:hAnsi="Arial"/>
          <w:sz w:val="18"/>
          <w:szCs w:val="18"/>
          <w:color w:val="auto"/>
        </w:rPr>
        <w:t>” means, as determined by an Issuing Bank, a standby Letter of Credit under which the beneficiary is entitled to draw thereon in the event that the account party (or the Person or Persons on whose behalf such Letter of Credit was issued) fails to perform a financial obligation.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Parent,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Parent, ending on December 31 of each year.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Cash Equivalents</w:t>
      </w:r>
      <w:r>
        <w:rPr>
          <w:rFonts w:ascii="Arial" w:cs="Arial" w:eastAsia="Arial" w:hAnsi="Arial"/>
          <w:sz w:val="17"/>
          <w:szCs w:val="17"/>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and having at the date of acquisition thereof combined capital and surplus and undivided profits of not less than $500,000,000 (calculated at the then-applicable Exchange Rate), (b) Deposit Accounts maintained with any bank that satisfies the criteria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(c) Investments in money market funds substantially all of whose assets are invested in the types of assets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Participant that is organized under the laws of a jurisdiction other than the United States of America or any State thereof.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 Event</w:t>
      </w:r>
      <w:r>
        <w:rPr>
          <w:rFonts w:ascii="Arial" w:cs="Arial" w:eastAsia="Arial" w:hAnsi="Arial"/>
          <w:sz w:val="17"/>
          <w:szCs w:val="17"/>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0" w:name="page491"/>
    <w:bookmarkEnd w:id="4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any Obligor that is not a Domestic Subsidiary.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xml:space="preserve">” means, with respect to Parent and its Restricted Subsidiaries as of any date, the sum, without duplication, of (a) all Indebtedness of the type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1" w:name="page492"/>
    <w:bookmarkEnd w:id="49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Parent and each Restricted Subsidiary that enters into a Guaranty Agreement with respect to the Secured Obligations. The Guarantors as of the Effective Date are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Agreements</w:t>
      </w:r>
      <w:r>
        <w:rPr>
          <w:rFonts w:ascii="Arial" w:cs="Arial" w:eastAsia="Arial" w:hAnsi="Arial"/>
          <w:sz w:val="18"/>
          <w:szCs w:val="18"/>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Hypothecary Representative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 Supplement</w:t>
      </w:r>
      <w:r>
        <w:rPr>
          <w:rFonts w:ascii="Arial" w:cs="Arial" w:eastAsia="Arial" w:hAnsi="Arial"/>
          <w:sz w:val="18"/>
          <w:szCs w:val="18"/>
          <w:color w:val="auto"/>
        </w:rPr>
        <w:t xml:space="preserve">” means an increasing lender supplement entered into by the Borrowers and any Increasing Lender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w:t>
      </w:r>
    </w:p>
    <w:p>
      <w:pPr>
        <w:spacing w:after="0" w:line="1" w:lineRule="exact"/>
        <w:rPr>
          <w:sz w:val="20"/>
          <w:szCs w:val="20"/>
          <w:color w:val="auto"/>
        </w:rPr>
      </w:pPr>
    </w:p>
    <w:p>
      <w:pPr>
        <w:jc w:val="both"/>
        <w:ind w:firstLine="8"/>
        <w:spacing w:after="0" w:line="271" w:lineRule="auto"/>
        <w:tabs>
          <w:tab w:leader="none" w:pos="227" w:val="left"/>
        </w:tabs>
        <w:numPr>
          <w:ilvl w:val="0"/>
          <w:numId w:val="550"/>
        </w:numPr>
        <w:rPr>
          <w:rFonts w:ascii="Arial" w:cs="Arial" w:eastAsia="Arial" w:hAnsi="Arial"/>
          <w:sz w:val="17"/>
          <w:szCs w:val="17"/>
          <w:color w:val="auto"/>
        </w:rPr>
      </w:pPr>
      <w:r>
        <w:rPr>
          <w:rFonts w:ascii="Arial" w:cs="Arial" w:eastAsia="Arial" w:hAnsi="Arial"/>
          <w:sz w:val="17"/>
          <w:szCs w:val="17"/>
          <w:color w:val="auto"/>
        </w:rPr>
        <w:t>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2" w:name="page493"/>
    <w:bookmarkEnd w:id="49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Jurisdiction</w:t>
      </w:r>
      <w:r>
        <w:rPr>
          <w:rFonts w:ascii="Arial" w:cs="Arial" w:eastAsia="Arial" w:hAnsi="Arial"/>
          <w:sz w:val="18"/>
          <w:szCs w:val="18"/>
          <w:color w:val="auto"/>
        </w:rPr>
        <w:t xml:space="preserve">” means the countries of Albania, Angola, Congo, Egypt, Gabon, and Nigeria;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ABL Administrative Agent and the Borrowers, by mutual written agreement, may re-categorize any country between the definitions of “Ineligible Jurisdiction” and “Eligible Jurisdiction”.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“Insolvency Laws</w:t>
      </w:r>
      <w:r>
        <w:rPr>
          <w:rFonts w:ascii="Arial" w:cs="Arial" w:eastAsia="Arial" w:hAnsi="Arial"/>
          <w:sz w:val="16"/>
          <w:szCs w:val="16"/>
          <w:color w:val="auto"/>
        </w:rPr>
        <w:t xml:space="preserve">” means (a) the Bankruptcy Code, (b)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(c) the </w:t>
      </w:r>
      <w:r>
        <w:rPr>
          <w:rFonts w:ascii="Arial" w:cs="Arial" w:eastAsia="Arial" w:hAnsi="Arial"/>
          <w:sz w:val="16"/>
          <w:szCs w:val="16"/>
          <w:i w:val="1"/>
          <w:iCs w:val="1"/>
          <w:color w:val="auto"/>
        </w:rPr>
        <w:t>Companies’ Creditors Arrangement Act</w:t>
      </w:r>
      <w:r>
        <w:rPr>
          <w:rFonts w:ascii="Arial" w:cs="Arial" w:eastAsia="Arial" w:hAnsi="Arial"/>
          <w:sz w:val="16"/>
          <w:szCs w:val="16"/>
          <w:color w:val="auto"/>
        </w:rPr>
        <w:t xml:space="preserve"> (Canada), (d) the </w:t>
      </w:r>
      <w:r>
        <w:rPr>
          <w:rFonts w:ascii="Arial" w:cs="Arial" w:eastAsia="Arial" w:hAnsi="Arial"/>
          <w:sz w:val="16"/>
          <w:szCs w:val="16"/>
          <w:i w:val="1"/>
          <w:iCs w:val="1"/>
          <w:color w:val="auto"/>
        </w:rPr>
        <w:t>Winding-Up and Restructuring Act</w:t>
      </w:r>
      <w:r>
        <w:rPr>
          <w:rFonts w:ascii="Arial" w:cs="Arial" w:eastAsia="Arial" w:hAnsi="Arial"/>
          <w:sz w:val="16"/>
          <w:szCs w:val="16"/>
          <w:color w:val="auto"/>
        </w:rPr>
        <w:t xml:space="preserve"> (Canada), (e)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(Canada) where such statute is used by a Person to propose an arrangement, (f) the German Insolvency Act (</w:t>
      </w:r>
      <w:r>
        <w:rPr>
          <w:rFonts w:ascii="Arial" w:cs="Arial" w:eastAsia="Arial" w:hAnsi="Arial"/>
          <w:sz w:val="16"/>
          <w:szCs w:val="16"/>
          <w:i w:val="1"/>
          <w:iCs w:val="1"/>
          <w:color w:val="auto"/>
        </w:rPr>
        <w:t>Insolvenzordnung</w:t>
      </w:r>
      <w:r>
        <w:rPr>
          <w:rFonts w:ascii="Arial" w:cs="Arial" w:eastAsia="Arial" w:hAnsi="Arial"/>
          <w:sz w:val="16"/>
          <w:szCs w:val="16"/>
          <w:color w:val="auto"/>
        </w:rPr>
        <w:t>), (g) the German Insolvency Code (</w:t>
      </w:r>
      <w:r>
        <w:rPr>
          <w:rFonts w:ascii="Arial" w:cs="Arial" w:eastAsia="Arial" w:hAnsi="Arial"/>
          <w:sz w:val="16"/>
          <w:szCs w:val="16"/>
          <w:i w:val="1"/>
          <w:iCs w:val="1"/>
          <w:color w:val="auto"/>
        </w:rPr>
        <w:t>Insolvenzordnung</w:t>
      </w:r>
      <w:r>
        <w:rPr>
          <w:rFonts w:ascii="Arial" w:cs="Arial" w:eastAsia="Arial" w:hAnsi="Arial"/>
          <w:sz w:val="16"/>
          <w:szCs w:val="16"/>
          <w:color w:val="auto"/>
        </w:rPr>
        <w:t>) (</w:t>
      </w:r>
      <w:r>
        <w:rPr>
          <w:rFonts w:ascii="Arial" w:cs="Arial" w:eastAsia="Arial" w:hAnsi="Arial"/>
          <w:sz w:val="16"/>
          <w:szCs w:val="16"/>
          <w:i w:val="1"/>
          <w:iCs w:val="1"/>
          <w:color w:val="auto"/>
        </w:rPr>
        <w:t>Anordnung von</w:t>
      </w:r>
      <w:r>
        <w:rPr>
          <w:rFonts w:ascii="Arial" w:cs="Arial" w:eastAsia="Arial" w:hAnsi="Arial"/>
          <w:sz w:val="16"/>
          <w:szCs w:val="16"/>
          <w:color w:val="auto"/>
        </w:rPr>
        <w:t xml:space="preserve"> </w:t>
      </w:r>
      <w:r>
        <w:rPr>
          <w:rFonts w:ascii="Arial" w:cs="Arial" w:eastAsia="Arial" w:hAnsi="Arial"/>
          <w:sz w:val="16"/>
          <w:szCs w:val="16"/>
          <w:i w:val="1"/>
          <w:iCs w:val="1"/>
          <w:color w:val="auto"/>
        </w:rPr>
        <w:t>Sicherungsmaßnahmen</w:t>
      </w:r>
      <w:r>
        <w:rPr>
          <w:rFonts w:ascii="Arial" w:cs="Arial" w:eastAsia="Arial" w:hAnsi="Arial"/>
          <w:sz w:val="16"/>
          <w:szCs w:val="16"/>
          <w:color w:val="auto"/>
        </w:rPr>
        <w:t>)), and/or (h) any similar legislation in a relevant jurisdiction, in each case as applicable and as in effect from time to time.</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Arial" w:cs="Arial" w:eastAsia="Arial" w:hAnsi="Arial"/>
          <w:sz w:val="17"/>
          <w:szCs w:val="17"/>
          <w:i w:val="1"/>
          <w:iCs w:val="1"/>
          <w:color w:val="auto"/>
        </w:rPr>
        <w:t>Invorderingswet 1990</w:t>
      </w:r>
      <w:r>
        <w:rPr>
          <w:rFonts w:ascii="Arial" w:cs="Arial" w:eastAsia="Arial" w:hAnsi="Arial"/>
          <w:sz w:val="17"/>
          <w:szCs w:val="17"/>
          <w:color w:val="auto"/>
        </w:rPr>
        <w:t>) or Section 60 of the Social Insurance Financing Act of the Netherlands (</w:t>
      </w:r>
      <w:r>
        <w:rPr>
          <w:rFonts w:ascii="Arial" w:cs="Arial" w:eastAsia="Arial" w:hAnsi="Arial"/>
          <w:sz w:val="17"/>
          <w:szCs w:val="17"/>
          <w:i w:val="1"/>
          <w:iCs w:val="1"/>
          <w:color w:val="auto"/>
        </w:rPr>
        <w:t>Wet Financiering Sociale Verzekeringen</w:t>
      </w:r>
      <w:r>
        <w:rPr>
          <w:rFonts w:ascii="Arial" w:cs="Arial" w:eastAsia="Arial" w:hAnsi="Arial"/>
          <w:sz w:val="17"/>
          <w:szCs w:val="17"/>
          <w:color w:val="auto"/>
        </w:rPr>
        <w:t>) in conjunction with Section 36 of the Tax Collection Act of the Netherlands (</w:t>
      </w:r>
      <w:r>
        <w:rPr>
          <w:rFonts w:ascii="Arial" w:cs="Arial" w:eastAsia="Arial" w:hAnsi="Arial"/>
          <w:sz w:val="17"/>
          <w:szCs w:val="17"/>
          <w:i w:val="1"/>
          <w:iCs w:val="1"/>
          <w:color w:val="auto"/>
        </w:rPr>
        <w:t>Invorderingswet 1990</w:t>
      </w:r>
      <w:r>
        <w:rPr>
          <w:rFonts w:ascii="Arial" w:cs="Arial" w:eastAsia="Arial" w:hAnsi="Arial"/>
          <w:sz w:val="17"/>
          <w:szCs w:val="17"/>
          <w:color w:val="auto"/>
        </w:rPr>
        <w: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U.S. Security Agreement, and includes all Industrial Designs (as defined in the Canadian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Subordination Agreement</w:t>
      </w:r>
      <w:r>
        <w:rPr>
          <w:rFonts w:ascii="Arial" w:cs="Arial" w:eastAsia="Arial" w:hAnsi="Arial"/>
          <w:sz w:val="18"/>
          <w:szCs w:val="18"/>
          <w:color w:val="auto"/>
        </w:rPr>
        <w:t xml:space="preserve">” means an intercompany subordination agreement, dated as of the date hereof, executed and delivered by each Obligor and the Parent’s Subsidiaries party thereto, and Agent, in substantially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 or as otherwise reasonably agreed by the Required Lenders.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means, collectively, (a) that certain Intercreditor Agreement dated as of the Effective Date,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by and among the Administrative Agent, the ABL Collateral Agent, the Borrowers and the other Obligors from time to time party thereto and (b) 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ABL Secured Parties or any other Person) under the laws of any Specified Jurisdiction in order for the Liens on the LC Priority Collateral securing the ABL Credit Obligations to be subordinated to the Liens on the LC Priority Collateral securing the Secured Obligations to the reasonable satisfaction of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3" w:name="page494"/>
    <w:bookmarkEnd w:id="49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LC Fee Period</w:t>
      </w:r>
      <w:r>
        <w:rPr>
          <w:rFonts w:ascii="Arial" w:cs="Arial" w:eastAsia="Arial" w:hAnsi="Arial"/>
          <w:sz w:val="18"/>
          <w:szCs w:val="18"/>
          <w:color w:val="auto"/>
        </w:rPr>
        <w:t>” means the period from December 12, 2019 until January 1, 2020.</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for any Impacted Interest Period, the rate per annum (rounded down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Interpolated Rate shall be less than zero, such rate shall be deemed to be zero for the purposes of this Agreement.</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ind w:right="20" w:firstLine="8"/>
        <w:spacing w:after="0" w:line="261" w:lineRule="auto"/>
        <w:tabs>
          <w:tab w:leader="none" w:pos="287" w:val="left"/>
        </w:tabs>
        <w:numPr>
          <w:ilvl w:val="0"/>
          <w:numId w:val="551"/>
        </w:numPr>
        <w:rPr>
          <w:rFonts w:ascii="Arial" w:cs="Arial" w:eastAsia="Arial" w:hAnsi="Arial"/>
          <w:sz w:val="18"/>
          <w:szCs w:val="18"/>
          <w:color w:val="auto"/>
        </w:rPr>
      </w:pPr>
      <w:r>
        <w:rPr>
          <w:rFonts w:ascii="Arial" w:cs="Arial" w:eastAsia="Arial" w:hAnsi="Arial"/>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Short Forms</w:t>
      </w:r>
      <w:r>
        <w:rPr>
          <w:rFonts w:ascii="Arial" w:cs="Arial" w:eastAsia="Arial" w:hAnsi="Arial"/>
          <w:sz w:val="18"/>
          <w:szCs w:val="18"/>
          <w:color w:val="auto"/>
        </w:rPr>
        <w:t xml:space="preserve">” means the Trademark Security Agreement and Patent Security Agreement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and to the extent applicable, a copyright security agreement in a form substantially similar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Scheme</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 each of Deutsche Bank, Wells Fargo, Barclays, Citibank, N.A., Morgan Stanley Senior Funding, Inc., Nordea Bank Abp, New York Branch and any other Lender that agrees to issue Letters of Credit hereunder as contemplated by </w:t>
      </w:r>
      <w:r>
        <w:rPr>
          <w:rFonts w:ascii="Arial" w:cs="Arial" w:eastAsia="Arial" w:hAnsi="Arial"/>
          <w:sz w:val="18"/>
          <w:szCs w:val="18"/>
          <w:u w:val="single" w:color="auto"/>
          <w:color w:val="auto"/>
        </w:rPr>
        <w:t>Section 3.01(l)</w:t>
      </w:r>
      <w:r>
        <w:rPr>
          <w:rFonts w:ascii="Arial" w:cs="Arial" w:eastAsia="Arial" w:hAnsi="Arial"/>
          <w:sz w:val="18"/>
          <w:szCs w:val="18"/>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4" w:name="page495"/>
    <w:bookmarkEnd w:id="49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Deutsche Bank, Wells Fargo Securities, LLC and Barclays, each in its capacity as Joint Lead Arranger and Joint Bookrunner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Australian Collateral Agent</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3.01(k)</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each Issuing Bank, the commitment of such Issuing Bank to issue Letters of Credit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amount of each Issuing Bank’s LC Commitment, at any time, shall be (a) with respect to each Issuing Bank as of the Effective Date, its “LC Commitment”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(b) with respect to any other Issuing Bank after the Effective Date, an amount agreed to by such Issuing Bank, in the case of any Issuing Bank described in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as such LC Commitment may be adjusted from time to time in accordance with </w:t>
      </w:r>
      <w:r>
        <w:rPr>
          <w:rFonts w:ascii="Arial" w:cs="Arial" w:eastAsia="Arial" w:hAnsi="Arial"/>
          <w:sz w:val="18"/>
          <w:szCs w:val="18"/>
          <w:u w:val="single" w:color="auto"/>
          <w:color w:val="auto"/>
        </w:rPr>
        <w:t>Section 3.01(j)</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Expiration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means, with respect to any Lender at any time, such Lender’s Applicable Percentage of the Total LC Exposure at such time.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 Period</w:t>
      </w:r>
      <w:r>
        <w:rPr>
          <w:rFonts w:ascii="Arial" w:cs="Arial" w:eastAsia="Arial" w:hAnsi="Arial"/>
          <w:sz w:val="18"/>
          <w:szCs w:val="18"/>
          <w:color w:val="auto"/>
        </w:rPr>
        <w:t>” means, initially, the Initial LC Fee Period, and subsequently, the applicable one calendar month period commencing on the first Business Day of the calendar month and ending on the last Business Day of such calendar month.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Participation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2.04(b)(i)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5" w:name="page496"/>
    <w:bookmarkEnd w:id="49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Participation Fee Rate</w:t>
      </w:r>
      <w:r>
        <w:rPr>
          <w:rFonts w:ascii="Arial" w:cs="Arial" w:eastAsia="Arial" w:hAnsi="Arial"/>
          <w:sz w:val="18"/>
          <w:szCs w:val="18"/>
          <w:color w:val="auto"/>
        </w:rPr>
        <w:t xml:space="preserve">” means the LIBO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LC Participation Fee Rate is being calculated by reference to the Alternate Base Rate, LC Participation Fee Rate shall mean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Priority Collateral</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in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means any letter of credit issued pursuant to this Agreement (including the Existing Letters of Credit pursuant to </w:t>
      </w:r>
      <w:r>
        <w:rPr>
          <w:rFonts w:ascii="Arial" w:cs="Arial" w:eastAsia="Arial" w:hAnsi="Arial"/>
          <w:sz w:val="16"/>
          <w:szCs w:val="16"/>
          <w:u w:val="single" w:color="auto"/>
          <w:color w:val="auto"/>
        </w:rPr>
        <w:t>Section 3.01(n)</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means a request by a Borrower for the issuance, amendment, renewal or extension, as the case may be, of a Letter of Credit in accordance with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means, as of any date of determination and on a consolidated basis, the result of (a) the amount equal to (i) Funded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Unrestricted Cash, to (b) Consolidated Adjusted EBITDA for the four Fiscal Quarter period ended as of such date.</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with respect to any Letter of Credit for any applicable LC Fee Period, the LIBO Screen Rate at approximately 11:00 a.m., London time, two Business Days prior to the commencement of such LC Fee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LIBO Screen Rate shall not be available at such time for such LC Fee Period (the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then the LIBO Rate for such LC Fee Period shall be the Interpolated Rate. It is understood and agreed that all of the terms and conditions of this definition of “LIBO Rate” shall be subject to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Screen Rate</w:t>
      </w:r>
      <w:r>
        <w:rPr>
          <w:rFonts w:ascii="Arial" w:cs="Arial" w:eastAsia="Arial" w:hAnsi="Arial"/>
          <w:sz w:val="17"/>
          <w:szCs w:val="17"/>
          <w:color w:val="auto"/>
        </w:rPr>
        <w:t xml:space="preserve">” means, for any day and time, with respect to any Letter of Credit for any LC Fee Period, the London interbank offered rate as administered by ICE Benchmark Administration (or any other Person that takes over the administration of such rate for Dollars) for the 30 calendar day period beginning on the first day of such LC Fee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shall be less than zero, such rate shall be deemed to be zero for the purposes of this Agreement. When 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6" w:name="page497"/>
    <w:bookmarkEnd w:id="49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Successor Rate Conforming Changes</w:t>
      </w:r>
      <w:r>
        <w:rPr>
          <w:rFonts w:ascii="Arial" w:cs="Arial" w:eastAsia="Arial" w:hAnsi="Arial"/>
          <w:sz w:val="18"/>
          <w:szCs w:val="18"/>
          <w:color w:val="auto"/>
        </w:rPr>
        <w:t>” means, with respect to any proposed LIBO Successor Rate, any conforming changes to the definition of “Alternate Base Rate”, the definition of “LC Fee Period”, timing and frequency of determining rates and making payments of interest and other administrative matters as may be appropriate, that the Administrative Agent and the Borrowers mutually decide, to reflect the adoption of such LIBO Successor Rate and to permit the administration thereof by the Administrative Agent in a manner substantially consistent with market practice (or, if the Administrative Agent and the Borrowers determine that adoption of any portion of such market practice is not administratively feasible or that no market practice for the administration of such LIBO Successor Rate exists, in such other manner of administration as the Administrative Agent and Borrowers decide).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Acts</w:t>
      </w:r>
      <w:r>
        <w:rPr>
          <w:rFonts w:ascii="Arial" w:cs="Arial" w:eastAsia="Arial" w:hAnsi="Arial"/>
          <w:sz w:val="18"/>
          <w:szCs w:val="18"/>
          <w:color w:val="auto"/>
        </w:rPr>
        <w:t>” means the Limitation Act 1980 and the Foreign Limitation Periods Act 1984.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(a) the Aggregate Excess Availability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unrestricted cash and Cash Equivalents of the Obligors at such date.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this Agreement, the Guaranty Agreements, the Letters of Credit (and applications therefor), the Collateral Documents, the Intercompany Subordination Agreement, the Security Trust Deed,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Obligors</w:t>
      </w:r>
      <w:r>
        <w:rPr>
          <w:rFonts w:ascii="Arial" w:cs="Arial" w:eastAsia="Arial" w:hAnsi="Arial"/>
          <w:sz w:val="18"/>
          <w:szCs w:val="18"/>
          <w:color w:val="auto"/>
        </w:rPr>
        <w:t>” means any Obligor organized under the laws of the Grand Duchy of Luxembourg.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 (ii) the ability of the Administrative Agent or the Lenders to realize the material benefits intended to be provided by the Obligors under the Loan Documents.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7" w:name="page498"/>
    <w:bookmarkEnd w:id="49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of any one or more of Parent and its Restricted Subsidiaries in an aggregate principal amount exceeding $65,000,000.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real property located in the United States of America, Canada or the United Kingdom owned by any Obligor with a net book value in excess of $10,000,000 and that is not an Excluded Asset and each Effective Date Real Property.</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Specified Subsidiary</w:t>
      </w:r>
      <w:r>
        <w:rPr>
          <w:rFonts w:ascii="Arial" w:cs="Arial" w:eastAsia="Arial" w:hAnsi="Arial"/>
          <w:sz w:val="16"/>
          <w:szCs w:val="16"/>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7.01(b)</w:t>
      </w:r>
      <w:r>
        <w:rPr>
          <w:rFonts w:ascii="Arial" w:cs="Arial" w:eastAsia="Arial" w:hAnsi="Arial"/>
          <w:sz w:val="16"/>
          <w:szCs w:val="16"/>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 (ii) 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June 13,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Mortgages</w:t>
      </w:r>
      <w:r>
        <w:rPr>
          <w:rFonts w:ascii="Arial" w:cs="Arial" w:eastAsia="Arial" w:hAnsi="Arial"/>
          <w:sz w:val="17"/>
          <w:szCs w:val="17"/>
          <w:color w:val="auto"/>
        </w:rPr>
        <w:t xml:space="preserve">” means, collectively, (a) the instruments described on </w:t>
      </w:r>
      <w:r>
        <w:rPr>
          <w:rFonts w:ascii="Arial" w:cs="Arial" w:eastAsia="Arial" w:hAnsi="Arial"/>
          <w:sz w:val="17"/>
          <w:szCs w:val="17"/>
          <w:u w:val="single" w:color="auto"/>
          <w:color w:val="auto"/>
        </w:rPr>
        <w:t>Schedule 7.11</w:t>
      </w:r>
      <w:r>
        <w:rPr>
          <w:rFonts w:ascii="Arial" w:cs="Arial" w:eastAsia="Arial" w:hAnsi="Arial"/>
          <w:sz w:val="17"/>
          <w:szCs w:val="17"/>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or supplement thereto.</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plan covered by Title IV of ERISA which is a “multiemployer plan” (as such term is defined in Section 4001(a)(3)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“Redomestication”.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(ii) has been approved by the Required Lenders.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8" w:name="page499"/>
    <w:bookmarkEnd w:id="4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if any of the aforesaid rates shall be less than zero, such rate shall be deemed to be zero for purposes of this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any of the Letters of Credit.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Parties</w:t>
      </w:r>
      <w:r>
        <w:rPr>
          <w:rFonts w:ascii="Arial" w:cs="Arial" w:eastAsia="Arial" w:hAnsi="Arial"/>
          <w:sz w:val="18"/>
          <w:szCs w:val="18"/>
          <w:color w:val="auto"/>
        </w:rPr>
        <w:t>” means the Borrowers and Parent, and “</w:t>
      </w:r>
      <w:r>
        <w:rPr>
          <w:rFonts w:ascii="Arial" w:cs="Arial" w:eastAsia="Arial" w:hAnsi="Arial"/>
          <w:sz w:val="18"/>
          <w:szCs w:val="18"/>
          <w:u w:val="single" w:color="auto"/>
          <w:color w:val="auto"/>
        </w:rPr>
        <w:t>Obligor Party</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means the Obligor Parties and any other Guarantors, and “</w:t>
      </w:r>
      <w:r>
        <w:rPr>
          <w:rFonts w:ascii="Arial" w:cs="Arial" w:eastAsia="Arial" w:hAnsi="Arial"/>
          <w:sz w:val="18"/>
          <w:szCs w:val="18"/>
          <w:u w:val="single" w:color="auto"/>
          <w:color w:val="auto"/>
        </w:rPr>
        <w:t>Obligor</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9" w:name="page500"/>
    <w:bookmarkEnd w:id="499"/>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(i.e., borrowings determined at the Adjusted LIBO Rate)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means “Parallel Debt” (as defined in Section 13 in the Affiliate Guaranty).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means Weatherford International plc, an Irish public limited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Redomestication occurs subsequent to the Effective Date and Parent is not the Surviving Person resulting from such Redomestication, the term “Parent” shall refer to the Surviving Person resulting from such Redomestication.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Certificate</w:t>
      </w:r>
      <w:r>
        <w:rPr>
          <w:rFonts w:ascii="Arial" w:cs="Arial" w:eastAsia="Arial" w:hAnsi="Arial"/>
          <w:sz w:val="18"/>
          <w:szCs w:val="18"/>
          <w:color w:val="auto"/>
        </w:rPr>
        <w:t xml:space="preserve">” means a certificate executed by a Participant,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the Commitments have expired or been terminated and the Obligations and all fees payable hereunder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LC Disbursements shall have been reimbursed in full in cash.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(other than a Hostile Acquisition) by Parent or a Restricted Subsidiary if (a) at the time of and immediately after giving effect thereto, (i) no Default or Event of Default has occurred and is continuing or would result therefrom, (ii) Parent and its Restricted Subsidiaries are in compliance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(b) all actions required to be taken with respect to such acquired or newly formed Subsidiary under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shall have been taken or will be taken within the time periods set forth therein, (c) such Acquisition involves a merger, consolidation or amalgamation of Parent or a Restricted Subsidiary with any other Person, such Acquisition is permitted under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(d) in the case of any Acquisition made by the Restricted Subsidiaries that are not Wholly-Owned Subsidiaries and Restricted Subsidiaries that are not Obligors (including Wholly-Owned Subsidiaries),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plus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6"/>
          <w:szCs w:val="16"/>
          <w:u w:val="single" w:color="auto"/>
          <w:color w:val="auto"/>
        </w:rPr>
        <w:t>clause (e)(iv)</w:t>
      </w:r>
      <w:r>
        <w:rPr>
          <w:rFonts w:ascii="Arial" w:cs="Arial" w:eastAsia="Arial" w:hAnsi="Arial"/>
          <w:sz w:val="16"/>
          <w:szCs w:val="16"/>
          <w:color w:val="auto"/>
        </w:rPr>
        <w:t xml:space="preserve"> below and (e) in the case of any Acquisition made by Obligors,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if such date is on or after the first anniversary of the Effective Date, $200,000,000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if such date is on or after the second anniversary of the Effective Date, $200,000,000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(iv)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6"/>
          <w:szCs w:val="16"/>
          <w:u w:val="single" w:color="auto"/>
          <w:color w:val="auto"/>
        </w:rPr>
        <w:t>clause (d)(ii)</w:t>
      </w:r>
      <w:r>
        <w:rPr>
          <w:rFonts w:ascii="Arial" w:cs="Arial" w:eastAsia="Arial" w:hAnsi="Arial"/>
          <w:sz w:val="16"/>
          <w:szCs w:val="16"/>
          <w:color w:val="auto"/>
        </w:rPr>
        <w:t xml:space="preserve"> above.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00" w:name="page501"/>
    <w:bookmarkEnd w:id="500"/>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Customer Notes Disposition</w:t>
      </w:r>
      <w:r>
        <w:rPr>
          <w:rFonts w:ascii="Arial" w:cs="Arial" w:eastAsia="Arial" w:hAnsi="Arial"/>
          <w:sz w:val="16"/>
          <w:szCs w:val="16"/>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Existing Indebtedness</w:t>
      </w:r>
      <w:r>
        <w:rPr>
          <w:rFonts w:ascii="Arial" w:cs="Arial" w:eastAsia="Arial" w:hAnsi="Arial"/>
          <w:sz w:val="18"/>
          <w:szCs w:val="18"/>
          <w:color w:val="auto"/>
        </w:rPr>
        <w:t xml:space="preserve">” means the Indebtedness of Parent and its Restricted Subsidiaries existing as of the Effective Date and identified on </w:t>
      </w:r>
      <w:r>
        <w:rPr>
          <w:rFonts w:ascii="Arial" w:cs="Arial" w:eastAsia="Arial" w:hAnsi="Arial"/>
          <w:sz w:val="18"/>
          <w:szCs w:val="18"/>
          <w:u w:val="single" w:color="auto"/>
          <w:color w:val="auto"/>
        </w:rPr>
        <w:t>Schedule 8.01</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Customers</w:t>
      </w:r>
      <w:r>
        <w:rPr>
          <w:rFonts w:ascii="Arial" w:cs="Arial" w:eastAsia="Arial" w:hAnsi="Arial"/>
          <w:sz w:val="18"/>
          <w:szCs w:val="18"/>
          <w:color w:val="auto"/>
        </w:rPr>
        <w:t>” means the Persons identified to the Administrative Agent in writing on or prior to the Effective Date, as such Persons may be updated from time to time by Parent with the approval of the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Transaction Documents</w:t>
      </w:r>
      <w:r>
        <w:rPr>
          <w:rFonts w:ascii="Arial" w:cs="Arial" w:eastAsia="Arial" w:hAnsi="Arial"/>
          <w:sz w:val="18"/>
          <w:szCs w:val="18"/>
          <w:color w:val="auto"/>
        </w:rPr>
        <w:t>” means each of the documents and agreements entered into in connection with any Permitted Factoring Transaction.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Factoring Transactions</w:t>
      </w:r>
      <w:r>
        <w:rPr>
          <w:rFonts w:ascii="Arial" w:cs="Arial" w:eastAsia="Arial" w:hAnsi="Arial"/>
          <w:sz w:val="17"/>
          <w:szCs w:val="17"/>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face amount of all receivables sold or transferred pursuant to Permitted Factoring Transactions shall not exceed $100,000,000 during any Fiscal Quarter, and (b) such Receivables are segregated into deposit 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1" w:name="page502"/>
    <w:bookmarkEnd w:id="50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Capital Research Management Company and its affiliates, on behalf of certain managed funds and accounts, and Franklin Advisers, Inc., as investment manager on behalf of certain funds and accounts.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Intercompany Specified Transactions</w:t>
      </w:r>
      <w:r>
        <w:rPr>
          <w:rFonts w:ascii="Arial" w:cs="Arial" w:eastAsia="Arial" w:hAnsi="Arial"/>
          <w:sz w:val="17"/>
          <w:szCs w:val="17"/>
          <w:color w:val="auto"/>
        </w:rPr>
        <w:t>” means capital contributions, other Investments, asset Dispositions or Restricted Payments made by Parent or a Restricted Subsidiary to or in a Restricted Subsidiary that is not an Obligor or an Obligor that is not a Wholly-Owned Subsidiary (a) made in the ordinary course of business in order to comply with foreign requirements of law and accounting standards and practices with respect to minimum levels of retained earnings or other similar legal requirements, (b) made in the ordinary course of business and in accordance with historical practices thereof prior to the commencement of the Chapter 11 Cases in connection with submitting RFPs, RFQs or other similar customer bids, (c) made in the ordinary course of business and in accordance with historical practices thereof prior to the commencement of the Chapter 11 Cases in connection with tax optimization strategies, and (d) made in the ordinary course of business and in accordance with historical practices thereof prior to the commencement of the Chapter 11 Cases in connection with funding operating losses of the recipient thereof.</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Intercompany Treasury Management Transactions</w:t>
      </w:r>
      <w:r>
        <w:rPr>
          <w:rFonts w:ascii="Arial" w:cs="Arial" w:eastAsia="Arial" w:hAnsi="Arial"/>
          <w:sz w:val="17"/>
          <w:szCs w:val="17"/>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 prior to the commencement of the Chapter 11 Cases.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without duplication:</w:t>
      </w:r>
    </w:p>
    <w:p>
      <w:pPr>
        <w:spacing w:after="0" w:line="225" w:lineRule="exact"/>
        <w:rPr>
          <w:sz w:val="20"/>
          <w:szCs w:val="20"/>
          <w:color w:val="auto"/>
        </w:rPr>
      </w:pPr>
    </w:p>
    <w:p>
      <w:pPr>
        <w:jc w:val="both"/>
        <w:ind w:firstLine="656"/>
        <w:spacing w:after="0" w:line="259" w:lineRule="auto"/>
        <w:tabs>
          <w:tab w:leader="none" w:pos="153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Liens for Taxes or unpaid utilities (i) not yet delinquent or which can thereafter be paid without penalty, (ii) which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Taxes referenced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5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81" w:lineRule="exact"/>
        <w:rPr>
          <w:rFonts w:ascii="Arial" w:cs="Arial" w:eastAsia="Arial" w:hAnsi="Arial"/>
          <w:sz w:val="18"/>
          <w:szCs w:val="18"/>
          <w:color w:val="auto"/>
        </w:rPr>
      </w:pPr>
    </w:p>
    <w:p>
      <w:pPr>
        <w:ind w:firstLine="656"/>
        <w:spacing w:after="0" w:line="277" w:lineRule="auto"/>
        <w:tabs>
          <w:tab w:leader="none" w:pos="176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pledges or deposits made in compliance with, or deemed trusts arising in connection with, workers’ compensation, unemployment insurance, old age benefits, pension, employment or other social security laws or regulations;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735" w:val="left"/>
        </w:tabs>
        <w:numPr>
          <w:ilvl w:val="0"/>
          <w:numId w:val="552"/>
        </w:numPr>
        <w:rPr>
          <w:rFonts w:ascii="Arial" w:cs="Arial" w:eastAsia="Arial" w:hAnsi="Arial"/>
          <w:sz w:val="17"/>
          <w:szCs w:val="17"/>
          <w:color w:val="auto"/>
        </w:rPr>
      </w:pPr>
      <w:r>
        <w:rPr>
          <w:rFonts w:ascii="Arial" w:cs="Arial" w:eastAsia="Arial" w:hAnsi="Arial"/>
          <w:sz w:val="17"/>
          <w:szCs w:val="17"/>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2" w:name="page503"/>
    <w:bookmarkEnd w:id="502"/>
    <w:p>
      <w:pPr>
        <w:ind w:left="1540" w:hanging="884"/>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rights under retention of title arrangements in favor of suppliers incurred in the ordinary course of business;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81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53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xml:space="preserve">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627" w:val="left"/>
        </w:tabs>
        <w:numPr>
          <w:ilvl w:val="0"/>
          <w:numId w:val="553"/>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Parent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permitted by </w:t>
      </w:r>
      <w:r>
        <w:rPr>
          <w:rFonts w:ascii="Arial" w:cs="Arial" w:eastAsia="Arial" w:hAnsi="Arial"/>
          <w:sz w:val="17"/>
          <w:szCs w:val="17"/>
          <w:u w:val="single" w:color="auto"/>
          <w:color w:val="auto"/>
        </w:rPr>
        <w:t>Section 8.01(k)</w:t>
      </w:r>
      <w:r>
        <w:rPr>
          <w:rFonts w:ascii="Arial" w:cs="Arial" w:eastAsia="Arial" w:hAnsi="Arial"/>
          <w:sz w:val="17"/>
          <w:szCs w:val="17"/>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907"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incurred under this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w:t>
      </w:r>
      <w:r>
        <w:rPr>
          <w:rFonts w:ascii="Arial" w:cs="Arial" w:eastAsia="Arial" w:hAnsi="Arial"/>
          <w:sz w:val="18"/>
          <w:szCs w:val="18"/>
          <w:u w:val="single" w:color="auto"/>
          <w:color w:val="auto"/>
        </w:rPr>
        <w:t>sub-clause (i)</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940" w:hanging="1284"/>
        <w:spacing w:after="0"/>
        <w:tabs>
          <w:tab w:leader="none" w:pos="1940" w:val="left"/>
        </w:tabs>
        <w:numPr>
          <w:ilvl w:val="0"/>
          <w:numId w:val="553"/>
        </w:numPr>
        <w:rPr>
          <w:rFonts w:ascii="Arial" w:cs="Arial" w:eastAsia="Arial" w:hAnsi="Arial"/>
          <w:sz w:val="16"/>
          <w:szCs w:val="16"/>
          <w:color w:val="auto"/>
        </w:rPr>
      </w:pPr>
      <w:r>
        <w:rPr>
          <w:rFonts w:ascii="Arial" w:cs="Arial" w:eastAsia="Arial" w:hAnsi="Arial"/>
          <w:sz w:val="16"/>
          <w:szCs w:val="16"/>
          <w:color w:val="auto"/>
        </w:rPr>
        <w:t>leases or subleases granted to others not interfering in any material respect with the business of Parent or any of its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1540" w:hanging="884"/>
        <w:spacing w:after="0"/>
        <w:tabs>
          <w:tab w:leader="none" w:pos="15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Liens to secure obligations arising from statutory or regulatory requirements;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74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3" w:name="page504"/>
    <w:bookmarkEnd w:id="503"/>
    <w:p>
      <w:pPr>
        <w:jc w:val="both"/>
        <w:ind w:firstLine="656"/>
        <w:spacing w:after="0" w:line="273" w:lineRule="auto"/>
        <w:tabs>
          <w:tab w:leader="none" w:pos="1817" w:val="left"/>
        </w:tabs>
        <w:numPr>
          <w:ilvl w:val="1"/>
          <w:numId w:val="554"/>
        </w:numPr>
        <w:rPr>
          <w:rFonts w:ascii="Arial" w:cs="Arial" w:eastAsia="Arial" w:hAnsi="Arial"/>
          <w:sz w:val="17"/>
          <w:szCs w:val="17"/>
          <w:color w:val="auto"/>
        </w:rPr>
      </w:pPr>
      <w:r>
        <w:rPr>
          <w:rFonts w:ascii="Arial" w:cs="Arial" w:eastAsia="Arial" w:hAnsi="Arial"/>
          <w:sz w:val="17"/>
          <w:szCs w:val="17"/>
          <w:color w:val="auto"/>
        </w:rPr>
        <w:t>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Arial" w:cs="Arial" w:eastAsia="Arial" w:hAnsi="Arial"/>
          <w:sz w:val="17"/>
          <w:szCs w:val="17"/>
          <w:i w:val="1"/>
          <w:iCs w:val="1"/>
          <w:color w:val="auto"/>
        </w:rPr>
        <w:t>Allgemeine Geschäftsbedingungen der Banken oder Sparkassen</w:t>
      </w:r>
      <w:r>
        <w:rPr>
          <w:rFonts w:ascii="Arial" w:cs="Arial" w:eastAsia="Arial" w:hAnsi="Arial"/>
          <w:sz w:val="17"/>
          <w:szCs w:val="17"/>
          <w:color w:val="auto"/>
        </w:rPr>
        <w:t>) with whom any Obligor maintains a banking relationship in the ordinary course of business;</w:t>
      </w:r>
    </w:p>
    <w:p>
      <w:pPr>
        <w:spacing w:after="0" w:line="178" w:lineRule="exact"/>
        <w:rPr>
          <w:rFonts w:ascii="Arial" w:cs="Arial" w:eastAsia="Arial" w:hAnsi="Arial"/>
          <w:sz w:val="17"/>
          <w:szCs w:val="17"/>
          <w:color w:val="auto"/>
        </w:rPr>
      </w:pPr>
    </w:p>
    <w:p>
      <w:pPr>
        <w:ind w:left="1540" w:hanging="884"/>
        <w:spacing w:after="0"/>
        <w:tabs>
          <w:tab w:leader="none" w:pos="154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277" w:lineRule="auto"/>
        <w:tabs>
          <w:tab w:leader="none" w:pos="1803" w:val="left"/>
        </w:tabs>
        <w:numPr>
          <w:ilvl w:val="1"/>
          <w:numId w:val="554"/>
        </w:numPr>
        <w:rPr>
          <w:rFonts w:ascii="Arial" w:cs="Arial" w:eastAsia="Arial" w:hAnsi="Arial"/>
          <w:sz w:val="18"/>
          <w:szCs w:val="18"/>
          <w:color w:val="auto"/>
        </w:rPr>
      </w:pPr>
      <w:r>
        <w:rPr>
          <w:rFonts w:ascii="Arial" w:cs="Arial" w:eastAsia="Arial" w:hAnsi="Arial"/>
          <w:sz w:val="18"/>
          <w:szCs w:val="18"/>
          <w:color w:val="auto"/>
        </w:rPr>
        <w:t>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573" w:val="left"/>
        </w:tabs>
        <w:numPr>
          <w:ilvl w:val="1"/>
          <w:numId w:val="554"/>
        </w:numPr>
        <w:rPr>
          <w:rFonts w:ascii="Arial" w:cs="Arial" w:eastAsia="Arial" w:hAnsi="Arial"/>
          <w:sz w:val="16"/>
          <w:szCs w:val="16"/>
          <w:color w:val="auto"/>
        </w:rPr>
      </w:pPr>
      <w:r>
        <w:rPr>
          <w:rFonts w:ascii="Arial" w:cs="Arial" w:eastAsia="Arial" w:hAnsi="Arial"/>
          <w:sz w:val="16"/>
          <w:szCs w:val="16"/>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right="20" w:firstLine="8"/>
        <w:spacing w:after="0" w:line="261" w:lineRule="auto"/>
        <w:tabs>
          <w:tab w:leader="none" w:pos="27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such Lien does not extend to any additional assets (other than improvements and accessions to, and replacements of, the assets originally subject to such Lien); and</w:t>
      </w:r>
    </w:p>
    <w:p>
      <w:pPr>
        <w:spacing w:after="0" w:line="183" w:lineRule="exact"/>
        <w:rPr>
          <w:rFonts w:ascii="Arial" w:cs="Arial" w:eastAsia="Arial" w:hAnsi="Arial"/>
          <w:sz w:val="18"/>
          <w:szCs w:val="18"/>
          <w:color w:val="auto"/>
        </w:rPr>
      </w:pPr>
    </w:p>
    <w:p>
      <w:pPr>
        <w:ind w:firstLine="656"/>
        <w:spacing w:after="0" w:line="342" w:lineRule="auto"/>
        <w:tabs>
          <w:tab w:leader="none" w:pos="1600" w:val="left"/>
        </w:tabs>
        <w:numPr>
          <w:ilvl w:val="1"/>
          <w:numId w:val="555"/>
        </w:numPr>
        <w:rPr>
          <w:rFonts w:ascii="Arial" w:cs="Arial" w:eastAsia="Arial" w:hAnsi="Arial"/>
          <w:sz w:val="16"/>
          <w:szCs w:val="16"/>
          <w:color w:val="auto"/>
        </w:rPr>
      </w:pPr>
      <w:r>
        <w:rPr>
          <w:rFonts w:ascii="Arial" w:cs="Arial" w:eastAsia="Arial" w:hAnsi="Arial"/>
          <w:sz w:val="16"/>
          <w:szCs w:val="16"/>
          <w:color w:val="auto"/>
        </w:rPr>
        <w:t>any Lien created or subsisting to secure any obligations incurred in order to comply with the requirements of section 8a of the German Part-Time Retirement Act (</w:t>
      </w:r>
      <w:r>
        <w:rPr>
          <w:rFonts w:ascii="Arial" w:cs="Arial" w:eastAsia="Arial" w:hAnsi="Arial"/>
          <w:sz w:val="16"/>
          <w:szCs w:val="16"/>
          <w:i w:val="1"/>
          <w:iCs w:val="1"/>
          <w:color w:val="auto"/>
        </w:rPr>
        <w:t>Altersteilzeitgesetz</w:t>
      </w:r>
      <w:r>
        <w:rPr>
          <w:rFonts w:ascii="Arial" w:cs="Arial" w:eastAsia="Arial" w:hAnsi="Arial"/>
          <w:sz w:val="16"/>
          <w:szCs w:val="16"/>
          <w:color w:val="auto"/>
        </w:rPr>
        <w:t>) and/or section 7e of the Fourth Book of the German Social Security Code (S</w:t>
      </w:r>
      <w:r>
        <w:rPr>
          <w:rFonts w:ascii="Arial" w:cs="Arial" w:eastAsia="Arial" w:hAnsi="Arial"/>
          <w:sz w:val="16"/>
          <w:szCs w:val="16"/>
          <w:i w:val="1"/>
          <w:iCs w:val="1"/>
          <w:color w:val="auto"/>
        </w:rPr>
        <w:t>ozialgesetzbuch IV</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means Indebtedness (for purposes of this definition, “</w:t>
      </w:r>
      <w:r>
        <w:rPr>
          <w:rFonts w:ascii="Arial" w:cs="Arial" w:eastAsia="Arial" w:hAnsi="Arial"/>
          <w:sz w:val="17"/>
          <w:szCs w:val="17"/>
          <w:u w:val="single" w:color="auto"/>
          <w:color w:val="auto"/>
        </w:rPr>
        <w:t>New Indebtedness</w:t>
      </w:r>
      <w:r>
        <w:rPr>
          <w:rFonts w:ascii="Arial" w:cs="Arial" w:eastAsia="Arial" w:hAnsi="Arial"/>
          <w:sz w:val="17"/>
          <w:szCs w:val="17"/>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7"/>
          <w:szCs w:val="17"/>
          <w:u w:val="single" w:color="auto"/>
          <w:color w:val="auto"/>
        </w:rPr>
        <w:t>Refinanced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Refinanced Indebtedness is of the type described in </w:t>
      </w:r>
      <w:r>
        <w:rPr>
          <w:rFonts w:ascii="Arial" w:cs="Arial" w:eastAsia="Arial" w:hAnsi="Arial"/>
          <w:sz w:val="17"/>
          <w:szCs w:val="17"/>
          <w:u w:val="single" w:color="auto"/>
          <w:color w:val="auto"/>
        </w:rPr>
        <w:t>Section 8.01(b)</w:t>
      </w:r>
      <w:r>
        <w:rPr>
          <w:rFonts w:ascii="Arial" w:cs="Arial" w:eastAsia="Arial" w:hAnsi="Arial"/>
          <w:sz w:val="17"/>
          <w:szCs w:val="17"/>
          <w:color w:val="auto"/>
        </w:rPr>
        <w:t>, the New Indebtedness may be Guaranteed by any Obligor,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4" w:name="page505"/>
    <w:bookmarkEnd w:id="504"/>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7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w:t>
      </w:r>
    </w:p>
    <w:p>
      <w:pPr>
        <w:ind w:left="260" w:hanging="252"/>
        <w:spacing w:after="0"/>
        <w:tabs>
          <w:tab w:leader="none" w:pos="26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sponsored, maintained or contributed to by Parent, any Borrower or any ERISA Affiliate for employees of Parent, any Borrower or any ERISA Affiliate or</w:t>
      </w:r>
    </w:p>
    <w:p>
      <w:pPr>
        <w:spacing w:after="0" w:line="32" w:lineRule="exact"/>
        <w:rPr>
          <w:rFonts w:ascii="Arial" w:cs="Arial" w:eastAsia="Arial" w:hAnsi="Arial"/>
          <w:sz w:val="16"/>
          <w:szCs w:val="16"/>
          <w:color w:val="auto"/>
        </w:rPr>
      </w:pPr>
    </w:p>
    <w:p>
      <w:pPr>
        <w:ind w:right="20" w:firstLine="8"/>
        <w:spacing w:after="0" w:line="261" w:lineRule="auto"/>
        <w:tabs>
          <w:tab w:leader="none" w:pos="276" w:val="left"/>
        </w:tabs>
        <w:numPr>
          <w:ilvl w:val="0"/>
          <w:numId w:val="556"/>
        </w:numPr>
        <w:rPr>
          <w:rFonts w:ascii="Arial" w:cs="Arial" w:eastAsia="Arial" w:hAnsi="Arial"/>
          <w:sz w:val="18"/>
          <w:szCs w:val="18"/>
          <w:color w:val="auto"/>
        </w:rPr>
      </w:pPr>
      <w:r>
        <w:rPr>
          <w:rFonts w:ascii="Arial" w:cs="Arial" w:eastAsia="Arial" w:hAnsi="Arial"/>
          <w:sz w:val="18"/>
          <w:szCs w:val="18"/>
          <w:color w:val="auto"/>
        </w:rPr>
        <w:t>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Effective Date</w:t>
      </w:r>
      <w:r>
        <w:rPr>
          <w:rFonts w:ascii="Arial" w:cs="Arial" w:eastAsia="Arial" w:hAnsi="Arial"/>
          <w:sz w:val="18"/>
          <w:szCs w:val="18"/>
          <w:color w:val="auto"/>
        </w:rPr>
        <w:t>” means “Effective Date” as defined in the Plan of Reorganization.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Agreements</w:t>
      </w:r>
      <w:r>
        <w:rPr>
          <w:rFonts w:ascii="Arial" w:cs="Arial" w:eastAsia="Arial" w:hAnsi="Arial"/>
          <w:sz w:val="16"/>
          <w:szCs w:val="16"/>
          <w:color w:val="auto"/>
        </w:rPr>
        <w:t>” means, collectively, any pledge agreement, charge, debenture, equitable mortgage over shares or other similar agreement or instrument in form and substance satisfactory to the Administrative Agent in favor of the Administrative Agent for the benefit of itself and the other Secured Parties, in any such case, pursuant to which any Person grants Liens on any Capital Stock owned by such Person to secure the Secured Obligations.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Subsidiary</w:t>
      </w:r>
      <w:r>
        <w:rPr>
          <w:rFonts w:ascii="Arial" w:cs="Arial" w:eastAsia="Arial" w:hAnsi="Arial"/>
          <w:sz w:val="18"/>
          <w:szCs w:val="18"/>
          <w:color w:val="auto"/>
        </w:rPr>
        <w:t>” means a direct Subsidiary of an Obligor that is organized in a Specified Jurisdiction and is not itself an Obligor.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Securities Act 2009</w:t>
      </w:r>
      <w:r>
        <w:rPr>
          <w:rFonts w:ascii="Arial" w:cs="Arial" w:eastAsia="Arial" w:hAnsi="Arial"/>
          <w:sz w:val="18"/>
          <w:szCs w:val="18"/>
          <w:color w:val="auto"/>
        </w:rPr>
        <w:t xml:space="preserve"> (Cth) of Australia.</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of interest per annum publicly announced from time to time by DBTCA or an affiliate thereof (for so long as it is the Administrative Agent) or any successor administrative agent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hereto as its prime rate in effect at its principal office in New York City. Each change in the Prime Rate shall be effective from and including the date such change is publicly announced as being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interest and fees in respect of the Prime Rate shall be computed on the basis of a year of 365 days (or 366 days in a leap year), and in each case shall be payable for the actual number of days elapsed (including the first day but excluding the last day).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05" w:name="page506"/>
    <w:bookmarkEnd w:id="50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Officer</w:t>
      </w:r>
      <w:r>
        <w:rPr>
          <w:rFonts w:ascii="Arial" w:cs="Arial" w:eastAsia="Arial" w:hAnsi="Arial"/>
          <w:sz w:val="18"/>
          <w:szCs w:val="18"/>
          <w:color w:val="auto"/>
        </w:rPr>
        <w:t>” means, with respect to any Obligor, any director, any manager, the chief financial officer, the treasurer, the assistant treasurer or the principal accounting officer of such Obligor.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Projections</w:t>
      </w:r>
      <w:r>
        <w:rPr>
          <w:rFonts w:ascii="Arial" w:cs="Arial" w:eastAsia="Arial" w:hAnsi="Arial"/>
          <w:sz w:val="17"/>
          <w:szCs w:val="17"/>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and refers to any Capital Stock issued by Parent (and not by one or more of its Subsidiaries) that is not a Disqualified Capital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Estate Deliverables</w:t>
      </w:r>
      <w:r>
        <w:rPr>
          <w:rFonts w:ascii="Arial" w:cs="Arial" w:eastAsia="Arial" w:hAnsi="Arial"/>
          <w:sz w:val="17"/>
          <w:szCs w:val="17"/>
          <w:color w:val="auto"/>
        </w:rPr>
        <w:t>” means such Mortgages, title reports, title insurance policies (with endorsements), evidence of zoning compliance, property insurance, flood certifications and flood insurance (and, if applicable, FEMA form acknowledgements of insurance), opinions of counsel,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means, with respect to any Indebtedness, the redemption, purchase, defeasance, prepayment or other acquisition or retirement for value of such Indebtedness. The term “</w:t>
      </w:r>
      <w:r>
        <w:rPr>
          <w:rFonts w:ascii="Arial" w:cs="Arial" w:eastAsia="Arial" w:hAnsi="Arial"/>
          <w:sz w:val="18"/>
          <w:szCs w:val="18"/>
          <w:u w:val="single" w:color="auto"/>
          <w:color w:val="auto"/>
        </w:rPr>
        <w:t>Redeem</w:t>
      </w:r>
      <w:r>
        <w:rPr>
          <w:rFonts w:ascii="Arial" w:cs="Arial" w:eastAsia="Arial" w:hAnsi="Arial"/>
          <w:sz w:val="18"/>
          <w:szCs w:val="18"/>
          <w:color w:val="auto"/>
        </w:rPr>
        <w:t>” has a meaning correlative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76" w:lineRule="auto"/>
        <w:tabs>
          <w:tab w:leader="none" w:pos="1456" w:val="left"/>
        </w:tabs>
        <w:numPr>
          <w:ilvl w:val="0"/>
          <w:numId w:val="557"/>
        </w:numPr>
        <w:rPr>
          <w:rFonts w:ascii="Arial" w:cs="Arial" w:eastAsia="Arial" w:hAnsi="Arial"/>
          <w:sz w:val="17"/>
          <w:szCs w:val="17"/>
          <w:color w:val="auto"/>
        </w:rPr>
      </w:pPr>
      <w:r>
        <w:rPr>
          <w:rFonts w:ascii="Arial" w:cs="Arial" w:eastAsia="Arial" w:hAnsi="Arial"/>
          <w:sz w:val="17"/>
          <w:szCs w:val="17"/>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6" w:name="page507"/>
    <w:bookmarkEnd w:id="506"/>
    <w:p>
      <w:pPr>
        <w:jc w:val="both"/>
        <w:ind w:firstLine="656"/>
        <w:spacing w:after="0" w:line="264" w:lineRule="auto"/>
        <w:tabs>
          <w:tab w:leader="none" w:pos="126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81" w:lineRule="exact"/>
        <w:rPr>
          <w:rFonts w:ascii="Arial" w:cs="Arial" w:eastAsia="Arial" w:hAnsi="Arial"/>
          <w:sz w:val="18"/>
          <w:szCs w:val="18"/>
          <w:color w:val="auto"/>
        </w:rPr>
      </w:pPr>
    </w:p>
    <w:p>
      <w:pPr>
        <w:ind w:firstLine="656"/>
        <w:spacing w:after="0" w:line="277" w:lineRule="auto"/>
        <w:tabs>
          <w:tab w:leader="none" w:pos="1187"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jc w:val="both"/>
        <w:ind w:firstLine="656"/>
        <w:spacing w:after="0" w:line="264" w:lineRule="auto"/>
        <w:tabs>
          <w:tab w:leader="none" w:pos="1198"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1" w:lineRule="exact"/>
        <w:rPr>
          <w:rFonts w:ascii="Arial" w:cs="Arial" w:eastAsia="Arial" w:hAnsi="Arial"/>
          <w:sz w:val="18"/>
          <w:szCs w:val="18"/>
          <w:color w:val="auto"/>
        </w:rPr>
      </w:pPr>
    </w:p>
    <w:p>
      <w:pPr>
        <w:ind w:firstLine="656"/>
        <w:spacing w:after="0" w:line="277" w:lineRule="auto"/>
        <w:tabs>
          <w:tab w:leader="none" w:pos="1236"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xml:space="preserve">in the case of any action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the New Weatherford Parent,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any such case, the “</w:t>
      </w:r>
      <w:r>
        <w:rPr>
          <w:rFonts w:ascii="Arial" w:cs="Arial" w:eastAsia="Arial" w:hAnsi="Arial"/>
          <w:sz w:val="16"/>
          <w:szCs w:val="16"/>
          <w:u w:val="single" w:color="auto"/>
          <w:color w:val="auto"/>
        </w:rPr>
        <w:t>Surviving Person</w:t>
      </w:r>
      <w:r>
        <w:rPr>
          <w:rFonts w:ascii="Arial" w:cs="Arial" w:eastAsia="Arial" w:hAnsi="Arial"/>
          <w:sz w:val="16"/>
          <w:szCs w:val="16"/>
          <w:color w:val="auto"/>
        </w:rPr>
        <w:t xml:space="preserve">”)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 Change of Control result from any of the actions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and (II) the Surviving Person shall have delivered to the Administrative Agent:</w:t>
      </w:r>
    </w:p>
    <w:p>
      <w:pPr>
        <w:spacing w:after="0" w:line="169" w:lineRule="exact"/>
        <w:rPr>
          <w:sz w:val="20"/>
          <w:szCs w:val="20"/>
          <w:color w:val="auto"/>
        </w:rPr>
      </w:pPr>
    </w:p>
    <w:p>
      <w:pPr>
        <w:ind w:left="1140" w:hanging="484"/>
        <w:spacing w:after="0"/>
        <w:tabs>
          <w:tab w:leader="none" w:pos="114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 certificate to the effect that, both before and after giving effect to such transaction, no Default or Event of Default exists;</w:t>
      </w:r>
    </w:p>
    <w:p>
      <w:pPr>
        <w:spacing w:after="0" w:line="225" w:lineRule="exact"/>
        <w:rPr>
          <w:rFonts w:ascii="Arial" w:cs="Arial" w:eastAsia="Arial" w:hAnsi="Arial"/>
          <w:sz w:val="18"/>
          <w:szCs w:val="18"/>
          <w:color w:val="auto"/>
        </w:rPr>
      </w:pPr>
    </w:p>
    <w:p>
      <w:pPr>
        <w:ind w:firstLine="656"/>
        <w:spacing w:after="0" w:line="342" w:lineRule="auto"/>
        <w:tabs>
          <w:tab w:leader="none" w:pos="1334" w:val="left"/>
        </w:tabs>
        <w:numPr>
          <w:ilvl w:val="0"/>
          <w:numId w:val="560"/>
        </w:numPr>
        <w:rPr>
          <w:rFonts w:ascii="Arial" w:cs="Arial" w:eastAsia="Arial" w:hAnsi="Arial"/>
          <w:sz w:val="16"/>
          <w:szCs w:val="16"/>
          <w:color w:val="auto"/>
        </w:rPr>
      </w:pPr>
      <w:r>
        <w:rPr>
          <w:rFonts w:ascii="Arial" w:cs="Arial" w:eastAsia="Arial" w:hAnsi="Arial"/>
          <w:sz w:val="16"/>
          <w:szCs w:val="16"/>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7" w:name="page508"/>
    <w:bookmarkEnd w:id="507"/>
    <w:p>
      <w:pPr>
        <w:ind w:left="1240" w:hanging="584"/>
        <w:spacing w:after="0"/>
        <w:tabs>
          <w:tab w:leader="none" w:pos="124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xml:space="preserve">if applicable, the documents required by </w:t>
      </w:r>
      <w:r>
        <w:rPr>
          <w:rFonts w:ascii="Arial" w:cs="Arial" w:eastAsia="Arial" w:hAnsi="Arial"/>
          <w:sz w:val="18"/>
          <w:szCs w:val="18"/>
          <w:u w:val="single" w:color="auto"/>
          <w:color w:val="auto"/>
        </w:rPr>
        <w:t>Section 8.02(b)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72" w:val="left"/>
        </w:tabs>
        <w:numPr>
          <w:ilvl w:val="0"/>
          <w:numId w:val="561"/>
        </w:numPr>
        <w:rPr>
          <w:rFonts w:ascii="Arial" w:cs="Arial" w:eastAsia="Arial" w:hAnsi="Arial"/>
          <w:sz w:val="18"/>
          <w:szCs w:val="18"/>
          <w:color w:val="auto"/>
        </w:rPr>
      </w:pPr>
      <w:r>
        <w:rPr>
          <w:rFonts w:ascii="Arial" w:cs="Arial" w:eastAsia="Arial" w:hAnsi="Arial"/>
          <w:sz w:val="18"/>
          <w:szCs w:val="18"/>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11.05(b)(iv)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(respecting reserve requirements),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(respecting margin credit extended by banks), as the same is from time to time in effect, and all official rulings and interpretations thereunder or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(respecting borrowers who obtain margin credit),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LC Exposures and unused Commitments representing more than fifty percent (50%) of the sum of the Total LC Exposure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Exposure of, and unused Commitment of, any Defaulting Lender shall be excluded for purposes of making a determination of Required Lenders.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8" w:name="page509"/>
    <w:bookmarkEnd w:id="508"/>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 (c) any voluntary Redemption of any Indebtedness prior to the stated maturity thereof or (d) any payment in violation of any subordination terms of any Indebtedness.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Parent that is not an Unrestricted Subsidiary. For the avoidance of doubt, each Borrower and each Guarantor (other than Parent) shall be a Restricted Subsidiary.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Restrictive Agreement</w:t>
      </w:r>
      <w:r>
        <w:rPr>
          <w:rFonts w:ascii="Arial" w:cs="Arial" w:eastAsia="Arial" w:hAnsi="Arial"/>
          <w:sz w:val="17"/>
          <w:szCs w:val="17"/>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Lenders to secure any of the Secured Obligations, or (b) in favor of the ABL Collateral Agent and the ABL Secured Parties to secure any of the ABL Obligations.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means each of the following: (a) on the fifteenth day of each calendar month (or the following Business Day if such day is not a Business Day), and (c) such additional dates as the Administrative Agent shall reasonably determine or the Required Lenders shall reasonably require as a result of fluctuations in the relevant currency exchange rates or the occurrence and continuation of an Event of Default.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Group, a division of McGraw-Hill, Inc., or any successor to the ratings agency business thereof.</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 (at the time of this Agreement, Crimea, Cuba, Iran, North Korea, Sudan and Syria).</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Canadian government (or any agency thereof), the Australian Department of Foreign Affairs and Trade or any other relevant sanctions authority, (b) any Person operating, organized or resident in a Sanctioned Country or (c) any Person owned or controlled by any such Person or Persons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09" w:name="page510"/>
    <w:bookmarkEnd w:id="509"/>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w:t>
      </w:r>
    </w:p>
    <w:p>
      <w:pPr>
        <w:jc w:val="both"/>
        <w:ind w:firstLine="8"/>
        <w:spacing w:after="0" w:line="255" w:lineRule="auto"/>
        <w:tabs>
          <w:tab w:leader="none" w:pos="262"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United Nations Security Council, the European Union, Her Majesty’s Treasury of the United Kingdom, any European Union member state, the Hong Kong Monetary Authority, the Australian Commonwealth Government, any governmental authority of Canada under the Special Economics Measures Act (Canada) or other applicable Canadian legislation or any other relevant sanctions authority.</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 of said Commission.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 all Obligations, and (b) all Swap Obligations and Banking Services Obligations owing to one or more Lenders or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“Swap Obligations” shall not include, with respect to any Obligor, any Excluded Swap Obligations of such Obligor.</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holders of the Secured Obligations from time to time and shall include (a) each Lender in respect of its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(e) each Indemnitee in respect of the obligations and liabilities of the Borrowers to such Person hereunder and under the other Loan Documents constituting Secured Obligations, and (f) their respective successors and (in the case of a Lender, permitted) transferees and assigns.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Agreements</w:t>
      </w:r>
      <w:r>
        <w:rPr>
          <w:rFonts w:ascii="Arial" w:cs="Arial" w:eastAsia="Arial" w:hAnsi="Arial"/>
          <w:sz w:val="17"/>
          <w:szCs w:val="17"/>
          <w:color w:val="auto"/>
        </w:rPr>
        <w:t xml:space="preserve">” means, collectively, (a) the agreements and other instruments described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 (b) the U.S. Security Agreement and the Canadian Security Agreement and (c) any other security agreement, debenture, mortgage, charge or other similar agreement in form and substance satisfactory to the Administrative Agent in favor of the Administrative Agent for the benefit of itself and the other Secured Parties, in any such case, pursuant to which any Obligor grants Liens on the property of such Obligor to secure the Secured Obligations.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Trust Deed</w:t>
      </w:r>
      <w:r>
        <w:rPr>
          <w:rFonts w:ascii="Arial" w:cs="Arial" w:eastAsia="Arial" w:hAnsi="Arial"/>
          <w:sz w:val="18"/>
          <w:szCs w:val="18"/>
          <w:color w:val="auto"/>
        </w:rPr>
        <w:t>” means the Security Trust Deed to be entered into among the Borrowers, the Administrative Agent, the Lenders and the LC Australian Collateral Agent.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Effective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0" w:name="page511"/>
    <w:bookmarkEnd w:id="5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xml:space="preserve">” means any Disposition of property described in </w:t>
      </w:r>
      <w:r>
        <w:rPr>
          <w:rFonts w:ascii="Arial" w:cs="Arial" w:eastAsia="Arial" w:hAnsi="Arial"/>
          <w:sz w:val="18"/>
          <w:szCs w:val="18"/>
          <w:u w:val="single" w:color="auto"/>
          <w:color w:val="auto"/>
        </w:rPr>
        <w:t>Schedule 8.05(d)</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Eligible Deposit Account</w:t>
      </w:r>
      <w:r>
        <w:rPr>
          <w:rFonts w:ascii="Arial" w:cs="Arial" w:eastAsia="Arial" w:hAnsi="Arial"/>
          <w:sz w:val="18"/>
          <w:szCs w:val="18"/>
          <w:color w:val="auto"/>
        </w:rPr>
        <w:t xml:space="preserve">” means, with respect to any Obligor, such Obligor’s deposit accounts located in an Eligible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any Event of Default described in any of </w:t>
      </w:r>
      <w:r>
        <w:rPr>
          <w:rFonts w:ascii="Arial" w:cs="Arial" w:eastAsia="Arial" w:hAnsi="Arial"/>
          <w:sz w:val="18"/>
          <w:szCs w:val="18"/>
          <w:u w:val="single" w:color="auto"/>
          <w:color w:val="auto"/>
        </w:rPr>
        <w:t>Sections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9.01(c)</w:t>
      </w:r>
      <w:r>
        <w:rPr>
          <w:rFonts w:ascii="Arial" w:cs="Arial" w:eastAsia="Arial" w:hAnsi="Arial"/>
          <w:sz w:val="18"/>
          <w:szCs w:val="18"/>
          <w:color w:val="auto"/>
        </w:rPr>
        <w:t xml:space="preserve"> (but only with respect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9.01(i)</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Ineligible Deposit Account</w:t>
      </w:r>
      <w:r>
        <w:rPr>
          <w:rFonts w:ascii="Arial" w:cs="Arial" w:eastAsia="Arial" w:hAnsi="Arial"/>
          <w:sz w:val="16"/>
          <w:szCs w:val="16"/>
          <w:color w:val="auto"/>
        </w:rPr>
        <w:t>” means, with respect to any Obligor, any such Obligor’s deposit accounts located in an Ineligible Jurisdiction.</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Jurisdiction</w:t>
      </w:r>
      <w:r>
        <w:rPr>
          <w:rFonts w:ascii="Arial" w:cs="Arial" w:eastAsia="Arial" w:hAnsi="Arial"/>
          <w:sz w:val="17"/>
          <w:szCs w:val="17"/>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Arial" w:cs="Arial" w:eastAsia="Arial" w:hAnsi="Arial"/>
          <w:sz w:val="17"/>
          <w:szCs w:val="17"/>
          <w:u w:val="single" w:color="auto"/>
          <w:color w:val="auto"/>
        </w:rPr>
        <w:t>Section 7.08(b)</w:t>
      </w:r>
      <w:r>
        <w:rPr>
          <w:rFonts w:ascii="Arial" w:cs="Arial" w:eastAsia="Arial" w:hAnsi="Arial"/>
          <w:sz w:val="17"/>
          <w:szCs w:val="17"/>
          <w:color w:val="auto"/>
        </w:rPr>
        <w:t xml:space="preserve"> and (b) any “Specified Jurisdiction” under the ABL Credit Agreement. In no event shall any Excluded Jurisdiction be or become a Specified Jurisdiction.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Indebtedness</w:t>
      </w:r>
      <w:r>
        <w:rPr>
          <w:rFonts w:ascii="Arial" w:cs="Arial" w:eastAsia="Arial" w:hAnsi="Arial"/>
          <w:sz w:val="18"/>
          <w:szCs w:val="18"/>
          <w:color w:val="auto"/>
        </w:rPr>
        <w:t xml:space="preserve">” means all Funded Indebtedness (which for purposes of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only, shall also include Indebtedness of any type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“Indebtedness”) of the Obligors.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State</w:t>
      </w:r>
      <w:r>
        <w:rPr>
          <w:rFonts w:ascii="Arial" w:cs="Arial" w:eastAsia="Arial" w:hAnsi="Arial"/>
          <w:sz w:val="18"/>
          <w:szCs w:val="18"/>
          <w:color w:val="auto"/>
        </w:rPr>
        <w:t>” means each jurisdiction of organization of the Obligors, other than any Excluded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Cash Collateralization Date</w:t>
      </w:r>
      <w:r>
        <w:rPr>
          <w:rFonts w:ascii="Arial" w:cs="Arial" w:eastAsia="Arial" w:hAnsi="Arial"/>
          <w:sz w:val="18"/>
          <w:szCs w:val="18"/>
          <w:color w:val="auto"/>
        </w:rPr>
        <w:t>” means the date that is 180 days before the Maturity Date.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Letter of Credit fees set forth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1" w:name="page512"/>
    <w:bookmarkEnd w:id="51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w:t>
      </w:r>
      <w:r>
        <w:rPr>
          <w:rFonts w:ascii="Arial" w:cs="Arial" w:eastAsia="Arial" w:hAnsi="Arial"/>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that is Subordinated.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in the definition of “Redomestication”.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shall be deemed to be Swap Agreements.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Obligor,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Borrower</w:t>
      </w:r>
      <w:r>
        <w:rPr>
          <w:rFonts w:ascii="Arial" w:cs="Arial" w:eastAsia="Arial" w:hAnsi="Arial"/>
          <w:sz w:val="18"/>
          <w:szCs w:val="18"/>
          <w:color w:val="auto"/>
        </w:rPr>
        <w:t>” means any Borrower organized under the laws of Switzerland or, if different, deemed resident in Switzerland for Swiss Withholding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Federal Tax Administration</w:t>
      </w:r>
      <w:r>
        <w:rPr>
          <w:rFonts w:ascii="Arial" w:cs="Arial" w:eastAsia="Arial" w:hAnsi="Arial"/>
          <w:sz w:val="18"/>
          <w:szCs w:val="18"/>
          <w:color w:val="auto"/>
        </w:rPr>
        <w:t>” means the tax authorities referred to in article 34 of the Swiss Federal Act on Withholding Tax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über die Verrechnungssteuer vom 13. Oktober </w:t>
      </w:r>
      <w:r>
        <w:rPr>
          <w:rFonts w:ascii="Arial" w:cs="Arial" w:eastAsia="Arial" w:hAnsi="Arial"/>
          <w:sz w:val="18"/>
          <w:szCs w:val="18"/>
          <w:color w:val="auto"/>
        </w:rPr>
        <w:t>1965, SR 642.21).</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means any Guarantor incorporated in Switzerland and/or having its registered office in Switzerland and/or qualifying as a Swiss resident pursuant to art 9 of the Swiss Withholding Tax Act.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w:t>
      </w:r>
      <w:r>
        <w:rPr>
          <w:rFonts w:ascii="Arial" w:cs="Arial" w:eastAsia="Arial" w:hAnsi="Arial"/>
          <w:sz w:val="17"/>
          <w:szCs w:val="17"/>
          <w:i w:val="1"/>
          <w:iCs w:val="1"/>
          <w:color w:val="auto"/>
        </w:rPr>
        <w:t>Merkblatt “Verrechnungssteuer auf</w:t>
      </w:r>
      <w:r>
        <w:rPr>
          <w:rFonts w:ascii="Arial" w:cs="Arial" w:eastAsia="Arial" w:hAnsi="Arial"/>
          <w:sz w:val="17"/>
          <w:szCs w:val="17"/>
          <w:color w:val="auto"/>
        </w:rPr>
        <w:t xml:space="preserve"> </w:t>
      </w:r>
      <w:r>
        <w:rPr>
          <w:rFonts w:ascii="Arial" w:cs="Arial" w:eastAsia="Arial" w:hAnsi="Arial"/>
          <w:sz w:val="17"/>
          <w:szCs w:val="17"/>
          <w:i w:val="1"/>
          <w:iCs w:val="1"/>
          <w:color w:val="auto"/>
        </w:rPr>
        <w:t>Zinsen von Bankguthaben, deren Gläubiger Banken sind (Interbankguthaben)” vom 22. September 1986</w:t>
      </w:r>
      <w:r>
        <w:rPr>
          <w:rFonts w:ascii="Arial" w:cs="Arial" w:eastAsia="Arial" w:hAnsi="Arial"/>
          <w:sz w:val="17"/>
          <w:szCs w:val="17"/>
          <w:color w:val="auto"/>
        </w:rPr>
        <w:t>), circular letter No. 47 in relation to bonds of 25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2019 (1-047-V-2019) (</w:t>
      </w:r>
      <w:r>
        <w:rPr>
          <w:rFonts w:ascii="Arial" w:cs="Arial" w:eastAsia="Arial" w:hAnsi="Arial"/>
          <w:sz w:val="17"/>
          <w:szCs w:val="17"/>
          <w:i w:val="1"/>
          <w:iCs w:val="1"/>
          <w:color w:val="auto"/>
        </w:rPr>
        <w:t>Kreisschreiben Nr. 47 “Obligationen” vom 25. Juli 2019</w:t>
      </w:r>
      <w:r>
        <w:rPr>
          <w:rFonts w:ascii="Arial" w:cs="Arial" w:eastAsia="Arial" w:hAnsi="Arial"/>
          <w:sz w:val="17"/>
          <w:szCs w:val="17"/>
          <w:color w:val="auto"/>
        </w:rPr>
        <w:t>), guideline S-02.130.1 in relation to money market instruments and book claims of April 1999 (</w:t>
      </w:r>
      <w:r>
        <w:rPr>
          <w:rFonts w:ascii="Arial" w:cs="Arial" w:eastAsia="Arial" w:hAnsi="Arial"/>
          <w:sz w:val="17"/>
          <w:szCs w:val="17"/>
          <w:i w:val="1"/>
          <w:iCs w:val="1"/>
          <w:color w:val="auto"/>
        </w:rPr>
        <w:t>Merkblatt vom April 1999 betreffend Geldmarktpapiere und Buchforderungen inländischer Schuldner</w:t>
      </w:r>
      <w:r>
        <w:rPr>
          <w:rFonts w:ascii="Arial" w:cs="Arial" w:eastAsia="Arial" w:hAnsi="Arial"/>
          <w:sz w:val="17"/>
          <w:szCs w:val="17"/>
          <w:color w:val="auto"/>
        </w:rPr>
        <w:t>), circular letter No. 46 of 24 July 2019 (1-046-VS-2019) in relation to syndicated credit facilities (</w:t>
      </w:r>
      <w:r>
        <w:rPr>
          <w:rFonts w:ascii="Arial" w:cs="Arial" w:eastAsia="Arial" w:hAnsi="Arial"/>
          <w:sz w:val="17"/>
          <w:szCs w:val="17"/>
          <w:i w:val="1"/>
          <w:iCs w:val="1"/>
          <w:color w:val="auto"/>
        </w:rPr>
        <w:t>Kreisschreiben Nr. 46 “Steuerliche Behandlung von Konsortialdarlehen,</w:t>
      </w:r>
      <w:r>
        <w:rPr>
          <w:rFonts w:ascii="Arial" w:cs="Arial" w:eastAsia="Arial" w:hAnsi="Arial"/>
          <w:sz w:val="17"/>
          <w:szCs w:val="17"/>
          <w:color w:val="auto"/>
        </w:rPr>
        <w:t xml:space="preserve"> </w:t>
      </w:r>
      <w:r>
        <w:rPr>
          <w:rFonts w:ascii="Arial" w:cs="Arial" w:eastAsia="Arial" w:hAnsi="Arial"/>
          <w:sz w:val="17"/>
          <w:szCs w:val="17"/>
          <w:i w:val="1"/>
          <w:iCs w:val="1"/>
          <w:color w:val="auto"/>
        </w:rPr>
        <w:t>Schuldscheindarlehen, Wechseln und Unterbeteiligungen” vom 24. Juli 2019</w:t>
      </w:r>
      <w:r>
        <w:rPr>
          <w:rFonts w:ascii="Arial" w:cs="Arial" w:eastAsia="Arial" w:hAnsi="Arial"/>
          <w:sz w:val="17"/>
          <w:szCs w:val="17"/>
          <w:color w:val="auto"/>
        </w:rPr>
        <w:t>), circular letter No. 34 of 26 July 2011 (1-034-V-2011) in relation to deposits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Kreisschreiben Nr. 34 “Kundenguthaben” vom 26. Juli 2011</w:t>
      </w:r>
      <w:r>
        <w:rPr>
          <w:rFonts w:ascii="Arial" w:cs="Arial" w:eastAsia="Arial" w:hAnsi="Arial"/>
          <w:sz w:val="17"/>
          <w:szCs w:val="17"/>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17"/>
          <w:szCs w:val="17"/>
          <w:i w:val="1"/>
          <w:iCs w:val="1"/>
          <w:color w:val="auto"/>
        </w:rPr>
        <w:t>Kreisschreiben Nr.</w:t>
      </w:r>
      <w:r>
        <w:rPr>
          <w:rFonts w:ascii="Arial" w:cs="Arial" w:eastAsia="Arial" w:hAnsi="Arial"/>
          <w:sz w:val="17"/>
          <w:szCs w:val="17"/>
          <w:color w:val="auto"/>
        </w:rPr>
        <w:t xml:space="preserve"> </w:t>
      </w:r>
      <w:r>
        <w:rPr>
          <w:rFonts w:ascii="Arial" w:cs="Arial" w:eastAsia="Arial" w:hAnsi="Arial"/>
          <w:sz w:val="17"/>
          <w:szCs w:val="17"/>
          <w:i w:val="1"/>
          <w:iCs w:val="1"/>
          <w:color w:val="auto"/>
        </w:rPr>
        <w:t>15 “Obligationen und derivative Finanzinstrumente als Gegenstand der direkten Bundessteuer, der Verrechnungssteuer und der Stempelabgaben” vom 3. Oktober 2017</w:t>
      </w:r>
      <w:r>
        <w:rPr>
          <w:rFonts w:ascii="Arial" w:cs="Arial" w:eastAsia="Arial" w:hAnsi="Arial"/>
          <w:sz w:val="17"/>
          <w:szCs w:val="17"/>
          <w:color w:val="auto"/>
        </w:rPr>
        <w:t>) and the notification regarding credit balances in groups (Mitteilung 010-DVS-2019 of February 2019 betreffend “Verrechnungssteuer:</w:t>
      </w:r>
      <w:r>
        <w:rPr>
          <w:rFonts w:ascii="Arial" w:cs="Arial" w:eastAsia="Arial" w:hAnsi="Arial"/>
          <w:sz w:val="17"/>
          <w:szCs w:val="17"/>
          <w:i w:val="1"/>
          <w:iCs w:val="1"/>
          <w:color w:val="auto"/>
        </w:rPr>
        <w:t xml:space="preserve"> </w:t>
      </w:r>
      <w:r>
        <w:rPr>
          <w:rFonts w:ascii="Arial" w:cs="Arial" w:eastAsia="Arial" w:hAnsi="Arial"/>
          <w:sz w:val="17"/>
          <w:szCs w:val="17"/>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2" w:name="page513"/>
    <w:bookmarkEnd w:id="5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Non-Bank Rules</w:t>
      </w:r>
      <w:r>
        <w:rPr>
          <w:rFonts w:ascii="Arial" w:cs="Arial" w:eastAsia="Arial" w:hAnsi="Arial"/>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Obligor</w:t>
      </w:r>
      <w:r>
        <w:rPr>
          <w:rFonts w:ascii="Arial" w:cs="Arial" w:eastAsia="Arial" w:hAnsi="Arial"/>
          <w:sz w:val="18"/>
          <w:szCs w:val="18"/>
          <w:color w:val="auto"/>
        </w:rPr>
        <w:t>” means a Swiss Borrower or a Swiss Guarantor.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Security Documents</w:t>
      </w:r>
      <w:r>
        <w:rPr>
          <w:rFonts w:ascii="Arial" w:cs="Arial" w:eastAsia="Arial" w:hAnsi="Arial"/>
          <w:sz w:val="18"/>
          <w:szCs w:val="18"/>
          <w:color w:val="auto"/>
        </w:rPr>
        <w:t>” means the Security Agreements governed by the laws of Switzerland.</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Ten Non-Bank Rule</w:t>
      </w:r>
      <w:r>
        <w:rPr>
          <w:rFonts w:ascii="Arial" w:cs="Arial" w:eastAsia="Arial" w:hAnsi="Arial"/>
          <w:sz w:val="18"/>
          <w:szCs w:val="18"/>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Twenty Non-Bank Rule</w:t>
      </w:r>
      <w:r>
        <w:rPr>
          <w:rFonts w:ascii="Arial" w:cs="Arial" w:eastAsia="Arial" w:hAnsi="Arial"/>
          <w:sz w:val="17"/>
          <w:szCs w:val="17"/>
          <w:color w:val="auto"/>
        </w:rPr>
        <w:t>” means the rule that the aggregate number of creditors other than Swiss Qualifying Lenders of a Swiss Obligor under all its outstanding debts relevant for the classification as debentures (</w:t>
      </w:r>
      <w:r>
        <w:rPr>
          <w:rFonts w:ascii="Arial" w:cs="Arial" w:eastAsia="Arial" w:hAnsi="Arial"/>
          <w:sz w:val="17"/>
          <w:szCs w:val="17"/>
          <w:i w:val="1"/>
          <w:iCs w:val="1"/>
          <w:color w:val="auto"/>
        </w:rPr>
        <w:t>Kassenobligation</w:t>
      </w:r>
      <w:r>
        <w:rPr>
          <w:rFonts w:ascii="Arial" w:cs="Arial" w:eastAsia="Arial" w:hAnsi="Arial"/>
          <w:sz w:val="17"/>
          <w:szCs w:val="17"/>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3" w:name="page514"/>
    <w:bookmarkEnd w:id="5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taxes imposed under the Swiss Withholding Tax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 Act</w:t>
      </w:r>
      <w:r>
        <w:rPr>
          <w:rFonts w:ascii="Arial" w:cs="Arial" w:eastAsia="Arial" w:hAnsi="Arial"/>
          <w:sz w:val="18"/>
          <w:szCs w:val="18"/>
          <w:color w:val="auto"/>
        </w:rPr>
        <w:t>” means the Swiss Federal Act on the Withholding Tax of 13 October 1965 (</w:t>
      </w:r>
      <w:r>
        <w:rPr>
          <w:rFonts w:ascii="Arial" w:cs="Arial" w:eastAsia="Arial" w:hAnsi="Arial"/>
          <w:sz w:val="18"/>
          <w:szCs w:val="18"/>
          <w:i w:val="1"/>
          <w:iCs w:val="1"/>
          <w:color w:val="auto"/>
        </w:rPr>
        <w:t>Bundesgesetz über die Verrechnungssteuer</w:t>
      </w:r>
      <w:r>
        <w:rPr>
          <w:rFonts w:ascii="Arial" w:cs="Arial" w:eastAsia="Arial" w:hAnsi="Arial"/>
          <w:sz w:val="18"/>
          <w:szCs w:val="18"/>
          <w:color w:val="auto"/>
        </w:rPr>
        <w:t>), together with the related ordinances, regulations and guidelines, all as amended and applicable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taxes, levies, imposts, duties, fees, assessments or other charges of whatever nature now or hereafter imposed by any taxing authority, and all interest, penalties or similar liabilities with respect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Testing Period</w:t>
      </w:r>
      <w:r>
        <w:rPr>
          <w:rFonts w:ascii="Arial" w:cs="Arial" w:eastAsia="Arial" w:hAnsi="Arial"/>
          <w:sz w:val="17"/>
          <w:szCs w:val="17"/>
          <w:color w:val="auto"/>
        </w:rPr>
        <w:t>” means any period of four consecutive Fiscal Quarters (whether or not such quarters are all within the same Fiscal Year).</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Exposure</w:t>
      </w:r>
      <w:r>
        <w:rPr>
          <w:rFonts w:ascii="Arial" w:cs="Arial" w:eastAsia="Arial" w:hAnsi="Arial"/>
          <w:sz w:val="18"/>
          <w:szCs w:val="18"/>
          <w:color w:val="auto"/>
        </w:rPr>
        <w:t xml:space="preserve">” means, at any time, the sum of (a) the Dollar Equivalent of the aggregate undrawn amount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Dollar Equivalent of the aggregate amount of all LC Disbursements that have not yet been reimbursed by or on behalf of the Borrowers at such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Asset Value</w:t>
      </w:r>
      <w:r>
        <w:rPr>
          <w:rFonts w:ascii="Arial" w:cs="Arial" w:eastAsia="Arial" w:hAnsi="Arial"/>
          <w:sz w:val="18"/>
          <w:szCs w:val="18"/>
          <w:color w:val="auto"/>
        </w:rPr>
        <w:t>” means, as of any date of determination, the book value of all assets of Parent and its Restricted Subsidiaries on a consolidated basis as of such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Agreement, the Loan Documents, the ABL Credit Agreement, the ABL Credit Documents, the Exit Senior Notes, the Exit Senior Notes Indenture, and the occurrence of the Plan Effective Date in connection with the Plan of Reorganization and all related transactions.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1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Obligor</w:t>
      </w:r>
      <w:r>
        <w:rPr>
          <w:rFonts w:ascii="Arial" w:cs="Arial" w:eastAsia="Arial" w:hAnsi="Arial"/>
          <w:sz w:val="18"/>
          <w:szCs w:val="18"/>
          <w:color w:val="auto"/>
        </w:rPr>
        <w:t>” means the Obligors incorporated in any legal jurisdiction of the United Kingdom.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Cash</w:t>
      </w:r>
      <w:r>
        <w:rPr>
          <w:rFonts w:ascii="Arial" w:cs="Arial" w:eastAsia="Arial" w:hAnsi="Arial"/>
          <w:sz w:val="17"/>
          <w:szCs w:val="17"/>
          <w:color w:val="auto"/>
        </w:rPr>
        <w:t>” means, as of the date of determination, an amount not to exceed $100,000,000, equal to all cash and Cash Equivalents of the Obligors that are not “restricted” for purposes of GAAP and are held in a deposit account subject to a deposit account control agreement or a securities account subject to a control agreement, in each case in favor of the Administrative Agent pursuant to the terms 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4" w:name="page515"/>
    <w:bookmarkEnd w:id="514"/>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which Parent has designated in writing to the Administrative Agent to be an Unrestricted Subsidiary pursuant to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(b) any direct or indirect Subsidiary of any Subsidiary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in each case that meets the following requirements:</w:t>
      </w:r>
    </w:p>
    <w:p>
      <w:pPr>
        <w:spacing w:after="0" w:line="181" w:lineRule="exact"/>
        <w:rPr>
          <w:sz w:val="20"/>
          <w:szCs w:val="20"/>
          <w:color w:val="auto"/>
        </w:rPr>
      </w:pPr>
    </w:p>
    <w:p>
      <w:pPr>
        <w:ind w:left="1880" w:hanging="575"/>
        <w:spacing w:after="0"/>
        <w:tabs>
          <w:tab w:leader="none" w:pos="188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such Subsidiary shall have no Indebtedness with recourse to Parent or any Restricted Subsidiary;</w:t>
      </w:r>
    </w:p>
    <w:p>
      <w:pPr>
        <w:spacing w:after="0" w:line="225" w:lineRule="exact"/>
        <w:rPr>
          <w:rFonts w:ascii="Arial" w:cs="Arial" w:eastAsia="Arial" w:hAnsi="Arial"/>
          <w:sz w:val="18"/>
          <w:szCs w:val="18"/>
          <w:color w:val="auto"/>
        </w:rPr>
      </w:pPr>
    </w:p>
    <w:p>
      <w:pPr>
        <w:ind w:left="660" w:firstLine="645"/>
        <w:spacing w:after="0" w:line="277" w:lineRule="auto"/>
        <w:tabs>
          <w:tab w:leader="none" w:pos="1905"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such Subsidiary is not party to any agreement, contract, arrangement or understanding with Parent or any Restricted Subsidiary that violates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5"/>
        <w:spacing w:after="0" w:line="276" w:lineRule="auto"/>
        <w:tabs>
          <w:tab w:leader="none" w:pos="1988" w:val="left"/>
        </w:tabs>
        <w:numPr>
          <w:ilvl w:val="0"/>
          <w:numId w:val="563"/>
        </w:numPr>
        <w:rPr>
          <w:rFonts w:ascii="Arial" w:cs="Arial" w:eastAsia="Arial" w:hAnsi="Arial"/>
          <w:sz w:val="17"/>
          <w:szCs w:val="17"/>
          <w:color w:val="auto"/>
        </w:rPr>
      </w:pPr>
      <w:r>
        <w:rPr>
          <w:rFonts w:ascii="Arial" w:cs="Arial" w:eastAsia="Arial" w:hAnsi="Arial"/>
          <w:sz w:val="17"/>
          <w:szCs w:val="17"/>
          <w:color w:val="auto"/>
        </w:rPr>
        <w:t xml:space="preserve">such Subsidiary is a Person with respect to which neither Parent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660" w:firstLine="645"/>
        <w:spacing w:after="0" w:line="277" w:lineRule="auto"/>
        <w:tabs>
          <w:tab w:leader="none" w:pos="197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such Subsidiary does not hold any Capital Stock in, or any Indebtedness of, Parent or any Restricted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Qualifying Lender</w:t>
      </w:r>
      <w:r>
        <w:rPr>
          <w:rFonts w:ascii="Arial" w:cs="Arial" w:eastAsia="Arial" w:hAnsi="Arial"/>
          <w:sz w:val="18"/>
          <w:szCs w:val="18"/>
          <w:color w:val="auto"/>
        </w:rPr>
        <w:t>” 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Security Agreement</w:t>
      </w:r>
      <w:r>
        <w:rPr>
          <w:rFonts w:ascii="Arial" w:cs="Arial" w:eastAsia="Arial" w:hAnsi="Arial"/>
          <w:sz w:val="17"/>
          <w:szCs w:val="17"/>
          <w:color w:val="auto"/>
        </w:rPr>
        <w:t xml:space="preserve">” means that certain U.S. Security Agreement, dated as of the Effective Date, by and among the Obligors listed on the signature pages thereto, and the Administrative Agent, listed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 in substantially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or imposed elsewhere, including, but not limited to, any tax imposed in compliance with the Swiss Federal Act on Value Added Tax of 12 June 2009 as amended from time to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5" w:name="page516"/>
    <w:bookmarkEnd w:id="51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Parent Company</w:t>
      </w:r>
      <w:r>
        <w:rPr>
          <w:rFonts w:ascii="Arial" w:cs="Arial" w:eastAsia="Arial" w:hAnsi="Arial"/>
          <w:sz w:val="18"/>
          <w:szCs w:val="18"/>
          <w:color w:val="auto"/>
        </w:rPr>
        <w:t>” means Parent or, if a Redomestication has occurred subsequent to the Effective Date and prior to the event in question on the date of determination, the Surviving Person resulting from such Redomestication.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or the “</w:t>
      </w:r>
      <w:r>
        <w:rPr>
          <w:rFonts w:ascii="Arial" w:cs="Arial" w:eastAsia="Arial" w:hAnsi="Arial"/>
          <w:sz w:val="18"/>
          <w:szCs w:val="18"/>
          <w:u w:val="single" w:color="auto"/>
          <w:color w:val="auto"/>
        </w:rPr>
        <w:t>Wholly-Owned Subsidiaries</w:t>
      </w:r>
      <w:r>
        <w:rPr>
          <w:rFonts w:ascii="Arial" w:cs="Arial" w:eastAsia="Arial" w:hAnsi="Arial"/>
          <w:sz w:val="18"/>
          <w:szCs w:val="18"/>
          <w:color w:val="auto"/>
        </w:rPr>
        <w:t>” refer to a Wholly-Owned Subsidiary or Wholly-Owned Subsidiaries of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WIL-Bermuda</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WIL-Delaware</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WOFS</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in relation to any Bail-In Legislation described in the EU Bail-In Legislation Schedule from time to time, the powers described as such in relation to that Bail-In Legislation in the EU Bail-In Legislation Schedule; (b)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and (c) in relation to any UK Bail-In Legislation: (i)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 (ii) any similar or analogous powers under that UK Bail-In Legislation.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6" w:name="page517"/>
    <w:bookmarkEnd w:id="516"/>
    <w:p>
      <w:pPr>
        <w:ind w:left="660"/>
        <w:spacing w:after="0"/>
        <w:tabs>
          <w:tab w:leader="none" w:pos="23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Accounting Terms; Changes in GAAP</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2212" w:val="left"/>
        </w:tabs>
        <w:numPr>
          <w:ilvl w:val="0"/>
          <w:numId w:val="564"/>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67" w:lineRule="exact"/>
        <w:rPr>
          <w:rFonts w:ascii="Arial" w:cs="Arial" w:eastAsia="Arial" w:hAnsi="Arial"/>
          <w:sz w:val="16"/>
          <w:szCs w:val="16"/>
          <w:color w:val="auto"/>
        </w:rPr>
      </w:pPr>
    </w:p>
    <w:p>
      <w:pPr>
        <w:jc w:val="both"/>
        <w:ind w:firstLine="1305"/>
        <w:spacing w:after="0" w:line="257" w:lineRule="auto"/>
        <w:tabs>
          <w:tab w:leader="none" w:pos="2303" w:val="left"/>
        </w:tabs>
        <w:numPr>
          <w:ilvl w:val="0"/>
          <w:numId w:val="56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88" w:lineRule="exact"/>
        <w:rPr>
          <w:rFonts w:ascii="Arial" w:cs="Arial" w:eastAsia="Arial" w:hAnsi="Arial"/>
          <w:sz w:val="18"/>
          <w:szCs w:val="18"/>
          <w:color w:val="auto"/>
        </w:rPr>
      </w:pPr>
    </w:p>
    <w:p>
      <w:pPr>
        <w:jc w:val="both"/>
        <w:ind w:firstLine="1305"/>
        <w:spacing w:after="0" w:line="272" w:lineRule="auto"/>
        <w:tabs>
          <w:tab w:leader="none" w:pos="242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7" w:name="page518"/>
    <w:bookmarkEnd w:id="517"/>
    <w:p>
      <w:pPr>
        <w:jc w:val="both"/>
        <w:ind w:firstLine="1305"/>
        <w:spacing w:after="0" w:line="269" w:lineRule="auto"/>
        <w:tabs>
          <w:tab w:leader="none" w:pos="2505" w:val="left"/>
        </w:tabs>
        <w:numPr>
          <w:ilvl w:val="0"/>
          <w:numId w:val="565"/>
        </w:numPr>
        <w:rPr>
          <w:rFonts w:ascii="Arial" w:cs="Arial" w:eastAsia="Arial" w:hAnsi="Arial"/>
          <w:sz w:val="17"/>
          <w:szCs w:val="17"/>
          <w:color w:val="auto"/>
        </w:rPr>
      </w:pPr>
      <w:r>
        <w:rPr>
          <w:rFonts w:ascii="Arial" w:cs="Arial" w:eastAsia="Arial" w:hAnsi="Arial"/>
          <w:sz w:val="17"/>
          <w:szCs w:val="17"/>
          <w:color w:val="auto"/>
        </w:rPr>
        <w:t>All pro forma computations required to be made hereunder giving effect to any acquisition or Disposition</w:t>
      </w:r>
      <w:r>
        <w:rPr>
          <w:rFonts w:ascii="Arial" w:cs="Arial" w:eastAsia="Arial" w:hAnsi="Arial"/>
          <w:sz w:val="17"/>
          <w:szCs w:val="17"/>
          <w:color w:val="002060"/>
        </w:rPr>
        <w:t>,</w:t>
      </w:r>
      <w:r>
        <w:rPr>
          <w:rFonts w:ascii="Arial" w:cs="Arial" w:eastAsia="Arial" w:hAnsi="Arial"/>
          <w:sz w:val="17"/>
          <w:szCs w:val="17"/>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83"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left="2180" w:hanging="875"/>
        <w:spacing w:after="0"/>
        <w:tabs>
          <w:tab w:leader="none" w:pos="218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In this Agreement unless the context indicates otherwise:</w:t>
      </w:r>
    </w:p>
    <w:p>
      <w:pPr>
        <w:spacing w:after="0" w:line="225" w:lineRule="exact"/>
        <w:rPr>
          <w:rFonts w:ascii="Arial" w:cs="Arial" w:eastAsia="Arial" w:hAnsi="Arial"/>
          <w:sz w:val="18"/>
          <w:szCs w:val="18"/>
          <w:color w:val="auto"/>
        </w:rPr>
      </w:pPr>
    </w:p>
    <w:p>
      <w:pPr>
        <w:ind w:left="2880" w:hanging="927"/>
        <w:spacing w:after="0"/>
        <w:tabs>
          <w:tab w:leader="none" w:pos="288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any pronoun shall include the corresponding masculine, feminine and neuter forms;</w:t>
      </w:r>
    </w:p>
    <w:p>
      <w:pPr>
        <w:spacing w:after="0" w:line="225" w:lineRule="exact"/>
        <w:rPr>
          <w:rFonts w:ascii="Arial" w:cs="Arial" w:eastAsia="Arial" w:hAnsi="Arial"/>
          <w:sz w:val="18"/>
          <w:szCs w:val="18"/>
          <w:color w:val="auto"/>
        </w:rPr>
      </w:pPr>
    </w:p>
    <w:p>
      <w:pPr>
        <w:ind w:left="660" w:firstLine="1293"/>
        <w:spacing w:after="0" w:line="277" w:lineRule="auto"/>
        <w:tabs>
          <w:tab w:leader="none" w:pos="2834"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in its entirety and not to any particular Article, Section or other subdivision hereof;</w:t>
      </w:r>
    </w:p>
    <w:p>
      <w:pPr>
        <w:spacing w:after="0" w:line="170" w:lineRule="exact"/>
        <w:rPr>
          <w:rFonts w:ascii="Arial" w:cs="Arial" w:eastAsia="Arial" w:hAnsi="Arial"/>
          <w:sz w:val="18"/>
          <w:szCs w:val="18"/>
          <w:color w:val="auto"/>
        </w:rPr>
      </w:pPr>
    </w:p>
    <w:p>
      <w:pPr>
        <w:jc w:val="both"/>
        <w:ind w:left="660" w:firstLine="1293"/>
        <w:spacing w:after="0" w:line="312" w:lineRule="auto"/>
        <w:tabs>
          <w:tab w:leader="none" w:pos="3044" w:val="left"/>
        </w:tabs>
        <w:numPr>
          <w:ilvl w:val="1"/>
          <w:numId w:val="566"/>
        </w:numPr>
        <w:rPr>
          <w:rFonts w:ascii="Arial" w:cs="Arial" w:eastAsia="Arial" w:hAnsi="Arial"/>
          <w:sz w:val="16"/>
          <w:szCs w:val="16"/>
          <w:color w:val="auto"/>
        </w:rPr>
      </w:pPr>
      <w:r>
        <w:rPr>
          <w:rFonts w:ascii="Arial" w:cs="Arial" w:eastAsia="Arial" w:hAnsi="Arial"/>
          <w:sz w:val="16"/>
          <w:szCs w:val="16"/>
          <w:color w:val="auto"/>
        </w:rPr>
        <w:t xml:space="preserve">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is intended to authorize any assignment not otherwise permitted by this Agreement;</w:t>
      </w:r>
    </w:p>
    <w:p>
      <w:pPr>
        <w:spacing w:after="0" w:line="146" w:lineRule="exact"/>
        <w:rPr>
          <w:rFonts w:ascii="Arial" w:cs="Arial" w:eastAsia="Arial" w:hAnsi="Arial"/>
          <w:sz w:val="16"/>
          <w:szCs w:val="16"/>
          <w:color w:val="auto"/>
        </w:rPr>
      </w:pPr>
    </w:p>
    <w:p>
      <w:pPr>
        <w:jc w:val="both"/>
        <w:ind w:left="660" w:firstLine="1293"/>
        <w:spacing w:after="0" w:line="259" w:lineRule="auto"/>
        <w:tabs>
          <w:tab w:leader="none" w:pos="2855" w:val="left"/>
        </w:tabs>
        <w:numPr>
          <w:ilvl w:val="1"/>
          <w:numId w:val="566"/>
        </w:numPr>
        <w:rPr>
          <w:rFonts w:ascii="Arial" w:cs="Arial" w:eastAsia="Arial" w:hAnsi="Arial"/>
          <w:sz w:val="18"/>
          <w:szCs w:val="18"/>
          <w:color w:val="auto"/>
        </w:rPr>
      </w:pPr>
      <w:r>
        <w:rPr>
          <w:rFonts w:ascii="Arial" w:cs="Arial" w:eastAsia="Arial" w:hAnsi="Arial"/>
          <w:sz w:val="18"/>
          <w:szCs w:val="18"/>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186" w:lineRule="exact"/>
        <w:rPr>
          <w:rFonts w:ascii="Arial" w:cs="Arial" w:eastAsia="Arial" w:hAnsi="Arial"/>
          <w:sz w:val="18"/>
          <w:szCs w:val="18"/>
          <w:color w:val="auto"/>
        </w:rPr>
      </w:pPr>
    </w:p>
    <w:p>
      <w:pPr>
        <w:ind w:left="2940" w:hanging="987"/>
        <w:spacing w:after="0"/>
        <w:tabs>
          <w:tab w:leader="none" w:pos="2940" w:val="left"/>
        </w:tabs>
        <w:numPr>
          <w:ilvl w:val="1"/>
          <w:numId w:val="566"/>
        </w:numPr>
        <w:rPr>
          <w:rFonts w:ascii="Arial" w:cs="Arial" w:eastAsia="Arial" w:hAnsi="Arial"/>
          <w:sz w:val="16"/>
          <w:szCs w:val="16"/>
          <w:color w:val="auto"/>
        </w:rPr>
      </w:pPr>
      <w:r>
        <w:rPr>
          <w:rFonts w:ascii="Arial" w:cs="Arial" w:eastAsia="Arial" w:hAnsi="Arial"/>
          <w:sz w:val="16"/>
          <w:szCs w:val="16"/>
          <w:color w:val="auto"/>
        </w:rPr>
        <w:t>any reference to any Article, Section, page, Schedule or Exhibit means such Article, Section or page hereof or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Schedule or Exhibit hereto;</w:t>
      </w:r>
    </w:p>
    <w:p>
      <w:pPr>
        <w:spacing w:after="0" w:line="210" w:lineRule="exact"/>
        <w:rPr>
          <w:rFonts w:ascii="Arial" w:cs="Arial" w:eastAsia="Arial" w:hAnsi="Arial"/>
          <w:sz w:val="16"/>
          <w:szCs w:val="16"/>
          <w:color w:val="auto"/>
        </w:rPr>
      </w:pPr>
    </w:p>
    <w:p>
      <w:pPr>
        <w:ind w:left="660" w:firstLine="1293"/>
        <w:spacing w:after="0" w:line="277" w:lineRule="auto"/>
        <w:tabs>
          <w:tab w:leader="none" w:pos="2757"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words “including”, “include” and “includes” shall be deemed to be followed by the phrase “without limitation” and the term “or” is not exclusive;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8" w:name="page519"/>
    <w:bookmarkEnd w:id="518"/>
    <w:p>
      <w:pPr>
        <w:ind w:left="660" w:firstLine="1293"/>
        <w:spacing w:after="0" w:line="277" w:lineRule="auto"/>
        <w:tabs>
          <w:tab w:leader="none" w:pos="2757" w:val="left"/>
        </w:tabs>
        <w:numPr>
          <w:ilvl w:val="1"/>
          <w:numId w:val="567"/>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except as expressly provided to the contrary, the word “from” means “from and including” and the word “to” means “to but excluding”;</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225" w:lineRule="exact"/>
        <w:rPr>
          <w:rFonts w:ascii="Arial" w:cs="Arial" w:eastAsia="Arial" w:hAnsi="Arial"/>
          <w:sz w:val="18"/>
          <w:szCs w:val="18"/>
          <w:color w:val="auto"/>
        </w:rPr>
      </w:pPr>
    </w:p>
    <w:p>
      <w:pPr>
        <w:ind w:left="660" w:firstLine="1293"/>
        <w:spacing w:after="0" w:line="277" w:lineRule="auto"/>
        <w:tabs>
          <w:tab w:leader="none" w:pos="2949"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any reference to any law, rule or regulation means such as amended, modified, codified or reenacted, in whole or in part, and in effect from time to time; and</w:t>
      </w:r>
    </w:p>
    <w:p>
      <w:pPr>
        <w:spacing w:after="0" w:line="170" w:lineRule="exact"/>
        <w:rPr>
          <w:rFonts w:ascii="Arial" w:cs="Arial" w:eastAsia="Arial" w:hAnsi="Arial"/>
          <w:sz w:val="18"/>
          <w:szCs w:val="18"/>
          <w:color w:val="auto"/>
        </w:rPr>
      </w:pPr>
    </w:p>
    <w:p>
      <w:pPr>
        <w:ind w:left="660" w:firstLine="1293"/>
        <w:spacing w:after="0" w:line="277" w:lineRule="auto"/>
        <w:tabs>
          <w:tab w:leader="none" w:pos="2923"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2500" w:hanging="1195"/>
        <w:spacing w:after="0"/>
        <w:tabs>
          <w:tab w:leader="none" w:pos="250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The Article and Section headings herein and in the Table of Contents are for convenience only and shall not affect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construction hereof.</w:t>
      </w:r>
    </w:p>
    <w:p>
      <w:pPr>
        <w:spacing w:after="0" w:line="210" w:lineRule="exact"/>
        <w:rPr>
          <w:rFonts w:ascii="Arial" w:cs="Arial" w:eastAsia="Arial" w:hAnsi="Arial"/>
          <w:sz w:val="17"/>
          <w:szCs w:val="17"/>
          <w:color w:val="auto"/>
        </w:rPr>
      </w:pPr>
    </w:p>
    <w:p>
      <w:pPr>
        <w:ind w:firstLine="1305"/>
        <w:spacing w:after="0" w:line="277" w:lineRule="auto"/>
        <w:tabs>
          <w:tab w:leader="none" w:pos="236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No provision of this Agreement shall be interpreted or construed against any Person solely because that Person or its legal representative drafted such provision.</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50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LLC 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Luxembourg Terms</w:t>
      </w:r>
      <w:r>
        <w:rPr>
          <w:rFonts w:ascii="Arial" w:cs="Arial" w:eastAsia="Arial" w:hAnsi="Arial"/>
          <w:sz w:val="17"/>
          <w:szCs w:val="17"/>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66" w:lineRule="exact"/>
        <w:rPr>
          <w:sz w:val="20"/>
          <w:szCs w:val="20"/>
          <w:color w:val="auto"/>
        </w:rPr>
      </w:pPr>
    </w:p>
    <w:p>
      <w:pPr>
        <w:ind w:left="2540" w:hanging="1235"/>
        <w:spacing w:after="0"/>
        <w:tabs>
          <w:tab w:leader="none" w:pos="254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i w:val="1"/>
          <w:iCs w:val="1"/>
          <w:color w:val="auto"/>
        </w:rPr>
        <w:t>liquidator</w:t>
      </w:r>
      <w:r>
        <w:rPr>
          <w:rFonts w:ascii="Arial" w:cs="Arial" w:eastAsia="Arial" w:hAnsi="Arial"/>
          <w:sz w:val="17"/>
          <w:szCs w:val="17"/>
          <w:color w:val="auto"/>
        </w:rPr>
        <w:t>”, “</w:t>
      </w:r>
      <w:r>
        <w:rPr>
          <w:rFonts w:ascii="Arial" w:cs="Arial" w:eastAsia="Arial" w:hAnsi="Arial"/>
          <w:sz w:val="17"/>
          <w:szCs w:val="17"/>
          <w:i w:val="1"/>
          <w:iCs w:val="1"/>
          <w:color w:val="auto"/>
        </w:rPr>
        <w:t>trustee</w:t>
      </w:r>
      <w:r>
        <w:rPr>
          <w:rFonts w:ascii="Arial" w:cs="Arial" w:eastAsia="Arial" w:hAnsi="Arial"/>
          <w:sz w:val="17"/>
          <w:szCs w:val="17"/>
          <w:color w:val="auto"/>
        </w:rPr>
        <w:t>”, “</w:t>
      </w:r>
      <w:r>
        <w:rPr>
          <w:rFonts w:ascii="Arial" w:cs="Arial" w:eastAsia="Arial" w:hAnsi="Arial"/>
          <w:sz w:val="17"/>
          <w:szCs w:val="17"/>
          <w:i w:val="1"/>
          <w:iCs w:val="1"/>
          <w:color w:val="auto"/>
        </w:rPr>
        <w:t>custodian</w:t>
      </w:r>
      <w:r>
        <w:rPr>
          <w:rFonts w:ascii="Arial" w:cs="Arial" w:eastAsia="Arial" w:hAnsi="Arial"/>
          <w:sz w:val="17"/>
          <w:szCs w:val="17"/>
          <w:color w:val="auto"/>
        </w:rPr>
        <w:t>”, “</w:t>
      </w:r>
      <w:r>
        <w:rPr>
          <w:rFonts w:ascii="Arial" w:cs="Arial" w:eastAsia="Arial" w:hAnsi="Arial"/>
          <w:sz w:val="17"/>
          <w:szCs w:val="17"/>
          <w:i w:val="1"/>
          <w:iCs w:val="1"/>
          <w:color w:val="auto"/>
        </w:rPr>
        <w:t>compulsory manager</w:t>
      </w:r>
      <w:r>
        <w:rPr>
          <w:rFonts w:ascii="Arial" w:cs="Arial" w:eastAsia="Arial" w:hAnsi="Arial"/>
          <w:sz w:val="17"/>
          <w:szCs w:val="17"/>
          <w:color w:val="auto"/>
        </w:rPr>
        <w:t>”, “</w:t>
      </w:r>
      <w:r>
        <w:rPr>
          <w:rFonts w:ascii="Arial" w:cs="Arial" w:eastAsia="Arial" w:hAnsi="Arial"/>
          <w:sz w:val="17"/>
          <w:szCs w:val="17"/>
          <w:i w:val="1"/>
          <w:iCs w:val="1"/>
          <w:color w:val="auto"/>
        </w:rPr>
        <w:t>receiver</w:t>
      </w:r>
      <w:r>
        <w:rPr>
          <w:rFonts w:ascii="Arial" w:cs="Arial" w:eastAsia="Arial" w:hAnsi="Arial"/>
          <w:sz w:val="17"/>
          <w:szCs w:val="17"/>
          <w:color w:val="auto"/>
        </w:rPr>
        <w:t>”, “</w:t>
      </w:r>
      <w:r>
        <w:rPr>
          <w:rFonts w:ascii="Arial" w:cs="Arial" w:eastAsia="Arial" w:hAnsi="Arial"/>
          <w:sz w:val="17"/>
          <w:szCs w:val="17"/>
          <w:i w:val="1"/>
          <w:iCs w:val="1"/>
          <w:color w:val="auto"/>
        </w:rPr>
        <w:t>administrative receiver</w:t>
      </w:r>
      <w:r>
        <w:rPr>
          <w:rFonts w:ascii="Arial" w:cs="Arial" w:eastAsia="Arial" w:hAnsi="Arial"/>
          <w:sz w:val="17"/>
          <w:szCs w:val="17"/>
          <w:color w:val="auto"/>
        </w:rPr>
        <w:t>”, “</w:t>
      </w:r>
      <w:r>
        <w:rPr>
          <w:rFonts w:ascii="Arial" w:cs="Arial" w:eastAsia="Arial" w:hAnsi="Arial"/>
          <w:sz w:val="17"/>
          <w:szCs w:val="17"/>
          <w:i w:val="1"/>
          <w:iCs w:val="1"/>
          <w:color w:val="auto"/>
        </w:rPr>
        <w:t>administrator</w:t>
      </w:r>
      <w:r>
        <w:rPr>
          <w:rFonts w:ascii="Arial" w:cs="Arial" w:eastAsia="Arial" w:hAnsi="Arial"/>
          <w:sz w:val="17"/>
          <w:szCs w:val="17"/>
          <w:color w:val="auto"/>
        </w:rPr>
        <w: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similar officer</w:t>
      </w:r>
      <w:r>
        <w:rPr>
          <w:rFonts w:ascii="Arial" w:cs="Arial" w:eastAsia="Arial" w:hAnsi="Arial"/>
          <w:sz w:val="18"/>
          <w:szCs w:val="18"/>
          <w:color w:val="auto"/>
        </w:rPr>
        <w:t>” includes any:</w:t>
      </w:r>
    </w:p>
    <w:p>
      <w:pPr>
        <w:spacing w:after="0" w:line="210" w:lineRule="exact"/>
        <w:rPr>
          <w:rFonts w:ascii="Arial" w:cs="Arial" w:eastAsia="Arial" w:hAnsi="Arial"/>
          <w:sz w:val="17"/>
          <w:szCs w:val="17"/>
          <w:color w:val="auto"/>
        </w:rPr>
      </w:pPr>
    </w:p>
    <w:p>
      <w:pPr>
        <w:ind w:left="2880" w:hanging="927"/>
        <w:spacing w:after="0"/>
        <w:tabs>
          <w:tab w:leader="none" w:pos="2880" w:val="left"/>
        </w:tabs>
        <w:numPr>
          <w:ilvl w:val="1"/>
          <w:numId w:val="569"/>
        </w:numPr>
        <w:rPr>
          <w:rFonts w:ascii="Arial" w:cs="Arial" w:eastAsia="Arial" w:hAnsi="Arial"/>
          <w:sz w:val="18"/>
          <w:szCs w:val="18"/>
          <w:color w:val="auto"/>
        </w:rPr>
      </w:pPr>
      <w:r>
        <w:rPr>
          <w:rFonts w:ascii="Arial" w:cs="Arial" w:eastAsia="Arial" w:hAnsi="Arial"/>
          <w:sz w:val="18"/>
          <w:szCs w:val="18"/>
          <w:i w:val="1"/>
          <w:iCs w:val="1"/>
          <w:color w:val="auto"/>
        </w:rPr>
        <w:t xml:space="preserve">juge-commissaire </w:t>
      </w:r>
      <w:r>
        <w:rPr>
          <w:rFonts w:ascii="Arial" w:cs="Arial" w:eastAsia="Arial" w:hAnsi="Arial"/>
          <w:sz w:val="18"/>
          <w:szCs w:val="18"/>
          <w:color w:val="auto"/>
        </w:rPr>
        <w:t>or insolvency receiver (</w:t>
      </w:r>
      <w:r>
        <w:rPr>
          <w:rFonts w:ascii="Arial" w:cs="Arial" w:eastAsia="Arial" w:hAnsi="Arial"/>
          <w:sz w:val="18"/>
          <w:szCs w:val="18"/>
          <w:i w:val="1"/>
          <w:iCs w:val="1"/>
          <w:color w:val="auto"/>
        </w:rPr>
        <w:t>curateur</w:t>
      </w:r>
      <w:r>
        <w:rPr>
          <w:rFonts w:ascii="Arial" w:cs="Arial" w:eastAsia="Arial" w:hAnsi="Arial"/>
          <w:sz w:val="18"/>
          <w:szCs w:val="18"/>
          <w:color w:val="auto"/>
        </w:rPr>
        <w:t>) appointed under the Luxembourg Commercial Code;</w:t>
      </w:r>
    </w:p>
    <w:p>
      <w:pPr>
        <w:spacing w:after="0" w:line="225" w:lineRule="exact"/>
        <w:rPr>
          <w:rFonts w:ascii="Arial" w:cs="Arial" w:eastAsia="Arial" w:hAnsi="Arial"/>
          <w:sz w:val="18"/>
          <w:szCs w:val="18"/>
          <w:color w:val="auto"/>
        </w:rPr>
      </w:pPr>
    </w:p>
    <w:p>
      <w:pPr>
        <w:ind w:left="660" w:firstLine="1293"/>
        <w:spacing w:after="0" w:line="277" w:lineRule="auto"/>
        <w:tabs>
          <w:tab w:leader="none" w:pos="2928" w:val="left"/>
        </w:tabs>
        <w:numPr>
          <w:ilvl w:val="1"/>
          <w:numId w:val="569"/>
        </w:numPr>
        <w:rPr>
          <w:rFonts w:ascii="Arial" w:cs="Arial" w:eastAsia="Arial" w:hAnsi="Arial"/>
          <w:sz w:val="18"/>
          <w:szCs w:val="18"/>
          <w:color w:val="auto"/>
        </w:rPr>
      </w:pPr>
      <w:r>
        <w:rPr>
          <w:rFonts w:ascii="Arial" w:cs="Arial" w:eastAsia="Arial" w:hAnsi="Arial"/>
          <w:sz w:val="18"/>
          <w:szCs w:val="18"/>
          <w:i w:val="1"/>
          <w:iCs w:val="1"/>
          <w:color w:val="auto"/>
        </w:rPr>
        <w:t xml:space="preserve">liquidateur </w:t>
      </w:r>
      <w:r>
        <w:rPr>
          <w:rFonts w:ascii="Arial" w:cs="Arial" w:eastAsia="Arial" w:hAnsi="Arial"/>
          <w:sz w:val="18"/>
          <w:szCs w:val="18"/>
          <w:color w:val="auto"/>
        </w:rPr>
        <w:t>appointed under Articles 1100-1 to 1100-15 (inclusive) of the Luxembourg act dated 10 August 1915 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companies, as amended;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9" w:name="page520"/>
    <w:bookmarkEnd w:id="519"/>
    <w:p>
      <w:pPr>
        <w:ind w:left="660" w:firstLine="1293"/>
        <w:spacing w:after="0" w:line="277" w:lineRule="auto"/>
        <w:tabs>
          <w:tab w:leader="none" w:pos="2983" w:val="left"/>
        </w:tabs>
        <w:numPr>
          <w:ilvl w:val="0"/>
          <w:numId w:val="570"/>
        </w:numPr>
        <w:rPr>
          <w:rFonts w:ascii="Arial" w:cs="Arial" w:eastAsia="Arial" w:hAnsi="Arial"/>
          <w:sz w:val="18"/>
          <w:szCs w:val="18"/>
          <w:color w:val="auto"/>
        </w:rPr>
      </w:pPr>
      <w:r>
        <w:rPr>
          <w:rFonts w:ascii="Arial" w:cs="Arial" w:eastAsia="Arial" w:hAnsi="Arial"/>
          <w:sz w:val="18"/>
          <w:szCs w:val="18"/>
          <w:i w:val="1"/>
          <w:iCs w:val="1"/>
          <w:color w:val="auto"/>
        </w:rPr>
        <w:t xml:space="preserve">juge-commissaire </w:t>
      </w:r>
      <w:r>
        <w:rPr>
          <w:rFonts w:ascii="Arial" w:cs="Arial" w:eastAsia="Arial" w:hAnsi="Arial"/>
          <w:sz w:val="18"/>
          <w:szCs w:val="18"/>
          <w:color w:val="auto"/>
        </w:rPr>
        <w:t>or</w:t>
      </w:r>
      <w:r>
        <w:rPr>
          <w:rFonts w:ascii="Arial" w:cs="Arial" w:eastAsia="Arial" w:hAnsi="Arial"/>
          <w:sz w:val="18"/>
          <w:szCs w:val="18"/>
          <w:i w:val="1"/>
          <w:iCs w:val="1"/>
          <w:color w:val="auto"/>
        </w:rPr>
        <w:t xml:space="preserve"> liquidateur </w:t>
      </w:r>
      <w:r>
        <w:rPr>
          <w:rFonts w:ascii="Arial" w:cs="Arial" w:eastAsia="Arial" w:hAnsi="Arial"/>
          <w:sz w:val="18"/>
          <w:szCs w:val="18"/>
          <w:color w:val="auto"/>
        </w:rPr>
        <w:t>appointed under Article 1200-1 of the Luxembourg act dated 10 August 1915 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companies, as amended;</w:t>
      </w:r>
    </w:p>
    <w:p>
      <w:pPr>
        <w:spacing w:after="0" w:line="170" w:lineRule="exact"/>
        <w:rPr>
          <w:rFonts w:ascii="Arial" w:cs="Arial" w:eastAsia="Arial" w:hAnsi="Arial"/>
          <w:sz w:val="18"/>
          <w:szCs w:val="18"/>
          <w:color w:val="auto"/>
        </w:rPr>
      </w:pPr>
    </w:p>
    <w:p>
      <w:pPr>
        <w:ind w:left="660" w:firstLine="1293"/>
        <w:spacing w:after="0" w:line="277" w:lineRule="auto"/>
        <w:tabs>
          <w:tab w:leader="none" w:pos="2855" w:val="left"/>
        </w:tabs>
        <w:numPr>
          <w:ilvl w:val="0"/>
          <w:numId w:val="570"/>
        </w:numPr>
        <w:rPr>
          <w:rFonts w:ascii="Arial" w:cs="Arial" w:eastAsia="Arial" w:hAnsi="Arial"/>
          <w:sz w:val="18"/>
          <w:szCs w:val="18"/>
          <w:color w:val="auto"/>
        </w:rPr>
      </w:pPr>
      <w:r>
        <w:rPr>
          <w:rFonts w:ascii="Arial" w:cs="Arial" w:eastAsia="Arial" w:hAnsi="Arial"/>
          <w:sz w:val="18"/>
          <w:szCs w:val="18"/>
          <w:i w:val="1"/>
          <w:iCs w:val="1"/>
          <w:color w:val="auto"/>
        </w:rPr>
        <w:t xml:space="preserve">commissaire </w:t>
      </w:r>
      <w:r>
        <w:rPr>
          <w:rFonts w:ascii="Arial" w:cs="Arial" w:eastAsia="Arial" w:hAnsi="Arial"/>
          <w:sz w:val="18"/>
          <w:szCs w:val="18"/>
          <w:color w:val="auto"/>
        </w:rPr>
        <w:t>appointed under the Grand-Ducal decree of 24 May 1935 on the controlled management regime 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593 to 614 (inclusive) of the Luxembourg Commercial Code; and</w:t>
      </w:r>
    </w:p>
    <w:p>
      <w:pPr>
        <w:spacing w:after="0" w:line="170" w:lineRule="exact"/>
        <w:rPr>
          <w:rFonts w:ascii="Arial" w:cs="Arial" w:eastAsia="Arial" w:hAnsi="Arial"/>
          <w:sz w:val="18"/>
          <w:szCs w:val="18"/>
          <w:color w:val="auto"/>
        </w:rPr>
      </w:pPr>
    </w:p>
    <w:p>
      <w:pPr>
        <w:ind w:left="3100" w:hanging="1147"/>
        <w:spacing w:after="0"/>
        <w:tabs>
          <w:tab w:leader="none" w:pos="3100" w:val="left"/>
        </w:tabs>
        <w:numPr>
          <w:ilvl w:val="0"/>
          <w:numId w:val="570"/>
        </w:numPr>
        <w:rPr>
          <w:rFonts w:ascii="Arial" w:cs="Arial" w:eastAsia="Arial" w:hAnsi="Arial"/>
          <w:sz w:val="17"/>
          <w:szCs w:val="17"/>
          <w:color w:val="auto"/>
        </w:rPr>
      </w:pPr>
      <w:r>
        <w:rPr>
          <w:rFonts w:ascii="Arial" w:cs="Arial" w:eastAsia="Arial" w:hAnsi="Arial"/>
          <w:sz w:val="17"/>
          <w:szCs w:val="17"/>
          <w:i w:val="1"/>
          <w:iCs w:val="1"/>
          <w:color w:val="auto"/>
        </w:rPr>
        <w:t xml:space="preserve">juge délégué </w:t>
      </w:r>
      <w:r>
        <w:rPr>
          <w:rFonts w:ascii="Arial" w:cs="Arial" w:eastAsia="Arial" w:hAnsi="Arial"/>
          <w:sz w:val="17"/>
          <w:szCs w:val="17"/>
          <w:color w:val="auto"/>
        </w:rPr>
        <w:t>appointed under the Luxembourg act of 14 April 1886 on the composition to avoid bankruptcy, as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amended; and</w:t>
      </w:r>
    </w:p>
    <w:p>
      <w:pPr>
        <w:spacing w:after="0" w:line="211" w:lineRule="exact"/>
        <w:rPr>
          <w:sz w:val="20"/>
          <w:szCs w:val="20"/>
          <w:color w:val="auto"/>
        </w:rPr>
      </w:pPr>
    </w:p>
    <w:p>
      <w:pPr>
        <w:jc w:val="both"/>
        <w:ind w:firstLine="1305"/>
        <w:spacing w:after="0" w:line="264" w:lineRule="auto"/>
        <w:tabs>
          <w:tab w:leader="none" w:pos="223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winding-up</w:t>
      </w:r>
      <w:r>
        <w:rPr>
          <w:rFonts w:ascii="Arial" w:cs="Arial" w:eastAsia="Arial" w:hAnsi="Arial"/>
          <w:sz w:val="18"/>
          <w:szCs w:val="18"/>
          <w:color w:val="auto"/>
        </w:rPr>
        <w:t>”, “</w:t>
      </w:r>
      <w:r>
        <w:rPr>
          <w:rFonts w:ascii="Arial" w:cs="Arial" w:eastAsia="Arial" w:hAnsi="Arial"/>
          <w:sz w:val="18"/>
          <w:szCs w:val="18"/>
          <w:i w:val="1"/>
          <w:iCs w:val="1"/>
          <w:color w:val="auto"/>
        </w:rPr>
        <w:t>administration</w:t>
      </w:r>
      <w:r>
        <w:rPr>
          <w:rFonts w:ascii="Arial" w:cs="Arial" w:eastAsia="Arial" w:hAnsi="Arial"/>
          <w:sz w:val="18"/>
          <w:szCs w:val="18"/>
          <w:color w:val="auto"/>
        </w:rPr>
        <w:t>”, “</w:t>
      </w:r>
      <w:r>
        <w:rPr>
          <w:rFonts w:ascii="Arial" w:cs="Arial" w:eastAsia="Arial" w:hAnsi="Arial"/>
          <w:sz w:val="18"/>
          <w:szCs w:val="18"/>
          <w:i w:val="1"/>
          <w:iCs w:val="1"/>
          <w:color w:val="auto"/>
        </w:rPr>
        <w:t>liquidation</w:t>
      </w:r>
      <w:r>
        <w:rPr>
          <w:rFonts w:ascii="Arial" w:cs="Arial" w:eastAsia="Arial" w:hAnsi="Arial"/>
          <w:sz w:val="18"/>
          <w:szCs w:val="18"/>
          <w:color w:val="auto"/>
        </w:rPr>
        <w:t>” or “</w:t>
      </w:r>
      <w:r>
        <w:rPr>
          <w:rFonts w:ascii="Arial" w:cs="Arial" w:eastAsia="Arial" w:hAnsi="Arial"/>
          <w:sz w:val="18"/>
          <w:szCs w:val="18"/>
          <w:i w:val="1"/>
          <w:iCs w:val="1"/>
          <w:color w:val="auto"/>
        </w:rPr>
        <w:t>dissolution</w:t>
      </w:r>
      <w:r>
        <w:rPr>
          <w:rFonts w:ascii="Arial" w:cs="Arial" w:eastAsia="Arial" w:hAnsi="Arial"/>
          <w:sz w:val="18"/>
          <w:szCs w:val="18"/>
          <w:color w:val="auto"/>
        </w:rPr>
        <w:t>”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liquidation,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moratorium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and controlled management (</w:t>
      </w:r>
      <w:r>
        <w:rPr>
          <w:rFonts w:ascii="Arial" w:cs="Arial" w:eastAsia="Arial" w:hAnsi="Arial"/>
          <w:sz w:val="18"/>
          <w:szCs w:val="18"/>
          <w:i w:val="1"/>
          <w:iCs w:val="1"/>
          <w:color w:val="auto"/>
        </w:rPr>
        <w:t>gestion</w:t>
      </w:r>
      <w:r>
        <w:rPr>
          <w:rFonts w:ascii="Arial" w:cs="Arial" w:eastAsia="Arial" w:hAnsi="Arial"/>
          <w:sz w:val="18"/>
          <w:szCs w:val="18"/>
          <w:color w:val="auto"/>
        </w:rPr>
        <w:t xml:space="preserve"> </w:t>
      </w:r>
      <w:r>
        <w:rPr>
          <w:rFonts w:ascii="Arial" w:cs="Arial" w:eastAsia="Arial" w:hAnsi="Arial"/>
          <w:sz w:val="18"/>
          <w:szCs w:val="18"/>
          <w:i w:val="1"/>
          <w:iCs w:val="1"/>
          <w:color w:val="auto"/>
        </w:rPr>
        <w:t>contrôlée</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Dutch Terms</w:t>
      </w:r>
      <w:r>
        <w:rPr>
          <w:rFonts w:ascii="Arial" w:cs="Arial" w:eastAsia="Arial" w:hAnsi="Arial"/>
          <w:sz w:val="18"/>
          <w:szCs w:val="18"/>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181" w:lineRule="exact"/>
        <w:rPr>
          <w:sz w:val="20"/>
          <w:szCs w:val="20"/>
          <w:color w:val="auto"/>
        </w:rPr>
      </w:pPr>
    </w:p>
    <w:p>
      <w:pPr>
        <w:ind w:left="2180" w:hanging="875"/>
        <w:spacing w:after="0"/>
        <w:tabs>
          <w:tab w:leader="none" w:pos="218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Netherlands” means the European part of the Kingdom of the Netherlands and “Dutch” means in or of the Netherlands;</w:t>
      </w:r>
    </w:p>
    <w:p>
      <w:pPr>
        <w:spacing w:after="0" w:line="248" w:lineRule="exact"/>
        <w:rPr>
          <w:rFonts w:ascii="Arial" w:cs="Arial" w:eastAsia="Arial" w:hAnsi="Arial"/>
          <w:sz w:val="16"/>
          <w:szCs w:val="16"/>
          <w:color w:val="auto"/>
        </w:rPr>
      </w:pPr>
    </w:p>
    <w:p>
      <w:pPr>
        <w:jc w:val="both"/>
        <w:ind w:firstLine="1305"/>
        <w:spacing w:after="0" w:line="264" w:lineRule="auto"/>
        <w:tabs>
          <w:tab w:leader="none" w:pos="2519"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 “security interest”, “security” or “lien” includes any mortgage (</w:t>
      </w:r>
      <w:r>
        <w:rPr>
          <w:rFonts w:ascii="Arial" w:cs="Arial" w:eastAsia="Arial" w:hAnsi="Arial"/>
          <w:sz w:val="18"/>
          <w:szCs w:val="18"/>
          <w:i w:val="1"/>
          <w:iCs w:val="1"/>
          <w:color w:val="auto"/>
        </w:rPr>
        <w:t>hypotheekrecht</w:t>
      </w:r>
      <w:r>
        <w:rPr>
          <w:rFonts w:ascii="Arial" w:cs="Arial" w:eastAsia="Arial" w:hAnsi="Arial"/>
          <w:sz w:val="18"/>
          <w:szCs w:val="18"/>
          <w:color w:val="auto"/>
        </w:rPr>
        <w:t>), pledge (</w:t>
      </w:r>
      <w:r>
        <w:rPr>
          <w:rFonts w:ascii="Arial" w:cs="Arial" w:eastAsia="Arial" w:hAnsi="Arial"/>
          <w:sz w:val="18"/>
          <w:szCs w:val="18"/>
          <w:i w:val="1"/>
          <w:iCs w:val="1"/>
          <w:color w:val="auto"/>
        </w:rPr>
        <w:t>pandrecht</w:t>
      </w:r>
      <w:r>
        <w:rPr>
          <w:rFonts w:ascii="Arial" w:cs="Arial" w:eastAsia="Arial" w:hAnsi="Arial"/>
          <w:sz w:val="18"/>
          <w:szCs w:val="18"/>
          <w:color w:val="auto"/>
        </w:rPr>
        <w:t>), retention of title arrangement (</w:t>
      </w:r>
      <w:r>
        <w:rPr>
          <w:rFonts w:ascii="Arial" w:cs="Arial" w:eastAsia="Arial" w:hAnsi="Arial"/>
          <w:sz w:val="18"/>
          <w:szCs w:val="18"/>
          <w:i w:val="1"/>
          <w:iCs w:val="1"/>
          <w:color w:val="auto"/>
        </w:rPr>
        <w:t>eigendomsvoorbehoud</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rententie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and any right in rem (</w:t>
      </w:r>
      <w:r>
        <w:rPr>
          <w:rFonts w:ascii="Arial" w:cs="Arial" w:eastAsia="Arial" w:hAnsi="Arial"/>
          <w:sz w:val="18"/>
          <w:szCs w:val="18"/>
          <w:i w:val="1"/>
          <w:iCs w:val="1"/>
          <w:color w:val="auto"/>
        </w:rPr>
        <w:t>beperkt recht</w:t>
      </w:r>
      <w:r>
        <w:rPr>
          <w:rFonts w:ascii="Arial" w:cs="Arial" w:eastAsia="Arial" w:hAnsi="Arial"/>
          <w:sz w:val="18"/>
          <w:szCs w:val="18"/>
          <w:color w:val="auto"/>
        </w:rPr>
        <w:t>) created for the purpose of granting security (</w:t>
      </w:r>
      <w:r>
        <w:rPr>
          <w:rFonts w:ascii="Arial" w:cs="Arial" w:eastAsia="Arial" w:hAnsi="Arial"/>
          <w:sz w:val="18"/>
          <w:szCs w:val="18"/>
          <w:i w:val="1"/>
          <w:iCs w:val="1"/>
          <w:color w:val="auto"/>
        </w:rPr>
        <w:t>goederenrechtelijke zekerheid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a “winding-up”, “administration” or “dissolution” includes declared bankrupt (</w:t>
      </w:r>
      <w:r>
        <w:rPr>
          <w:rFonts w:ascii="Arial" w:cs="Arial" w:eastAsia="Arial" w:hAnsi="Arial"/>
          <w:sz w:val="17"/>
          <w:szCs w:val="17"/>
          <w:i w:val="1"/>
          <w:iCs w:val="1"/>
          <w:color w:val="auto"/>
        </w:rPr>
        <w:t>failliet verklaard</w:t>
      </w:r>
      <w:r>
        <w:rPr>
          <w:rFonts w:ascii="Arial" w:cs="Arial" w:eastAsia="Arial" w:hAnsi="Arial"/>
          <w:sz w:val="17"/>
          <w:szCs w:val="17"/>
          <w:color w:val="auto"/>
        </w:rPr>
        <w:t>) or dissolved (</w:t>
      </w:r>
      <w:r>
        <w:rPr>
          <w:rFonts w:ascii="Arial" w:cs="Arial" w:eastAsia="Arial" w:hAnsi="Arial"/>
          <w:sz w:val="17"/>
          <w:szCs w:val="17"/>
          <w:i w:val="1"/>
          <w:iCs w:val="1"/>
          <w:color w:val="auto"/>
        </w:rPr>
        <w:t>ontbonden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1305"/>
        <w:spacing w:after="0" w:line="277" w:lineRule="auto"/>
        <w:tabs>
          <w:tab w:leader="none" w:pos="220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xml:space="preserve">a “moratorium” includes </w:t>
      </w:r>
      <w:r>
        <w:rPr>
          <w:rFonts w:ascii="Arial" w:cs="Arial" w:eastAsia="Arial" w:hAnsi="Arial"/>
          <w:sz w:val="18"/>
          <w:szCs w:val="18"/>
          <w:i w:val="1"/>
          <w:iCs w:val="1"/>
          <w:color w:val="auto"/>
        </w:rPr>
        <w:t>surseance van betaling</w:t>
      </w:r>
      <w:r>
        <w:rPr>
          <w:rFonts w:ascii="Arial" w:cs="Arial" w:eastAsia="Arial" w:hAnsi="Arial"/>
          <w:sz w:val="18"/>
          <w:szCs w:val="18"/>
          <w:color w:val="auto"/>
        </w:rPr>
        <w:t xml:space="preserve"> or </w:t>
      </w:r>
      <w:r>
        <w:rPr>
          <w:rFonts w:ascii="Arial" w:cs="Arial" w:eastAsia="Arial" w:hAnsi="Arial"/>
          <w:sz w:val="18"/>
          <w:szCs w:val="18"/>
          <w:i w:val="1"/>
          <w:iCs w:val="1"/>
          <w:color w:val="auto"/>
        </w:rPr>
        <w:t>voorlopige surseance van betaling</w:t>
      </w:r>
      <w:r>
        <w:rPr>
          <w:rFonts w:ascii="Arial" w:cs="Arial" w:eastAsia="Arial" w:hAnsi="Arial"/>
          <w:sz w:val="18"/>
          <w:szCs w:val="18"/>
          <w:color w:val="auto"/>
        </w:rPr>
        <w:t xml:space="preserve"> and a “moratorium is declared” includes </w:t>
      </w:r>
      <w:r>
        <w:rPr>
          <w:rFonts w:ascii="Arial" w:cs="Arial" w:eastAsia="Arial" w:hAnsi="Arial"/>
          <w:sz w:val="18"/>
          <w:szCs w:val="18"/>
          <w:i w:val="1"/>
          <w:iCs w:val="1"/>
          <w:color w:val="auto"/>
        </w:rPr>
        <w:t xml:space="preserve">surseance verleend </w:t>
      </w:r>
      <w:r>
        <w:rPr>
          <w:rFonts w:ascii="Arial" w:cs="Arial" w:eastAsia="Arial" w:hAnsi="Arial"/>
          <w:sz w:val="18"/>
          <w:szCs w:val="18"/>
          <w:color w:val="auto"/>
        </w:rPr>
        <w:t>or</w:t>
      </w:r>
      <w:r>
        <w:rPr>
          <w:rFonts w:ascii="Arial" w:cs="Arial" w:eastAsia="Arial" w:hAnsi="Arial"/>
          <w:sz w:val="18"/>
          <w:szCs w:val="18"/>
          <w:i w:val="1"/>
          <w:iCs w:val="1"/>
          <w:color w:val="auto"/>
        </w:rPr>
        <w:t xml:space="preserve"> voorlopige surseance verleend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5"/>
        <w:spacing w:after="0" w:line="277" w:lineRule="auto"/>
        <w:tabs>
          <w:tab w:leader="none" w:pos="259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xml:space="preserve">a “liquidator”, “receiver”, “administrative receiver”, “conservator”, “trustee”, “administrator”, “compulsory manager”, “custodian”, “assignee for the benefit of creditors” or similar Person includes a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a </w:t>
      </w:r>
      <w:r>
        <w:rPr>
          <w:rFonts w:ascii="Arial" w:cs="Arial" w:eastAsia="Arial" w:hAnsi="Arial"/>
          <w:sz w:val="18"/>
          <w:szCs w:val="18"/>
          <w:i w:val="1"/>
          <w:iCs w:val="1"/>
          <w:color w:val="auto"/>
        </w:rPr>
        <w:t>beoogd curator</w:t>
      </w:r>
      <w:r>
        <w:rPr>
          <w:rFonts w:ascii="Arial" w:cs="Arial" w:eastAsia="Arial" w:hAnsi="Arial"/>
          <w:sz w:val="18"/>
          <w:szCs w:val="18"/>
          <w:color w:val="auto"/>
        </w:rPr>
        <w:t xml:space="preserve"> or a </w:t>
      </w:r>
      <w:r>
        <w:rPr>
          <w:rFonts w:ascii="Arial" w:cs="Arial" w:eastAsia="Arial" w:hAnsi="Arial"/>
          <w:sz w:val="18"/>
          <w:szCs w:val="18"/>
          <w:i w:val="1"/>
          <w:iCs w:val="1"/>
          <w:color w:val="auto"/>
        </w:rPr>
        <w:t>bewindvoerder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200" w:hanging="895"/>
        <w:spacing w:after="0"/>
        <w:tabs>
          <w:tab w:leader="none" w:pos="22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xml:space="preserve">an “attachment” includes an </w:t>
      </w:r>
      <w:r>
        <w:rPr>
          <w:rFonts w:ascii="Arial" w:cs="Arial" w:eastAsia="Arial" w:hAnsi="Arial"/>
          <w:sz w:val="18"/>
          <w:szCs w:val="18"/>
          <w:i w:val="1"/>
          <w:iCs w:val="1"/>
          <w:color w:val="auto"/>
        </w:rPr>
        <w:t>executoriaal beslag</w:t>
      </w:r>
      <w:r>
        <w:rPr>
          <w:rFonts w:ascii="Arial" w:cs="Arial" w:eastAsia="Arial" w:hAnsi="Arial"/>
          <w:sz w:val="18"/>
          <w:szCs w:val="18"/>
          <w:color w:val="auto"/>
        </w:rPr>
        <w:t xml:space="preserve"> or </w:t>
      </w:r>
      <w:r>
        <w:rPr>
          <w:rFonts w:ascii="Arial" w:cs="Arial" w:eastAsia="Arial" w:hAnsi="Arial"/>
          <w:sz w:val="18"/>
          <w:szCs w:val="18"/>
          <w:i w:val="1"/>
          <w:iCs w:val="1"/>
          <w:u w:val="single" w:color="auto"/>
          <w:color w:val="auto"/>
        </w:rPr>
        <w:t>conservatoir beslag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81"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or Section 60 of the Social Insurance Financing Act of the Netherlands (</w:t>
      </w:r>
      <w:r>
        <w:rPr>
          <w:rFonts w:ascii="Arial" w:cs="Arial" w:eastAsia="Arial" w:hAnsi="Arial"/>
          <w:sz w:val="18"/>
          <w:szCs w:val="18"/>
          <w:i w:val="1"/>
          <w:iCs w:val="1"/>
          <w:color w:val="auto"/>
        </w:rPr>
        <w:t>Wet Financiering Sociale Verzekeringen</w:t>
      </w:r>
      <w:r>
        <w:rPr>
          <w:rFonts w:ascii="Arial" w:cs="Arial" w:eastAsia="Arial" w:hAnsi="Arial"/>
          <w:sz w:val="18"/>
          <w:szCs w:val="18"/>
          <w:color w:val="auto"/>
        </w:rPr>
        <w:t>) in conjunction with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20" w:name="page521"/>
    <w:bookmarkEnd w:id="520"/>
    <w:p>
      <w:pPr>
        <w:jc w:val="both"/>
        <w:ind w:firstLine="1305"/>
        <w:spacing w:after="0" w:line="259" w:lineRule="auto"/>
        <w:tabs>
          <w:tab w:leader="none" w:pos="2181"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 “decree or order for relief in respect of any Obligor or any Material Subsidiary in an involuntary case or proceeding under any applicable federal, state or foreign bankruptcy, insolvency, reorganization or other similar law” includes any insolvency proceedings within the meaning of the Regulation (EU) 2015/848 of the European Parliament and of the Council of 20 May 2015 on insolvency proceedings (recast) listed or to be listed in Annex A thereto.</w:t>
      </w:r>
    </w:p>
    <w:p>
      <w:pPr>
        <w:spacing w:after="0" w:line="187"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Centre of Main Interest.</w:t>
      </w:r>
    </w:p>
    <w:p>
      <w:pPr>
        <w:spacing w:after="0" w:line="225" w:lineRule="exact"/>
        <w:rPr>
          <w:sz w:val="20"/>
          <w:szCs w:val="20"/>
          <w:color w:val="auto"/>
        </w:rPr>
      </w:pPr>
    </w:p>
    <w:p>
      <w:pPr>
        <w:jc w:val="both"/>
        <w:ind w:firstLine="1305"/>
        <w:spacing w:after="0" w:line="264" w:lineRule="auto"/>
        <w:tabs>
          <w:tab w:leader="none" w:pos="2252"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08"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18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Quebec Terms</w:t>
      </w:r>
      <w:r>
        <w:rPr>
          <w:rFonts w:ascii="Arial" w:cs="Arial" w:eastAsia="Arial" w:hAnsi="Arial"/>
          <w:sz w:val="16"/>
          <w:szCs w:val="16"/>
          <w:color w:val="auto"/>
        </w:rPr>
        <w:t>.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include “holding title on behalf of an owner as mandatory or prete-nom”, (v) “ground lease” shall include “emphyteusis” or a “lease with a right of superficies”, as applicable,</w:t>
      </w:r>
    </w:p>
    <w:p>
      <w:pPr>
        <w:jc w:val="both"/>
        <w:ind w:firstLine="8"/>
        <w:spacing w:after="0" w:line="270" w:lineRule="auto"/>
        <w:tabs>
          <w:tab w:leader="none" w:pos="33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 xml:space="preserve">“leasehold interest” shall include a “valid lease”, (x) “lease”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Arial" w:cs="Arial" w:eastAsia="Arial" w:hAnsi="Arial"/>
          <w:sz w:val="17"/>
          <w:szCs w:val="17"/>
          <w:i w:val="1"/>
          <w:iCs w:val="1"/>
          <w:color w:val="auto"/>
        </w:rPr>
        <w:t>Les parties aux présentes confirment que c’est leur volonté que cette convention et les</w:t>
      </w:r>
      <w:r>
        <w:rPr>
          <w:rFonts w:ascii="Arial" w:cs="Arial" w:eastAsia="Arial" w:hAnsi="Arial"/>
          <w:sz w:val="17"/>
          <w:szCs w:val="17"/>
          <w:color w:val="auto"/>
        </w:rPr>
        <w:t xml:space="preserve"> </w:t>
      </w:r>
      <w:r>
        <w:rPr>
          <w:rFonts w:ascii="Arial" w:cs="Arial" w:eastAsia="Arial" w:hAnsi="Arial"/>
          <w:sz w:val="17"/>
          <w:szCs w:val="17"/>
          <w:i w:val="1"/>
          <w:iCs w:val="1"/>
          <w:color w:val="auto"/>
        </w:rPr>
        <w:t>autres documents de crédit soient rédigés en langue anglaise seulement et que tous les documents, y compris tous avis, envisagés par cette convention et les autres documents peuvent être rédigés en langue anglaise seulement</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1" w:name="page522"/>
    <w:bookmarkEnd w:id="521"/>
    <w:p>
      <w:pPr>
        <w:jc w:val="center"/>
        <w:ind w:right="640"/>
        <w:spacing w:after="0"/>
        <w:rPr>
          <w:sz w:val="20"/>
          <w:szCs w:val="20"/>
          <w:color w:val="auto"/>
        </w:rPr>
      </w:pPr>
      <w:r>
        <w:rPr>
          <w:rFonts w:ascii="Arial" w:cs="Arial" w:eastAsia="Arial" w:hAnsi="Arial"/>
          <w:sz w:val="18"/>
          <w:szCs w:val="18"/>
          <w:color w:val="010000"/>
        </w:rPr>
        <w:t>ARTICLE II</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COMMITMENTS</w:t>
      </w:r>
    </w:p>
    <w:p>
      <w:pPr>
        <w:spacing w:after="0" w:line="211"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left="1520" w:hanging="875"/>
        <w:spacing w:after="0"/>
        <w:tabs>
          <w:tab w:leader="none" w:pos="1520" w:val="left"/>
        </w:tabs>
        <w:numPr>
          <w:ilvl w:val="0"/>
          <w:numId w:val="576"/>
        </w:numPr>
        <w:rPr>
          <w:rFonts w:ascii="Arial" w:cs="Arial" w:eastAsia="Arial" w:hAnsi="Arial"/>
          <w:sz w:val="18"/>
          <w:szCs w:val="18"/>
          <w:color w:val="auto"/>
        </w:rPr>
      </w:pPr>
      <w:r>
        <w:rPr>
          <w:rFonts w:ascii="Arial" w:cs="Arial" w:eastAsia="Arial" w:hAnsi="Arial"/>
          <w:sz w:val="18"/>
          <w:szCs w:val="18"/>
          <w:u w:val="single" w:color="auto"/>
          <w:color w:val="auto"/>
        </w:rPr>
        <w:t>Termination of Commitments on the Maturity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3"/>
        <w:spacing w:after="0" w:line="286" w:lineRule="auto"/>
        <w:tabs>
          <w:tab w:leader="none" w:pos="2461" w:val="left"/>
        </w:tabs>
        <w:numPr>
          <w:ilvl w:val="1"/>
          <w:numId w:val="576"/>
        </w:numPr>
        <w:rPr>
          <w:rFonts w:ascii="Arial" w:cs="Arial" w:eastAsia="Arial" w:hAnsi="Arial"/>
          <w:sz w:val="17"/>
          <w:szCs w:val="17"/>
          <w:color w:val="auto"/>
        </w:rPr>
      </w:pPr>
      <w:r>
        <w:rPr>
          <w:rFonts w:ascii="Arial" w:cs="Arial" w:eastAsia="Arial" w:hAnsi="Arial"/>
          <w:sz w:val="17"/>
          <w:szCs w:val="17"/>
          <w:color w:val="auto"/>
        </w:rPr>
        <w:t>On the Maturity Date (if the Commitments have not been terminated in full earlier in accordance with the terms hereof), (x) the Borrowers shall pay to each Lender all amounts then payable to such Lender under this Agreement and (y) such Lender’s Commitment (and, in the case of a Lender that is an Issuing Bank, such Issuing Bank’s LC Commitment) shall automatically terminate.</w:t>
      </w:r>
    </w:p>
    <w:p>
      <w:pPr>
        <w:spacing w:after="0" w:line="165" w:lineRule="exact"/>
        <w:rPr>
          <w:rFonts w:ascii="Arial" w:cs="Arial" w:eastAsia="Arial" w:hAnsi="Arial"/>
          <w:sz w:val="17"/>
          <w:szCs w:val="17"/>
          <w:color w:val="auto"/>
        </w:rPr>
      </w:pPr>
    </w:p>
    <w:p>
      <w:pPr>
        <w:jc w:val="both"/>
        <w:ind w:firstLine="1293"/>
        <w:spacing w:after="0" w:line="257" w:lineRule="auto"/>
        <w:tabs>
          <w:tab w:leader="none" w:pos="2362" w:val="left"/>
        </w:tabs>
        <w:numPr>
          <w:ilvl w:val="1"/>
          <w:numId w:val="576"/>
        </w:numPr>
        <w:rPr>
          <w:rFonts w:ascii="Arial" w:cs="Arial" w:eastAsia="Arial" w:hAnsi="Arial"/>
          <w:sz w:val="18"/>
          <w:szCs w:val="18"/>
          <w:color w:val="auto"/>
        </w:rPr>
      </w:pPr>
      <w:r>
        <w:rPr>
          <w:rFonts w:ascii="Arial" w:cs="Arial" w:eastAsia="Arial" w:hAnsi="Arial"/>
          <w:sz w:val="18"/>
          <w:szCs w:val="18"/>
          <w:color w:val="auto"/>
        </w:rPr>
        <w:t xml:space="preserve">The Borrowers shall, on the Maturity Date, cash collateralize, for the benefit of the applicable Issuing Banks, the Borrowers’ obligations corresponding to the LC Exposure associated with each Letter of Credit, including any Extended Expiration Letter of Credit, in accordance with the procedures set forth in </w:t>
      </w:r>
      <w:r>
        <w:rPr>
          <w:rFonts w:ascii="Arial" w:cs="Arial" w:eastAsia="Arial" w:hAnsi="Arial"/>
          <w:sz w:val="18"/>
          <w:szCs w:val="18"/>
          <w:u w:val="single" w:color="auto"/>
          <w:color w:val="auto"/>
        </w:rPr>
        <w:t>Section 3.01(k)(i)</w:t>
      </w:r>
      <w:r>
        <w:rPr>
          <w:rFonts w:ascii="Arial" w:cs="Arial" w:eastAsia="Arial" w:hAnsi="Arial"/>
          <w:sz w:val="18"/>
          <w:szCs w:val="18"/>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8"/>
          <w:szCs w:val="18"/>
          <w:u w:val="single" w:color="auto"/>
          <w:color w:val="auto"/>
        </w:rPr>
        <w:t>Section 3.01(k)</w:t>
      </w:r>
      <w:r>
        <w:rPr>
          <w:rFonts w:ascii="Arial" w:cs="Arial" w:eastAsia="Arial" w:hAnsi="Arial"/>
          <w:sz w:val="18"/>
          <w:szCs w:val="18"/>
          <w:color w:val="auto"/>
        </w:rPr>
        <w:t>) until the expiration and termination of such Letter of Credit.</w:t>
      </w:r>
    </w:p>
    <w:p>
      <w:pPr>
        <w:spacing w:after="0" w:line="188" w:lineRule="exact"/>
        <w:rPr>
          <w:rFonts w:ascii="Arial" w:cs="Arial" w:eastAsia="Arial" w:hAnsi="Arial"/>
          <w:sz w:val="18"/>
          <w:szCs w:val="18"/>
          <w:color w:val="auto"/>
        </w:rPr>
      </w:pPr>
    </w:p>
    <w:p>
      <w:pPr>
        <w:ind w:left="1520" w:hanging="875"/>
        <w:spacing w:after="0"/>
        <w:tabs>
          <w:tab w:leader="none" w:pos="1520" w:val="left"/>
        </w:tabs>
        <w:numPr>
          <w:ilvl w:val="0"/>
          <w:numId w:val="576"/>
        </w:numPr>
        <w:rPr>
          <w:rFonts w:ascii="Arial" w:cs="Arial" w:eastAsia="Arial" w:hAnsi="Arial"/>
          <w:sz w:val="18"/>
          <w:szCs w:val="18"/>
          <w:color w:val="auto"/>
        </w:rPr>
      </w:pPr>
      <w:r>
        <w:rPr>
          <w:rFonts w:ascii="Arial" w:cs="Arial" w:eastAsia="Arial" w:hAnsi="Arial"/>
          <w:sz w:val="18"/>
          <w:szCs w:val="18"/>
          <w:u w:val="single" w:color="auto"/>
          <w:color w:val="auto"/>
        </w:rPr>
        <w:t>Voluntary Reduction of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3"/>
        <w:spacing w:after="0" w:line="259" w:lineRule="auto"/>
        <w:tabs>
          <w:tab w:leader="none" w:pos="2353" w:val="left"/>
        </w:tabs>
        <w:numPr>
          <w:ilvl w:val="1"/>
          <w:numId w:val="576"/>
        </w:numPr>
        <w:rPr>
          <w:rFonts w:ascii="Arial" w:cs="Arial" w:eastAsia="Arial" w:hAnsi="Arial"/>
          <w:sz w:val="18"/>
          <w:szCs w:val="18"/>
          <w:color w:val="auto"/>
        </w:rPr>
      </w:pPr>
      <w:r>
        <w:rPr>
          <w:rFonts w:ascii="Arial" w:cs="Arial" w:eastAsia="Arial" w:hAnsi="Arial"/>
          <w:sz w:val="18"/>
          <w:szCs w:val="18"/>
          <w:color w:val="auto"/>
        </w:rPr>
        <w:t xml:space="preserve">At their option, the Borrowers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the Total LC Exposure would exceed the Aggregate Commitments.</w:t>
      </w:r>
    </w:p>
    <w:p>
      <w:pPr>
        <w:spacing w:after="0" w:line="186" w:lineRule="exact"/>
        <w:rPr>
          <w:rFonts w:ascii="Arial" w:cs="Arial" w:eastAsia="Arial" w:hAnsi="Arial"/>
          <w:sz w:val="18"/>
          <w:szCs w:val="18"/>
          <w:color w:val="auto"/>
        </w:rPr>
      </w:pPr>
    </w:p>
    <w:p>
      <w:pPr>
        <w:jc w:val="both"/>
        <w:ind w:firstLine="1293"/>
        <w:spacing w:after="0" w:line="290" w:lineRule="auto"/>
        <w:tabs>
          <w:tab w:leader="none" w:pos="2268" w:val="left"/>
        </w:tabs>
        <w:numPr>
          <w:ilvl w:val="1"/>
          <w:numId w:val="576"/>
        </w:numPr>
        <w:rPr>
          <w:rFonts w:ascii="Arial" w:cs="Arial" w:eastAsia="Arial" w:hAnsi="Arial"/>
          <w:sz w:val="16"/>
          <w:szCs w:val="16"/>
          <w:color w:val="auto"/>
        </w:rPr>
      </w:pPr>
      <w:r>
        <w:rPr>
          <w:rFonts w:ascii="Arial" w:cs="Arial" w:eastAsia="Arial" w:hAnsi="Arial"/>
          <w:sz w:val="16"/>
          <w:szCs w:val="16"/>
          <w:color w:val="auto"/>
        </w:rPr>
        <w:t xml:space="preserve">The Borrowers shall notify the Administrative Agent of any election to terminate or reduce the Commitments under </w:t>
      </w:r>
      <w:r>
        <w:rPr>
          <w:rFonts w:ascii="Arial" w:cs="Arial" w:eastAsia="Arial" w:hAnsi="Arial"/>
          <w:sz w:val="16"/>
          <w:szCs w:val="16"/>
          <w:u w:val="single" w:color="auto"/>
          <w:color w:val="auto"/>
        </w:rPr>
        <w:t>Section 2.01(b)(i)</w:t>
      </w:r>
      <w:r>
        <w:rPr>
          <w:rFonts w:ascii="Arial" w:cs="Arial" w:eastAsia="Arial" w:hAnsi="Arial"/>
          <w:sz w:val="16"/>
          <w:szCs w:val="16"/>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38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522" w:name="page523"/>
    <w:bookmarkEnd w:id="522"/>
    <w:p>
      <w:pPr>
        <w:ind w:left="660"/>
        <w:spacing w:after="0"/>
        <w:tabs>
          <w:tab w:leader="none" w:pos="27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Repayment of Obligations; Evidence of Debt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7" w:lineRule="auto"/>
        <w:tabs>
          <w:tab w:leader="none" w:pos="2401"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xml:space="preserve">The Borrowers hereby unconditionally promise to pay in immediately available funds to the Administrative Agent for the account of each Lender all outstanding Obligations on the Maturity Date in accordance with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343"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Letter of Credit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firstLine="1305"/>
        <w:spacing w:after="0" w:line="277" w:lineRule="auto"/>
        <w:tabs>
          <w:tab w:leader="none" w:pos="265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the amount of any sum received by the Administrative Agent hereunder for the account of the Lenders and each Lender’s share thereof.</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465" w:val="left"/>
        </w:tabs>
        <w:numPr>
          <w:ilvl w:val="0"/>
          <w:numId w:val="577"/>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this Section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6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Prepayment of Obligations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64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On the date that a Change of Control occurs, the Commitments shall terminate and the Borrowers shall, subject to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(i) repay all outstanding Obligations in immediately available funds, and (ii) deposit in the LC Collateral Account an amount in cash required by </w:t>
      </w:r>
      <w:r>
        <w:rPr>
          <w:rFonts w:ascii="Arial" w:cs="Arial" w:eastAsia="Arial" w:hAnsi="Arial"/>
          <w:sz w:val="18"/>
          <w:szCs w:val="18"/>
          <w:u w:val="single" w:color="auto"/>
          <w:color w:val="auto"/>
        </w:rPr>
        <w:t>Section 3.01(k)(i)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289" w:val="left"/>
        </w:tabs>
        <w:numPr>
          <w:ilvl w:val="0"/>
          <w:numId w:val="578"/>
        </w:numPr>
        <w:rPr>
          <w:rFonts w:ascii="Arial" w:cs="Arial" w:eastAsia="Arial" w:hAnsi="Arial"/>
          <w:sz w:val="17"/>
          <w:szCs w:val="17"/>
          <w:color w:val="auto"/>
        </w:rPr>
      </w:pPr>
      <w:r>
        <w:rPr>
          <w:rFonts w:ascii="Arial" w:cs="Arial" w:eastAsia="Arial" w:hAnsi="Arial"/>
          <w:sz w:val="17"/>
          <w:szCs w:val="17"/>
          <w:color w:val="auto"/>
        </w:rPr>
        <w:t xml:space="preserve">If at any time (including concurrently with or immediately after giving effect to any reduction of the Lenders’ Commitments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the Total LC Exposure exceeds the Aggregate Commitments, the Borrowers shall, within two Business Days, cash collateralize LC Exposures in accordance with </w:t>
      </w:r>
      <w:r>
        <w:rPr>
          <w:rFonts w:ascii="Arial" w:cs="Arial" w:eastAsia="Arial" w:hAnsi="Arial"/>
          <w:sz w:val="17"/>
          <w:szCs w:val="17"/>
          <w:u w:val="single" w:color="auto"/>
          <w:color w:val="auto"/>
        </w:rPr>
        <w:t>Section 2.08(a)</w:t>
      </w:r>
      <w:r>
        <w:rPr>
          <w:rFonts w:ascii="Arial" w:cs="Arial" w:eastAsia="Arial" w:hAnsi="Arial"/>
          <w:sz w:val="17"/>
          <w:szCs w:val="17"/>
          <w:color w:val="auto"/>
        </w:rPr>
        <w:t xml:space="preserve"> and the procedures set forth in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in an amount equal to such excess.</w:t>
      </w:r>
    </w:p>
    <w:p>
      <w:pPr>
        <w:spacing w:after="0" w:line="16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1" w:lineRule="auto"/>
        <w:tabs>
          <w:tab w:leader="none" w:pos="2306" w:val="left"/>
        </w:tabs>
        <w:numPr>
          <w:ilvl w:val="0"/>
          <w:numId w:val="579"/>
        </w:numPr>
        <w:rPr>
          <w:rFonts w:ascii="Arial" w:cs="Arial" w:eastAsia="Arial" w:hAnsi="Arial"/>
          <w:sz w:val="16"/>
          <w:szCs w:val="16"/>
          <w:color w:val="auto"/>
        </w:rPr>
      </w:pPr>
      <w:r>
        <w:rPr>
          <w:rFonts w:ascii="Arial" w:cs="Arial" w:eastAsia="Arial" w:hAnsi="Arial"/>
          <w:sz w:val="16"/>
          <w:szCs w:val="16"/>
          <w:color w:val="auto"/>
        </w:rPr>
        <w:t xml:space="preserve">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 March, June, September and December of each year, shall be payable in arrears in Dollars on the fifth Business Day after such last date and on the date on which the aggregate Commitments terminate and on the Maturity Date, with payment commencing on April 7,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facility fees accruing after the date on which the aggregate Commitments terminate shall be payable on demand. All facility fees shall be computed on the basis of a year of 360 days, as applicable, and shall be payable for the actual number of days elapsed (including the first day but excluding the last day).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3" w:name="page524"/>
    <w:bookmarkEnd w:id="523"/>
    <w:p>
      <w:pPr>
        <w:ind w:left="2180" w:hanging="875"/>
        <w:spacing w:after="0"/>
        <w:tabs>
          <w:tab w:leader="none" w:pos="21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xml:space="preserve">The Borrowers agree to pay (subject to </w:t>
      </w:r>
      <w:r>
        <w:rPr>
          <w:rFonts w:ascii="Arial" w:cs="Arial" w:eastAsia="Arial" w:hAnsi="Arial"/>
          <w:sz w:val="18"/>
          <w:szCs w:val="18"/>
          <w:u w:val="single" w:color="auto"/>
          <w:color w:val="auto"/>
        </w:rPr>
        <w:t>Section 2.08(a)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6" w:lineRule="auto"/>
        <w:tabs>
          <w:tab w:leader="none" w:pos="3283" w:val="left"/>
        </w:tabs>
        <w:numPr>
          <w:ilvl w:val="1"/>
          <w:numId w:val="580"/>
        </w:numPr>
        <w:rPr>
          <w:rFonts w:ascii="Arial" w:cs="Arial" w:eastAsia="Arial" w:hAnsi="Arial"/>
          <w:sz w:val="17"/>
          <w:szCs w:val="17"/>
          <w:color w:val="auto"/>
        </w:rPr>
      </w:pPr>
      <w:r>
        <w:rPr>
          <w:rFonts w:ascii="Arial" w:cs="Arial" w:eastAsia="Arial" w:hAnsi="Arial"/>
          <w:sz w:val="17"/>
          <w:szCs w:val="17"/>
          <w:color w:val="auto"/>
        </w:rPr>
        <w:t>to the Administrative Agent, for the account of each Lender in accordance with its Applicable Percentage, a participation fee with respect to the Lenders’ participations in Letters of Credit, which shall accrue at the LC Participation Fee Rate on the average daily Dollar Equivalent of the maximum amount available to be drawn under each such Letter of Credit (whether or not any increase in respect thereof has taken effect) during the period from and including the date of issuance of each such Letter of Credit to but excluding the earlier of (1) the date on which such Letter of Credit expires or terminates and (2) the Maturity Date (the “</w:t>
      </w:r>
      <w:r>
        <w:rPr>
          <w:rFonts w:ascii="Arial" w:cs="Arial" w:eastAsia="Arial" w:hAnsi="Arial"/>
          <w:sz w:val="17"/>
          <w:szCs w:val="17"/>
          <w:u w:val="single" w:color="auto"/>
          <w:color w:val="auto"/>
        </w:rPr>
        <w:t>LC Participation Fee</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jc w:val="both"/>
        <w:ind w:left="660" w:firstLine="1293"/>
        <w:spacing w:after="0" w:line="257" w:lineRule="auto"/>
        <w:tabs>
          <w:tab w:leader="none" w:pos="2914" w:val="left"/>
        </w:tabs>
        <w:numPr>
          <w:ilvl w:val="1"/>
          <w:numId w:val="580"/>
        </w:numPr>
        <w:rPr>
          <w:rFonts w:ascii="Arial" w:cs="Arial" w:eastAsia="Arial" w:hAnsi="Arial"/>
          <w:sz w:val="18"/>
          <w:szCs w:val="18"/>
          <w:color w:val="auto"/>
        </w:rPr>
      </w:pPr>
      <w:r>
        <w:rPr>
          <w:rFonts w:ascii="Arial" w:cs="Arial" w:eastAsia="Arial" w:hAnsi="Arial"/>
          <w:sz w:val="18"/>
          <w:szCs w:val="18"/>
          <w:color w:val="auto"/>
        </w:rPr>
        <w:t>to each Issuing Bank, for its own account, a fronting fee with respect to each Letter of Credit issued by such Issuing Bank, which shall accrue at the rate of 0.125%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Participation fees and fronting fees accrued through and including the last day of March, June, September and December of each year shall be payable in arrears in Dollars on the fifth Business Day after such last day, with payment commencing on April 7, 2020;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to the Lenders on the Maturity Date, to all Lenders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as applicable, and shall be payable for the actual number of days elapsed (including the first day but excluding the last day) other than as set forth in the definition of “Prime Rate”. The amount of participation and fronting fees payable hereunder shall be set forth in a written invoice or other notice delivered to the Borrowers by the Administrative Agent or, in the case of fronting fees, by the applicable Issuing Bank.</w:t>
      </w:r>
    </w:p>
    <w:p>
      <w:pPr>
        <w:spacing w:after="0" w:line="179" w:lineRule="exact"/>
        <w:rPr>
          <w:sz w:val="20"/>
          <w:szCs w:val="20"/>
          <w:color w:val="auto"/>
        </w:rPr>
      </w:pPr>
    </w:p>
    <w:p>
      <w:pPr>
        <w:ind w:firstLine="1305"/>
        <w:spacing w:after="0" w:line="277" w:lineRule="auto"/>
        <w:tabs>
          <w:tab w:leader="none" w:pos="2347"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its own account, fees payable in the amounts and at the times separately agreed upon between themselves and the Administrative Agent.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37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 xml:space="preserve">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to the applicable Lenders. Fees paid shall not be refundable under any circumstances (unless otherwise agreed by the Administrative Agent with respect to fees payable to the Administrative Agent for its own account).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4" w:name="page525"/>
    <w:bookmarkEnd w:id="524"/>
    <w:p>
      <w:pPr>
        <w:ind w:left="660"/>
        <w:spacing w:after="0"/>
        <w:tabs>
          <w:tab w:leader="none" w:pos="27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312" w:lineRule="auto"/>
        <w:tabs>
          <w:tab w:leader="none" w:pos="2185" w:val="left"/>
        </w:tabs>
        <w:numPr>
          <w:ilvl w:val="1"/>
          <w:numId w:val="582"/>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reimbursement obligation, any fee, (including the fronting fee, the facility fee and the LC Participation Fee), or other amount payable by the Borrowers hereunder is not paid when due, whether at stated maturity, upon acceleration or otherwise, such overdue amount shall bear interest, after as well as before judgment, at a rate per annum equal to 2.000%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otherwise applicable to such amount.</w:t>
      </w:r>
    </w:p>
    <w:p>
      <w:pPr>
        <w:spacing w:after="0" w:line="146" w:lineRule="exact"/>
        <w:rPr>
          <w:rFonts w:ascii="Arial" w:cs="Arial" w:eastAsia="Arial" w:hAnsi="Arial"/>
          <w:sz w:val="16"/>
          <w:szCs w:val="16"/>
          <w:color w:val="auto"/>
        </w:rPr>
      </w:pPr>
    </w:p>
    <w:p>
      <w:pPr>
        <w:jc w:val="both"/>
        <w:ind w:firstLine="1305"/>
        <w:spacing w:after="0" w:line="291" w:lineRule="auto"/>
        <w:tabs>
          <w:tab w:leader="none" w:pos="2411" w:val="left"/>
        </w:tabs>
        <w:numPr>
          <w:ilvl w:val="1"/>
          <w:numId w:val="582"/>
        </w:numPr>
        <w:rPr>
          <w:rFonts w:ascii="Arial" w:cs="Arial" w:eastAsia="Arial" w:hAnsi="Arial"/>
          <w:sz w:val="16"/>
          <w:szCs w:val="16"/>
          <w:color w:val="auto"/>
        </w:rPr>
      </w:pPr>
      <w:r>
        <w:rPr>
          <w:rFonts w:ascii="Arial" w:cs="Arial" w:eastAsia="Arial" w:hAnsi="Arial"/>
          <w:sz w:val="16"/>
          <w:szCs w:val="16"/>
          <w:color w:val="auto"/>
        </w:rPr>
        <w:t xml:space="preserve">Accrued interest shall be payable in arrears in immediately available funds on the fifth Business Day after the last day of March, June, September and December of each year and upon termination of the Commitments with payment commencing on April 7,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firstLine="8"/>
        <w:spacing w:after="0" w:line="261" w:lineRule="auto"/>
        <w:tabs>
          <w:tab w:leader="none" w:pos="218" w:val="left"/>
        </w:tabs>
        <w:numPr>
          <w:ilvl w:val="0"/>
          <w:numId w:val="583"/>
        </w:numPr>
        <w:rPr>
          <w:rFonts w:ascii="Arial" w:cs="Arial" w:eastAsia="Arial" w:hAnsi="Arial"/>
          <w:sz w:val="18"/>
          <w:szCs w:val="18"/>
          <w:color w:val="auto"/>
        </w:rPr>
      </w:pPr>
      <w:r>
        <w:rPr>
          <w:rFonts w:ascii="Arial" w:cs="Arial" w:eastAsia="Arial" w:hAnsi="Arial"/>
          <w:sz w:val="18"/>
          <w:szCs w:val="18"/>
          <w:color w:val="auto"/>
        </w:rPr>
        <w:t xml:space="preserve">interest accrued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payable on demand, and (ii) in the event of any repayment or prepayment of any Obligations, accrued interest on the principal amount repaid or prepaid shall be payable on the date of such repayment or prepayment.</w:t>
      </w:r>
    </w:p>
    <w:p>
      <w:pPr>
        <w:spacing w:after="0" w:line="183" w:lineRule="exact"/>
        <w:rPr>
          <w:rFonts w:ascii="Arial" w:cs="Arial" w:eastAsia="Arial" w:hAnsi="Arial"/>
          <w:sz w:val="18"/>
          <w:szCs w:val="18"/>
          <w:color w:val="auto"/>
        </w:rPr>
      </w:pPr>
    </w:p>
    <w:p>
      <w:pPr>
        <w:jc w:val="both"/>
        <w:ind w:firstLine="1305"/>
        <w:spacing w:after="0" w:line="259" w:lineRule="auto"/>
        <w:tabs>
          <w:tab w:leader="none" w:pos="2279" w:val="left"/>
        </w:tabs>
        <w:numPr>
          <w:ilvl w:val="1"/>
          <w:numId w:val="583"/>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as set forth in the definition of “Prime Rate”. The applicable Alternate Base Rate, Adjusted LIBO Rate or LIBO Rate shall be determined by the Administrative Agent in accordance with the terms hereof, and such determination shall be presumed correct absent manifest error.</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2249" w:val="left"/>
        </w:tabs>
        <w:numPr>
          <w:ilvl w:val="1"/>
          <w:numId w:val="583"/>
        </w:numPr>
        <w:rPr>
          <w:rFonts w:ascii="Arial" w:cs="Arial" w:eastAsia="Arial" w:hAnsi="Arial"/>
          <w:sz w:val="16"/>
          <w:szCs w:val="16"/>
          <w:color w:val="auto"/>
        </w:rPr>
      </w:pPr>
      <w:r>
        <w:rPr>
          <w:rFonts w:ascii="Arial" w:cs="Arial" w:eastAsia="Arial" w:hAnsi="Arial"/>
          <w:sz w:val="16"/>
          <w:szCs w:val="16"/>
          <w:color w:val="auto"/>
        </w:rPr>
        <w:t xml:space="preserve">The interest rates provided for in this Agreement with respect to any Swiss Obligor, including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are minimum interest rates. When entering into this Agreement, the parties have assumed that the interest payable at the rates set out in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6"/>
          <w:szCs w:val="16"/>
          <w:u w:val="single" w:color="auto"/>
          <w:color w:val="auto"/>
        </w:rPr>
        <w:t>Section 4.02</w:t>
      </w:r>
      <w:r>
        <w:rPr>
          <w:rFonts w:ascii="Arial" w:cs="Arial" w:eastAsia="Arial" w:hAnsi="Arial"/>
          <w:sz w:val="16"/>
          <w:szCs w:val="16"/>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5" w:name="page526"/>
    <w:bookmarkEnd w:id="525"/>
    <w:p>
      <w:pPr>
        <w:jc w:val="both"/>
        <w:ind w:firstLine="1305"/>
        <w:spacing w:after="0" w:line="257" w:lineRule="auto"/>
        <w:tabs>
          <w:tab w:leader="none" w:pos="2239"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and disclosure thereunder, whenever any interest or any fee to be paid under any Loan Document is to be calculated on the basis of a 360-day, 365-day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88"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Alternate Rate of Fees</w:t>
      </w:r>
      <w:r>
        <w:rPr>
          <w:rFonts w:ascii="Arial" w:cs="Arial" w:eastAsia="Arial" w:hAnsi="Arial"/>
          <w:sz w:val="16"/>
          <w:szCs w:val="16"/>
          <w:color w:val="auto"/>
        </w:rPr>
        <w:t>.</w:t>
      </w:r>
    </w:p>
    <w:p>
      <w:pPr>
        <w:spacing w:after="0" w:line="225" w:lineRule="exact"/>
        <w:rPr>
          <w:sz w:val="20"/>
          <w:szCs w:val="20"/>
          <w:color w:val="auto"/>
        </w:rPr>
      </w:pPr>
    </w:p>
    <w:p>
      <w:pPr>
        <w:ind w:left="2180" w:hanging="875"/>
        <w:spacing w:after="0"/>
        <w:tabs>
          <w:tab w:leader="none" w:pos="218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If prior to the commencement of any LC Fee Period for a Letter of Credit:</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3121" w:val="left"/>
        </w:tabs>
        <w:numPr>
          <w:ilvl w:val="1"/>
          <w:numId w:val="585"/>
        </w:numPr>
        <w:rPr>
          <w:rFonts w:ascii="Arial" w:cs="Arial" w:eastAsia="Arial" w:hAnsi="Arial"/>
          <w:sz w:val="18"/>
          <w:szCs w:val="18"/>
          <w:color w:val="auto"/>
        </w:rPr>
      </w:pPr>
      <w:r>
        <w:rPr>
          <w:rFonts w:ascii="Arial" w:cs="Arial" w:eastAsia="Arial" w:hAnsi="Arial"/>
          <w:sz w:val="18"/>
          <w:szCs w:val="18"/>
          <w:color w:val="auto"/>
        </w:rPr>
        <w:t>the Administrative Agent reasonably determines (which determination shall be presumed correct absent manifest error) that adequate and reasonable means do not exist for ascertaining the Adjusted LIBO Rate or the LIBO Rate, as applicable, for such LC Fee Period; or</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3036" w:val="left"/>
        </w:tabs>
        <w:numPr>
          <w:ilvl w:val="1"/>
          <w:numId w:val="585"/>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LC Fee Period will not adequately and fairly reflect the cost to such Lenders of making or maintaining participations in Letters of Credit for such LC Fee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then in the case of any fee charged in respect of a Letter of Credit at the LIBO Rate, such fee shall on the last day of the then current LC Fee Period applicable thereto begin to accrue at the Alternate Base Rate.</w:t>
      </w:r>
    </w:p>
    <w:p>
      <w:pPr>
        <w:spacing w:after="0" w:line="187" w:lineRule="exact"/>
        <w:rPr>
          <w:sz w:val="20"/>
          <w:szCs w:val="20"/>
          <w:color w:val="auto"/>
        </w:rPr>
      </w:pPr>
    </w:p>
    <w:p>
      <w:pPr>
        <w:jc w:val="both"/>
        <w:ind w:firstLine="1305"/>
        <w:spacing w:after="0" w:line="264" w:lineRule="auto"/>
        <w:tabs>
          <w:tab w:leader="none" w:pos="249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Documents, if the Administrative Agent determines (which determination shall be conclusive absent manifest error) or the Required Lenders notify the Administrative Agent (with a copy to the Borrowers) that they have determined that:</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905"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Adjusted LIBO Rate or the LIBO Rate, as applicable, for any LC Fee Period, including, without limitation, because the Adjusted LIBO Rate or LIBO Rate, as applicable, is not available or published on a current basis and such circumstances are unlikely to be temporary;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6" w:name="page527"/>
    <w:bookmarkEnd w:id="526"/>
    <w:p>
      <w:pPr>
        <w:jc w:val="both"/>
        <w:ind w:left="660" w:firstLine="1293"/>
        <w:spacing w:after="0" w:line="268" w:lineRule="auto"/>
        <w:tabs>
          <w:tab w:leader="none" w:pos="2968"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supervisor for the administrator of the Adjusted LIBO Rate or LIBO Rate or a Governmental Authority having jurisdiction over the Administrative Agent has made a public statement identifying a specific date after which Adjusted LIBO Rate or the LIBO Rate, as applicable, shall no longer be made available, or used for determining the interest rate of loans, then, after (A) such determination by the Administrative Agent in good faith or (B) receipt by the Administrative Agent of such notice, as applicable, the Administrative Agent and the Borrowers may amend this Agreement to replace the Adjusted LIBO Rate or the LIBO Rate with an alternate benchmark rate (including any mathematical or other adjustments to the benchmark (if any) incorporated therein) that has been broadly accepted by the syndicated loan market in the United States in lieu of the Adjusted LIBO Rate or LIBO Rate, as applicable (any such proposed rate, a “</w:t>
      </w:r>
      <w:r>
        <w:rPr>
          <w:rFonts w:ascii="Arial" w:cs="Arial" w:eastAsia="Arial" w:hAnsi="Arial"/>
          <w:sz w:val="17"/>
          <w:szCs w:val="17"/>
          <w:u w:val="single" w:color="auto"/>
          <w:color w:val="auto"/>
        </w:rPr>
        <w:t>LIBO Successor Rate</w:t>
      </w:r>
      <w:r>
        <w:rPr>
          <w:rFonts w:ascii="Arial" w:cs="Arial" w:eastAsia="Arial" w:hAnsi="Arial"/>
          <w:sz w:val="17"/>
          <w:szCs w:val="17"/>
          <w:color w:val="auto"/>
        </w:rPr>
        <w:t xml:space="preserve">”), together with any proposed LIBO Successor Rate Conforming Changes (but, for the avoidance of doubt, such related changes shall not include a reduction in the Applicable Margin);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alternate rate of interest would be less than zero, such rate shall be deemed to be zero for purposes of this Agreement, and, notwithstanding anything to the contrary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such amendment shall become effective at 5:00 p.m. (New York time) on the fifth Business Day after the Administrative Agent shall have posted such proposed amendment to all Lenders and the Borrowers unless, prior to such time, Lenders comprising the Required Lenders have delivered to the Administrative Agent notice that such Required Lenders do not accept such amendment. If no LIBO Successor Rate has been determined and the circumstances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exist, the obligation of the Issuing Banks to issue additional Letters of Credit shall be suspended.</w:t>
      </w:r>
    </w:p>
    <w:p>
      <w:pPr>
        <w:spacing w:after="0" w:line="18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2180" w:hanging="875"/>
        <w:spacing w:after="0"/>
        <w:tabs>
          <w:tab w:leader="none" w:pos="21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317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81" w:lineRule="exact"/>
        <w:rPr>
          <w:rFonts w:ascii="Arial" w:cs="Arial" w:eastAsia="Arial" w:hAnsi="Arial"/>
          <w:sz w:val="18"/>
          <w:szCs w:val="18"/>
          <w:color w:val="auto"/>
        </w:rPr>
      </w:pPr>
    </w:p>
    <w:p>
      <w:pPr>
        <w:ind w:left="660" w:firstLine="1293"/>
        <w:spacing w:after="0" w:line="277" w:lineRule="auto"/>
        <w:tabs>
          <w:tab w:leader="none" w:pos="2833" w:val="left"/>
        </w:tabs>
        <w:numPr>
          <w:ilvl w:val="1"/>
          <w:numId w:val="588"/>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(other than Taxes) affecting this Agreement or any Letter of Credit or participation therein; or</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78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Commitment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27" w:name="page528"/>
    <w:bookmarkEnd w:id="527"/>
    <w:p>
      <w:pPr>
        <w:jc w:val="both"/>
        <w:ind w:firstLine="1305"/>
        <w:spacing w:after="0" w:line="290" w:lineRule="auto"/>
        <w:tabs>
          <w:tab w:leader="none" w:pos="2222" w:val="left"/>
        </w:tabs>
        <w:numPr>
          <w:ilvl w:val="0"/>
          <w:numId w:val="589"/>
        </w:numPr>
        <w:rPr>
          <w:rFonts w:ascii="Arial" w:cs="Arial" w:eastAsia="Arial" w:hAnsi="Arial"/>
          <w:sz w:val="16"/>
          <w:szCs w:val="16"/>
          <w:color w:val="auto"/>
        </w:rPr>
      </w:pPr>
      <w:r>
        <w:rPr>
          <w:rFonts w:ascii="Arial" w:cs="Arial" w:eastAsia="Arial" w:hAnsi="Arial"/>
          <w:sz w:val="16"/>
          <w:szCs w:val="16"/>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166" w:lineRule="exact"/>
        <w:rPr>
          <w:rFonts w:ascii="Arial" w:cs="Arial" w:eastAsia="Arial" w:hAnsi="Arial"/>
          <w:sz w:val="16"/>
          <w:szCs w:val="16"/>
          <w:color w:val="auto"/>
        </w:rPr>
      </w:pPr>
    </w:p>
    <w:p>
      <w:pPr>
        <w:jc w:val="both"/>
        <w:ind w:firstLine="1305"/>
        <w:spacing w:after="0" w:line="271" w:lineRule="auto"/>
        <w:tabs>
          <w:tab w:leader="none" w:pos="2212" w:val="left"/>
        </w:tabs>
        <w:numPr>
          <w:ilvl w:val="0"/>
          <w:numId w:val="589"/>
        </w:numPr>
        <w:rPr>
          <w:rFonts w:ascii="Arial" w:cs="Arial" w:eastAsia="Arial" w:hAnsi="Arial"/>
          <w:sz w:val="17"/>
          <w:szCs w:val="17"/>
          <w:color w:val="auto"/>
        </w:rPr>
      </w:pPr>
      <w:r>
        <w:rPr>
          <w:rFonts w:ascii="Arial" w:cs="Arial" w:eastAsia="Arial" w:hAnsi="Arial"/>
          <w:sz w:val="17"/>
          <w:szCs w:val="17"/>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2.07(b)</w:t>
      </w:r>
      <w:r>
        <w:rPr>
          <w:rFonts w:ascii="Arial" w:cs="Arial" w:eastAsia="Arial" w:hAnsi="Arial"/>
          <w:sz w:val="17"/>
          <w:szCs w:val="17"/>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2384" w:val="left"/>
        </w:tabs>
        <w:numPr>
          <w:ilvl w:val="0"/>
          <w:numId w:val="589"/>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left="2180" w:hanging="875"/>
        <w:spacing w:after="0"/>
        <w:tabs>
          <w:tab w:leader="none" w:pos="218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xml:space="preserve">Each Lender requesting compensation under this Section shall comply with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8" w:name="page529"/>
    <w:bookmarkEnd w:id="528"/>
    <w:p>
      <w:pPr>
        <w:ind w:left="660"/>
        <w:spacing w:after="0"/>
        <w:tabs>
          <w:tab w:leader="none" w:pos="274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Several Liability; Agreement to Defer Exercise of Right of Contribution, Etc.</w:t>
      </w:r>
    </w:p>
    <w:p>
      <w:pPr>
        <w:spacing w:after="0" w:line="225" w:lineRule="exact"/>
        <w:rPr>
          <w:sz w:val="20"/>
          <w:szCs w:val="20"/>
          <w:color w:val="auto"/>
        </w:rPr>
      </w:pPr>
    </w:p>
    <w:p>
      <w:pPr>
        <w:ind w:left="2180" w:hanging="875"/>
        <w:spacing w:after="0"/>
        <w:tabs>
          <w:tab w:leader="none" w:pos="2180" w:val="left"/>
        </w:tabs>
        <w:numPr>
          <w:ilvl w:val="1"/>
          <w:numId w:val="590"/>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other Loan Documents to the contrary, with respect to each Letter of Credit,</w:t>
      </w:r>
    </w:p>
    <w:p>
      <w:pPr>
        <w:spacing w:after="0" w:line="46" w:lineRule="exact"/>
        <w:rPr>
          <w:rFonts w:ascii="Arial" w:cs="Arial" w:eastAsia="Arial" w:hAnsi="Arial"/>
          <w:sz w:val="16"/>
          <w:szCs w:val="16"/>
          <w:color w:val="auto"/>
        </w:rPr>
      </w:pPr>
    </w:p>
    <w:p>
      <w:pPr>
        <w:jc w:val="both"/>
        <w:ind w:firstLine="8"/>
        <w:spacing w:after="0" w:line="288" w:lineRule="auto"/>
        <w:tabs>
          <w:tab w:leader="none" w:pos="245" w:val="left"/>
        </w:tabs>
        <w:numPr>
          <w:ilvl w:val="0"/>
          <w:numId w:val="591"/>
        </w:numPr>
        <w:rPr>
          <w:rFonts w:ascii="Arial" w:cs="Arial" w:eastAsia="Arial" w:hAnsi="Arial"/>
          <w:sz w:val="16"/>
          <w:szCs w:val="16"/>
          <w:color w:val="auto"/>
        </w:rPr>
      </w:pPr>
      <w:r>
        <w:rPr>
          <w:rFonts w:ascii="Arial" w:cs="Arial" w:eastAsia="Arial" w:hAnsi="Arial"/>
          <w:sz w:val="16"/>
          <w:szCs w:val="16"/>
          <w:color w:val="auto"/>
        </w:rPr>
        <w:t>the Borrower that requests such Letter of Credit or otherwise is the applicant therefor and shall be the “</w:t>
      </w:r>
      <w:r>
        <w:rPr>
          <w:rFonts w:ascii="Arial" w:cs="Arial" w:eastAsia="Arial" w:hAnsi="Arial"/>
          <w:sz w:val="16"/>
          <w:szCs w:val="16"/>
          <w:u w:val="single" w:color="auto"/>
          <w:color w:val="auto"/>
        </w:rPr>
        <w:t>Requesting Borrower</w:t>
      </w:r>
      <w:r>
        <w:rPr>
          <w:rFonts w:ascii="Arial" w:cs="Arial" w:eastAsia="Arial" w:hAnsi="Arial"/>
          <w:sz w:val="16"/>
          <w:szCs w:val="16"/>
          <w:color w:val="auto"/>
        </w:rPr>
        <w:t>” and all Borrowers other than the Requesting Borrower shall be the “</w:t>
      </w:r>
      <w:r>
        <w:rPr>
          <w:rFonts w:ascii="Arial" w:cs="Arial" w:eastAsia="Arial" w:hAnsi="Arial"/>
          <w:sz w:val="16"/>
          <w:szCs w:val="16"/>
          <w:u w:val="single" w:color="auto"/>
          <w:color w:val="auto"/>
        </w:rPr>
        <w:t>Other Borrowers”,</w:t>
      </w:r>
      <w:r>
        <w:rPr>
          <w:rFonts w:ascii="Arial" w:cs="Arial" w:eastAsia="Arial" w:hAnsi="Arial"/>
          <w:sz w:val="16"/>
          <w:szCs w:val="16"/>
          <w:color w:val="auto"/>
        </w:rPr>
        <w:t xml:space="preserve"> (b) the Requesting Borrower shall be severally (and not jointly) liable under this Agreement for the reimbursement, cash collateral and other obligations (including fees and interest) associated with such Letter of Credit, and (c) no Other Borrower shall be a co-debtor with the Requesting Borrower with respect to such Letter of Credit or be in any way primarily liable under this Agreement for such Letter of Credit or the reimbursement, cash collateral or other obligations (including fees and interest) associated with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forgoing limitations shall not affect (i) any obligations of any such Other Borrower with respect to any other Letters of Credit (and the related reimbursement and other obligations with respect thereto) for which it is a “Requesting Borrower” or (ii) any obligations of any such Other Borrower under the Affiliate Guaranty.</w:t>
      </w:r>
    </w:p>
    <w:p>
      <w:pPr>
        <w:spacing w:after="0" w:line="168" w:lineRule="exact"/>
        <w:rPr>
          <w:rFonts w:ascii="Arial" w:cs="Arial" w:eastAsia="Arial" w:hAnsi="Arial"/>
          <w:sz w:val="16"/>
          <w:szCs w:val="16"/>
          <w:color w:val="auto"/>
        </w:rPr>
      </w:pPr>
    </w:p>
    <w:p>
      <w:pPr>
        <w:jc w:val="both"/>
        <w:ind w:firstLine="1305"/>
        <w:spacing w:after="0" w:line="287" w:lineRule="auto"/>
        <w:tabs>
          <w:tab w:leader="none" w:pos="2235" w:val="left"/>
        </w:tabs>
        <w:numPr>
          <w:ilvl w:val="1"/>
          <w:numId w:val="591"/>
        </w:numPr>
        <w:rPr>
          <w:rFonts w:ascii="Arial" w:cs="Arial" w:eastAsia="Arial" w:hAnsi="Arial"/>
          <w:sz w:val="16"/>
          <w:szCs w:val="16"/>
          <w:color w:val="auto"/>
        </w:rPr>
      </w:pPr>
      <w:r>
        <w:rPr>
          <w:rFonts w:ascii="Arial" w:cs="Arial" w:eastAsia="Arial" w:hAnsi="Arial"/>
          <w:sz w:val="16"/>
          <w:szCs w:val="16"/>
          <w:color w:val="auto"/>
        </w:rPr>
        <w:t>Notwithstanding any payment or payments made by a Borrower (a “</w:t>
      </w:r>
      <w:r>
        <w:rPr>
          <w:rFonts w:ascii="Arial" w:cs="Arial" w:eastAsia="Arial" w:hAnsi="Arial"/>
          <w:sz w:val="16"/>
          <w:szCs w:val="16"/>
          <w:u w:val="single" w:color="auto"/>
          <w:color w:val="auto"/>
        </w:rPr>
        <w:t>Paying Borrower</w:t>
      </w:r>
      <w:r>
        <w:rPr>
          <w:rFonts w:ascii="Arial" w:cs="Arial" w:eastAsia="Arial" w:hAnsi="Arial"/>
          <w:sz w:val="16"/>
          <w:szCs w:val="16"/>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169"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Determination of Exchange Rates; Cash Collateralization as a Result of Currency Fluctuations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9" w:lineRule="auto"/>
        <w:tabs>
          <w:tab w:leader="none" w:pos="2590" w:val="left"/>
        </w:tabs>
        <w:numPr>
          <w:ilvl w:val="0"/>
          <w:numId w:val="592"/>
        </w:numPr>
        <w:rPr>
          <w:rFonts w:ascii="Arial" w:cs="Arial" w:eastAsia="Arial" w:hAnsi="Arial"/>
          <w:sz w:val="17"/>
          <w:szCs w:val="17"/>
          <w:color w:val="auto"/>
        </w:rPr>
      </w:pPr>
      <w:r>
        <w:rPr>
          <w:rFonts w:ascii="Arial" w:cs="Arial" w:eastAsia="Arial" w:hAnsi="Arial"/>
          <w:sz w:val="17"/>
          <w:szCs w:val="17"/>
          <w:color w:val="auto"/>
        </w:rPr>
        <w:t>The Administrative Agent shall determine the Exchange Rates (in accordance with the definition thereof) as of each Revaluation Date to be used for calculating Dollar Equivalent amounts in respect of the amounts available for drawing under outstanding Letters of Credit denominated in Alternative Currencies. Such Exchange Rates shall become effective as of such Revaluation Date and shall be the Exchange Rates employed in converting any amounts between the applicable Alternative Currencies until the next Revaluation Date to occur.</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238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If as a result of fluctuations in Exchange Rates (which shall be calculated in accordance with the definition thereof by the Administrative Agent on each Revaluation Date) the Administrative Agent notifies the Borrowers in writing that the Total LC Exposure exceeds 105% of the aggregate Commitments, the Borrowers shall, within two Business Days following receipt of such notice, deliver to the Administrative Agent cash collateral in an amount equal to the remaining excess after giving effect to such prepayment.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9" w:name="page530"/>
    <w:bookmarkEnd w:id="529"/>
    <w:p>
      <w:pPr>
        <w:ind w:left="660"/>
        <w:spacing w:after="0"/>
        <w:tabs>
          <w:tab w:leader="none" w:pos="274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32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Notwithstanding any provision of any Loan Document to the contrary, if any Lender becomes a Defaulting Lender, then the following provisions shall apply for so long as such Lender is a Defaulting Lender:</w:t>
      </w:r>
    </w:p>
    <w:p>
      <w:pPr>
        <w:spacing w:after="0" w:line="170" w:lineRule="exact"/>
        <w:rPr>
          <w:rFonts w:ascii="Arial" w:cs="Arial" w:eastAsia="Arial" w:hAnsi="Arial"/>
          <w:sz w:val="18"/>
          <w:szCs w:val="18"/>
          <w:color w:val="auto"/>
        </w:rPr>
      </w:pPr>
    </w:p>
    <w:p>
      <w:pPr>
        <w:ind w:left="2960" w:hanging="1007"/>
        <w:spacing w:after="0"/>
        <w:tabs>
          <w:tab w:leader="none" w:pos="2960" w:val="left"/>
        </w:tabs>
        <w:numPr>
          <w:ilvl w:val="1"/>
          <w:numId w:val="593"/>
        </w:numPr>
        <w:rPr>
          <w:rFonts w:ascii="Arial" w:cs="Arial" w:eastAsia="Arial" w:hAnsi="Arial"/>
          <w:sz w:val="16"/>
          <w:szCs w:val="16"/>
          <w:color w:val="auto"/>
        </w:rPr>
      </w:pPr>
      <w:r>
        <w:rPr>
          <w:rFonts w:ascii="Arial" w:cs="Arial" w:eastAsia="Arial" w:hAnsi="Arial"/>
          <w:sz w:val="16"/>
          <w:szCs w:val="16"/>
          <w:color w:val="auto"/>
        </w:rPr>
        <w:t>facility fees shall cease to accrue on the unfunded portion of the Commitment of such Defaulting Lender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660" w:firstLine="1293"/>
        <w:spacing w:after="0" w:line="279" w:lineRule="auto"/>
        <w:tabs>
          <w:tab w:leader="none" w:pos="3090" w:val="left"/>
        </w:tabs>
        <w:numPr>
          <w:ilvl w:val="1"/>
          <w:numId w:val="593"/>
        </w:numPr>
        <w:rPr>
          <w:rFonts w:ascii="Arial" w:cs="Arial" w:eastAsia="Arial" w:hAnsi="Arial"/>
          <w:sz w:val="17"/>
          <w:szCs w:val="17"/>
          <w:color w:val="auto"/>
        </w:rPr>
      </w:pPr>
      <w:r>
        <w:rPr>
          <w:rFonts w:ascii="Arial" w:cs="Arial" w:eastAsia="Arial" w:hAnsi="Arial"/>
          <w:sz w:val="17"/>
          <w:szCs w:val="17"/>
          <w:color w:val="auto"/>
        </w:rPr>
        <w:t xml:space="preserve">the Commitment and LC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to the vote of a Defaulting Lender in the case of an amendment, waiver or other modification described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for which such Defaulting Lender’s consent is expressly required;</w:t>
      </w:r>
    </w:p>
    <w:p>
      <w:pPr>
        <w:spacing w:after="0" w:line="171" w:lineRule="exact"/>
        <w:rPr>
          <w:rFonts w:ascii="Arial" w:cs="Arial" w:eastAsia="Arial" w:hAnsi="Arial"/>
          <w:sz w:val="17"/>
          <w:szCs w:val="17"/>
          <w:color w:val="auto"/>
        </w:rPr>
      </w:pPr>
    </w:p>
    <w:p>
      <w:pPr>
        <w:ind w:left="2760" w:hanging="807"/>
        <w:spacing w:after="0"/>
        <w:tabs>
          <w:tab w:leader="none" w:pos="276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becomes a Defaulting Lender, then:</w:t>
      </w:r>
    </w:p>
    <w:p>
      <w:pPr>
        <w:spacing w:after="0" w:line="225" w:lineRule="exact"/>
        <w:rPr>
          <w:sz w:val="20"/>
          <w:szCs w:val="20"/>
          <w:color w:val="auto"/>
        </w:rPr>
      </w:pPr>
    </w:p>
    <w:p>
      <w:pPr>
        <w:jc w:val="both"/>
        <w:ind w:left="1300" w:firstLine="653"/>
        <w:spacing w:after="0" w:line="288" w:lineRule="auto"/>
        <w:tabs>
          <w:tab w:leader="none" w:pos="2905" w:val="left"/>
        </w:tabs>
        <w:numPr>
          <w:ilvl w:val="1"/>
          <w:numId w:val="594"/>
        </w:numPr>
        <w:rPr>
          <w:rFonts w:ascii="Arial" w:cs="Arial" w:eastAsia="Arial" w:hAnsi="Arial"/>
          <w:sz w:val="16"/>
          <w:szCs w:val="16"/>
          <w:color w:val="010000"/>
        </w:rPr>
      </w:pPr>
      <w:r>
        <w:rPr>
          <w:rFonts w:ascii="Arial" w:cs="Arial" w:eastAsia="Arial" w:hAnsi="Arial"/>
          <w:sz w:val="16"/>
          <w:szCs w:val="16"/>
          <w:color w:val="auto"/>
        </w:rPr>
        <w:t>all or any part of LC Exposure of such Defaulting Lender shall be automatically reallocated (effective as of the date such Lender becomes a Defaulting Lender) among the non-Defaulting Lenders in accordance with their respective Applicable Percentages, but only to the extent that (x) each non-Defaulting Lender’s LC Exposure does not exceed the Commitment of such non-Defaulting Lender,</w:t>
      </w:r>
    </w:p>
    <w:p>
      <w:pPr>
        <w:ind w:left="1300" w:right="20" w:firstLine="5"/>
        <w:spacing w:after="0" w:line="261" w:lineRule="auto"/>
        <w:tabs>
          <w:tab w:leader="none" w:pos="156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sum of all non-Defaulting Lenders’ LC Exposure does not exceed the total of all non-Defaulting Lenders’ Commitments and (z) no Event of Default has occurred and is continuing;</w:t>
      </w:r>
    </w:p>
    <w:p>
      <w:pPr>
        <w:spacing w:after="0" w:line="183" w:lineRule="exact"/>
        <w:rPr>
          <w:rFonts w:ascii="Arial" w:cs="Arial" w:eastAsia="Arial" w:hAnsi="Arial"/>
          <w:sz w:val="18"/>
          <w:szCs w:val="18"/>
          <w:color w:val="auto"/>
        </w:rPr>
      </w:pPr>
    </w:p>
    <w:p>
      <w:pPr>
        <w:jc w:val="both"/>
        <w:ind w:left="1300" w:firstLine="653"/>
        <w:spacing w:after="0" w:line="273" w:lineRule="auto"/>
        <w:tabs>
          <w:tab w:leader="none" w:pos="2886" w:val="left"/>
        </w:tabs>
        <w:numPr>
          <w:ilvl w:val="1"/>
          <w:numId w:val="595"/>
        </w:numPr>
        <w:rPr>
          <w:rFonts w:ascii="Arial" w:cs="Arial" w:eastAsia="Arial" w:hAnsi="Arial"/>
          <w:sz w:val="17"/>
          <w:szCs w:val="17"/>
          <w:color w:val="010000"/>
        </w:rPr>
      </w:pPr>
      <w:r>
        <w:rPr>
          <w:rFonts w:ascii="Arial" w:cs="Arial" w:eastAsia="Arial" w:hAnsi="Arial"/>
          <w:sz w:val="17"/>
          <w:szCs w:val="17"/>
          <w:color w:val="auto"/>
        </w:rPr>
        <w:t xml:space="preserve">if the reallocation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cannot, or can only partially, be effected, the Borrowers shall, 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in accordance with the procedures set forth in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7"/>
          <w:szCs w:val="17"/>
          <w:u w:val="single" w:color="auto"/>
          <w:color w:val="auto"/>
        </w:rPr>
        <w:t>Section 3.01(k)</w:t>
      </w:r>
      <w:r>
        <w:rPr>
          <w:rFonts w:ascii="Arial" w:cs="Arial" w:eastAsia="Arial" w:hAnsi="Arial"/>
          <w:sz w:val="17"/>
          <w:szCs w:val="17"/>
          <w:color w:val="auto"/>
        </w:rPr>
        <w:t>) for so long as such LC Exposure is outstanding;</w:t>
      </w:r>
    </w:p>
    <w:p>
      <w:pPr>
        <w:spacing w:after="0" w:line="178" w:lineRule="exact"/>
        <w:rPr>
          <w:rFonts w:ascii="Arial" w:cs="Arial" w:eastAsia="Arial" w:hAnsi="Arial"/>
          <w:sz w:val="17"/>
          <w:szCs w:val="17"/>
          <w:color w:val="010000"/>
        </w:rPr>
      </w:pPr>
    </w:p>
    <w:p>
      <w:pPr>
        <w:jc w:val="both"/>
        <w:ind w:left="1300" w:firstLine="653"/>
        <w:spacing w:after="0" w:line="286" w:lineRule="auto"/>
        <w:tabs>
          <w:tab w:leader="none" w:pos="2832" w:val="left"/>
        </w:tabs>
        <w:numPr>
          <w:ilvl w:val="1"/>
          <w:numId w:val="595"/>
        </w:numPr>
        <w:rPr>
          <w:rFonts w:ascii="Arial" w:cs="Arial" w:eastAsia="Arial" w:hAnsi="Arial"/>
          <w:sz w:val="17"/>
          <w:szCs w:val="17"/>
          <w:color w:val="010000"/>
        </w:rPr>
      </w:pPr>
      <w:r>
        <w:rPr>
          <w:rFonts w:ascii="Arial" w:cs="Arial" w:eastAsia="Arial" w:hAnsi="Arial"/>
          <w:sz w:val="17"/>
          <w:szCs w:val="17"/>
          <w:color w:val="auto"/>
        </w:rPr>
        <w:t xml:space="preserve">if the Borrowers cash collateralize any portion of such Defaulting Lender’s LC Exposure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the Borrowers shall not be required to pay any fees to such Defaulting Lender pursuant to </w:t>
      </w:r>
      <w:r>
        <w:rPr>
          <w:rFonts w:ascii="Arial" w:cs="Arial" w:eastAsia="Arial" w:hAnsi="Arial"/>
          <w:sz w:val="17"/>
          <w:szCs w:val="17"/>
          <w:u w:val="single" w:color="auto"/>
          <w:color w:val="auto"/>
        </w:rPr>
        <w:t>Section 2.04(b)(i)</w:t>
      </w:r>
      <w:r>
        <w:rPr>
          <w:rFonts w:ascii="Arial" w:cs="Arial" w:eastAsia="Arial" w:hAnsi="Arial"/>
          <w:sz w:val="17"/>
          <w:szCs w:val="17"/>
          <w:color w:val="auto"/>
        </w:rPr>
        <w:t xml:space="preserve"> with respect to such Defaulting Lender’s LC Exposure during the period such Defaulting Lender’s LC Exposure is cash collateralized;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0" w:name="page531"/>
    <w:bookmarkEnd w:id="530"/>
    <w:p>
      <w:pPr>
        <w:jc w:val="both"/>
        <w:ind w:left="1300" w:firstLine="653"/>
        <w:spacing w:after="0" w:line="264" w:lineRule="auto"/>
        <w:tabs>
          <w:tab w:leader="none" w:pos="2810" w:val="left"/>
        </w:tabs>
        <w:numPr>
          <w:ilvl w:val="0"/>
          <w:numId w:val="596"/>
        </w:numPr>
        <w:rPr>
          <w:rFonts w:ascii="Arial" w:cs="Arial" w:eastAsia="Arial" w:hAnsi="Arial"/>
          <w:sz w:val="18"/>
          <w:szCs w:val="18"/>
          <w:color w:val="010000"/>
        </w:rPr>
      </w:pPr>
      <w:r>
        <w:rPr>
          <w:rFonts w:ascii="Arial" w:cs="Arial" w:eastAsia="Arial" w:hAnsi="Arial"/>
          <w:sz w:val="18"/>
          <w:szCs w:val="18"/>
          <w:color w:val="auto"/>
        </w:rPr>
        <w:t xml:space="preserve">if the LC Exposure of the non-Defaulting Lenders is reallocated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then the Letter of Credit participation fees payable to the Lenders pursuant to </w:t>
      </w:r>
      <w:r>
        <w:rPr>
          <w:rFonts w:ascii="Arial" w:cs="Arial" w:eastAsia="Arial" w:hAnsi="Arial"/>
          <w:sz w:val="18"/>
          <w:szCs w:val="18"/>
          <w:u w:val="single" w:color="auto"/>
          <w:color w:val="auto"/>
        </w:rPr>
        <w:t>Section 2.04(b)(i)</w:t>
      </w:r>
      <w:r>
        <w:rPr>
          <w:rFonts w:ascii="Arial" w:cs="Arial" w:eastAsia="Arial" w:hAnsi="Arial"/>
          <w:sz w:val="18"/>
          <w:szCs w:val="18"/>
          <w:color w:val="auto"/>
        </w:rPr>
        <w:t xml:space="preserve"> shall be adjusted in accordance with such non-Defaulting Lenders’ Applicable Percentages after giving effect to such reallocation; and</w:t>
      </w:r>
    </w:p>
    <w:p>
      <w:pPr>
        <w:spacing w:after="0" w:line="181" w:lineRule="exact"/>
        <w:rPr>
          <w:rFonts w:ascii="Arial" w:cs="Arial" w:eastAsia="Arial" w:hAnsi="Arial"/>
          <w:sz w:val="18"/>
          <w:szCs w:val="18"/>
          <w:color w:val="010000"/>
        </w:rPr>
      </w:pPr>
    </w:p>
    <w:p>
      <w:pPr>
        <w:jc w:val="both"/>
        <w:ind w:left="1300" w:firstLine="653"/>
        <w:spacing w:after="0" w:line="272" w:lineRule="auto"/>
        <w:tabs>
          <w:tab w:leader="none" w:pos="2835" w:val="left"/>
        </w:tabs>
        <w:numPr>
          <w:ilvl w:val="0"/>
          <w:numId w:val="596"/>
        </w:numPr>
        <w:rPr>
          <w:rFonts w:ascii="Arial" w:cs="Arial" w:eastAsia="Arial" w:hAnsi="Arial"/>
          <w:sz w:val="17"/>
          <w:szCs w:val="17"/>
          <w:color w:val="010000"/>
        </w:rPr>
      </w:pPr>
      <w:r>
        <w:rPr>
          <w:rFonts w:ascii="Arial" w:cs="Arial" w:eastAsia="Arial" w:hAnsi="Arial"/>
          <w:sz w:val="17"/>
          <w:szCs w:val="17"/>
          <w:color w:val="auto"/>
        </w:rPr>
        <w:t xml:space="preserve">if all or any portion of such Defaulting Lender’s LC Exposure is neither reallocated nor cash collateralized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then, without prejudice to any rights or remedies of any Issuing Bank or any other Lender hereunder, all facility fees that otherwise would have been payable to such Defaulting Lender under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Arial" w:cs="Arial" w:eastAsia="Arial" w:hAnsi="Arial"/>
          <w:sz w:val="17"/>
          <w:szCs w:val="17"/>
          <w:u w:val="single" w:color="auto"/>
          <w:color w:val="auto"/>
        </w:rPr>
        <w:t>Section 2.04(b)(i)</w:t>
      </w:r>
      <w:r>
        <w:rPr>
          <w:rFonts w:ascii="Arial" w:cs="Arial" w:eastAsia="Arial" w:hAnsi="Arial"/>
          <w:sz w:val="17"/>
          <w:szCs w:val="17"/>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and</w:t>
      </w:r>
    </w:p>
    <w:p>
      <w:pPr>
        <w:spacing w:after="0" w:line="178" w:lineRule="exact"/>
        <w:rPr>
          <w:sz w:val="20"/>
          <w:szCs w:val="20"/>
          <w:color w:val="auto"/>
        </w:rPr>
      </w:pPr>
    </w:p>
    <w:p>
      <w:pPr>
        <w:jc w:val="both"/>
        <w:ind w:left="660" w:firstLine="1293"/>
        <w:spacing w:after="0" w:line="276" w:lineRule="auto"/>
        <w:tabs>
          <w:tab w:leader="none" w:pos="2842" w:val="left"/>
        </w:tabs>
        <w:numPr>
          <w:ilvl w:val="1"/>
          <w:numId w:val="597"/>
        </w:numPr>
        <w:rPr>
          <w:rFonts w:ascii="Arial" w:cs="Arial" w:eastAsia="Arial" w:hAnsi="Arial"/>
          <w:sz w:val="17"/>
          <w:szCs w:val="17"/>
          <w:color w:val="auto"/>
        </w:rPr>
      </w:pPr>
      <w:r>
        <w:rPr>
          <w:rFonts w:ascii="Arial" w:cs="Arial" w:eastAsia="Arial" w:hAnsi="Arial"/>
          <w:sz w:val="17"/>
          <w:szCs w:val="17"/>
          <w:color w:val="auto"/>
        </w:rPr>
        <w:t xml:space="preserve">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Arial" w:cs="Arial" w:eastAsia="Arial" w:hAnsi="Arial"/>
          <w:sz w:val="17"/>
          <w:szCs w:val="17"/>
          <w:u w:val="single" w:color="auto"/>
          <w:color w:val="auto"/>
        </w:rPr>
        <w:t>Section 2.10(a)(iii)(B)</w:t>
      </w:r>
      <w:r>
        <w:rPr>
          <w:rFonts w:ascii="Arial" w:cs="Arial" w:eastAsia="Arial" w:hAnsi="Arial"/>
          <w:sz w:val="17"/>
          <w:szCs w:val="17"/>
          <w:color w:val="auto"/>
        </w:rPr>
        <w:t xml:space="preserve">, and participating interests in any newly issued or increased Letter of Credit shall be allocated among non-Defaulting Lenders in a manner consistent with </w:t>
      </w:r>
      <w:r>
        <w:rPr>
          <w:rFonts w:ascii="Arial" w:cs="Arial" w:eastAsia="Arial" w:hAnsi="Arial"/>
          <w:sz w:val="17"/>
          <w:szCs w:val="17"/>
          <w:u w:val="single" w:color="auto"/>
          <w:color w:val="auto"/>
        </w:rPr>
        <w:t>Section 2.10(a)(iii)(A)</w:t>
      </w:r>
      <w:r>
        <w:rPr>
          <w:rFonts w:ascii="Arial" w:cs="Arial" w:eastAsia="Arial" w:hAnsi="Arial"/>
          <w:sz w:val="17"/>
          <w:szCs w:val="17"/>
          <w:color w:val="auto"/>
        </w:rPr>
        <w:t xml:space="preserve"> (and such Defaulting Lender shall not participate therein);</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2438" w:val="left"/>
        </w:tabs>
        <w:numPr>
          <w:ilvl w:val="0"/>
          <w:numId w:val="598"/>
        </w:numPr>
        <w:rPr>
          <w:rFonts w:ascii="Arial" w:cs="Arial" w:eastAsia="Arial" w:hAnsi="Arial"/>
          <w:sz w:val="18"/>
          <w:szCs w:val="18"/>
          <w:color w:val="auto"/>
        </w:rPr>
      </w:pPr>
      <w:r>
        <w:rPr>
          <w:rFonts w:ascii="Arial" w:cs="Arial" w:eastAsia="Arial" w:hAnsi="Arial"/>
          <w:sz w:val="18"/>
          <w:szCs w:val="18"/>
          <w:color w:val="auto"/>
        </w:rPr>
        <w:t xml:space="preserve">The rights and remedies against, and with respect to, a Defaulting Lender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2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In the event that the Administrative Agent, the Borrowers, and the Issuing Banks agree in writing that a Defaulting Lender has adequately remedied all matters that caused such Lender to be a Defaulting Lender, then the LC Exposures of the Lenders shall be readjusted to reflect the inclusion of such Lender’s Commitment.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1" w:name="page532"/>
    <w:bookmarkEnd w:id="531"/>
    <w:p>
      <w:pPr>
        <w:ind w:left="660"/>
        <w:spacing w:after="0"/>
        <w:tabs>
          <w:tab w:leader="none" w:pos="28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3" w:lineRule="auto"/>
        <w:tabs>
          <w:tab w:leader="none" w:pos="2549" w:val="left"/>
        </w:tabs>
        <w:numPr>
          <w:ilvl w:val="0"/>
          <w:numId w:val="599"/>
        </w:numPr>
        <w:rPr>
          <w:rFonts w:ascii="Arial" w:cs="Arial" w:eastAsia="Arial" w:hAnsi="Arial"/>
          <w:sz w:val="16"/>
          <w:szCs w:val="16"/>
          <w:color w:val="auto"/>
        </w:rPr>
      </w:pPr>
      <w:r>
        <w:rPr>
          <w:rFonts w:ascii="Arial" w:cs="Arial" w:eastAsia="Arial" w:hAnsi="Arial"/>
          <w:sz w:val="16"/>
          <w:szCs w:val="16"/>
          <w:u w:val="single" w:color="auto"/>
          <w:color w:val="auto"/>
        </w:rPr>
        <w:t>Borrowers’ Request</w:t>
      </w:r>
      <w:r>
        <w:rPr>
          <w:rFonts w:ascii="Arial" w:cs="Arial" w:eastAsia="Arial" w:hAnsi="Arial"/>
          <w:sz w:val="16"/>
          <w:szCs w:val="16"/>
          <w:color w:val="auto"/>
        </w:rPr>
        <w:t>. Subject to the terms and conditions set forth herein, the Borrowers may by written notice to the Administrative Agent, and with the consent of each Issuing Bank, elect to request at any time and from time to time (but not more than twice in any calendar year) prior to the Maturity Date an increase to the aggregate Commitments (each such increase,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and each additional commitment provided pursuant to a Commitment Increase, an “</w:t>
      </w:r>
      <w:r>
        <w:rPr>
          <w:rFonts w:ascii="Arial" w:cs="Arial" w:eastAsia="Arial" w:hAnsi="Arial"/>
          <w:sz w:val="16"/>
          <w:szCs w:val="16"/>
          <w:u w:val="single" w:color="auto"/>
          <w:color w:val="auto"/>
        </w:rPr>
        <w:t>Incremental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(x) all Incremental Commitments provided after the Effective Date under this Agreement shall not exceed $25,000,000 (such amount, the “</w:t>
      </w:r>
      <w:r>
        <w:rPr>
          <w:rFonts w:ascii="Arial" w:cs="Arial" w:eastAsia="Arial" w:hAnsi="Arial"/>
          <w:sz w:val="16"/>
          <w:szCs w:val="16"/>
          <w:u w:val="single" w:color="auto"/>
          <w:color w:val="auto"/>
        </w:rPr>
        <w:t>Incremental Commitment Cap</w:t>
      </w:r>
      <w:r>
        <w:rPr>
          <w:rFonts w:ascii="Arial" w:cs="Arial" w:eastAsia="Arial" w:hAnsi="Arial"/>
          <w:sz w:val="16"/>
          <w:szCs w:val="16"/>
          <w:color w:val="auto"/>
        </w:rPr>
        <w:t>”). Each such notice shall specify (i) the date on which the Borrowers propose that the applicable Incremental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Commitments be allocated and the amounts of such allocations; provided that (A) any existing Lender approached to provide an Incremental Commitment may elect or decline, in its sole discretion, to provide such Incremental Commitment (any existing Lender electing to provide an Incremental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(B) any Person approached to provide an Incremental Commitment that is not already a Lender shall meet the requirements to be an assignee under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(subject to such consents, if any, as may be required under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and shall deliver all applicable forms and documents required by </w:t>
      </w:r>
      <w:r>
        <w:rPr>
          <w:rFonts w:ascii="Arial" w:cs="Arial" w:eastAsia="Arial" w:hAnsi="Arial"/>
          <w:sz w:val="16"/>
          <w:szCs w:val="16"/>
          <w:u w:val="single" w:color="auto"/>
          <w:color w:val="auto"/>
        </w:rPr>
        <w:t>clauses (D)</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11.05(b)(ii)</w:t>
      </w:r>
      <w:r>
        <w:rPr>
          <w:rFonts w:ascii="Arial" w:cs="Arial" w:eastAsia="Arial" w:hAnsi="Arial"/>
          <w:sz w:val="18"/>
          <w:szCs w:val="18"/>
          <w:color w:val="auto"/>
        </w:rPr>
        <w:t xml:space="preserve"> (any such Person agreeing to provide all or any portion of an Incremental Commitment that is not already a Lender, an “</w:t>
      </w:r>
      <w:r>
        <w:rPr>
          <w:rFonts w:ascii="Arial" w:cs="Arial" w:eastAsia="Arial" w:hAnsi="Arial"/>
          <w:sz w:val="18"/>
          <w:szCs w:val="18"/>
          <w:u w:val="single" w:color="auto"/>
          <w:color w:val="auto"/>
        </w:rPr>
        <w:t>Additional Lender</w:t>
      </w:r>
      <w:r>
        <w:rPr>
          <w:rFonts w:ascii="Arial" w:cs="Arial" w:eastAsia="Arial" w:hAnsi="Arial"/>
          <w:sz w:val="18"/>
          <w:szCs w:val="18"/>
          <w:color w:val="auto"/>
        </w:rPr>
        <w:t>”), (C) if any Increasing Lender is providing an Incremental Commitment, then the Borrowers and such Increasing Lender shall execute an Increasing Lender Supplement, and (D) if any Additional Lender is providing an Incremental Commitment, then the Borrowers and such Additional Lender shall execute an Additional Lender Supplement. Each Commitment Increase shall be in an aggregate amount of $5,000,000 or any whole multiple of $1,000,000 in excess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 Commitment Increase may be less than $5,000,000 if such amount represents all remaining availability under the Incremental Commitment Cap).</w:t>
      </w:r>
    </w:p>
    <w:p>
      <w:pPr>
        <w:spacing w:after="0" w:line="194" w:lineRule="exact"/>
        <w:rPr>
          <w:rFonts w:ascii="Arial" w:cs="Arial" w:eastAsia="Arial" w:hAnsi="Arial"/>
          <w:sz w:val="16"/>
          <w:szCs w:val="16"/>
          <w:color w:val="auto"/>
        </w:rPr>
      </w:pPr>
    </w:p>
    <w:p>
      <w:pPr>
        <w:jc w:val="both"/>
        <w:ind w:firstLine="1305"/>
        <w:spacing w:after="0" w:line="264" w:lineRule="auto"/>
        <w:tabs>
          <w:tab w:leader="none" w:pos="2424"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Each Commitment Increase shall become effective on the proposed effective date set forth in the Borrowers’ request for a Commitment Increase or such later date as the Administrative Agent and the Borrowers agree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which in any event shall be on or after the date on which the Administrative Agent shall have received:</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3107" w:val="left"/>
        </w:tabs>
        <w:numPr>
          <w:ilvl w:val="1"/>
          <w:numId w:val="599"/>
        </w:numPr>
        <w:rPr>
          <w:rFonts w:ascii="Arial" w:cs="Arial" w:eastAsia="Arial" w:hAnsi="Arial"/>
          <w:sz w:val="18"/>
          <w:szCs w:val="18"/>
          <w:color w:val="auto"/>
        </w:rPr>
      </w:pPr>
      <w:r>
        <w:rPr>
          <w:rFonts w:ascii="Arial" w:cs="Arial" w:eastAsia="Arial" w:hAnsi="Arial"/>
          <w:sz w:val="18"/>
          <w:szCs w:val="18"/>
          <w:color w:val="auto"/>
        </w:rPr>
        <w:t>an Additional Lender Supplement for each Additional Lender participating in such Commitment Increase and an Increasing Lender Supplement for each Increasing Lender participating in such Commitment Increase, in each case duly executed by all parties thereto;</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860" w:val="left"/>
        </w:tabs>
        <w:numPr>
          <w:ilvl w:val="1"/>
          <w:numId w:val="599"/>
        </w:numPr>
        <w:rPr>
          <w:rFonts w:ascii="Arial" w:cs="Arial" w:eastAsia="Arial" w:hAnsi="Arial"/>
          <w:sz w:val="18"/>
          <w:szCs w:val="18"/>
          <w:color w:val="auto"/>
        </w:rPr>
      </w:pPr>
      <w:r>
        <w:rPr>
          <w:rFonts w:ascii="Arial" w:cs="Arial" w:eastAsia="Arial" w:hAnsi="Arial"/>
          <w:sz w:val="18"/>
          <w:szCs w:val="18"/>
          <w:color w:val="auto"/>
        </w:rPr>
        <w:t>such documents and opinions consistent with those delivered on the Effective Date as to the organizational power and authority of the Borrowers to request Letters of Credit hereunder after giving effect to such Commitment Increase as the Administrative Agent may reasonably request;</w:t>
      </w:r>
    </w:p>
    <w:p>
      <w:pPr>
        <w:spacing w:after="0" w:line="181" w:lineRule="exact"/>
        <w:rPr>
          <w:rFonts w:ascii="Arial" w:cs="Arial" w:eastAsia="Arial" w:hAnsi="Arial"/>
          <w:sz w:val="18"/>
          <w:szCs w:val="18"/>
          <w:color w:val="auto"/>
        </w:rPr>
      </w:pPr>
    </w:p>
    <w:p>
      <w:pPr>
        <w:ind w:left="660" w:firstLine="1293"/>
        <w:spacing w:after="0" w:line="277" w:lineRule="auto"/>
        <w:tabs>
          <w:tab w:leader="none" w:pos="2861" w:val="left"/>
        </w:tabs>
        <w:numPr>
          <w:ilvl w:val="1"/>
          <w:numId w:val="599"/>
        </w:numPr>
        <w:rPr>
          <w:rFonts w:ascii="Arial" w:cs="Arial" w:eastAsia="Arial" w:hAnsi="Arial"/>
          <w:sz w:val="18"/>
          <w:szCs w:val="18"/>
          <w:color w:val="auto"/>
        </w:rPr>
      </w:pPr>
      <w:r>
        <w:rPr>
          <w:rFonts w:ascii="Arial" w:cs="Arial" w:eastAsia="Arial" w:hAnsi="Arial"/>
          <w:sz w:val="18"/>
          <w:szCs w:val="18"/>
          <w:color w:val="auto"/>
        </w:rPr>
        <w:t>such evidence of appropriate corporate or other organizational authorization on the part of the Borrowers, Parent and the other Obligors with respect to such Commitment Increase as the Administrative Agent may reasonably request;</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855" w:val="left"/>
        </w:tabs>
        <w:numPr>
          <w:ilvl w:val="1"/>
          <w:numId w:val="599"/>
        </w:numPr>
        <w:rPr>
          <w:rFonts w:ascii="Arial" w:cs="Arial" w:eastAsia="Arial" w:hAnsi="Arial"/>
          <w:sz w:val="18"/>
          <w:szCs w:val="18"/>
          <w:color w:val="auto"/>
        </w:rPr>
      </w:pPr>
      <w:r>
        <w:rPr>
          <w:rFonts w:ascii="Arial" w:cs="Arial" w:eastAsia="Arial" w:hAnsi="Arial"/>
          <w:sz w:val="18"/>
          <w:szCs w:val="18"/>
          <w:color w:val="auto"/>
        </w:rPr>
        <w:t>if requested by the Administrative Agent, an opinion or opinions, in form and substance reasonably satisfactory to the Administrative Agent, from counsel to the Borrowers and the Obligors reasonably satisfactory to the Administrative Agent, covering such matters relating to such Commitment Increase as the Administrative Agent may reasonably request;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2" w:name="page533"/>
    <w:bookmarkEnd w:id="532"/>
    <w:p>
      <w:pPr>
        <w:jc w:val="both"/>
        <w:ind w:left="660" w:firstLine="1293"/>
        <w:spacing w:after="0" w:line="254" w:lineRule="auto"/>
        <w:tabs>
          <w:tab w:leader="none" w:pos="331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a certificate of a Responsible Officer of Parent, dated such Increase Effective Date, certifying that (A) the representations and warranties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has occurred and is continuing on such Increase Effective Date; and</w:t>
      </w:r>
    </w:p>
    <w:p>
      <w:pPr>
        <w:spacing w:after="0" w:line="192" w:lineRule="exact"/>
        <w:rPr>
          <w:rFonts w:ascii="Arial" w:cs="Arial" w:eastAsia="Arial" w:hAnsi="Arial"/>
          <w:sz w:val="18"/>
          <w:szCs w:val="18"/>
          <w:color w:val="auto"/>
        </w:rPr>
      </w:pPr>
    </w:p>
    <w:p>
      <w:pPr>
        <w:jc w:val="both"/>
        <w:ind w:left="660" w:firstLine="1293"/>
        <w:spacing w:after="0" w:line="264" w:lineRule="auto"/>
        <w:tabs>
          <w:tab w:leader="none" w:pos="2896"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other customary closing certificates and documentation (similar to the documentation required to be delivered on the Effective Date under </w:t>
      </w:r>
      <w:r>
        <w:rPr>
          <w:rFonts w:ascii="Arial" w:cs="Arial" w:eastAsia="Arial" w:hAnsi="Arial"/>
          <w:sz w:val="18"/>
          <w:szCs w:val="18"/>
          <w:u w:val="single" w:color="auto"/>
          <w:color w:val="auto"/>
        </w:rPr>
        <w:t>Section 5.01</w:t>
      </w:r>
      <w:r>
        <w:rPr>
          <w:rFonts w:ascii="Arial" w:cs="Arial" w:eastAsia="Arial" w:hAnsi="Arial"/>
          <w:sz w:val="18"/>
          <w:szCs w:val="18"/>
          <w:color w:val="auto"/>
        </w:rPr>
        <w:t>, to the extent applicable) relating to such Commitment Increase as the Administrative Agent may reasonably request.</w:t>
      </w:r>
    </w:p>
    <w:p>
      <w:pPr>
        <w:spacing w:after="0" w:line="181" w:lineRule="exact"/>
        <w:rPr>
          <w:sz w:val="20"/>
          <w:szCs w:val="20"/>
          <w:color w:val="auto"/>
        </w:rPr>
      </w:pPr>
    </w:p>
    <w:p>
      <w:pPr>
        <w:jc w:val="both"/>
        <w:ind w:firstLine="1305"/>
        <w:spacing w:after="0" w:line="264" w:lineRule="auto"/>
        <w:tabs>
          <w:tab w:leader="none" w:pos="2239"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Equal and Ratable Benefit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Commitments established pursuant to this paragraph shall constitute Commitments under, and shall be entitled to all the benefits afforded by, this Agreement and the other Loan Documents, and shall, without limiting the foregoing, benefit equally and ratably from the Guaranty Agreements.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Activity Reports</w:t>
      </w:r>
      <w:r>
        <w:rPr>
          <w:rFonts w:ascii="Arial" w:cs="Arial" w:eastAsia="Arial" w:hAnsi="Arial"/>
          <w:sz w:val="18"/>
          <w:szCs w:val="18"/>
          <w:color w:val="auto"/>
        </w:rPr>
        <w:t xml:space="preserve">. Each Issuing Bank shall deliver a weekly report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or any other form reasonably acceptable to the Administrative Agent, to the Administrative Agent on the first Business Day of each week indicating the number of Letters of Credit issued or amended (including the face amount thereof) on each day during the prior week by such Issuing Bank.</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jc w:val="center"/>
              <w:ind w:left="790"/>
              <w:spacing w:after="0"/>
              <w:rPr>
                <w:sz w:val="20"/>
                <w:szCs w:val="20"/>
                <w:color w:val="auto"/>
              </w:rPr>
            </w:pPr>
            <w:r>
              <w:rPr>
                <w:rFonts w:ascii="Arial" w:cs="Arial" w:eastAsia="Arial" w:hAnsi="Arial"/>
                <w:sz w:val="18"/>
                <w:szCs w:val="18"/>
                <w:color w:val="010000"/>
              </w:rPr>
              <w:t>ARTICLE III</w:t>
            </w:r>
          </w:p>
        </w:tc>
      </w:tr>
      <w:tr>
        <w:trPr>
          <w:trHeight w:val="230"/>
        </w:trPr>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20" w:type="dxa"/>
            <w:vAlign w:val="bottom"/>
          </w:tcPr>
          <w:p>
            <w:pPr>
              <w:jc w:val="center"/>
              <w:ind w:left="790"/>
              <w:spacing w:after="0"/>
              <w:rPr>
                <w:sz w:val="20"/>
                <w:szCs w:val="20"/>
                <w:color w:val="auto"/>
              </w:rPr>
            </w:pPr>
            <w:r>
              <w:rPr>
                <w:rFonts w:ascii="Arial" w:cs="Arial" w:eastAsia="Arial" w:hAnsi="Arial"/>
                <w:sz w:val="18"/>
                <w:szCs w:val="18"/>
                <w:color w:val="auto"/>
                <w:w w:val="95"/>
              </w:rPr>
              <w:t>LETTERS OF CREDIT</w:t>
            </w:r>
          </w:p>
        </w:tc>
      </w:tr>
      <w:tr>
        <w:trPr>
          <w:trHeight w:val="392"/>
        </w:trPr>
        <w:tc>
          <w:tcPr>
            <w:tcW w:w="2100" w:type="dxa"/>
            <w:vAlign w:val="bottom"/>
          </w:tcPr>
          <w:p>
            <w:pPr>
              <w:spacing w:after="0"/>
              <w:rPr>
                <w:sz w:val="20"/>
                <w:szCs w:val="20"/>
                <w:color w:val="auto"/>
              </w:rPr>
            </w:pPr>
            <w:r>
              <w:rPr>
                <w:rFonts w:ascii="Arial" w:cs="Arial" w:eastAsia="Arial" w:hAnsi="Arial"/>
                <w:sz w:val="18"/>
                <w:szCs w:val="18"/>
                <w:color w:val="auto"/>
              </w:rPr>
              <w:t>SECTION 3.01</w:t>
            </w:r>
          </w:p>
        </w:tc>
        <w:tc>
          <w:tcPr>
            <w:tcW w:w="3820" w:type="dxa"/>
            <w:vAlign w:val="bottom"/>
            <w:gridSpan w:val="2"/>
          </w:tcPr>
          <w:p>
            <w:pPr>
              <w:spacing w:after="0"/>
              <w:rPr>
                <w:sz w:val="20"/>
                <w:szCs w:val="20"/>
                <w:color w:val="auto"/>
              </w:rPr>
            </w:pPr>
            <w:r>
              <w:rPr>
                <w:rFonts w:ascii="Arial" w:cs="Arial" w:eastAsia="Arial" w:hAnsi="Arial"/>
                <w:sz w:val="18"/>
                <w:szCs w:val="18"/>
                <w:color w:val="auto"/>
              </w:rPr>
              <w:t>Letters of Credit.</w:t>
            </w:r>
          </w:p>
        </w:tc>
      </w:tr>
      <w:tr>
        <w:trPr>
          <w:trHeight w:val="20"/>
        </w:trPr>
        <w:tc>
          <w:tcPr>
            <w:tcW w:w="2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5"/>
        <w:spacing w:after="0" w:line="267" w:lineRule="auto"/>
        <w:tabs>
          <w:tab w:leader="none" w:pos="2414" w:val="left"/>
        </w:tabs>
        <w:numPr>
          <w:ilvl w:val="0"/>
          <w:numId w:val="60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any Borrower may request that any Issuing Bank issue bid, performance or other Letters of Credit (in each case other than Financial Standby Letters of Credit), denominated in Dollars or any Alternative Currency, for the account of such Borrower or, subject to </w:t>
      </w:r>
      <w:r>
        <w:rPr>
          <w:rFonts w:ascii="Arial" w:cs="Arial" w:eastAsia="Arial" w:hAnsi="Arial"/>
          <w:sz w:val="17"/>
          <w:szCs w:val="17"/>
          <w:u w:val="single" w:color="auto"/>
          <w:color w:val="auto"/>
        </w:rPr>
        <w:t>Section 3.01(m)</w:t>
      </w:r>
      <w:r>
        <w:rPr>
          <w:rFonts w:ascii="Arial" w:cs="Arial" w:eastAsia="Arial" w:hAnsi="Arial"/>
          <w:sz w:val="17"/>
          <w:szCs w:val="17"/>
          <w:color w:val="auto"/>
        </w:rPr>
        <w:t xml:space="preserve">, a Restricted Subsidiary of such Borrower, in a form reasonably acceptable to such Issuing Bank, at any time and from time to time during the Availability Period applicable to Lenders. 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In the event of any inconsistency between the terms and conditions of this Agreement and the terms and conditions of any form of letter of credit application or other agreement submitted by any Borrower to, or entered into by any Borrower with, any Issuing Bank relating to any Letter of Credit, the terms and conditions of this Agreement shall control. Nothing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is intended to limit or restrict the rights of any Borrower or any Restricted Subsidiary to obtain letters of credit otherwise permitted by this Agreement from any Person, regardless of whether such Person is a party hereto. Notwithstanding the foregoing, (a) neither Barclays nor Morgan Stanley Senior Funding, Inc., as Issuing Bank, shall be required to issue any Commercial Letters of Credit and (b) neither Standard Chartered Bank nor its Affiliates shall be required to issue any Letters of Credit hereunder other than the Existing Letters of Credit with respect to which it is the issuer. Notwithstanding anything to the contrary herein, (A) from the Effective Date through the 60th day after the Effective Date, no more than 300 (or such greater number as may be agreed by the Administrative Agent) Letters of Credit issued pursuant to this Agreement (including Existing Letters of Credit issued pursuant to </w:t>
      </w:r>
      <w:r>
        <w:rPr>
          <w:rFonts w:ascii="Arial" w:cs="Arial" w:eastAsia="Arial" w:hAnsi="Arial"/>
          <w:sz w:val="17"/>
          <w:szCs w:val="17"/>
          <w:u w:val="single" w:color="auto"/>
          <w:color w:val="auto"/>
        </w:rPr>
        <w:t>Section 3.01(n)</w:t>
      </w:r>
      <w:r>
        <w:rPr>
          <w:rFonts w:ascii="Arial" w:cs="Arial" w:eastAsia="Arial" w:hAnsi="Arial"/>
          <w:sz w:val="17"/>
          <w:szCs w:val="17"/>
          <w:color w:val="auto"/>
        </w:rPr>
        <w:t xml:space="preserve">) may be outstanding at any time, and (B) from and after the 61st day after the Effective Date, no more than 500 (or such greater number as may be agreed by the Administrative Agent) Letters of Credit issued pursuant to this Agreement (including Existing Letters of Credit issued pursuant to </w:t>
      </w:r>
      <w:r>
        <w:rPr>
          <w:rFonts w:ascii="Arial" w:cs="Arial" w:eastAsia="Arial" w:hAnsi="Arial"/>
          <w:sz w:val="17"/>
          <w:szCs w:val="17"/>
          <w:u w:val="single" w:color="auto"/>
          <w:color w:val="auto"/>
        </w:rPr>
        <w:t>Section 3.01(n)</w:t>
      </w:r>
      <w:r>
        <w:rPr>
          <w:rFonts w:ascii="Arial" w:cs="Arial" w:eastAsia="Arial" w:hAnsi="Arial"/>
          <w:sz w:val="17"/>
          <w:szCs w:val="17"/>
          <w:color w:val="auto"/>
        </w:rPr>
        <w:t>) may be outstanding at any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3" w:name="page534"/>
    <w:bookmarkEnd w:id="533"/>
    <w:p>
      <w:pPr>
        <w:jc w:val="both"/>
        <w:ind w:firstLine="1305"/>
        <w:spacing w:after="0" w:line="267" w:lineRule="auto"/>
        <w:tabs>
          <w:tab w:leader="none" w:pos="2235" w:val="left"/>
        </w:tabs>
        <w:numPr>
          <w:ilvl w:val="0"/>
          <w:numId w:val="603"/>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1:00 p.m., New York City time, one Business Day before the Effective Date in the case of the Effective Date Letters of Credit, (ii) 11:00 a.m., New York City time, three Business Days before the proposed date such Letter of Credit (other than an Effective Date Letter of Credit) is to be issued and (iii) 11:00 a.m., New York City time, three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the amount of such Letter of Credit, the name and address of the beneficiary thereof and such other information as shall be necessary to prepare, amend, renew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LC Exposure shall not exceed the Aggregate Commitments, and (ii) the portion of the Total LC Exposure attributable to Letters of Credit issued by such Issuing Bank will not, unless such Issuing Bank shall so agree in accordance with </w:t>
      </w:r>
      <w:r>
        <w:rPr>
          <w:rFonts w:ascii="Arial" w:cs="Arial" w:eastAsia="Arial" w:hAnsi="Arial"/>
          <w:sz w:val="17"/>
          <w:szCs w:val="17"/>
          <w:u w:val="single" w:color="auto"/>
          <w:color w:val="auto"/>
        </w:rPr>
        <w:t>Section 3.01(j)</w:t>
      </w:r>
      <w:r>
        <w:rPr>
          <w:rFonts w:ascii="Arial" w:cs="Arial" w:eastAsia="Arial" w:hAnsi="Arial"/>
          <w:sz w:val="17"/>
          <w:szCs w:val="17"/>
          <w:color w:val="auto"/>
        </w:rPr>
        <w:t xml:space="preserve">, exceed the LC Commitment of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reduce the Commitment of any Issuing Bank if, after giving effect of such reduction, the conditions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shall not then be satisfied, then, subject to the terms and conditions hereof, such Issuing Bank shall, on the requested date, issue, amend, renew or extend, as applicable, such Letter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4" w:name="page535"/>
    <w:bookmarkEnd w:id="534"/>
    <w:p>
      <w:pPr>
        <w:ind w:left="2180" w:hanging="875"/>
        <w:spacing w:after="0"/>
        <w:tabs>
          <w:tab w:leader="none" w:pos="2180" w:val="left"/>
        </w:tabs>
        <w:numPr>
          <w:ilvl w:val="0"/>
          <w:numId w:val="604"/>
        </w:numPr>
        <w:rPr>
          <w:rFonts w:ascii="Arial" w:cs="Arial" w:eastAsia="Arial" w:hAnsi="Arial"/>
          <w:sz w:val="18"/>
          <w:szCs w:val="18"/>
          <w:color w:val="auto"/>
        </w:rPr>
      </w:pPr>
      <w:r>
        <w:rPr>
          <w:rFonts w:ascii="Arial" w:cs="Arial" w:eastAsia="Arial" w:hAnsi="Arial"/>
          <w:sz w:val="18"/>
          <w:szCs w:val="18"/>
          <w:u w:val="single" w:color="auto"/>
          <w:color w:val="auto"/>
        </w:rPr>
        <w:t>Legal and Policy Prohibitions</w:t>
      </w:r>
      <w:r>
        <w:rPr>
          <w:rFonts w:ascii="Arial" w:cs="Arial" w:eastAsia="Arial" w:hAnsi="Arial"/>
          <w:sz w:val="18"/>
          <w:szCs w:val="18"/>
          <w:color w:val="auto"/>
        </w:rPr>
        <w:t>. An Issuing Bank shall not be under any obligation to issue any Letter of Credit if:</w:t>
      </w:r>
    </w:p>
    <w:p>
      <w:pPr>
        <w:spacing w:after="0" w:line="225" w:lineRule="exact"/>
        <w:rPr>
          <w:rFonts w:ascii="Arial" w:cs="Arial" w:eastAsia="Arial" w:hAnsi="Arial"/>
          <w:sz w:val="18"/>
          <w:szCs w:val="18"/>
          <w:color w:val="auto"/>
        </w:rPr>
      </w:pPr>
    </w:p>
    <w:p>
      <w:pPr>
        <w:jc w:val="both"/>
        <w:ind w:left="660" w:firstLine="1293"/>
        <w:spacing w:after="0" w:line="273" w:lineRule="auto"/>
        <w:tabs>
          <w:tab w:leader="none" w:pos="3094" w:val="left"/>
        </w:tabs>
        <w:numPr>
          <w:ilvl w:val="1"/>
          <w:numId w:val="604"/>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78" w:lineRule="exact"/>
        <w:rPr>
          <w:rFonts w:ascii="Arial" w:cs="Arial" w:eastAsia="Arial" w:hAnsi="Arial"/>
          <w:sz w:val="17"/>
          <w:szCs w:val="17"/>
          <w:color w:val="auto"/>
        </w:rPr>
      </w:pPr>
    </w:p>
    <w:p>
      <w:pPr>
        <w:ind w:left="2900" w:hanging="947"/>
        <w:spacing w:after="0"/>
        <w:tabs>
          <w:tab w:leader="none" w:pos="2900" w:val="left"/>
        </w:tabs>
        <w:numPr>
          <w:ilvl w:val="1"/>
          <w:numId w:val="604"/>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credit generally.</w:t>
      </w:r>
    </w:p>
    <w:p>
      <w:pPr>
        <w:spacing w:after="0" w:line="210" w:lineRule="exact"/>
        <w:rPr>
          <w:rFonts w:ascii="Arial" w:cs="Arial" w:eastAsia="Arial" w:hAnsi="Arial"/>
          <w:sz w:val="16"/>
          <w:szCs w:val="16"/>
          <w:color w:val="auto"/>
        </w:rPr>
      </w:pPr>
    </w:p>
    <w:p>
      <w:pPr>
        <w:jc w:val="both"/>
        <w:ind w:firstLine="1305"/>
        <w:spacing w:after="0" w:line="254" w:lineRule="auto"/>
        <w:tabs>
          <w:tab w:leader="none" w:pos="2208" w:val="left"/>
        </w:tabs>
        <w:numPr>
          <w:ilvl w:val="0"/>
          <w:numId w:val="604"/>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on or prior to the date (the “</w:t>
      </w:r>
      <w:r>
        <w:rPr>
          <w:rFonts w:ascii="Arial" w:cs="Arial" w:eastAsia="Arial" w:hAnsi="Arial"/>
          <w:sz w:val="18"/>
          <w:szCs w:val="18"/>
          <w:u w:val="single" w:color="auto"/>
          <w:color w:val="auto"/>
        </w:rPr>
        <w:t>LC Expiration Date</w:t>
      </w:r>
      <w:r>
        <w:rPr>
          <w:rFonts w:ascii="Arial" w:cs="Arial" w:eastAsia="Arial" w:hAnsi="Arial"/>
          <w:sz w:val="18"/>
          <w:szCs w:val="18"/>
          <w:color w:val="auto"/>
        </w:rPr>
        <w:t xml:space="preserve">”) that is five Business Days prior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terms and conditions of </w:t>
      </w:r>
      <w:r>
        <w:rPr>
          <w:rFonts w:ascii="Arial" w:cs="Arial" w:eastAsia="Arial" w:hAnsi="Arial"/>
          <w:sz w:val="18"/>
          <w:szCs w:val="18"/>
          <w:u w:val="single" w:color="auto"/>
          <w:color w:val="auto"/>
        </w:rPr>
        <w:t>Section 3.01(k)</w:t>
      </w:r>
      <w:r>
        <w:rPr>
          <w:rFonts w:ascii="Arial" w:cs="Arial" w:eastAsia="Arial" w:hAnsi="Arial"/>
          <w:sz w:val="18"/>
          <w:szCs w:val="18"/>
          <w:color w:val="auto"/>
        </w:rPr>
        <w:t>, any Borrower may request that an Issuing Bank issue on or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one-year anniversary of the Maturity Date (each such Letter of Credit, an “</w:t>
      </w:r>
      <w:r>
        <w:rPr>
          <w:rFonts w:ascii="Arial" w:cs="Arial" w:eastAsia="Arial" w:hAnsi="Arial"/>
          <w:sz w:val="18"/>
          <w:szCs w:val="18"/>
          <w:u w:val="single" w:color="auto"/>
          <w:color w:val="auto"/>
        </w:rPr>
        <w:t>Extended Expiration Letter of Credit</w:t>
      </w:r>
      <w:r>
        <w:rPr>
          <w:rFonts w:ascii="Arial" w:cs="Arial" w:eastAsia="Arial" w:hAnsi="Arial"/>
          <w:sz w:val="18"/>
          <w:szCs w:val="18"/>
          <w:color w:val="auto"/>
        </w:rPr>
        <w:t>”), and such Issuing Bank may in its sole discretion, without the consent of the Administrative Agent or any of the Lenders, agree to issue such Extended Expiration Letter of Credit (it being understood that no Issuing Bank shall be obligated to issue any Extended Expiration Letter of Credit). No Extended Expiration Letter of Credit may be issued after the Stated Cash Collateralization Date.</w:t>
      </w:r>
    </w:p>
    <w:p>
      <w:pPr>
        <w:spacing w:after="0" w:line="192" w:lineRule="exact"/>
        <w:rPr>
          <w:rFonts w:ascii="Arial" w:cs="Arial" w:eastAsia="Arial" w:hAnsi="Arial"/>
          <w:sz w:val="18"/>
          <w:szCs w:val="18"/>
          <w:color w:val="auto"/>
        </w:rPr>
      </w:pPr>
    </w:p>
    <w:p>
      <w:pPr>
        <w:jc w:val="both"/>
        <w:ind w:firstLine="1305"/>
        <w:spacing w:after="0" w:line="288" w:lineRule="auto"/>
        <w:tabs>
          <w:tab w:leader="none" w:pos="2239" w:val="left"/>
        </w:tabs>
        <w:numPr>
          <w:ilvl w:val="0"/>
          <w:numId w:val="60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of the Dollar Equivalent amount of each LC Disbursement made by such Issuing Bank and not reimbursed by the Borrowers on the date due as provided in </w:t>
      </w:r>
      <w:r>
        <w:rPr>
          <w:rFonts w:ascii="Arial" w:cs="Arial" w:eastAsia="Arial" w:hAnsi="Arial"/>
          <w:sz w:val="16"/>
          <w:szCs w:val="16"/>
          <w:u w:val="single" w:color="auto"/>
          <w:color w:val="auto"/>
        </w:rPr>
        <w:t>Section 3.01(f)</w:t>
      </w:r>
      <w:r>
        <w:rPr>
          <w:rFonts w:ascii="Arial" w:cs="Arial" w:eastAsia="Arial" w:hAnsi="Arial"/>
          <w:sz w:val="16"/>
          <w:szCs w:val="16"/>
          <w:color w:val="auto"/>
        </w:rPr>
        <w:t>,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5" w:name="page536"/>
    <w:bookmarkEnd w:id="535"/>
    <w:p>
      <w:pPr>
        <w:jc w:val="both"/>
        <w:ind w:firstLine="1305"/>
        <w:spacing w:after="0" w:line="268" w:lineRule="auto"/>
        <w:tabs>
          <w:tab w:leader="none" w:pos="2223" w:val="left"/>
        </w:tabs>
        <w:numPr>
          <w:ilvl w:val="0"/>
          <w:numId w:val="605"/>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If any Issuing Bank shall make any LC Disbursement in respect of a Letter of Credit, the applicable Borrower that requested such Letter of Credit or that is otherwise an applicant for such Letter of Credit shall reimburse such LC Disbursement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If the applicable Borrower fails to make such payment when due and no other Borrower makes such payment, the Issuing Bank shall notify the Administrative Agent who shall notify each Lender of the applicable LC Disbursement, the payment then due from such Borrower in respect thereof and such Lender’s Applicable Percentage of the Dollar Equivalent thereof. Promptly following receipt of such notice, each Lender shall pay to the applicable Issuing Bank, in Dollars, its Applicable Percentage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w:t>
      </w:r>
    </w:p>
    <w:p>
      <w:pPr>
        <w:spacing w:after="0" w:line="180" w:lineRule="exact"/>
        <w:rPr>
          <w:rFonts w:ascii="Arial" w:cs="Arial" w:eastAsia="Arial" w:hAnsi="Arial"/>
          <w:sz w:val="17"/>
          <w:szCs w:val="17"/>
          <w:color w:val="auto"/>
        </w:rPr>
      </w:pPr>
    </w:p>
    <w:p>
      <w:pPr>
        <w:jc w:val="both"/>
        <w:ind w:firstLine="1305"/>
        <w:spacing w:after="0" w:line="284" w:lineRule="auto"/>
        <w:tabs>
          <w:tab w:leader="none" w:pos="2424" w:val="left"/>
        </w:tabs>
        <w:numPr>
          <w:ilvl w:val="0"/>
          <w:numId w:val="605"/>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obligations to reimburse LC Disbursements as provided in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6" w:name="page537"/>
    <w:bookmarkEnd w:id="536"/>
    <w:p>
      <w:pPr>
        <w:jc w:val="both"/>
        <w:ind w:firstLine="1305"/>
        <w:spacing w:after="0" w:line="255" w:lineRule="auto"/>
        <w:tabs>
          <w:tab w:leader="none" w:pos="233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within the period stipulated by terms and conditions of Letter of Credit, following its receipt thereof, examine all documents purporting to represent a demand for payment under a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Borrowers of their obligation to reimburse such Issuing Bank and the Lenders with respect to any such LC Disbursement.</w:t>
      </w:r>
    </w:p>
    <w:p>
      <w:pPr>
        <w:spacing w:after="0" w:line="193" w:lineRule="exact"/>
        <w:rPr>
          <w:rFonts w:ascii="Arial" w:cs="Arial" w:eastAsia="Arial" w:hAnsi="Arial"/>
          <w:sz w:val="18"/>
          <w:szCs w:val="18"/>
          <w:color w:val="auto"/>
        </w:rPr>
      </w:pPr>
    </w:p>
    <w:p>
      <w:pPr>
        <w:jc w:val="both"/>
        <w:ind w:firstLine="1305"/>
        <w:spacing w:after="0" w:line="293" w:lineRule="auto"/>
        <w:tabs>
          <w:tab w:leader="none" w:pos="2272" w:val="left"/>
        </w:tabs>
        <w:numPr>
          <w:ilvl w:val="0"/>
          <w:numId w:val="606"/>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Alternate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Borrowers fail to reimburse such LC Disbursement when due pursuant to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then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to reimburse such Issuing Bank shall be for the account of such Lender to the extent of such payment.</w:t>
      </w:r>
    </w:p>
    <w:p>
      <w:pPr>
        <w:spacing w:after="0" w:line="164" w:lineRule="exact"/>
        <w:rPr>
          <w:rFonts w:ascii="Arial" w:cs="Arial" w:eastAsia="Arial" w:hAnsi="Arial"/>
          <w:sz w:val="16"/>
          <w:szCs w:val="16"/>
          <w:color w:val="auto"/>
        </w:rPr>
      </w:pPr>
    </w:p>
    <w:p>
      <w:pPr>
        <w:ind w:left="2240" w:hanging="935"/>
        <w:spacing w:after="0"/>
        <w:tabs>
          <w:tab w:leader="none" w:pos="224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Modification and Termination of LC Commitments of Issuing Banks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2" w:lineRule="auto"/>
        <w:tabs>
          <w:tab w:leader="none" w:pos="2999" w:val="left"/>
        </w:tabs>
        <w:numPr>
          <w:ilvl w:val="1"/>
          <w:numId w:val="606"/>
        </w:numPr>
        <w:rPr>
          <w:rFonts w:ascii="Arial" w:cs="Arial" w:eastAsia="Arial" w:hAnsi="Arial"/>
          <w:sz w:val="17"/>
          <w:szCs w:val="17"/>
          <w:color w:val="auto"/>
        </w:rPr>
      </w:pPr>
      <w:r>
        <w:rPr>
          <w:rFonts w:ascii="Arial" w:cs="Arial" w:eastAsia="Arial" w:hAnsi="Arial"/>
          <w:sz w:val="17"/>
          <w:szCs w:val="17"/>
          <w:color w:val="auto"/>
        </w:rPr>
        <w:t xml:space="preserve">The LC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remove such Issuing Bank as an Issuing Bank from </w:t>
      </w:r>
      <w:r>
        <w:rPr>
          <w:rFonts w:ascii="Arial" w:cs="Arial" w:eastAsia="Arial" w:hAnsi="Arial"/>
          <w:sz w:val="17"/>
          <w:szCs w:val="17"/>
          <w:u w:val="single" w:color="auto"/>
          <w:color w:val="auto"/>
        </w:rPr>
        <w:t>Schedule 2.01</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7" w:name="page538"/>
    <w:bookmarkEnd w:id="537"/>
    <w:p>
      <w:pPr>
        <w:jc w:val="both"/>
        <w:ind w:left="-540" w:firstLine="1293"/>
        <w:spacing w:after="0" w:line="254" w:lineRule="auto"/>
        <w:tabs>
          <w:tab w:leader="none" w:pos="1768" w:val="left"/>
        </w:tabs>
        <w:numPr>
          <w:ilvl w:val="1"/>
          <w:numId w:val="607"/>
        </w:numPr>
        <w:rPr>
          <w:rFonts w:ascii="Arial" w:cs="Arial" w:eastAsia="Arial" w:hAnsi="Arial"/>
          <w:sz w:val="18"/>
          <w:szCs w:val="18"/>
          <w:color w:val="auto"/>
        </w:rPr>
      </w:pPr>
      <w:r>
        <w:rPr>
          <w:rFonts w:ascii="Arial" w:cs="Arial" w:eastAsia="Arial" w:hAnsi="Arial"/>
          <w:sz w:val="18"/>
          <w:szCs w:val="18"/>
          <w:color w:val="auto"/>
        </w:rPr>
        <w:t>By written notice to the Borrowers, each Issuing Bank may from time to time request that such Issuing Bank’s LC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92" w:lineRule="exact"/>
        <w:rPr>
          <w:rFonts w:ascii="Arial" w:cs="Arial" w:eastAsia="Arial" w:hAnsi="Arial"/>
          <w:sz w:val="18"/>
          <w:szCs w:val="18"/>
          <w:color w:val="auto"/>
        </w:rPr>
      </w:pPr>
    </w:p>
    <w:p>
      <w:pPr>
        <w:ind w:left="980" w:hanging="875"/>
        <w:spacing w:after="0"/>
        <w:tabs>
          <w:tab w:leader="none" w:pos="980"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80" w:hanging="927"/>
        <w:spacing w:after="0"/>
        <w:tabs>
          <w:tab w:leader="none" w:pos="168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100" w:firstLine="653"/>
        <w:spacing w:after="0" w:line="264" w:lineRule="auto"/>
        <w:tabs>
          <w:tab w:leader="none" w:pos="1705" w:val="left"/>
        </w:tabs>
        <w:numPr>
          <w:ilvl w:val="0"/>
          <w:numId w:val="609"/>
        </w:numPr>
        <w:rPr>
          <w:rFonts w:ascii="Arial" w:cs="Arial" w:eastAsia="Arial" w:hAnsi="Arial"/>
          <w:sz w:val="18"/>
          <w:szCs w:val="18"/>
          <w:color w:val="010000"/>
        </w:rPr>
      </w:pPr>
      <w:r>
        <w:rPr>
          <w:rFonts w:ascii="Arial" w:cs="Arial" w:eastAsia="Arial" w:hAnsi="Arial"/>
          <w:sz w:val="18"/>
          <w:szCs w:val="18"/>
          <w:color w:val="auto"/>
        </w:rPr>
        <w:t>any Event of Default shall occur and be continuing, on the Business Day 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81" w:lineRule="exact"/>
        <w:rPr>
          <w:rFonts w:ascii="Arial" w:cs="Arial" w:eastAsia="Arial" w:hAnsi="Arial"/>
          <w:sz w:val="18"/>
          <w:szCs w:val="18"/>
          <w:color w:val="010000"/>
        </w:rPr>
      </w:pPr>
    </w:p>
    <w:p>
      <w:pPr>
        <w:ind w:left="1620" w:hanging="867"/>
        <w:spacing w:after="0"/>
        <w:tabs>
          <w:tab w:leader="none" w:pos="1620" w:val="left"/>
        </w:tabs>
        <w:numPr>
          <w:ilvl w:val="0"/>
          <w:numId w:val="609"/>
        </w:numPr>
        <w:rPr>
          <w:rFonts w:ascii="Arial" w:cs="Arial" w:eastAsia="Arial" w:hAnsi="Arial"/>
          <w:sz w:val="18"/>
          <w:szCs w:val="18"/>
          <w:color w:val="010000"/>
        </w:rPr>
      </w:pPr>
      <w:r>
        <w:rPr>
          <w:rFonts w:ascii="Arial" w:cs="Arial" w:eastAsia="Arial" w:hAnsi="Arial"/>
          <w:sz w:val="18"/>
          <w:szCs w:val="18"/>
          <w:color w:val="auto"/>
        </w:rPr>
        <w:t>on the Maturity Date or, if earlier, the termination of the Aggregate Commitments;</w:t>
      </w:r>
    </w:p>
    <w:p>
      <w:pPr>
        <w:spacing w:after="0" w:line="225" w:lineRule="exact"/>
        <w:rPr>
          <w:rFonts w:ascii="Arial" w:cs="Arial" w:eastAsia="Arial" w:hAnsi="Arial"/>
          <w:sz w:val="18"/>
          <w:szCs w:val="18"/>
          <w:color w:val="010000"/>
        </w:rPr>
      </w:pPr>
    </w:p>
    <w:p>
      <w:pPr>
        <w:ind w:left="1620" w:hanging="867"/>
        <w:spacing w:after="0"/>
        <w:tabs>
          <w:tab w:leader="none" w:pos="1620" w:val="left"/>
        </w:tabs>
        <w:numPr>
          <w:ilvl w:val="0"/>
          <w:numId w:val="609"/>
        </w:numPr>
        <w:rPr>
          <w:rFonts w:ascii="Arial" w:cs="Arial" w:eastAsia="Arial" w:hAnsi="Arial"/>
          <w:sz w:val="17"/>
          <w:szCs w:val="17"/>
          <w:color w:val="010000"/>
        </w:rPr>
      </w:pPr>
      <w:r>
        <w:rPr>
          <w:rFonts w:ascii="Arial" w:cs="Arial" w:eastAsia="Arial" w:hAnsi="Arial"/>
          <w:sz w:val="17"/>
          <w:szCs w:val="17"/>
          <w:color w:val="auto"/>
        </w:rPr>
        <w:t xml:space="preserve">the Borrowers are required to cash collateralize LC Exposure pursuant to (I)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(II) </w:t>
      </w:r>
      <w:r>
        <w:rPr>
          <w:rFonts w:ascii="Arial" w:cs="Arial" w:eastAsia="Arial" w:hAnsi="Arial"/>
          <w:sz w:val="17"/>
          <w:szCs w:val="17"/>
          <w:u w:val="single" w:color="auto"/>
          <w:color w:val="auto"/>
        </w:rPr>
        <w:t>Section 2.10</w:t>
      </w:r>
      <w:r>
        <w:rPr>
          <w:rFonts w:ascii="Arial" w:cs="Arial" w:eastAsia="Arial" w:hAnsi="Arial"/>
          <w:sz w:val="17"/>
          <w:szCs w:val="17"/>
          <w:color w:val="auto"/>
        </w:rPr>
        <w:t>; or</w:t>
      </w:r>
    </w:p>
    <w:p>
      <w:pPr>
        <w:spacing w:after="0" w:line="236" w:lineRule="exact"/>
        <w:rPr>
          <w:rFonts w:ascii="Arial" w:cs="Arial" w:eastAsia="Arial" w:hAnsi="Arial"/>
          <w:sz w:val="17"/>
          <w:szCs w:val="17"/>
          <w:color w:val="010000"/>
        </w:rPr>
      </w:pPr>
    </w:p>
    <w:p>
      <w:pPr>
        <w:ind w:left="1580" w:hanging="827"/>
        <w:spacing w:after="0"/>
        <w:tabs>
          <w:tab w:leader="none" w:pos="1580" w:val="left"/>
        </w:tabs>
        <w:numPr>
          <w:ilvl w:val="0"/>
          <w:numId w:val="609"/>
        </w:numPr>
        <w:rPr>
          <w:rFonts w:ascii="Arial" w:cs="Arial" w:eastAsia="Arial" w:hAnsi="Arial"/>
          <w:sz w:val="17"/>
          <w:szCs w:val="17"/>
          <w:color w:val="010000"/>
        </w:rPr>
      </w:pPr>
      <w:r>
        <w:rPr>
          <w:rFonts w:ascii="Arial" w:cs="Arial" w:eastAsia="Arial" w:hAnsi="Arial"/>
          <w:sz w:val="17"/>
          <w:szCs w:val="17"/>
          <w:color w:val="auto"/>
        </w:rPr>
        <w:t>any Extended Expiration Letters of Credit are issued and outstanding on the Stated Cash Collateralization Date;</w:t>
      </w: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38" w:name="page539"/>
    <w:bookmarkEnd w:id="538"/>
    <w:p>
      <w:pPr>
        <w:jc w:val="both"/>
        <w:spacing w:after="0" w:line="284" w:lineRule="auto"/>
        <w:rPr>
          <w:sz w:val="20"/>
          <w:szCs w:val="20"/>
          <w:color w:val="auto"/>
        </w:rPr>
      </w:pPr>
      <w:r>
        <w:rPr>
          <w:rFonts w:ascii="Arial" w:cs="Arial" w:eastAsia="Arial" w:hAnsi="Arial"/>
          <w:sz w:val="16"/>
          <w:szCs w:val="16"/>
          <w:color w:val="auto"/>
        </w:rPr>
        <w:t>then the Borrowers shall deposit in an account maintained with the Administrative Agent, in the name of the Administrative Agent and for the benefit of the Issuing Banks and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(x)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immediately above, (1) 105% of the Total LC Exposure with respect to Letters of Credit that are denominated in an Alternative Currency and (2) 103% of the Total LC Exposure with respect to Letters of Credit that are denominated in U.S. Dollars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of the Borrower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(y)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immediately above, an amount necessary to satisfy the requirements of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as the case may be, and (z)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immediately above, 103% of the Total LC Exposure with respect to any Extended Expiration Letters of Credit on the Stated Cash Collateralization Date that are denominated in Dollars and 105% of the Dollar Equivalent of the Total LC Exposure with respect to any Extended Expiration Letters of Credit on the Stated Cash Collateralization Date that are denominated in Alternative Currencies. Any such deposits pursuant to this </w:t>
      </w:r>
      <w:r>
        <w:rPr>
          <w:rFonts w:ascii="Arial" w:cs="Arial" w:eastAsia="Arial" w:hAnsi="Arial"/>
          <w:sz w:val="16"/>
          <w:szCs w:val="16"/>
          <w:u w:val="single" w:color="auto"/>
          <w:color w:val="auto"/>
        </w:rPr>
        <w:t>Section 3.01(k)(i)</w:t>
      </w:r>
      <w:r>
        <w:rPr>
          <w:rFonts w:ascii="Arial" w:cs="Arial" w:eastAsia="Arial" w:hAnsi="Arial"/>
          <w:sz w:val="16"/>
          <w:szCs w:val="16"/>
          <w:color w:val="auto"/>
        </w:rPr>
        <w:t xml:space="preserve"> or such other provisions under this Agreement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or, if the scheduled maturity date of the Obligations has been accelerated,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Arial" w:cs="Arial" w:eastAsia="Arial" w:hAnsi="Arial"/>
          <w:sz w:val="16"/>
          <w:szCs w:val="16"/>
          <w:u w:val="single" w:color="auto"/>
          <w:color w:val="auto"/>
        </w:rPr>
        <w:t>Section 3.01(k)(i)</w:t>
      </w:r>
      <w:r>
        <w:rPr>
          <w:rFonts w:ascii="Arial" w:cs="Arial" w:eastAsia="Arial" w:hAnsi="Arial"/>
          <w:sz w:val="16"/>
          <w:szCs w:val="16"/>
          <w:color w:val="auto"/>
        </w:rPr>
        <w:t xml:space="preserve">) shall be returned to the Borrowers within three Business Days after all Events of Default have been cured or waived, (2)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 the Total LC Exposure is subsequently reduced to an amount less than the Aggregate Commitments, such cash collateral (to the extent not applied as provided in this </w:t>
      </w:r>
      <w:r>
        <w:rPr>
          <w:rFonts w:ascii="Arial" w:cs="Arial" w:eastAsia="Arial" w:hAnsi="Arial"/>
          <w:sz w:val="16"/>
          <w:szCs w:val="16"/>
          <w:u w:val="single" w:color="auto"/>
          <w:color w:val="auto"/>
        </w:rPr>
        <w:t>Section 3.01(k)(i)</w:t>
      </w:r>
      <w:r>
        <w:rPr>
          <w:rFonts w:ascii="Arial" w:cs="Arial" w:eastAsia="Arial" w:hAnsi="Arial"/>
          <w:sz w:val="16"/>
          <w:szCs w:val="16"/>
          <w:color w:val="auto"/>
        </w:rPr>
        <w:t xml:space="preserve">) or a portion thereof shall be promptly returned to the Borrowers to the extent, and within three Business Days after determining, that the amount of the Total LC Exposure is less than the amount of the Aggregate Commitments or (3) as a result of any Extended Expiration Letters of Credit, such amount (to the extent not applied as provided in this </w:t>
      </w:r>
      <w:r>
        <w:rPr>
          <w:rFonts w:ascii="Arial" w:cs="Arial" w:eastAsia="Arial" w:hAnsi="Arial"/>
          <w:sz w:val="16"/>
          <w:szCs w:val="16"/>
          <w:u w:val="single" w:color="auto"/>
          <w:color w:val="auto"/>
        </w:rPr>
        <w:t>Section 3.01(k)(i)</w:t>
      </w:r>
      <w:r>
        <w:rPr>
          <w:rFonts w:ascii="Arial" w:cs="Arial" w:eastAsia="Arial" w:hAnsi="Arial"/>
          <w:sz w:val="16"/>
          <w:szCs w:val="16"/>
          <w:color w:val="auto"/>
        </w:rPr>
        <w:t>) shall be returned to the Borrowers within three Business Days after each such Extended Expiration Letter of Credit has expired or terminated without any pending draw under such Extended Expiration Letter of Credit.</w:t>
      </w:r>
    </w:p>
    <w:p>
      <w:pPr>
        <w:spacing w:after="0" w:line="169" w:lineRule="exact"/>
        <w:rPr>
          <w:sz w:val="20"/>
          <w:szCs w:val="20"/>
          <w:color w:val="auto"/>
        </w:rPr>
      </w:pPr>
    </w:p>
    <w:p>
      <w:pPr>
        <w:jc w:val="both"/>
        <w:ind w:firstLine="1293"/>
        <w:spacing w:after="0" w:line="257" w:lineRule="auto"/>
        <w:tabs>
          <w:tab w:leader="none" w:pos="2403" w:val="left"/>
        </w:tabs>
        <w:numPr>
          <w:ilvl w:val="0"/>
          <w:numId w:val="610"/>
        </w:numPr>
        <w:rPr>
          <w:rFonts w:ascii="Arial" w:cs="Arial" w:eastAsia="Arial" w:hAnsi="Arial"/>
          <w:sz w:val="18"/>
          <w:szCs w:val="18"/>
          <w:color w:val="auto"/>
        </w:rPr>
      </w:pPr>
      <w:r>
        <w:rPr>
          <w:rFonts w:ascii="Arial" w:cs="Arial" w:eastAsia="Arial" w:hAnsi="Arial"/>
          <w:sz w:val="18"/>
          <w:szCs w:val="18"/>
          <w:color w:val="auto"/>
        </w:rPr>
        <w:t xml:space="preserve">The obligations of each of the Borrowers and the Lenders under this Agreement and the other Loan Documents regarding Letters of Credit, including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after the Maturity Date and termination of this Agreement for so long as any LC Exposure exists (whether or not all or any portion of such LC Exposure has been cash collateralized as described in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Extended Expiration Letters of Credit, only the Borrowers and the applicable Issuing Banks’ obligations (and not those of any other Lender) shall so survive.</w:t>
      </w: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539" w:name="page540"/>
    <w:bookmarkEnd w:id="539"/>
    <w:p>
      <w:pPr>
        <w:jc w:val="both"/>
        <w:ind w:left="660" w:firstLine="1293"/>
        <w:spacing w:after="0" w:line="279" w:lineRule="auto"/>
        <w:tabs>
          <w:tab w:leader="none" w:pos="2888" w:val="left"/>
        </w:tabs>
        <w:numPr>
          <w:ilvl w:val="1"/>
          <w:numId w:val="611"/>
        </w:numPr>
        <w:rPr>
          <w:rFonts w:ascii="Arial" w:cs="Arial" w:eastAsia="Arial" w:hAnsi="Arial"/>
          <w:sz w:val="17"/>
          <w:szCs w:val="17"/>
          <w:color w:val="auto"/>
        </w:rPr>
      </w:pPr>
      <w:r>
        <w:rPr>
          <w:rFonts w:ascii="Arial" w:cs="Arial" w:eastAsia="Arial" w:hAnsi="Arial"/>
          <w:sz w:val="17"/>
          <w:szCs w:val="17"/>
          <w:color w:val="auto"/>
        </w:rPr>
        <w:t xml:space="preserve">For the avoidance of doubt, each Lender confirms that its respective obligations (x)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(y) in respect of Letters of Credit shall be reinstated in full and apply if the delivery of any cash collateral pursuant to this </w:t>
      </w:r>
      <w:r>
        <w:rPr>
          <w:rFonts w:ascii="Arial" w:cs="Arial" w:eastAsia="Arial" w:hAnsi="Arial"/>
          <w:sz w:val="17"/>
          <w:szCs w:val="17"/>
          <w:u w:val="single" w:color="auto"/>
          <w:color w:val="auto"/>
        </w:rPr>
        <w:t>Section 3.01(k)</w:t>
      </w:r>
      <w:r>
        <w:rPr>
          <w:rFonts w:ascii="Arial" w:cs="Arial" w:eastAsia="Arial" w:hAnsi="Arial"/>
          <w:sz w:val="17"/>
          <w:szCs w:val="17"/>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9.01(j)</w:t>
      </w:r>
      <w:r>
        <w:rPr>
          <w:rFonts w:ascii="Arial" w:cs="Arial" w:eastAsia="Arial" w:hAnsi="Arial"/>
          <w:sz w:val="17"/>
          <w:szCs w:val="17"/>
          <w:color w:val="auto"/>
        </w:rPr>
        <w:t xml:space="preserve"> or otherwise.</w:t>
      </w:r>
    </w:p>
    <w:p>
      <w:pPr>
        <w:spacing w:after="0" w:line="171" w:lineRule="exact"/>
        <w:rPr>
          <w:rFonts w:ascii="Arial" w:cs="Arial" w:eastAsia="Arial" w:hAnsi="Arial"/>
          <w:sz w:val="17"/>
          <w:szCs w:val="17"/>
          <w:color w:val="auto"/>
        </w:rPr>
      </w:pPr>
    </w:p>
    <w:p>
      <w:pPr>
        <w:jc w:val="both"/>
        <w:ind w:firstLine="1305"/>
        <w:spacing w:after="0" w:line="254" w:lineRule="auto"/>
        <w:tabs>
          <w:tab w:leader="none" w:pos="2245"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which shall be in a form reasonably satisfactory to the Borrowers and the Administrative Agent, shall set forth the LC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92" w:lineRule="exact"/>
        <w:rPr>
          <w:rFonts w:ascii="Arial" w:cs="Arial" w:eastAsia="Arial" w:hAnsi="Arial"/>
          <w:sz w:val="18"/>
          <w:szCs w:val="18"/>
          <w:color w:val="auto"/>
        </w:rPr>
      </w:pPr>
    </w:p>
    <w:p>
      <w:pPr>
        <w:jc w:val="both"/>
        <w:ind w:firstLine="1305"/>
        <w:spacing w:after="0" w:line="253" w:lineRule="auto"/>
        <w:tabs>
          <w:tab w:leader="none" w:pos="2263"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Restricted Subsidiaries</w:t>
      </w:r>
      <w:r>
        <w:rPr>
          <w:rFonts w:ascii="Arial" w:cs="Arial" w:eastAsia="Arial" w:hAnsi="Arial"/>
          <w:sz w:val="18"/>
          <w:szCs w:val="18"/>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w:t>
      </w:r>
    </w:p>
    <w:p>
      <w:pPr>
        <w:spacing w:after="0" w:line="194" w:lineRule="exact"/>
        <w:rPr>
          <w:rFonts w:ascii="Arial" w:cs="Arial" w:eastAsia="Arial" w:hAnsi="Arial"/>
          <w:sz w:val="18"/>
          <w:szCs w:val="18"/>
          <w:color w:val="auto"/>
        </w:rPr>
      </w:pPr>
    </w:p>
    <w:p>
      <w:pPr>
        <w:jc w:val="both"/>
        <w:ind w:firstLine="1305"/>
        <w:spacing w:after="0" w:line="254" w:lineRule="auto"/>
        <w:tabs>
          <w:tab w:leader="none" w:pos="2195"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Simultaneously with the occurrence of the Effective Date, each of the Existing Letters of Credit shall be deemed issued under this Agreement (and shall comprise Letters of Credit under this Agreement and the other Loan Documents), and with respect to each such Existing Letter of Credit, the applicable Borrower specified on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with respect to such Existing Letter of Credit shall be deemed to be the applicant, and shall have the reimbursement obligations provided in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with respect thereto. Existing Letters of Credit shall be subject to all provisions contained herein (including, without limitation, </w:t>
      </w:r>
      <w:r>
        <w:rPr>
          <w:rFonts w:ascii="Arial" w:cs="Arial" w:eastAsia="Arial" w:hAnsi="Arial"/>
          <w:sz w:val="18"/>
          <w:szCs w:val="18"/>
          <w:u w:val="single" w:color="auto"/>
          <w:color w:val="auto"/>
        </w:rPr>
        <w:t>Sections 3.01(e)</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3.01(g)</w:t>
      </w:r>
      <w:r>
        <w:rPr>
          <w:rFonts w:ascii="Arial" w:cs="Arial" w:eastAsia="Arial" w:hAnsi="Arial"/>
          <w:sz w:val="18"/>
          <w:szCs w:val="18"/>
          <w:color w:val="auto"/>
        </w:rPr>
        <w:t>) and be secured by the Collateral pursuant to the Loan Documents. No Existing Letters of Credit issued by Standard Chartered Bank (or any of its Affiliates) (x) may be amended or modified without the approval of such Person, which approval may be given in its sole discretion and (y) shall be renewed or extended upon the expiration thereof in effect on the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0" w:name="page541"/>
    <w:bookmarkEnd w:id="540"/>
    <w:p>
      <w:pPr>
        <w:ind w:firstLine="1305"/>
        <w:spacing w:after="0" w:line="277" w:lineRule="auto"/>
        <w:tabs>
          <w:tab w:leader="none" w:pos="2262"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Minimum Denominations</w:t>
      </w:r>
      <w:r>
        <w:rPr>
          <w:rFonts w:ascii="Arial" w:cs="Arial" w:eastAsia="Arial" w:hAnsi="Arial"/>
          <w:sz w:val="18"/>
          <w:szCs w:val="18"/>
          <w:color w:val="auto"/>
        </w:rPr>
        <w:t>. Letters of Credit (other than Existing Letters of Credit) hereunder shall be issued in minimum face amounts of $25,000 (or if denominated in an Alternative Currency, the Dollar equivalent of $25,000).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PAYMENTS; PRO RATA TREATMENT; TAXES</w:t>
      </w:r>
    </w:p>
    <w:p>
      <w:pPr>
        <w:spacing w:after="0" w:line="21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7" w:lineRule="auto"/>
        <w:tabs>
          <w:tab w:leader="none" w:pos="2509" w:val="left"/>
        </w:tabs>
        <w:numPr>
          <w:ilvl w:val="0"/>
          <w:numId w:val="614"/>
        </w:numPr>
        <w:rPr>
          <w:rFonts w:ascii="Arial" w:cs="Arial" w:eastAsia="Arial" w:hAnsi="Arial"/>
          <w:sz w:val="17"/>
          <w:szCs w:val="17"/>
          <w:color w:val="auto"/>
        </w:rPr>
      </w:pPr>
      <w:r>
        <w:rPr>
          <w:rFonts w:ascii="Arial" w:cs="Arial" w:eastAsia="Arial" w:hAnsi="Arial"/>
          <w:sz w:val="17"/>
          <w:szCs w:val="17"/>
          <w:color w:val="auto"/>
        </w:rPr>
        <w:t xml:space="preserve">Each Borrower shall make each payment required to be made by it hereunder (including fees or reimbursement of LC Disbursements, or of amounts payable under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2.08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or otherwise) prior to 12:00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60 Wall Street, New York,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payments to be made directly to an Issuing Bank as expressly provided herein shall be made directly to such Issuing Bank, as applicable, and (ii) payments pursuant to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2.08</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in respect of any Obligation (or of any breakage indemnity in respect of thereof) shall be made in Dollars; all other payments hereunder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Notwithstanding the foregoing provisions of this Section, if, after the issuance of any Letter of Credit in any Alternative Currency, currency control or exchange regulations are imposed in the country which issues such currency with the result that the type of currency in which the Letter of Credit was issued (herein,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xml:space="preserve">”) no longer exists or for any reason the relevant Borrower is not able to make payment to the Issuing Bank in such original currency, or the terms of this Agreement require the conversion of such Letter of Credit or the related Letter of Credit Exposure into Dollars (including as required by </w:t>
      </w:r>
      <w:r>
        <w:rPr>
          <w:rFonts w:ascii="Arial" w:cs="Arial" w:eastAsia="Arial" w:hAnsi="Arial"/>
          <w:sz w:val="17"/>
          <w:szCs w:val="17"/>
          <w:u w:val="single" w:color="auto"/>
          <w:color w:val="auto"/>
        </w:rPr>
        <w:t>Sections 3.01(c)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3.01(e)</w:t>
      </w:r>
      <w:r>
        <w:rPr>
          <w:rFonts w:ascii="Arial" w:cs="Arial" w:eastAsia="Arial" w:hAnsi="Arial"/>
          <w:sz w:val="17"/>
          <w:szCs w:val="17"/>
          <w:color w:val="auto"/>
        </w:rPr>
        <w:t>), then all payments to be made by such Borrower hereunder in such currency shall instead be made when due in Dollars in an amount equal to the Dollar Equivalent (as of the date of repayment) of such payment due,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Letter of Credit denominated in an Alternative Currency that is not repaid to the Issuing Banks, the Administrative Agent or the Lenders, as the case may be, in the original currency.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1" w:name="page542"/>
    <w:bookmarkEnd w:id="541"/>
    <w:p>
      <w:pPr>
        <w:jc w:val="both"/>
        <w:ind w:firstLine="1305"/>
        <w:spacing w:after="0" w:line="257" w:lineRule="auto"/>
        <w:tabs>
          <w:tab w:leader="none" w:pos="2208" w:val="left"/>
        </w:tabs>
        <w:numPr>
          <w:ilvl w:val="0"/>
          <w:numId w:val="615"/>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2185" w:val="left"/>
        </w:tabs>
        <w:numPr>
          <w:ilvl w:val="0"/>
          <w:numId w:val="615"/>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Obligation or participations in LC Disbursements resulting in such Lender receiving payment of a greater proportion of the aggregate amount of its participations in LC Disbursements and accrued fees thereon (excluding any fees payable to such Lender in its role as an Issuing Bank) than the proportion received by any other Lender, then the Lender receiving such greater proportion shall purchase (for cash at face value) participations in LC Disbursements of other Lenders to the extent necessary so that the benefit of all such payments shall be shared by the Lenders ratably in accordance with the aggregate amount of principal of and accrued interest on their respective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4" w:lineRule="exact"/>
        <w:rPr>
          <w:rFonts w:ascii="Arial" w:cs="Arial" w:eastAsia="Arial" w:hAnsi="Arial"/>
          <w:sz w:val="16"/>
          <w:szCs w:val="16"/>
          <w:color w:val="auto"/>
        </w:rPr>
      </w:pPr>
    </w:p>
    <w:p>
      <w:pPr>
        <w:jc w:val="both"/>
        <w:ind w:firstLine="1305"/>
        <w:spacing w:after="0" w:line="271" w:lineRule="auto"/>
        <w:tabs>
          <w:tab w:leader="none" w:pos="2249" w:val="left"/>
        </w:tabs>
        <w:numPr>
          <w:ilvl w:val="0"/>
          <w:numId w:val="615"/>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2" w:name="page543"/>
    <w:bookmarkEnd w:id="542"/>
    <w:p>
      <w:pPr>
        <w:jc w:val="both"/>
        <w:ind w:right="20" w:firstLine="1305"/>
        <w:spacing w:after="0" w:line="293" w:lineRule="auto"/>
        <w:tabs>
          <w:tab w:leader="none" w:pos="2563" w:val="left"/>
        </w:tabs>
        <w:numPr>
          <w:ilvl w:val="0"/>
          <w:numId w:val="616"/>
        </w:numPr>
        <w:rPr>
          <w:rFonts w:ascii="Arial" w:cs="Arial" w:eastAsia="Arial" w:hAnsi="Arial"/>
          <w:sz w:val="16"/>
          <w:szCs w:val="16"/>
          <w:color w:val="auto"/>
        </w:rPr>
      </w:pPr>
      <w:r>
        <w:rPr>
          <w:rFonts w:ascii="Arial" w:cs="Arial" w:eastAsia="Arial" w:hAnsi="Arial"/>
          <w:sz w:val="16"/>
          <w:szCs w:val="16"/>
          <w:color w:val="auto"/>
        </w:rPr>
        <w:t xml:space="preserve">If any Lender shall fail to make any payment required to be made by it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11.04(a)</w:t>
      </w:r>
      <w:r>
        <w:rPr>
          <w:rFonts w:ascii="Arial" w:cs="Arial" w:eastAsia="Arial" w:hAnsi="Arial"/>
          <w:sz w:val="16"/>
          <w:szCs w:val="16"/>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in any order as determined by the Administrative Agent in its discretion.</w:t>
      </w:r>
    </w:p>
    <w:p>
      <w:pPr>
        <w:spacing w:after="0" w:line="16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Taxes/Additional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3" w:lineRule="auto"/>
        <w:tabs>
          <w:tab w:leader="none" w:pos="2266" w:val="left"/>
        </w:tabs>
        <w:numPr>
          <w:ilvl w:val="0"/>
          <w:numId w:val="617"/>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the Borrowers under any Loan Document shall be made free and clear of and without deduction or withholding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64" w:lineRule="exact"/>
        <w:rPr>
          <w:rFonts w:ascii="Arial" w:cs="Arial" w:eastAsia="Arial" w:hAnsi="Arial"/>
          <w:sz w:val="16"/>
          <w:szCs w:val="16"/>
          <w:color w:val="auto"/>
        </w:rPr>
      </w:pPr>
    </w:p>
    <w:p>
      <w:pPr>
        <w:jc w:val="both"/>
        <w:ind w:firstLine="1305"/>
        <w:spacing w:after="0" w:line="270" w:lineRule="auto"/>
        <w:tabs>
          <w:tab w:leader="none" w:pos="2357" w:val="left"/>
        </w:tabs>
        <w:numPr>
          <w:ilvl w:val="0"/>
          <w:numId w:val="617"/>
        </w:numPr>
        <w:rPr>
          <w:rFonts w:ascii="Arial" w:cs="Arial" w:eastAsia="Arial" w:hAnsi="Arial"/>
          <w:sz w:val="17"/>
          <w:szCs w:val="17"/>
          <w:color w:val="auto"/>
        </w:rPr>
      </w:pPr>
      <w:r>
        <w:rPr>
          <w:rFonts w:ascii="Arial" w:cs="Arial" w:eastAsia="Arial" w:hAnsi="Arial"/>
          <w:sz w:val="17"/>
          <w:szCs w:val="17"/>
          <w:color w:val="auto"/>
        </w:rPr>
        <w:t xml:space="preserve">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81" w:lineRule="exact"/>
        <w:rPr>
          <w:rFonts w:ascii="Arial" w:cs="Arial" w:eastAsia="Arial" w:hAnsi="Arial"/>
          <w:sz w:val="17"/>
          <w:szCs w:val="17"/>
          <w:color w:val="auto"/>
        </w:rPr>
      </w:pPr>
    </w:p>
    <w:p>
      <w:pPr>
        <w:jc w:val="both"/>
        <w:ind w:firstLine="1305"/>
        <w:spacing w:after="0" w:line="270" w:lineRule="auto"/>
        <w:tabs>
          <w:tab w:leader="none" w:pos="2279" w:val="left"/>
        </w:tabs>
        <w:numPr>
          <w:ilvl w:val="0"/>
          <w:numId w:val="617"/>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3" w:name="page544"/>
    <w:bookmarkEnd w:id="543"/>
    <w:p>
      <w:pPr>
        <w:jc w:val="both"/>
        <w:ind w:firstLine="1305"/>
        <w:spacing w:after="0" w:line="268" w:lineRule="auto"/>
        <w:tabs>
          <w:tab w:leader="none" w:pos="2276" w:val="left"/>
        </w:tabs>
        <w:numPr>
          <w:ilvl w:val="1"/>
          <w:numId w:val="618"/>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it shall pay over such refund to such Borrower (but only to the extent of indemnity payments made, or additional amounts paid, by such Borrower under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Borrower, upon the request of the Administrative Agent or such Lender, agrees to repay promptly the amount paid over to such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u w:val="single" w:color="auto"/>
          <w:color w:val="auto"/>
        </w:rPr>
        <w:t>paragraph (d)</w:t>
      </w:r>
      <w:r>
        <w:rPr>
          <w:rFonts w:ascii="Arial" w:cs="Arial" w:eastAsia="Arial" w:hAnsi="Arial"/>
          <w:sz w:val="17"/>
          <w:szCs w:val="17"/>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7" w:lineRule="exact"/>
        <w:rPr>
          <w:rFonts w:ascii="Arial" w:cs="Arial" w:eastAsia="Arial" w:hAnsi="Arial"/>
          <w:sz w:val="17"/>
          <w:szCs w:val="17"/>
          <w:color w:val="auto"/>
        </w:rPr>
      </w:pPr>
    </w:p>
    <w:p>
      <w:pPr>
        <w:jc w:val="both"/>
        <w:ind w:firstLine="1305"/>
        <w:spacing w:after="0" w:line="284" w:lineRule="auto"/>
        <w:tabs>
          <w:tab w:leader="none" w:pos="2252" w:val="left"/>
        </w:tabs>
        <w:numPr>
          <w:ilvl w:val="1"/>
          <w:numId w:val="618"/>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w:t>
      </w:r>
    </w:p>
    <w:p>
      <w:pPr>
        <w:spacing w:after="0" w:line="4" w:lineRule="exact"/>
        <w:rPr>
          <w:rFonts w:ascii="Arial" w:cs="Arial" w:eastAsia="Arial" w:hAnsi="Arial"/>
          <w:sz w:val="16"/>
          <w:szCs w:val="16"/>
          <w:color w:val="auto"/>
        </w:rPr>
      </w:pPr>
    </w:p>
    <w:p>
      <w:pPr>
        <w:jc w:val="both"/>
        <w:ind w:firstLine="8"/>
        <w:spacing w:after="0" w:line="284" w:lineRule="auto"/>
        <w:tabs>
          <w:tab w:leader="none" w:pos="312" w:val="left"/>
        </w:tabs>
        <w:numPr>
          <w:ilvl w:val="0"/>
          <w:numId w:val="619"/>
        </w:numPr>
        <w:rPr>
          <w:rFonts w:ascii="Arial" w:cs="Arial" w:eastAsia="Arial" w:hAnsi="Arial"/>
          <w:sz w:val="16"/>
          <w:szCs w:val="16"/>
          <w:color w:val="auto"/>
        </w:rPr>
      </w:pPr>
      <w:r>
        <w:rPr>
          <w:rFonts w:ascii="Arial" w:cs="Arial" w:eastAsia="Arial" w:hAnsi="Arial"/>
          <w:sz w:val="16"/>
          <w:szCs w:val="16"/>
          <w:color w:val="auto"/>
        </w:rPr>
        <w:t>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4" w:name="page545"/>
    <w:bookmarkEnd w:id="544"/>
    <w:p>
      <w:pPr>
        <w:jc w:val="both"/>
        <w:ind w:firstLine="1305"/>
        <w:spacing w:after="0" w:line="289" w:lineRule="auto"/>
        <w:tabs>
          <w:tab w:leader="none" w:pos="2223" w:val="left"/>
        </w:tabs>
        <w:numPr>
          <w:ilvl w:val="0"/>
          <w:numId w:val="620"/>
        </w:numPr>
        <w:rPr>
          <w:rFonts w:ascii="Arial" w:cs="Arial" w:eastAsia="Arial" w:hAnsi="Arial"/>
          <w:sz w:val="16"/>
          <w:szCs w:val="16"/>
          <w:color w:val="auto"/>
        </w:rPr>
      </w:pPr>
      <w:r>
        <w:rPr>
          <w:rFonts w:ascii="Arial" w:cs="Arial" w:eastAsia="Arial" w:hAnsi="Arial"/>
          <w:sz w:val="16"/>
          <w:szCs w:val="16"/>
          <w:color w:val="auto"/>
        </w:rPr>
        <w:t xml:space="preserve">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16"/>
          <w:szCs w:val="16"/>
          <w:u w:val="single" w:color="auto"/>
          <w:color w:val="auto"/>
        </w:rPr>
        <w:t>Section 11.05(c)</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(f)</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2330"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71" w:lineRule="exact"/>
        <w:rPr>
          <w:rFonts w:ascii="Arial" w:cs="Arial" w:eastAsia="Arial" w:hAnsi="Arial"/>
          <w:sz w:val="17"/>
          <w:szCs w:val="17"/>
          <w:color w:val="auto"/>
        </w:rPr>
      </w:pPr>
    </w:p>
    <w:p>
      <w:pPr>
        <w:jc w:val="both"/>
        <w:ind w:firstLine="1305"/>
        <w:spacing w:after="0" w:line="288" w:lineRule="auto"/>
        <w:tabs>
          <w:tab w:leader="none" w:pos="2343" w:val="left"/>
        </w:tabs>
        <w:numPr>
          <w:ilvl w:val="0"/>
          <w:numId w:val="620"/>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(including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5" w:name="page546"/>
    <w:bookmarkEnd w:id="545"/>
    <w:p>
      <w:pPr>
        <w:ind w:left="1040" w:hanging="935"/>
        <w:spacing w:after="0"/>
        <w:tabs>
          <w:tab w:leader="none" w:pos="1040"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255" w:lineRule="auto"/>
        <w:tabs>
          <w:tab w:leader="none" w:pos="1718" w:val="left"/>
        </w:tabs>
        <w:numPr>
          <w:ilvl w:val="1"/>
          <w:numId w:val="621"/>
        </w:numPr>
        <w:rPr>
          <w:rFonts w:ascii="Arial" w:cs="Arial" w:eastAsia="Arial" w:hAnsi="Arial"/>
          <w:sz w:val="18"/>
          <w:szCs w:val="18"/>
          <w:color w:val="auto"/>
        </w:rPr>
      </w:pPr>
      <w:r>
        <w:rPr>
          <w:rFonts w:ascii="Arial" w:cs="Arial" w:eastAsia="Arial" w:hAnsi="Arial"/>
          <w:sz w:val="18"/>
          <w:szCs w:val="18"/>
          <w:color w:val="auto"/>
        </w:rPr>
        <w:t xml:space="preserve">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89" w:lineRule="exact"/>
        <w:rPr>
          <w:rFonts w:ascii="Arial" w:cs="Arial" w:eastAsia="Arial" w:hAnsi="Arial"/>
          <w:sz w:val="18"/>
          <w:szCs w:val="18"/>
          <w:color w:val="auto"/>
        </w:rPr>
      </w:pPr>
    </w:p>
    <w:p>
      <w:pPr>
        <w:jc w:val="both"/>
        <w:ind w:left="-540" w:firstLine="1293"/>
        <w:spacing w:after="0" w:line="259" w:lineRule="auto"/>
        <w:tabs>
          <w:tab w:leader="none" w:pos="1687" w:val="left"/>
        </w:tabs>
        <w:numPr>
          <w:ilvl w:val="1"/>
          <w:numId w:val="621"/>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Lender or Administrative Agent (the “</w:t>
      </w:r>
      <w:r>
        <w:rPr>
          <w:rFonts w:ascii="Arial" w:cs="Arial" w:eastAsia="Arial" w:hAnsi="Arial"/>
          <w:sz w:val="18"/>
          <w:szCs w:val="18"/>
          <w:u w:val="single" w:color="auto"/>
          <w:color w:val="auto"/>
        </w:rPr>
        <w:t>Supplier</w:t>
      </w:r>
      <w:r>
        <w:rPr>
          <w:rFonts w:ascii="Arial" w:cs="Arial" w:eastAsia="Arial" w:hAnsi="Arial"/>
          <w:sz w:val="18"/>
          <w:szCs w:val="18"/>
          <w:color w:val="auto"/>
        </w:rPr>
        <w:t>”) to any other Lender or Administrative Agent (the “</w:t>
      </w:r>
      <w:r>
        <w:rPr>
          <w:rFonts w:ascii="Arial" w:cs="Arial" w:eastAsia="Arial" w:hAnsi="Arial"/>
          <w:sz w:val="18"/>
          <w:szCs w:val="18"/>
          <w:u w:val="single" w:color="auto"/>
          <w:color w:val="auto"/>
        </w:rPr>
        <w:t>Supply Recipient</w:t>
      </w:r>
      <w:r>
        <w:rPr>
          <w:rFonts w:ascii="Arial" w:cs="Arial" w:eastAsia="Arial" w:hAnsi="Arial"/>
          <w:sz w:val="18"/>
          <w:szCs w:val="18"/>
          <w:color w:val="auto"/>
        </w:rPr>
        <w:t>”) under a Loan Document, and any party other than the Supply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7" w:lineRule="exact"/>
        <w:rPr>
          <w:sz w:val="20"/>
          <w:szCs w:val="20"/>
          <w:color w:val="auto"/>
        </w:rPr>
      </w:pPr>
    </w:p>
    <w:p>
      <w:pPr>
        <w:jc w:val="both"/>
        <w:ind w:left="100" w:firstLine="653"/>
        <w:spacing w:after="0" w:line="257" w:lineRule="auto"/>
        <w:tabs>
          <w:tab w:leader="none" w:pos="1624" w:val="left"/>
        </w:tabs>
        <w:numPr>
          <w:ilvl w:val="0"/>
          <w:numId w:val="622"/>
        </w:numPr>
        <w:rPr>
          <w:rFonts w:ascii="Arial" w:cs="Arial" w:eastAsia="Arial" w:hAnsi="Arial"/>
          <w:sz w:val="18"/>
          <w:szCs w:val="18"/>
          <w:color w:val="010000"/>
        </w:rPr>
      </w:pPr>
      <w:r>
        <w:rPr>
          <w:rFonts w:ascii="Arial" w:cs="Arial" w:eastAsia="Arial" w:hAnsi="Arial"/>
          <w:sz w:val="18"/>
          <w:szCs w:val="18"/>
          <w:color w:val="auto"/>
        </w:rPr>
        <w:t xml:space="preserve">where the Supplier is the person required to account to the relevant Governmental Authority for the VAT, the Relevant Party must also pay to the Supplier (at the same time as paying that amount) an additional amount equal to the amount of VAT; the Supply Recipient must (where this </w:t>
      </w:r>
      <w:r>
        <w:rPr>
          <w:rFonts w:ascii="Arial" w:cs="Arial" w:eastAsia="Arial" w:hAnsi="Arial"/>
          <w:sz w:val="18"/>
          <w:szCs w:val="18"/>
          <w:u w:val="single" w:color="auto"/>
          <w:color w:val="auto"/>
        </w:rPr>
        <w:t>subsection (ii)(A)</w:t>
      </w:r>
      <w:r>
        <w:rPr>
          <w:rFonts w:ascii="Arial" w:cs="Arial" w:eastAsia="Arial" w:hAnsi="Arial"/>
          <w:sz w:val="18"/>
          <w:szCs w:val="18"/>
          <w:color w:val="auto"/>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88" w:lineRule="exact"/>
        <w:rPr>
          <w:rFonts w:ascii="Arial" w:cs="Arial" w:eastAsia="Arial" w:hAnsi="Arial"/>
          <w:sz w:val="18"/>
          <w:szCs w:val="18"/>
          <w:color w:val="010000"/>
        </w:rPr>
      </w:pPr>
    </w:p>
    <w:p>
      <w:pPr>
        <w:jc w:val="both"/>
        <w:ind w:left="100" w:firstLine="653"/>
        <w:spacing w:after="0" w:line="259" w:lineRule="auto"/>
        <w:tabs>
          <w:tab w:leader="none" w:pos="1672" w:val="left"/>
        </w:tabs>
        <w:numPr>
          <w:ilvl w:val="0"/>
          <w:numId w:val="622"/>
        </w:numPr>
        <w:rPr>
          <w:rFonts w:ascii="Arial" w:cs="Arial" w:eastAsia="Arial" w:hAnsi="Arial"/>
          <w:sz w:val="18"/>
          <w:szCs w:val="18"/>
          <w:color w:val="010000"/>
        </w:rPr>
      </w:pPr>
      <w:r>
        <w:rPr>
          <w:rFonts w:ascii="Arial" w:cs="Arial" w:eastAsia="Arial" w:hAnsi="Arial"/>
          <w:sz w:val="18"/>
          <w:szCs w:val="18"/>
          <w:color w:val="auto"/>
        </w:rPr>
        <w:t>where the Supply Recipient is the person required to account to the relevant Governmental Authority for the 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46" w:name="page547"/>
    <w:bookmarkEnd w:id="546"/>
    <w:p>
      <w:pPr>
        <w:jc w:val="both"/>
        <w:ind w:left="660" w:firstLine="1293"/>
        <w:spacing w:after="0" w:line="259" w:lineRule="auto"/>
        <w:tabs>
          <w:tab w:leader="none" w:pos="2834" w:val="left"/>
        </w:tabs>
        <w:numPr>
          <w:ilvl w:val="0"/>
          <w:numId w:val="623"/>
        </w:numPr>
        <w:rPr>
          <w:rFonts w:ascii="Arial" w:cs="Arial" w:eastAsia="Arial" w:hAnsi="Arial"/>
          <w:sz w:val="18"/>
          <w:szCs w:val="18"/>
          <w:color w:val="auto"/>
        </w:rPr>
      </w:pPr>
      <w:r>
        <w:rPr>
          <w:rFonts w:ascii="Arial" w:cs="Arial" w:eastAsia="Arial" w:hAnsi="Arial"/>
          <w:sz w:val="18"/>
          <w:szCs w:val="18"/>
          <w:color w:val="auto"/>
        </w:rPr>
        <w:t>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86" w:lineRule="exact"/>
        <w:rPr>
          <w:rFonts w:ascii="Arial" w:cs="Arial" w:eastAsia="Arial" w:hAnsi="Arial"/>
          <w:sz w:val="18"/>
          <w:szCs w:val="18"/>
          <w:color w:val="auto"/>
        </w:rPr>
      </w:pPr>
    </w:p>
    <w:p>
      <w:pPr>
        <w:jc w:val="both"/>
        <w:ind w:left="660" w:firstLine="1293"/>
        <w:spacing w:after="0" w:line="291" w:lineRule="auto"/>
        <w:tabs>
          <w:tab w:leader="none" w:pos="2855" w:val="left"/>
        </w:tabs>
        <w:numPr>
          <w:ilvl w:val="0"/>
          <w:numId w:val="623"/>
        </w:numPr>
        <w:rPr>
          <w:rFonts w:ascii="Arial" w:cs="Arial" w:eastAsia="Arial" w:hAnsi="Arial"/>
          <w:sz w:val="16"/>
          <w:szCs w:val="16"/>
          <w:color w:val="auto"/>
        </w:rPr>
      </w:pPr>
      <w:r>
        <w:rPr>
          <w:rFonts w:ascii="Arial" w:cs="Arial" w:eastAsia="Arial" w:hAnsi="Arial"/>
          <w:sz w:val="16"/>
          <w:szCs w:val="16"/>
          <w:color w:val="auto"/>
        </w:rPr>
        <w:t xml:space="preserve">Any reference in this </w:t>
      </w:r>
      <w:r>
        <w:rPr>
          <w:rFonts w:ascii="Arial" w:cs="Arial" w:eastAsia="Arial" w:hAnsi="Arial"/>
          <w:sz w:val="16"/>
          <w:szCs w:val="16"/>
          <w:u w:val="single" w:color="auto"/>
          <w:color w:val="auto"/>
        </w:rPr>
        <w:t>Section 4.02(i)</w:t>
      </w:r>
      <w:r>
        <w:rPr>
          <w:rFonts w:ascii="Arial" w:cs="Arial" w:eastAsia="Arial" w:hAnsi="Arial"/>
          <w:sz w:val="16"/>
          <w:szCs w:val="16"/>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167" w:lineRule="exact"/>
        <w:rPr>
          <w:rFonts w:ascii="Arial" w:cs="Arial" w:eastAsia="Arial" w:hAnsi="Arial"/>
          <w:sz w:val="16"/>
          <w:szCs w:val="16"/>
          <w:color w:val="auto"/>
        </w:rPr>
      </w:pPr>
    </w:p>
    <w:p>
      <w:pPr>
        <w:jc w:val="both"/>
        <w:ind w:left="660" w:firstLine="1293"/>
        <w:spacing w:after="0" w:line="259" w:lineRule="auto"/>
        <w:tabs>
          <w:tab w:leader="none" w:pos="3179"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86" w:lineRule="exact"/>
        <w:rPr>
          <w:rFonts w:ascii="Arial" w:cs="Arial" w:eastAsia="Arial" w:hAnsi="Arial"/>
          <w:sz w:val="18"/>
          <w:szCs w:val="18"/>
          <w:color w:val="auto"/>
        </w:rPr>
      </w:pPr>
    </w:p>
    <w:p>
      <w:pPr>
        <w:jc w:val="both"/>
        <w:ind w:left="660" w:firstLine="1293"/>
        <w:spacing w:after="0" w:line="264" w:lineRule="auto"/>
        <w:tabs>
          <w:tab w:leader="none" w:pos="2909" w:val="left"/>
        </w:tabs>
        <w:numPr>
          <w:ilvl w:val="0"/>
          <w:numId w:val="623"/>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4.02(i)</w:t>
      </w:r>
      <w:r>
        <w:rPr>
          <w:rFonts w:ascii="Arial" w:cs="Arial" w:eastAsia="Arial" w:hAnsi="Arial"/>
          <w:sz w:val="18"/>
          <w:szCs w:val="18"/>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8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171"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then such Lender shall use reasonable efforts to designate a different lending office for funding or booking its Letters of Credit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4.02</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7" w:name="page548"/>
    <w:bookmarkEnd w:id="547"/>
    <w:p>
      <w:pPr>
        <w:jc w:val="both"/>
        <w:ind w:firstLine="1305"/>
        <w:spacing w:after="0" w:line="285" w:lineRule="auto"/>
        <w:tabs>
          <w:tab w:leader="none" w:pos="2249" w:val="left"/>
        </w:tabs>
        <w:numPr>
          <w:ilvl w:val="0"/>
          <w:numId w:val="625"/>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(including for Taxes under </w:t>
      </w:r>
      <w:r>
        <w:rPr>
          <w:rFonts w:ascii="Arial" w:cs="Arial" w:eastAsia="Arial" w:hAnsi="Arial"/>
          <w:sz w:val="16"/>
          <w:szCs w:val="16"/>
          <w:u w:val="single" w:color="auto"/>
          <w:color w:val="auto"/>
        </w:rPr>
        <w:t>Section 2.07(a)(iii)</w:t>
      </w:r>
      <w:r>
        <w:rPr>
          <w:rFonts w:ascii="Arial" w:cs="Arial" w:eastAsia="Arial" w:hAnsi="Arial"/>
          <w:sz w:val="16"/>
          <w:szCs w:val="16"/>
          <w:color w:val="auto"/>
        </w:rPr>
        <w:t xml:space="preserve">), or (ii) a Borrower is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its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if it does not execute and deliver an Assignment and Assumption to the Administrative Agent within one Business Day after having received a written request therefor.</w:t>
      </w:r>
    </w:p>
    <w:p>
      <w:pPr>
        <w:spacing w:after="0" w:line="17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Financial Assistance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2266" w:val="left"/>
        </w:tabs>
        <w:numPr>
          <w:ilvl w:val="0"/>
          <w:numId w:val="626"/>
        </w:numPr>
        <w:rPr>
          <w:rFonts w:ascii="Arial" w:cs="Arial" w:eastAsia="Arial" w:hAnsi="Arial"/>
          <w:sz w:val="17"/>
          <w:szCs w:val="17"/>
          <w:color w:val="auto"/>
        </w:rPr>
      </w:pPr>
      <w:r>
        <w:rPr>
          <w:rFonts w:ascii="Arial" w:cs="Arial" w:eastAsia="Arial" w:hAnsi="Arial"/>
          <w:sz w:val="17"/>
          <w:szCs w:val="17"/>
          <w:color w:val="auto"/>
        </w:rPr>
        <w:t>If and to the extent a Swiss Obligor becomes liable under this Agreement or any other Loan Document for obligations of any other Obligor (other than the wholly owned direct or indirect subsidiaries of such Swiss Obligor) (the “</w:t>
      </w:r>
      <w:r>
        <w:rPr>
          <w:rFonts w:ascii="Arial" w:cs="Arial" w:eastAsia="Arial" w:hAnsi="Arial"/>
          <w:sz w:val="17"/>
          <w:szCs w:val="17"/>
          <w:u w:val="single" w:color="auto"/>
          <w:color w:val="auto"/>
        </w:rPr>
        <w:t>Restricted Obligations</w:t>
      </w:r>
      <w:r>
        <w:rPr>
          <w:rFonts w:ascii="Arial" w:cs="Arial" w:eastAsia="Arial" w:hAnsi="Arial"/>
          <w:sz w:val="17"/>
          <w:szCs w:val="17"/>
          <w:color w:val="auto"/>
        </w:rPr>
        <w:t>”) and if complying with such obligations would constitute a repayment of capital (</w:t>
      </w:r>
      <w:r>
        <w:rPr>
          <w:rFonts w:ascii="Arial" w:cs="Arial" w:eastAsia="Arial" w:hAnsi="Arial"/>
          <w:sz w:val="17"/>
          <w:szCs w:val="17"/>
          <w:i w:val="1"/>
          <w:iCs w:val="1"/>
          <w:color w:val="auto"/>
        </w:rPr>
        <w:t>Einlagerückgewähr</w:t>
      </w:r>
      <w:r>
        <w:rPr>
          <w:rFonts w:ascii="Arial" w:cs="Arial" w:eastAsia="Arial" w:hAnsi="Arial"/>
          <w:sz w:val="17"/>
          <w:szCs w:val="17"/>
          <w:color w:val="auto"/>
        </w:rPr>
        <w:t>), a violation of the legally protected reserves (</w:t>
      </w:r>
      <w:r>
        <w:rPr>
          <w:rFonts w:ascii="Arial" w:cs="Arial" w:eastAsia="Arial" w:hAnsi="Arial"/>
          <w:sz w:val="17"/>
          <w:szCs w:val="17"/>
          <w:i w:val="1"/>
          <w:iCs w:val="1"/>
          <w:color w:val="auto"/>
        </w:rPr>
        <w:t>gesetzlich geschützte Reserven</w:t>
      </w:r>
      <w:r>
        <w:rPr>
          <w:rFonts w:ascii="Arial" w:cs="Arial" w:eastAsia="Arial" w:hAnsi="Arial"/>
          <w:sz w:val="17"/>
          <w:szCs w:val="17"/>
          <w:color w:val="auto"/>
        </w:rPr>
        <w:t>) or the payment of a (constructive) dividend (</w:t>
      </w:r>
      <w:r>
        <w:rPr>
          <w:rFonts w:ascii="Arial" w:cs="Arial" w:eastAsia="Arial" w:hAnsi="Arial"/>
          <w:sz w:val="17"/>
          <w:szCs w:val="17"/>
          <w:i w:val="1"/>
          <w:iCs w:val="1"/>
          <w:color w:val="auto"/>
        </w:rPr>
        <w:t>Gewinnausschüttung</w:t>
      </w:r>
      <w:r>
        <w:rPr>
          <w:rFonts w:ascii="Arial" w:cs="Arial" w:eastAsia="Arial" w:hAnsi="Arial"/>
          <w:sz w:val="17"/>
          <w:szCs w:val="17"/>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Arial" w:cs="Arial" w:eastAsia="Arial" w:hAnsi="Arial"/>
          <w:sz w:val="17"/>
          <w:szCs w:val="17"/>
          <w:i w:val="1"/>
          <w:iCs w:val="1"/>
          <w:color w:val="auto"/>
        </w:rPr>
        <w:t>frei verfügbares Eigenkapital</w:t>
      </w:r>
      <w:r>
        <w:rPr>
          <w:rFonts w:ascii="Arial" w:cs="Arial" w:eastAsia="Arial" w:hAnsi="Arial"/>
          <w:sz w:val="17"/>
          <w:szCs w:val="17"/>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17"/>
          <w:szCs w:val="17"/>
          <w:u w:val="single" w:color="auto"/>
          <w:color w:val="auto"/>
        </w:rPr>
        <w:t>Freely Disposable Amount</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8" w:name="page549"/>
    <w:bookmarkEnd w:id="548"/>
    <w:p>
      <w:pPr>
        <w:jc w:val="both"/>
        <w:ind w:firstLine="1305"/>
        <w:spacing w:after="0" w:line="276" w:lineRule="auto"/>
        <w:tabs>
          <w:tab w:leader="none" w:pos="2181" w:val="left"/>
        </w:tabs>
        <w:numPr>
          <w:ilvl w:val="0"/>
          <w:numId w:val="627"/>
        </w:numPr>
        <w:rPr>
          <w:rFonts w:ascii="Arial" w:cs="Arial" w:eastAsia="Arial" w:hAnsi="Arial"/>
          <w:sz w:val="17"/>
          <w:szCs w:val="17"/>
          <w:color w:val="auto"/>
        </w:rPr>
      </w:pPr>
      <w:r>
        <w:rPr>
          <w:rFonts w:ascii="Arial" w:cs="Arial" w:eastAsia="Arial" w:hAnsi="Arial"/>
          <w:sz w:val="17"/>
          <w:szCs w:val="17"/>
          <w:color w:val="auto"/>
        </w:rPr>
        <w:t>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 amounts borrowed under any Loan Document which are on-lent to the Swiss Obligor or to wholly owned direct or indirect subsidiaries of the Swiss Obligor.</w:t>
      </w:r>
    </w:p>
    <w:p>
      <w:pPr>
        <w:spacing w:after="0" w:line="172" w:lineRule="exact"/>
        <w:rPr>
          <w:rFonts w:ascii="Arial" w:cs="Arial" w:eastAsia="Arial" w:hAnsi="Arial"/>
          <w:sz w:val="17"/>
          <w:szCs w:val="17"/>
          <w:color w:val="auto"/>
        </w:rPr>
      </w:pPr>
    </w:p>
    <w:p>
      <w:pPr>
        <w:jc w:val="both"/>
        <w:ind w:firstLine="1305"/>
        <w:spacing w:after="0" w:line="297" w:lineRule="auto"/>
        <w:tabs>
          <w:tab w:leader="none" w:pos="2401" w:val="left"/>
        </w:tabs>
        <w:numPr>
          <w:ilvl w:val="0"/>
          <w:numId w:val="627"/>
        </w:numPr>
        <w:rPr>
          <w:rFonts w:ascii="Arial" w:cs="Arial" w:eastAsia="Arial" w:hAnsi="Arial"/>
          <w:sz w:val="16"/>
          <w:szCs w:val="16"/>
          <w:color w:val="auto"/>
        </w:rPr>
      </w:pPr>
      <w:r>
        <w:rPr>
          <w:rFonts w:ascii="Arial" w:cs="Arial" w:eastAsia="Arial" w:hAnsi="Arial"/>
          <w:sz w:val="16"/>
          <w:szCs w:val="16"/>
          <w:color w:val="auto"/>
        </w:rPr>
        <w:t>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Arial" w:cs="Arial" w:eastAsia="Arial" w:hAnsi="Arial"/>
          <w:sz w:val="16"/>
          <w:szCs w:val="16"/>
          <w:i w:val="1"/>
          <w:iCs w:val="1"/>
          <w:color w:val="auto"/>
        </w:rPr>
        <w:t>nicht betriebsnotwendig</w:t>
      </w:r>
      <w:r>
        <w:rPr>
          <w:rFonts w:ascii="Arial" w:cs="Arial" w:eastAsia="Arial" w:hAnsi="Arial"/>
          <w:sz w:val="16"/>
          <w:szCs w:val="16"/>
          <w:color w:val="auto"/>
        </w:rPr>
        <w:t xml:space="preserve">) and (ii) reduce its share capital to the minimum allowed under then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steps are permitted under the Loan Documents.</w:t>
      </w:r>
    </w:p>
    <w:p>
      <w:pPr>
        <w:spacing w:after="0" w:line="158" w:lineRule="exact"/>
        <w:rPr>
          <w:rFonts w:ascii="Arial" w:cs="Arial" w:eastAsia="Arial" w:hAnsi="Arial"/>
          <w:sz w:val="16"/>
          <w:szCs w:val="16"/>
          <w:color w:val="auto"/>
        </w:rPr>
      </w:pPr>
    </w:p>
    <w:p>
      <w:pPr>
        <w:jc w:val="both"/>
        <w:ind w:firstLine="1305"/>
        <w:spacing w:after="0" w:line="253" w:lineRule="auto"/>
        <w:tabs>
          <w:tab w:leader="none" w:pos="2303"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94" w:lineRule="exact"/>
        <w:rPr>
          <w:rFonts w:ascii="Arial" w:cs="Arial" w:eastAsia="Arial" w:hAnsi="Arial"/>
          <w:sz w:val="18"/>
          <w:szCs w:val="18"/>
          <w:color w:val="auto"/>
        </w:rPr>
      </w:pPr>
    </w:p>
    <w:p>
      <w:pPr>
        <w:ind w:left="2280" w:hanging="975"/>
        <w:spacing w:after="0"/>
        <w:tabs>
          <w:tab w:leader="none" w:pos="2280" w:val="left"/>
        </w:tabs>
        <w:numPr>
          <w:ilvl w:val="0"/>
          <w:numId w:val="627"/>
        </w:numPr>
        <w:rPr>
          <w:rFonts w:ascii="Arial" w:cs="Arial" w:eastAsia="Arial" w:hAnsi="Arial"/>
          <w:sz w:val="16"/>
          <w:szCs w:val="16"/>
          <w:color w:val="auto"/>
        </w:rPr>
      </w:pPr>
      <w:r>
        <w:rPr>
          <w:rFonts w:ascii="Arial" w:cs="Arial" w:eastAsia="Arial" w:hAnsi="Arial"/>
          <w:sz w:val="16"/>
          <w:szCs w:val="16"/>
          <w:color w:val="auto"/>
        </w:rPr>
        <w:t>If so required under applicable law (including tax treaties) at the time it is required to make a payment under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Swiss Obligor:</w:t>
      </w:r>
    </w:p>
    <w:p>
      <w:pPr>
        <w:spacing w:after="0" w:line="210" w:lineRule="exact"/>
        <w:rPr>
          <w:rFonts w:ascii="Arial" w:cs="Arial" w:eastAsia="Arial" w:hAnsi="Arial"/>
          <w:sz w:val="16"/>
          <w:szCs w:val="16"/>
          <w:color w:val="auto"/>
        </w:rPr>
      </w:pPr>
    </w:p>
    <w:p>
      <w:pPr>
        <w:jc w:val="both"/>
        <w:ind w:left="660" w:firstLine="1293"/>
        <w:spacing w:after="0" w:line="264" w:lineRule="auto"/>
        <w:tabs>
          <w:tab w:leader="none" w:pos="3053" w:val="left"/>
        </w:tabs>
        <w:numPr>
          <w:ilvl w:val="1"/>
          <w:numId w:val="627"/>
        </w:numPr>
        <w:rPr>
          <w:rFonts w:ascii="Arial" w:cs="Arial" w:eastAsia="Arial" w:hAnsi="Arial"/>
          <w:sz w:val="18"/>
          <w:szCs w:val="18"/>
          <w:color w:val="auto"/>
        </w:rPr>
      </w:pPr>
      <w:r>
        <w:rPr>
          <w:rFonts w:ascii="Arial" w:cs="Arial" w:eastAsia="Arial" w:hAnsi="Arial"/>
          <w:sz w:val="18"/>
          <w:szCs w:val="18"/>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81" w:lineRule="exact"/>
        <w:rPr>
          <w:rFonts w:ascii="Arial" w:cs="Arial" w:eastAsia="Arial" w:hAnsi="Arial"/>
          <w:sz w:val="18"/>
          <w:szCs w:val="18"/>
          <w:color w:val="auto"/>
        </w:rPr>
      </w:pPr>
    </w:p>
    <w:p>
      <w:pPr>
        <w:jc w:val="both"/>
        <w:ind w:left="660" w:firstLine="1293"/>
        <w:spacing w:after="0" w:line="279" w:lineRule="auto"/>
        <w:tabs>
          <w:tab w:leader="none" w:pos="2860" w:val="left"/>
        </w:tabs>
        <w:numPr>
          <w:ilvl w:val="1"/>
          <w:numId w:val="627"/>
        </w:numPr>
        <w:rPr>
          <w:rFonts w:ascii="Arial" w:cs="Arial" w:eastAsia="Arial" w:hAnsi="Arial"/>
          <w:sz w:val="17"/>
          <w:szCs w:val="17"/>
          <w:color w:val="auto"/>
        </w:rPr>
      </w:pPr>
      <w:r>
        <w:rPr>
          <w:rFonts w:ascii="Arial" w:cs="Arial" w:eastAsia="Arial" w:hAnsi="Arial"/>
          <w:sz w:val="17"/>
          <w:szCs w:val="17"/>
          <w:color w:val="auto"/>
        </w:rPr>
        <w:t xml:space="preserve">shall deduct the Swiss withholding tax at such rate (being 35% on the date hereof) as in force from time to time if the notification procedure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applies for a part of the Swiss withholding tax only; and shall pay within the time allowed any such taxes deducted to the Swiss Federal Tax Administration;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9" w:name="page550"/>
    <w:bookmarkEnd w:id="549"/>
    <w:p>
      <w:pPr>
        <w:jc w:val="both"/>
        <w:ind w:left="660" w:right="20" w:firstLine="1293"/>
        <w:spacing w:after="0" w:line="264" w:lineRule="auto"/>
        <w:tabs>
          <w:tab w:leader="none" w:pos="2807" w:val="left"/>
        </w:tabs>
        <w:numPr>
          <w:ilvl w:val="1"/>
          <w:numId w:val="628"/>
        </w:numPr>
        <w:rPr>
          <w:rFonts w:ascii="Arial" w:cs="Arial" w:eastAsia="Arial" w:hAnsi="Arial"/>
          <w:sz w:val="18"/>
          <w:szCs w:val="18"/>
          <w:color w:val="auto"/>
        </w:rPr>
      </w:pPr>
      <w:r>
        <w:rPr>
          <w:rFonts w:ascii="Arial" w:cs="Arial" w:eastAsia="Arial" w:hAnsi="Arial"/>
          <w:sz w:val="18"/>
          <w:szCs w:val="18"/>
          <w:color w:val="auto"/>
        </w:rPr>
        <w:t>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23" w:val="left"/>
        </w:tabs>
        <w:numPr>
          <w:ilvl w:val="0"/>
          <w:numId w:val="629"/>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81" w:lineRule="exact"/>
        <w:rPr>
          <w:rFonts w:ascii="Arial" w:cs="Arial" w:eastAsia="Arial" w:hAnsi="Arial"/>
          <w:sz w:val="18"/>
          <w:szCs w:val="18"/>
          <w:color w:val="auto"/>
        </w:rPr>
      </w:pPr>
    </w:p>
    <w:p>
      <w:pPr>
        <w:ind w:left="2880" w:hanging="927"/>
        <w:spacing w:after="0"/>
        <w:tabs>
          <w:tab w:leader="none" w:pos="288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request a refund of the Swiss withholding tax under applicable law (including tax treaties), and</w:t>
      </w:r>
    </w:p>
    <w:p>
      <w:pPr>
        <w:spacing w:after="0" w:line="225" w:lineRule="exact"/>
        <w:rPr>
          <w:sz w:val="20"/>
          <w:szCs w:val="20"/>
          <w:color w:val="auto"/>
        </w:rPr>
      </w:pPr>
    </w:p>
    <w:p>
      <w:pPr>
        <w:ind w:left="2800" w:hanging="847"/>
        <w:spacing w:after="0"/>
        <w:tabs>
          <w:tab w:leader="none" w:pos="28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pay to the Administrative Agent upon receipt any amount so refunded.</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Administrative Agent shall co-operate with the Swiss Obligor to secure such refund.</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397" w:val="left"/>
        </w:tabs>
        <w:numPr>
          <w:ilvl w:val="0"/>
          <w:numId w:val="631"/>
        </w:numPr>
        <w:rPr>
          <w:rFonts w:ascii="Arial" w:cs="Arial" w:eastAsia="Arial" w:hAnsi="Arial"/>
          <w:sz w:val="18"/>
          <w:szCs w:val="18"/>
          <w:color w:val="auto"/>
        </w:rPr>
      </w:pPr>
      <w:r>
        <w:rPr>
          <w:rFonts w:ascii="Arial" w:cs="Arial" w:eastAsia="Arial" w:hAnsi="Arial"/>
          <w:sz w:val="18"/>
          <w:szCs w:val="18"/>
          <w:color w:val="auto"/>
        </w:rPr>
        <w:t xml:space="preserve">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UK Limitation</w:t>
      </w:r>
      <w:r>
        <w:rPr>
          <w:rFonts w:ascii="Arial" w:cs="Arial" w:eastAsia="Arial" w:hAnsi="Arial"/>
          <w:sz w:val="18"/>
          <w:szCs w:val="18"/>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Conditions Precedent to the Effective Date</w:t>
      </w:r>
      <w:r>
        <w:rPr>
          <w:rFonts w:ascii="Arial" w:cs="Arial" w:eastAsia="Arial" w:hAnsi="Arial"/>
          <w:sz w:val="16"/>
          <w:szCs w:val="16"/>
          <w:color w:val="auto"/>
        </w:rPr>
        <w:t>. The obligation of each Issuing Bank to issue any Letter of Credit (including</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deemed issuance of Existing Letters of Credit), on or after the Effective Date for the account of any Borrower is subject to satisfaction of the following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50" w:name="page551"/>
    <w:bookmarkEnd w:id="550"/>
    <w:p>
      <w:pPr>
        <w:ind w:left="2600" w:hanging="1295"/>
        <w:spacing w:after="0"/>
        <w:tabs>
          <w:tab w:leader="none" w:pos="2600" w:val="left"/>
        </w:tabs>
        <w:numPr>
          <w:ilvl w:val="1"/>
          <w:numId w:val="632"/>
        </w:numPr>
        <w:rPr>
          <w:rFonts w:ascii="Arial" w:cs="Arial" w:eastAsia="Arial" w:hAnsi="Arial"/>
          <w:sz w:val="17"/>
          <w:szCs w:val="17"/>
          <w:color w:val="auto"/>
        </w:rPr>
      </w:pPr>
      <w:r>
        <w:rPr>
          <w:rFonts w:ascii="Arial" w:cs="Arial" w:eastAsia="Arial" w:hAnsi="Arial"/>
          <w:sz w:val="17"/>
          <w:szCs w:val="17"/>
          <w:color w:val="auto"/>
        </w:rPr>
        <w:t>The Administrative Agent shall have received the following, all in form and substance reasonably satisfactory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Administrative Agent:</w:t>
      </w:r>
    </w:p>
    <w:p>
      <w:pPr>
        <w:spacing w:after="0" w:line="210" w:lineRule="exact"/>
        <w:rPr>
          <w:rFonts w:ascii="Arial" w:cs="Arial" w:eastAsia="Arial" w:hAnsi="Arial"/>
          <w:sz w:val="17"/>
          <w:szCs w:val="17"/>
          <w:color w:val="auto"/>
        </w:rPr>
      </w:pPr>
    </w:p>
    <w:p>
      <w:pPr>
        <w:ind w:left="2880" w:hanging="927"/>
        <w:spacing w:after="0"/>
        <w:tabs>
          <w:tab w:leader="none" w:pos="2880" w:val="left"/>
        </w:tabs>
        <w:numPr>
          <w:ilvl w:val="2"/>
          <w:numId w:val="632"/>
        </w:numPr>
        <w:rPr>
          <w:rFonts w:ascii="Arial" w:cs="Arial" w:eastAsia="Arial" w:hAnsi="Arial"/>
          <w:sz w:val="18"/>
          <w:szCs w:val="18"/>
          <w:color w:val="auto"/>
        </w:rPr>
      </w:pPr>
      <w:r>
        <w:rPr>
          <w:rFonts w:ascii="Arial" w:cs="Arial" w:eastAsia="Arial" w:hAnsi="Arial"/>
          <w:sz w:val="18"/>
          <w:szCs w:val="18"/>
          <w:color w:val="auto"/>
        </w:rPr>
        <w:t>this Agreement executed by each Person listed on the signature pages hereof;</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2"/>
          <w:numId w:val="632"/>
        </w:numPr>
        <w:rPr>
          <w:rFonts w:ascii="Arial" w:cs="Arial" w:eastAsia="Arial" w:hAnsi="Arial"/>
          <w:sz w:val="18"/>
          <w:szCs w:val="18"/>
          <w:color w:val="auto"/>
        </w:rPr>
      </w:pPr>
      <w:r>
        <w:rPr>
          <w:rFonts w:ascii="Arial" w:cs="Arial" w:eastAsia="Arial" w:hAnsi="Arial"/>
          <w:sz w:val="18"/>
          <w:szCs w:val="18"/>
          <w:color w:val="auto"/>
        </w:rPr>
        <w:t>the Affiliate Guaranty executed by each Guarantor existing as of the Effective Date;</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2"/>
          <w:numId w:val="632"/>
        </w:numPr>
        <w:rPr>
          <w:rFonts w:ascii="Arial" w:cs="Arial" w:eastAsia="Arial" w:hAnsi="Arial"/>
          <w:sz w:val="18"/>
          <w:szCs w:val="18"/>
          <w:color w:val="auto"/>
        </w:rPr>
      </w:pPr>
      <w:r>
        <w:rPr>
          <w:rFonts w:ascii="Arial" w:cs="Arial" w:eastAsia="Arial" w:hAnsi="Arial"/>
          <w:sz w:val="18"/>
          <w:szCs w:val="18"/>
          <w:color w:val="auto"/>
        </w:rPr>
        <w:t>the Intercreditor Agreement executed by each Person listed on the signature pages thereof;</w:t>
      </w:r>
    </w:p>
    <w:p>
      <w:pPr>
        <w:spacing w:after="0" w:line="225" w:lineRule="exact"/>
        <w:rPr>
          <w:rFonts w:ascii="Arial" w:cs="Arial" w:eastAsia="Arial" w:hAnsi="Arial"/>
          <w:sz w:val="18"/>
          <w:szCs w:val="18"/>
          <w:color w:val="auto"/>
        </w:rPr>
      </w:pPr>
    </w:p>
    <w:p>
      <w:pPr>
        <w:jc w:val="both"/>
        <w:ind w:left="660" w:firstLine="1293"/>
        <w:spacing w:after="0" w:line="270" w:lineRule="auto"/>
        <w:tabs>
          <w:tab w:leader="none" w:pos="2828" w:val="left"/>
        </w:tabs>
        <w:numPr>
          <w:ilvl w:val="2"/>
          <w:numId w:val="632"/>
        </w:numPr>
        <w:rPr>
          <w:rFonts w:ascii="Arial" w:cs="Arial" w:eastAsia="Arial" w:hAnsi="Arial"/>
          <w:sz w:val="17"/>
          <w:szCs w:val="17"/>
          <w:color w:val="auto"/>
        </w:rPr>
      </w:pPr>
      <w:r>
        <w:rPr>
          <w:rFonts w:ascii="Arial" w:cs="Arial" w:eastAsia="Arial" w:hAnsi="Arial"/>
          <w:sz w:val="17"/>
          <w:szCs w:val="17"/>
          <w:color w:val="auto"/>
        </w:rPr>
        <w:t>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issuance (or deemed issuance) of any Letter of Credit, (C) that it and each other Obligor constitute a group of companies for the purposes of section 243 of the Companies Act 2014 of Ireland, (D) confirming that its entry into the Loan Documents does not constitute unlawful financial assistance for the purposes of Section 82 of the Companies Act 2014 of Ireland, and (E) that no notice pursuant to Section 1002 of the Taxes Consolidation Act 1997 (as from time to time amended, replaced or re-enacted) has been served on Parent by the Irish Revenue Commissioners;</w:t>
      </w:r>
    </w:p>
    <w:p>
      <w:pPr>
        <w:spacing w:after="0" w:line="177" w:lineRule="exact"/>
        <w:rPr>
          <w:rFonts w:ascii="Arial" w:cs="Arial" w:eastAsia="Arial" w:hAnsi="Arial"/>
          <w:sz w:val="17"/>
          <w:szCs w:val="17"/>
          <w:color w:val="auto"/>
        </w:rPr>
      </w:pPr>
    </w:p>
    <w:p>
      <w:pPr>
        <w:jc w:val="both"/>
        <w:ind w:left="660" w:firstLine="1293"/>
        <w:spacing w:after="0" w:line="291" w:lineRule="auto"/>
        <w:tabs>
          <w:tab w:leader="none" w:pos="3030" w:val="left"/>
        </w:tabs>
        <w:numPr>
          <w:ilvl w:val="2"/>
          <w:numId w:val="632"/>
        </w:numPr>
        <w:rPr>
          <w:rFonts w:ascii="Arial" w:cs="Arial" w:eastAsia="Arial" w:hAnsi="Arial"/>
          <w:sz w:val="16"/>
          <w:szCs w:val="16"/>
          <w:color w:val="auto"/>
        </w:rPr>
      </w:pPr>
      <w:r>
        <w:rPr>
          <w:rFonts w:ascii="Arial" w:cs="Arial" w:eastAsia="Arial" w:hAnsi="Arial"/>
          <w:sz w:val="16"/>
          <w:szCs w:val="16"/>
          <w:color w:val="auto"/>
        </w:rPr>
        <w:t>a certificate of the secretary or an assistant secretary or other Responsible Officer of each Obligor (other than any Obligor incorporated in England and Wales) (and in the case of a Luxembourg Obligor, a manager (</w:t>
      </w:r>
      <w:r>
        <w:rPr>
          <w:rFonts w:ascii="Arial" w:cs="Arial" w:eastAsia="Arial" w:hAnsi="Arial"/>
          <w:sz w:val="16"/>
          <w:szCs w:val="16"/>
          <w:i w:val="1"/>
          <w:iCs w:val="1"/>
          <w:color w:val="auto"/>
        </w:rPr>
        <w:t>gérant</w:t>
      </w:r>
      <w:r>
        <w:rPr>
          <w:rFonts w:ascii="Arial" w:cs="Arial" w:eastAsia="Arial" w:hAnsi="Arial"/>
          <w:sz w:val="16"/>
          <w:szCs w:val="16"/>
          <w:color w:val="auto"/>
        </w:rPr>
        <w:t>)), dated the Effective Date and certifying</w:t>
      </w:r>
    </w:p>
    <w:p>
      <w:pPr>
        <w:jc w:val="both"/>
        <w:ind w:left="660" w:hanging="4"/>
        <w:spacing w:after="0" w:line="281" w:lineRule="auto"/>
        <w:tabs>
          <w:tab w:leader="none" w:pos="985" w:val="left"/>
        </w:tabs>
        <w:numPr>
          <w:ilvl w:val="0"/>
          <w:numId w:val="633"/>
        </w:numPr>
        <w:rPr>
          <w:rFonts w:ascii="Arial" w:cs="Arial" w:eastAsia="Arial" w:hAnsi="Arial"/>
          <w:sz w:val="16"/>
          <w:szCs w:val="16"/>
          <w:color w:val="auto"/>
        </w:rPr>
      </w:pPr>
      <w:r>
        <w:rPr>
          <w:rFonts w:ascii="Arial" w:cs="Arial" w:eastAsia="Arial" w:hAnsi="Arial"/>
          <w:sz w:val="16"/>
          <w:szCs w:val="16"/>
          <w:color w:val="auto"/>
        </w:rPr>
        <w:t>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w:t>
      </w:r>
    </w:p>
    <w:p>
      <w:pPr>
        <w:spacing w:after="0" w:line="6" w:lineRule="exact"/>
        <w:rPr>
          <w:rFonts w:ascii="Arial" w:cs="Arial" w:eastAsia="Arial" w:hAnsi="Arial"/>
          <w:sz w:val="16"/>
          <w:szCs w:val="16"/>
          <w:color w:val="auto"/>
        </w:rPr>
      </w:pPr>
    </w:p>
    <w:p>
      <w:pPr>
        <w:jc w:val="both"/>
        <w:ind w:left="660" w:hanging="4"/>
        <w:spacing w:after="0" w:line="268" w:lineRule="auto"/>
        <w:tabs>
          <w:tab w:leader="none" w:pos="963" w:val="left"/>
        </w:tabs>
        <w:numPr>
          <w:ilvl w:val="0"/>
          <w:numId w:val="634"/>
        </w:numPr>
        <w:rPr>
          <w:rFonts w:ascii="Arial" w:cs="Arial" w:eastAsia="Arial" w:hAnsi="Arial"/>
          <w:sz w:val="17"/>
          <w:szCs w:val="17"/>
          <w:color w:val="auto"/>
        </w:rPr>
      </w:pPr>
      <w:r>
        <w:rPr>
          <w:rFonts w:ascii="Arial" w:cs="Arial" w:eastAsia="Arial" w:hAnsi="Arial"/>
          <w:sz w:val="17"/>
          <w:szCs w:val="17"/>
          <w:color w:val="auto"/>
        </w:rPr>
        <w:t>the absence of any proceedings for the bankruptcy, dissolution, liquidation or winding up of such Obligor (and in the case of a Luxembourg Obligor, that it is not subject to insolvency proceedings such as bankruptcy (</w:t>
      </w:r>
      <w:r>
        <w:rPr>
          <w:rFonts w:ascii="Arial" w:cs="Arial" w:eastAsia="Arial" w:hAnsi="Arial"/>
          <w:sz w:val="17"/>
          <w:szCs w:val="17"/>
          <w:i w:val="1"/>
          <w:iCs w:val="1"/>
          <w:color w:val="auto"/>
        </w:rPr>
        <w:t>faillite</w:t>
      </w:r>
      <w:r>
        <w:rPr>
          <w:rFonts w:ascii="Arial" w:cs="Arial" w:eastAsia="Arial" w:hAnsi="Arial"/>
          <w:sz w:val="17"/>
          <w:szCs w:val="17"/>
          <w:color w:val="auto"/>
        </w:rPr>
        <w:t>), compulsory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voluntary liquidation (</w:t>
      </w:r>
      <w:r>
        <w:rPr>
          <w:rFonts w:ascii="Arial" w:cs="Arial" w:eastAsia="Arial" w:hAnsi="Arial"/>
          <w:sz w:val="17"/>
          <w:szCs w:val="17"/>
          <w:i w:val="1"/>
          <w:iCs w:val="1"/>
          <w:color w:val="auto"/>
        </w:rPr>
        <w:t>liquidation volontaire</w:t>
      </w:r>
      <w:r>
        <w:rPr>
          <w:rFonts w:ascii="Arial" w:cs="Arial" w:eastAsia="Arial" w:hAnsi="Arial"/>
          <w:sz w:val="17"/>
          <w:szCs w:val="17"/>
          <w:color w:val="auto"/>
        </w:rPr>
        <w:t>), winding-up, moratorium, composition with creditors (</w:t>
      </w:r>
      <w:r>
        <w:rPr>
          <w:rFonts w:ascii="Arial" w:cs="Arial" w:eastAsia="Arial" w:hAnsi="Arial"/>
          <w:sz w:val="17"/>
          <w:szCs w:val="17"/>
          <w:i w:val="1"/>
          <w:iCs w:val="1"/>
          <w:color w:val="auto"/>
        </w:rPr>
        <w:t>gestion contrôlé</w:t>
      </w:r>
      <w:r>
        <w:rPr>
          <w:rFonts w:ascii="Arial" w:cs="Arial" w:eastAsia="Arial" w:hAnsi="Arial"/>
          <w:sz w:val="17"/>
          <w:szCs w:val="17"/>
          <w:color w:val="auto"/>
        </w:rPr>
        <w:t>), suspension of payments (</w:t>
      </w:r>
      <w:r>
        <w:rPr>
          <w:rFonts w:ascii="Arial" w:cs="Arial" w:eastAsia="Arial" w:hAnsi="Arial"/>
          <w:sz w:val="17"/>
          <w:szCs w:val="17"/>
          <w:i w:val="1"/>
          <w:iCs w:val="1"/>
          <w:color w:val="auto"/>
        </w:rPr>
        <w:t>sursis de</w:t>
      </w:r>
      <w:r>
        <w:rPr>
          <w:rFonts w:ascii="Arial" w:cs="Arial" w:eastAsia="Arial" w:hAnsi="Arial"/>
          <w:sz w:val="17"/>
          <w:szCs w:val="17"/>
          <w:color w:val="auto"/>
        </w:rPr>
        <w:t xml:space="preserve"> </w:t>
      </w:r>
      <w:r>
        <w:rPr>
          <w:rFonts w:ascii="Arial" w:cs="Arial" w:eastAsia="Arial" w:hAnsi="Arial"/>
          <w:sz w:val="17"/>
          <w:szCs w:val="17"/>
          <w:i w:val="1"/>
          <w:iCs w:val="1"/>
          <w:color w:val="auto"/>
        </w:rPr>
        <w:t>paiement</w:t>
      </w:r>
      <w:r>
        <w:rPr>
          <w:rFonts w:ascii="Arial" w:cs="Arial" w:eastAsia="Arial" w:hAnsi="Arial"/>
          <w:sz w:val="17"/>
          <w:szCs w:val="17"/>
          <w:color w:val="auto"/>
        </w:rPr>
        <w:t>), voluntary arrangement with creditors (</w:t>
      </w:r>
      <w:r>
        <w:rPr>
          <w:rFonts w:ascii="Arial" w:cs="Arial" w:eastAsia="Arial" w:hAnsi="Arial"/>
          <w:sz w:val="17"/>
          <w:szCs w:val="17"/>
          <w:i w:val="1"/>
          <w:iCs w:val="1"/>
          <w:color w:val="auto"/>
        </w:rPr>
        <w:t>concordate préventif de la faillite</w:t>
      </w:r>
      <w:r>
        <w:rPr>
          <w:rFonts w:ascii="Arial" w:cs="Arial" w:eastAsia="Arial" w:hAnsi="Arial"/>
          <w:sz w:val="17"/>
          <w:szCs w:val="17"/>
          <w:color w:val="auto"/>
        </w:rPr>
        <w:t>), fraudulent conveyance, general settlement with creditors,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Arial" w:cs="Arial" w:eastAsia="Arial" w:hAnsi="Arial"/>
          <w:sz w:val="17"/>
          <w:szCs w:val="17"/>
          <w:u w:val="single" w:color="auto"/>
          <w:color w:val="auto"/>
        </w:rPr>
        <w:t>Section 5.01(a)(i)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5.01(a)(xi)</w:t>
      </w:r>
      <w:r>
        <w:rPr>
          <w:rFonts w:ascii="Arial" w:cs="Arial" w:eastAsia="Arial" w:hAnsi="Arial"/>
          <w:sz w:val="17"/>
          <w:szCs w:val="17"/>
          <w:color w:val="auto"/>
        </w:rPr>
        <w:t xml:space="preserve"> is correct, complete and in full force and effect as at a date no earlier than the date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1" w:name="page552"/>
    <w:bookmarkEnd w:id="551"/>
    <w:p>
      <w:pPr>
        <w:jc w:val="both"/>
        <w:ind w:left="4" w:firstLine="1293"/>
        <w:spacing w:after="0" w:line="286" w:lineRule="auto"/>
        <w:tabs>
          <w:tab w:leader="none" w:pos="2213" w:val="left"/>
        </w:tabs>
        <w:numPr>
          <w:ilvl w:val="1"/>
          <w:numId w:val="635"/>
        </w:numPr>
        <w:rPr>
          <w:rFonts w:ascii="Arial" w:cs="Arial" w:eastAsia="Arial" w:hAnsi="Arial"/>
          <w:sz w:val="16"/>
          <w:szCs w:val="16"/>
          <w:color w:val="auto"/>
        </w:rPr>
      </w:pPr>
      <w:r>
        <w:rPr>
          <w:rFonts w:ascii="Arial" w:cs="Arial" w:eastAsia="Arial" w:hAnsi="Arial"/>
          <w:sz w:val="16"/>
          <w:szCs w:val="16"/>
          <w:color w:val="auto"/>
        </w:rPr>
        <w:t xml:space="preserve">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 (D) a specimen of the signature of each person authorised by the resolution referred to in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Arial" w:cs="Arial" w:eastAsia="Arial" w:hAnsi="Arial"/>
          <w:sz w:val="16"/>
          <w:szCs w:val="16"/>
          <w:u w:val="single" w:color="auto"/>
          <w:color w:val="auto"/>
        </w:rPr>
        <w:t>paragraph (vi)</w:t>
      </w:r>
      <w:r>
        <w:rPr>
          <w:rFonts w:ascii="Arial" w:cs="Arial" w:eastAsia="Arial" w:hAnsi="Arial"/>
          <w:sz w:val="16"/>
          <w:szCs w:val="16"/>
          <w:color w:val="auto"/>
        </w:rPr>
        <w:t xml:space="preserve"> is correct, complete and (to the extent executed) in full force and effect and has not been amended or superseded as at a date no earlier than the Effective Date;</w:t>
      </w:r>
    </w:p>
    <w:p>
      <w:pPr>
        <w:spacing w:after="0" w:line="174" w:lineRule="exact"/>
        <w:rPr>
          <w:rFonts w:ascii="Arial" w:cs="Arial" w:eastAsia="Arial" w:hAnsi="Arial"/>
          <w:sz w:val="16"/>
          <w:szCs w:val="16"/>
          <w:color w:val="auto"/>
        </w:rPr>
      </w:pPr>
    </w:p>
    <w:p>
      <w:pPr>
        <w:jc w:val="both"/>
        <w:ind w:left="4" w:firstLine="1293"/>
        <w:spacing w:after="0" w:line="291" w:lineRule="auto"/>
        <w:tabs>
          <w:tab w:leader="none" w:pos="206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w:t>
      </w:r>
    </w:p>
    <w:p>
      <w:pPr>
        <w:jc w:val="both"/>
        <w:ind w:left="4" w:hanging="4"/>
        <w:spacing w:after="0" w:line="267" w:lineRule="auto"/>
        <w:tabs>
          <w:tab w:leader="none" w:pos="294" w:val="left"/>
        </w:tabs>
        <w:numPr>
          <w:ilvl w:val="0"/>
          <w:numId w:val="636"/>
        </w:numPr>
        <w:rPr>
          <w:rFonts w:ascii="Arial" w:cs="Arial" w:eastAsia="Arial" w:hAnsi="Arial"/>
          <w:sz w:val="17"/>
          <w:szCs w:val="17"/>
          <w:color w:val="auto"/>
        </w:rPr>
      </w:pPr>
      <w:r>
        <w:rPr>
          <w:rFonts w:ascii="Arial" w:cs="Arial" w:eastAsia="Arial" w:hAnsi="Arial"/>
          <w:sz w:val="17"/>
          <w:szCs w:val="17"/>
          <w:color w:val="auto"/>
        </w:rPr>
        <w:t>Conyers Dill &amp; Pearman Limited, special Bermuda counsel to WIL-Bermuda, (C) Baker McKenzie, Geneva, special Swiss counsel to certain of the Obligors, (D) Matheson, special Irish counsel to Parent, (E) Dentons Canada LLP, special British Columbia, Alberta and Ontario counsel to certain of the Obligors, Stewart McKelvey, special Nova Scotia and Newfoundland counsel to certain of the Obligors, MLT Aikins LLP, special Saskatchewan counsel to certain of the Obligors and Thompson Dorfman Sweatman LLP, special Manitoba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Weatherford U.S., L.P., (J) Norton Rose Fulbright, special Australian counsel to the Administrative Agent, (K) BAHR, special Norwegian counsel to the Administrative Agent, (L) Baker &amp; McKenzie Amsterdam N.V., special Dutch counsel to certain of the Obligors, (M) Holland &amp; Hart LLP, special Nevada and Wyoming counsel to certain of the Obligors, (N) Baker &amp; McKenzie, special German counsel to certain of the Obligors, and (O) Arias, Fábrega &amp; Fábrega, special Panamanian counsel to certain of the Obligors, in each case, given upon the express instruction of the applicable Obligor(s), as applicable;</w:t>
      </w:r>
    </w:p>
    <w:p>
      <w:pPr>
        <w:spacing w:after="0" w:line="200" w:lineRule="exact"/>
        <w:rPr>
          <w:sz w:val="20"/>
          <w:szCs w:val="20"/>
          <w:color w:val="auto"/>
        </w:rPr>
      </w:pPr>
    </w:p>
    <w:p>
      <w:pPr>
        <w:spacing w:after="0" w:line="20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52" w:name="page553"/>
    <w:bookmarkEnd w:id="552"/>
    <w:p>
      <w:pPr>
        <w:ind w:left="-540" w:firstLine="1293"/>
        <w:spacing w:after="0" w:line="308" w:lineRule="auto"/>
        <w:tabs>
          <w:tab w:leader="none" w:pos="1476" w:val="left"/>
        </w:tabs>
        <w:numPr>
          <w:ilvl w:val="0"/>
          <w:numId w:val="637"/>
        </w:numPr>
        <w:rPr>
          <w:rFonts w:ascii="Arial" w:cs="Arial" w:eastAsia="Arial" w:hAnsi="Arial"/>
          <w:sz w:val="17"/>
          <w:szCs w:val="17"/>
          <w:color w:val="auto"/>
        </w:rPr>
      </w:pPr>
      <w:r>
        <w:rPr>
          <w:rFonts w:ascii="Arial" w:cs="Arial" w:eastAsia="Arial" w:hAnsi="Arial"/>
          <w:sz w:val="17"/>
          <w:szCs w:val="17"/>
          <w:color w:val="auto"/>
        </w:rPr>
        <w:t>a certificate of a Principal Financial Officer of Parent certifying that, after giving effect to the Transactions (as defined in this Agreement on the Effective Date), the Parent and its Subsidiaries on a consolidated basis are Solvent as of the Effective Date;</w:t>
      </w:r>
    </w:p>
    <w:p>
      <w:pPr>
        <w:spacing w:after="0" w:line="146" w:lineRule="exact"/>
        <w:rPr>
          <w:rFonts w:ascii="Arial" w:cs="Arial" w:eastAsia="Arial" w:hAnsi="Arial"/>
          <w:sz w:val="17"/>
          <w:szCs w:val="17"/>
          <w:color w:val="auto"/>
        </w:rPr>
      </w:pPr>
    </w:p>
    <w:p>
      <w:pPr>
        <w:jc w:val="both"/>
        <w:ind w:left="-540" w:firstLine="1293"/>
        <w:spacing w:after="0" w:line="286" w:lineRule="auto"/>
        <w:tabs>
          <w:tab w:leader="none" w:pos="1885" w:val="left"/>
        </w:tabs>
        <w:numPr>
          <w:ilvl w:val="0"/>
          <w:numId w:val="637"/>
        </w:numPr>
        <w:rPr>
          <w:rFonts w:ascii="Arial" w:cs="Arial" w:eastAsia="Arial" w:hAnsi="Arial"/>
          <w:sz w:val="16"/>
          <w:szCs w:val="16"/>
          <w:color w:val="auto"/>
        </w:rPr>
      </w:pPr>
      <w:r>
        <w:rPr>
          <w:rFonts w:ascii="Arial" w:cs="Arial" w:eastAsia="Arial" w:hAnsi="Arial"/>
          <w:sz w:val="16"/>
          <w:szCs w:val="16"/>
          <w:color w:val="auto"/>
        </w:rPr>
        <w:t xml:space="preserve">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good standing and qualification to do business as a foreign entity, of each Obligor (other than any Obligor incorporated in England and Wales) in each jurisdiction in which the ownership of its properties or the conduct of its business requires such qualification and where the failure to so qualify would, individually or collectively, have a Material Adverse Effect, (C) to the extent not covered by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Arial" w:cs="Arial" w:eastAsia="Arial" w:hAnsi="Arial"/>
          <w:sz w:val="16"/>
          <w:szCs w:val="16"/>
          <w:i w:val="1"/>
          <w:iCs w:val="1"/>
          <w:color w:val="auto"/>
        </w:rPr>
        <w:t>Registre de Commerce et des Sociétés</w:t>
      </w:r>
      <w:r>
        <w:rPr>
          <w:rFonts w:ascii="Arial" w:cs="Arial" w:eastAsia="Arial" w:hAnsi="Arial"/>
          <w:sz w:val="16"/>
          <w:szCs w:val="16"/>
          <w:color w:val="auto"/>
        </w:rPr>
        <w:t>) in Luxembourg (the “</w:t>
      </w:r>
      <w:r>
        <w:rPr>
          <w:rFonts w:ascii="Arial" w:cs="Arial" w:eastAsia="Arial" w:hAnsi="Arial"/>
          <w:sz w:val="16"/>
          <w:szCs w:val="16"/>
          <w:u w:val="single" w:color="auto"/>
          <w:color w:val="auto"/>
        </w:rPr>
        <w:t>RCS</w:t>
      </w:r>
      <w:r>
        <w:rPr>
          <w:rFonts w:ascii="Arial" w:cs="Arial" w:eastAsia="Arial" w:hAnsi="Arial"/>
          <w:sz w:val="16"/>
          <w:szCs w:val="16"/>
          <w:color w:val="auto"/>
        </w:rPr>
        <w:t>”) as at a date no earlier than the Effective Date and an up-to-date, true and complete electronic excerpt of the RCS as at a date no earlier than the Effective Date;</w:t>
      </w:r>
    </w:p>
    <w:p>
      <w:pPr>
        <w:spacing w:after="0" w:line="38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53" w:name="page554"/>
    <w:bookmarkEnd w:id="553"/>
    <w:p>
      <w:pPr>
        <w:ind w:firstLine="1293"/>
        <w:spacing w:after="0" w:line="277" w:lineRule="auto"/>
        <w:tabs>
          <w:tab w:leader="none" w:pos="2451"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U.S. Security Agreement and the Canadian Security Agreement dated as of the Effective Date, in each case executed by each Obligor listed on the signature pages thereof;</w:t>
      </w:r>
    </w:p>
    <w:p>
      <w:pPr>
        <w:spacing w:after="0" w:line="170" w:lineRule="exact"/>
        <w:rPr>
          <w:rFonts w:ascii="Arial" w:cs="Arial" w:eastAsia="Arial" w:hAnsi="Arial"/>
          <w:sz w:val="18"/>
          <w:szCs w:val="18"/>
          <w:color w:val="auto"/>
        </w:rPr>
      </w:pPr>
    </w:p>
    <w:p>
      <w:pPr>
        <w:ind w:right="20" w:firstLine="1293"/>
        <w:spacing w:after="0" w:line="277" w:lineRule="auto"/>
        <w:tabs>
          <w:tab w:leader="none" w:pos="2168" w:val="left"/>
        </w:tabs>
        <w:numPr>
          <w:ilvl w:val="0"/>
          <w:numId w:val="638"/>
        </w:numPr>
        <w:rPr>
          <w:rFonts w:ascii="Arial" w:cs="Arial" w:eastAsia="Arial" w:hAnsi="Arial"/>
          <w:sz w:val="18"/>
          <w:szCs w:val="18"/>
          <w:color w:val="auto"/>
        </w:rPr>
      </w:pPr>
      <w:r>
        <w:rPr>
          <w:rFonts w:ascii="Arial" w:cs="Arial" w:eastAsia="Arial" w:hAnsi="Arial"/>
          <w:sz w:val="18"/>
          <w:szCs w:val="18"/>
          <w:color w:val="auto"/>
        </w:rPr>
        <w:t>a Pledge Agreement governed by the laws of the Province of Alberta executed by Weatherford Holdings (Switzerland) Gmbh and pledging the Capital Stock of Weatherford Canada Ltd.;</w:t>
      </w:r>
    </w:p>
    <w:p>
      <w:pPr>
        <w:spacing w:after="0" w:line="170" w:lineRule="exact"/>
        <w:rPr>
          <w:rFonts w:ascii="Arial" w:cs="Arial" w:eastAsia="Arial" w:hAnsi="Arial"/>
          <w:sz w:val="18"/>
          <w:szCs w:val="18"/>
          <w:color w:val="auto"/>
        </w:rPr>
      </w:pPr>
    </w:p>
    <w:p>
      <w:pPr>
        <w:ind w:left="2060" w:hanging="767"/>
        <w:spacing w:after="0"/>
        <w:tabs>
          <w:tab w:leader="none" w:pos="206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all English Security Documents, in each case executed by each Obligor listed on the signature pages thereof;</w:t>
      </w:r>
    </w:p>
    <w:p>
      <w:pPr>
        <w:spacing w:after="0" w:line="225" w:lineRule="exact"/>
        <w:rPr>
          <w:rFonts w:ascii="Arial" w:cs="Arial" w:eastAsia="Arial" w:hAnsi="Arial"/>
          <w:sz w:val="18"/>
          <w:szCs w:val="18"/>
          <w:color w:val="auto"/>
        </w:rPr>
      </w:pPr>
    </w:p>
    <w:p>
      <w:pPr>
        <w:ind w:left="2180" w:hanging="887"/>
        <w:spacing w:after="0"/>
        <w:tabs>
          <w:tab w:leader="none" w:pos="218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all British Virgin Islands Security Documents, in each case executed by each Obligor listed on the signature pages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jc w:val="both"/>
        <w:ind w:firstLine="1293"/>
        <w:spacing w:after="0" w:line="255" w:lineRule="auto"/>
        <w:tabs>
          <w:tab w:leader="none" w:pos="2078" w:val="left"/>
        </w:tabs>
        <w:numPr>
          <w:ilvl w:val="0"/>
          <w:numId w:val="638"/>
        </w:numPr>
        <w:rPr>
          <w:rFonts w:ascii="Arial" w:cs="Arial" w:eastAsia="Arial" w:hAnsi="Arial"/>
          <w:sz w:val="18"/>
          <w:szCs w:val="18"/>
          <w:color w:val="auto"/>
        </w:rPr>
      </w:pPr>
      <w:r>
        <w:rPr>
          <w:rFonts w:ascii="Arial" w:cs="Arial" w:eastAsia="Arial" w:hAnsi="Arial"/>
          <w:sz w:val="18"/>
          <w:szCs w:val="18"/>
          <w:color w:val="auto"/>
        </w:rPr>
        <w:t>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93" w:lineRule="exact"/>
        <w:rPr>
          <w:rFonts w:ascii="Arial" w:cs="Arial" w:eastAsia="Arial" w:hAnsi="Arial"/>
          <w:sz w:val="18"/>
          <w:szCs w:val="18"/>
          <w:color w:val="auto"/>
        </w:rPr>
      </w:pPr>
    </w:p>
    <w:p>
      <w:pPr>
        <w:jc w:val="both"/>
        <w:ind w:firstLine="1293"/>
        <w:spacing w:after="0" w:line="259" w:lineRule="auto"/>
        <w:tabs>
          <w:tab w:leader="none" w:pos="2132"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186" w:lineRule="exact"/>
        <w:rPr>
          <w:rFonts w:ascii="Arial" w:cs="Arial" w:eastAsia="Arial" w:hAnsi="Arial"/>
          <w:sz w:val="18"/>
          <w:szCs w:val="18"/>
          <w:color w:val="auto"/>
        </w:rPr>
      </w:pPr>
    </w:p>
    <w:p>
      <w:pPr>
        <w:jc w:val="both"/>
        <w:ind w:firstLine="1293"/>
        <w:spacing w:after="0" w:line="286" w:lineRule="auto"/>
        <w:tabs>
          <w:tab w:leader="none" w:pos="2146" w:val="left"/>
        </w:tabs>
        <w:numPr>
          <w:ilvl w:val="0"/>
          <w:numId w:val="638"/>
        </w:numPr>
        <w:rPr>
          <w:rFonts w:ascii="Arial" w:cs="Arial" w:eastAsia="Arial" w:hAnsi="Arial"/>
          <w:sz w:val="17"/>
          <w:szCs w:val="17"/>
          <w:color w:val="auto"/>
        </w:rPr>
      </w:pPr>
      <w:r>
        <w:rPr>
          <w:rFonts w:ascii="Arial" w:cs="Arial" w:eastAsia="Arial" w:hAnsi="Arial"/>
          <w:sz w:val="17"/>
          <w:szCs w:val="17"/>
          <w:color w:val="auto"/>
        </w:rPr>
        <w:t>a statement from the principal representative and insurance manager of WOFS, addressed to the board of directors of WOFS confirming, in connection with WOFS’ entry into the Affiliate Guaranty, compliance with the solvency margins and ratios applicable to WOFS in accordance with the Bermuda Insurance Act 1978 (as amended) and regulations promulgated thereunder;</w:t>
      </w:r>
    </w:p>
    <w:p>
      <w:pPr>
        <w:spacing w:after="0" w:line="165" w:lineRule="exact"/>
        <w:rPr>
          <w:rFonts w:ascii="Arial" w:cs="Arial" w:eastAsia="Arial" w:hAnsi="Arial"/>
          <w:sz w:val="17"/>
          <w:szCs w:val="17"/>
          <w:color w:val="auto"/>
        </w:rPr>
      </w:pPr>
    </w:p>
    <w:p>
      <w:pPr>
        <w:jc w:val="both"/>
        <w:ind w:firstLine="1293"/>
        <w:spacing w:after="0" w:line="288" w:lineRule="auto"/>
        <w:tabs>
          <w:tab w:leader="none" w:pos="2074" w:val="left"/>
        </w:tabs>
        <w:numPr>
          <w:ilvl w:val="0"/>
          <w:numId w:val="638"/>
        </w:numPr>
        <w:rPr>
          <w:rFonts w:ascii="Arial" w:cs="Arial" w:eastAsia="Arial" w:hAnsi="Arial"/>
          <w:sz w:val="16"/>
          <w:szCs w:val="16"/>
          <w:color w:val="auto"/>
        </w:rPr>
      </w:pPr>
      <w:r>
        <w:rPr>
          <w:rFonts w:ascii="Arial" w:cs="Arial" w:eastAsia="Arial" w:hAnsi="Arial"/>
          <w:sz w:val="16"/>
          <w:szCs w:val="16"/>
          <w:color w:val="auto"/>
        </w:rPr>
        <w:t xml:space="preserve">a certificate of a director of Weatherford Australia Pty Limited, dated the Effective Date and confirming that (A) the resolutions referred to in </w:t>
      </w:r>
      <w:r>
        <w:rPr>
          <w:rFonts w:ascii="Arial" w:cs="Arial" w:eastAsia="Arial" w:hAnsi="Arial"/>
          <w:sz w:val="16"/>
          <w:szCs w:val="16"/>
          <w:u w:val="single" w:color="auto"/>
          <w:color w:val="auto"/>
        </w:rPr>
        <w:t>Section 5.01(a)(v)</w:t>
      </w:r>
      <w:r>
        <w:rPr>
          <w:rFonts w:ascii="Arial" w:cs="Arial" w:eastAsia="Arial" w:hAnsi="Arial"/>
          <w:sz w:val="16"/>
          <w:szCs w:val="16"/>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38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554" w:name="page555"/>
    <w:bookmarkEnd w:id="554"/>
    <w:p>
      <w:pPr>
        <w:jc w:val="both"/>
        <w:ind w:left="660" w:firstLine="1293"/>
        <w:spacing w:after="0" w:line="264" w:lineRule="auto"/>
        <w:tabs>
          <w:tab w:leader="none" w:pos="26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181" w:lineRule="exact"/>
        <w:rPr>
          <w:rFonts w:ascii="Arial" w:cs="Arial" w:eastAsia="Arial" w:hAnsi="Arial"/>
          <w:sz w:val="18"/>
          <w:szCs w:val="18"/>
          <w:color w:val="auto"/>
        </w:rPr>
      </w:pPr>
    </w:p>
    <w:p>
      <w:pPr>
        <w:jc w:val="both"/>
        <w:ind w:left="660" w:firstLine="1293"/>
        <w:spacing w:after="0" w:line="257" w:lineRule="auto"/>
        <w:tabs>
          <w:tab w:leader="none" w:pos="2738" w:val="left"/>
        </w:tabs>
        <w:numPr>
          <w:ilvl w:val="1"/>
          <w:numId w:val="639"/>
        </w:numPr>
        <w:rPr>
          <w:rFonts w:ascii="Arial" w:cs="Arial" w:eastAsia="Arial" w:hAnsi="Arial"/>
          <w:sz w:val="18"/>
          <w:szCs w:val="18"/>
          <w:color w:val="auto"/>
        </w:rPr>
      </w:pPr>
      <w:r>
        <w:rPr>
          <w:rFonts w:ascii="Arial" w:cs="Arial" w:eastAsia="Arial" w:hAnsi="Arial"/>
          <w:sz w:val="18"/>
          <w:szCs w:val="18"/>
          <w:color w:val="auto"/>
        </w:rPr>
        <w:t>to the extent available in the applicable jurisdiction(s),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88" w:lineRule="exact"/>
        <w:rPr>
          <w:rFonts w:ascii="Arial" w:cs="Arial" w:eastAsia="Arial" w:hAnsi="Arial"/>
          <w:sz w:val="18"/>
          <w:szCs w:val="18"/>
          <w:color w:val="auto"/>
        </w:rPr>
      </w:pPr>
    </w:p>
    <w:p>
      <w:pPr>
        <w:ind w:right="20" w:firstLine="1305"/>
        <w:spacing w:after="0" w:line="277" w:lineRule="auto"/>
        <w:tabs>
          <w:tab w:leader="none" w:pos="2249"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Aggregate Commitments on the Effective Date shall be at least $150,000,000 (or such other amount as may be agreed by the Required Consenting Noteholders (as such term is defined in the Plan of Reorganization)).</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441" w:val="left"/>
        </w:tabs>
        <w:numPr>
          <w:ilvl w:val="0"/>
          <w:numId w:val="640"/>
        </w:numPr>
        <w:rPr>
          <w:rFonts w:ascii="Arial" w:cs="Arial" w:eastAsia="Arial" w:hAnsi="Arial"/>
          <w:sz w:val="17"/>
          <w:szCs w:val="17"/>
          <w:color w:val="auto"/>
        </w:rPr>
      </w:pPr>
      <w:r>
        <w:rPr>
          <w:rFonts w:ascii="Arial" w:cs="Arial" w:eastAsia="Arial" w:hAnsi="Arial"/>
          <w:sz w:val="17"/>
          <w:szCs w:val="17"/>
          <w:color w:val="auto"/>
        </w:rPr>
        <w:t>The Administrative Agent shall have received evidence reasonably satisfactory to it that all material consents of (i) each Governmental Authority and (ii) each other Person, if any, including any lenders under any bilateral credit facility of Parent and its Subsidiaries,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spacing w:after="0" w:line="171" w:lineRule="exact"/>
        <w:rPr>
          <w:rFonts w:ascii="Arial" w:cs="Arial" w:eastAsia="Arial" w:hAnsi="Arial"/>
          <w:sz w:val="17"/>
          <w:szCs w:val="17"/>
          <w:color w:val="auto"/>
        </w:rPr>
      </w:pPr>
    </w:p>
    <w:p>
      <w:pPr>
        <w:ind w:right="20" w:firstLine="1305"/>
        <w:spacing w:after="0" w:line="277" w:lineRule="auto"/>
        <w:tabs>
          <w:tab w:leader="none" w:pos="2478"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the conditions precedent to the effectiveness of the ABL Credit Agreement as set forth in Section 3.1 thereof have been satisfied or waived.</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360" w:val="left"/>
        </w:tabs>
        <w:numPr>
          <w:ilvl w:val="0"/>
          <w:numId w:val="640"/>
        </w:numPr>
        <w:rPr>
          <w:rFonts w:ascii="Arial" w:cs="Arial" w:eastAsia="Arial" w:hAnsi="Arial"/>
          <w:sz w:val="17"/>
          <w:szCs w:val="17"/>
          <w:color w:val="auto"/>
        </w:rPr>
      </w:pPr>
      <w:r>
        <w:rPr>
          <w:rFonts w:ascii="Arial" w:cs="Arial" w:eastAsia="Arial" w:hAnsi="Arial"/>
          <w:sz w:val="17"/>
          <w:szCs w:val="17"/>
          <w:color w:val="auto"/>
        </w:rPr>
        <w:t>The Administrative Agent shall have received evidence reasonably satisfactory to it that (i) the conditions precedent to the effectiveness of the Plan of Reorganization as set forth therein shall have been satisfied or waived in accordance with the terms of the Plan of Reorganization, and (ii) the Plan Effective Date shall have occurred, or shall have occurred concurrently with the effectiveness of this Agreement.</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304"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Joint Lead Arrangers shall have received evidence reasonably satisfactory to them that the Irish Scheme shall have been approved by the Irish High Court, or such other structure as is reasonably acceptable to the Joint Lead Arrangers, and has become effective in accordance with its terms, or will become effective concurrently with the effectiveness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55" w:name="page556"/>
    <w:bookmarkEnd w:id="555"/>
    <w:p>
      <w:pPr>
        <w:jc w:val="both"/>
        <w:ind w:right="20" w:firstLine="1305"/>
        <w:spacing w:after="0" w:line="312" w:lineRule="auto"/>
        <w:tabs>
          <w:tab w:leader="none" w:pos="2316" w:val="left"/>
        </w:tabs>
        <w:numPr>
          <w:ilvl w:val="0"/>
          <w:numId w:val="641"/>
        </w:numPr>
        <w:rPr>
          <w:rFonts w:ascii="Arial" w:cs="Arial" w:eastAsia="Arial" w:hAnsi="Arial"/>
          <w:sz w:val="16"/>
          <w:szCs w:val="16"/>
          <w:color w:val="auto"/>
        </w:rPr>
      </w:pPr>
      <w:r>
        <w:rPr>
          <w:rFonts w:ascii="Arial" w:cs="Arial" w:eastAsia="Arial" w:hAnsi="Arial"/>
          <w:sz w:val="16"/>
          <w:szCs w:val="16"/>
          <w:color w:val="auto"/>
        </w:rPr>
        <w:t>The Joint Lead Arrangers shall have received evidence reasonably satisfactory to them that a provisional liquidator of WIL-Bermuda has been appointed and the Bermuda Scheme has been sanctioned by the Bermuda court, or such other structure as is reasonably acceptable to the Joint Lead Arrangers, and has become effective in accordance with its terms, or will become effective concurrently with the effectiveness of this Agreement.</w:t>
      </w:r>
    </w:p>
    <w:p>
      <w:pPr>
        <w:spacing w:after="0" w:line="146" w:lineRule="exact"/>
        <w:rPr>
          <w:rFonts w:ascii="Arial" w:cs="Arial" w:eastAsia="Arial" w:hAnsi="Arial"/>
          <w:sz w:val="16"/>
          <w:szCs w:val="16"/>
          <w:color w:val="auto"/>
        </w:rPr>
      </w:pPr>
    </w:p>
    <w:p>
      <w:pPr>
        <w:jc w:val="both"/>
        <w:ind w:firstLine="1305"/>
        <w:spacing w:after="0" w:line="291" w:lineRule="auto"/>
        <w:tabs>
          <w:tab w:leader="none" w:pos="2330" w:val="left"/>
        </w:tabs>
        <w:numPr>
          <w:ilvl w:val="0"/>
          <w:numId w:val="641"/>
        </w:numPr>
        <w:rPr>
          <w:rFonts w:ascii="Arial" w:cs="Arial" w:eastAsia="Arial" w:hAnsi="Arial"/>
          <w:sz w:val="16"/>
          <w:szCs w:val="16"/>
          <w:color w:val="auto"/>
        </w:rPr>
      </w:pPr>
      <w:r>
        <w:rPr>
          <w:rFonts w:ascii="Arial" w:cs="Arial" w:eastAsia="Arial" w:hAnsi="Arial"/>
          <w:sz w:val="16"/>
          <w:szCs w:val="16"/>
          <w:color w:val="auto"/>
        </w:rPr>
        <w:t xml:space="preserve">(i) All commitments and other obligations (other than contingent indemnification obligations as to which no claim has been received) with respect to the Prepetition Revolving Credit Claims, the Prepetition Term Loan Claims, the Prepetition A&amp;R Claims and the DIP Facility Claims (as each term is defined in the Plan of Reorganization) have been cancelled, and Indebtedness in respect of such Prepetition Revolving Credit Claims, Prepetition Term Loan Claims, Prepetition A&amp;R Claims and DIP Facility Claims has been satisfied in full, and (ii) all existing Liens in favor of the Prepetition Agents, the Prepetition Lenders, the DIP Agent and the DIP Lenders (as each term is defined in the Plan of Reorganization) and any other creditor with a Lien on the Collateral (except for Liens permitted by </w:t>
      </w:r>
      <w:r>
        <w:rPr>
          <w:rFonts w:ascii="Arial" w:cs="Arial" w:eastAsia="Arial" w:hAnsi="Arial"/>
          <w:sz w:val="16"/>
          <w:szCs w:val="16"/>
          <w:u w:val="single" w:color="auto"/>
          <w:color w:val="auto"/>
        </w:rPr>
        <w:t>Section 6.18</w:t>
      </w:r>
      <w:r>
        <w:rPr>
          <w:rFonts w:ascii="Arial" w:cs="Arial" w:eastAsia="Arial" w:hAnsi="Arial"/>
          <w:sz w:val="16"/>
          <w:szCs w:val="16"/>
          <w:color w:val="auto"/>
        </w:rPr>
        <w:t>) (subject to arrangements reasonably satisfactory to the Administrative Agent having been made for the applicable filings of terminations) have terminated, in each case effective prior to or concurrently with the effectiveness of this Agreement.</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2231"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After giving effect to the initial use of proceeds of the ABL Credit Facility and the Exit Senior Notes (including the payment of all amounts associated with the Chapter 11 Cases), (a) minimum availability under the ABL Credit Facility on the Effective Date is not less than $150,000,000, and (b) minimum availability under the ABL Credit Facility plus unrestricted cash of the Obligors on the Effective Date (located in the United States, England, Canada, Norway, United Arab Emirates and Germany), is not less than $350,000,000.</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339" w:val="left"/>
        </w:tabs>
        <w:numPr>
          <w:ilvl w:val="0"/>
          <w:numId w:val="641"/>
        </w:numPr>
        <w:rPr>
          <w:rFonts w:ascii="Arial" w:cs="Arial" w:eastAsia="Arial" w:hAnsi="Arial"/>
          <w:sz w:val="17"/>
          <w:szCs w:val="17"/>
          <w:color w:val="auto"/>
        </w:rPr>
      </w:pPr>
      <w:r>
        <w:rPr>
          <w:rFonts w:ascii="Arial" w:cs="Arial" w:eastAsia="Arial" w:hAnsi="Arial"/>
          <w:sz w:val="17"/>
          <w:szCs w:val="17"/>
          <w:color w:val="auto"/>
        </w:rPr>
        <w:t>The order confirming the Plan of Reorganization shall have become a Final Order (as defined in the Plan of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this </w:t>
      </w:r>
      <w:r>
        <w:rPr>
          <w:rFonts w:ascii="Arial" w:cs="Arial" w:eastAsia="Arial" w:hAnsi="Arial"/>
          <w:sz w:val="17"/>
          <w:szCs w:val="17"/>
          <w:u w:val="single" w:color="auto"/>
          <w:color w:val="auto"/>
        </w:rPr>
        <w:t>clause (j)</w:t>
      </w:r>
      <w:r>
        <w:rPr>
          <w:rFonts w:ascii="Arial" w:cs="Arial" w:eastAsia="Arial" w:hAnsi="Arial"/>
          <w:sz w:val="17"/>
          <w:szCs w:val="17"/>
          <w:color w:val="auto"/>
        </w:rPr>
        <w:t>, that certain appeal filed by GAMCO Asset Management Inc. in the United States District Court, docketed as 4:19-cv-4324 (the “</w:t>
      </w:r>
      <w:r>
        <w:rPr>
          <w:rFonts w:ascii="Arial" w:cs="Arial" w:eastAsia="Arial" w:hAnsi="Arial"/>
          <w:sz w:val="17"/>
          <w:szCs w:val="17"/>
          <w:u w:val="single" w:color="auto"/>
          <w:color w:val="auto"/>
        </w:rPr>
        <w:t>GAMCO Appeal</w:t>
      </w:r>
      <w:r>
        <w:rPr>
          <w:rFonts w:ascii="Arial" w:cs="Arial" w:eastAsia="Arial" w:hAnsi="Arial"/>
          <w:sz w:val="17"/>
          <w:szCs w:val="17"/>
          <w:color w:val="auto"/>
        </w:rPr>
        <w:t>”), shall not prevent such order from becoming a Final Order to the extent such order would otherwise be a Final Order but for the GAMCO Appeal), and such order shall not have been amended, modified, vacated, stayed or reversed.</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303"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There shall be no adversary proceeding pending in the Bankruptcy Court, or litigation commenced outside of the Chapter 11 Cases that is not stayed pursuant to Section 362 of the Bankruptcy Code, seeking to enjoin or prevent the financing or the transactions contemplated under this Agreement.</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366"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Joint Lead Arrangers shall have received evidence reasonably satisfactory to them that Parent and its Subsidiaries shall have no Indebtedness for borrowed money outstanding or otherwise incurred, or any letters of credit outstanding, other than in respect of (i) the ABL Credit Agreement and this Agreement and the facilities thereunder and hereunder, (ii) the Exit Senior Notes in an aggregate principal amount not to exceed $2,100,000,000, (iii) up to $415,000,000 of outstanding letters of credit or reimbursement obligations under letters of credit, pursuant to bilateral facilities or otherwise, and (iv) certain Indebtedness in respect of Weatherford Industria e Comercio Ltd. in respect of an equipment loan, in an amount not exceeding $500,000.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6" w:name="page557"/>
    <w:bookmarkEnd w:id="556"/>
    <w:p>
      <w:pPr>
        <w:jc w:val="both"/>
        <w:ind w:firstLine="1305"/>
        <w:spacing w:after="0" w:line="255" w:lineRule="auto"/>
        <w:tabs>
          <w:tab w:leader="none" w:pos="2155" w:val="left"/>
        </w:tabs>
        <w:numPr>
          <w:ilvl w:val="0"/>
          <w:numId w:val="642"/>
        </w:numPr>
        <w:rPr>
          <w:rFonts w:ascii="Arial" w:cs="Arial" w:eastAsia="Arial" w:hAnsi="Arial"/>
          <w:sz w:val="18"/>
          <w:szCs w:val="18"/>
          <w:color w:val="auto"/>
        </w:rPr>
      </w:pPr>
      <w:r>
        <w:rPr>
          <w:rFonts w:ascii="Arial" w:cs="Arial" w:eastAsia="Arial" w:hAnsi="Arial"/>
          <w:sz w:val="18"/>
          <w:szCs w:val="18"/>
          <w:color w:val="auto"/>
        </w:rPr>
        <w:t>The Lenders shall have received (i) audited consolidated financial statements of Parent for the Fiscal Years ended December 31, 2018 and December 31, 2017,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 quarterly period ended subsequent to December 31, 2018,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2195" w:val="left"/>
        </w:tabs>
        <w:numPr>
          <w:ilvl w:val="0"/>
          <w:numId w:val="642"/>
        </w:numPr>
        <w:rPr>
          <w:rFonts w:ascii="Arial" w:cs="Arial" w:eastAsia="Arial" w:hAnsi="Arial"/>
          <w:sz w:val="18"/>
          <w:szCs w:val="18"/>
          <w:color w:val="auto"/>
        </w:rPr>
      </w:pPr>
      <w:r>
        <w:rPr>
          <w:rFonts w:ascii="Arial" w:cs="Arial" w:eastAsia="Arial" w:hAnsi="Arial"/>
          <w:sz w:val="18"/>
          <w:szCs w:val="18"/>
          <w:color w:val="auto"/>
        </w:rPr>
        <w:t xml:space="preserve">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or any other Loan Document.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235" w:val="left"/>
        </w:tabs>
        <w:numPr>
          <w:ilvl w:val="0"/>
          <w:numId w:val="642"/>
        </w:numPr>
        <w:rPr>
          <w:rFonts w:ascii="Arial" w:cs="Arial" w:eastAsia="Arial" w:hAnsi="Arial"/>
          <w:sz w:val="18"/>
          <w:szCs w:val="18"/>
          <w:color w:val="auto"/>
        </w:rPr>
      </w:pPr>
      <w:r>
        <w:rPr>
          <w:rFonts w:ascii="Arial" w:cs="Arial" w:eastAsia="Arial" w:hAnsi="Arial"/>
          <w:sz w:val="18"/>
          <w:szCs w:val="18"/>
          <w:color w:val="auto"/>
        </w:rPr>
        <w:t>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81" w:val="left"/>
        </w:tabs>
        <w:numPr>
          <w:ilvl w:val="0"/>
          <w:numId w:val="642"/>
        </w:numPr>
        <w:rPr>
          <w:rFonts w:ascii="Arial" w:cs="Arial" w:eastAsia="Arial" w:hAnsi="Arial"/>
          <w:sz w:val="18"/>
          <w:szCs w:val="18"/>
          <w:color w:val="auto"/>
        </w:rPr>
      </w:pPr>
      <w:r>
        <w:rPr>
          <w:rFonts w:ascii="Arial" w:cs="Arial" w:eastAsia="Arial" w:hAnsi="Arial"/>
          <w:sz w:val="18"/>
          <w:szCs w:val="18"/>
          <w:color w:val="auto"/>
        </w:rPr>
        <w:t>Certificates of insurance (other than for any Obligor incorporated in England and Wales) listing the Administrative Agent as (x) loss payee for the property casualty insurance policies of the Obligors (other than the UK Obligors), together with loss payable endorsements and (y) additional insured with respect to the liability insurance of the Obligors (other than the UK Obligors), together with additional insured endorsements, shall have been provided.</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Conditions Precedent to All Credit Events</w:t>
      </w:r>
      <w:r>
        <w:rPr>
          <w:rFonts w:ascii="Arial" w:cs="Arial" w:eastAsia="Arial" w:hAnsi="Arial"/>
          <w:sz w:val="18"/>
          <w:szCs w:val="18"/>
          <w:color w:val="auto"/>
        </w:rPr>
        <w:t>. The obligation of any Issuing Bank to issue, amend, renew or extend (including deemed issuance) any Letter of Credit on or after the Effective Date is subject to the further conditions precedent that, on the date such Letter of Credit is issued, amended, renewed or extended:</w:t>
      </w:r>
    </w:p>
    <w:p>
      <w:pPr>
        <w:spacing w:after="0" w:line="181" w:lineRule="exact"/>
        <w:rPr>
          <w:sz w:val="20"/>
          <w:szCs w:val="20"/>
          <w:color w:val="auto"/>
        </w:rPr>
      </w:pPr>
    </w:p>
    <w:p>
      <w:pPr>
        <w:jc w:val="both"/>
        <w:ind w:firstLine="1305"/>
        <w:spacing w:after="0" w:line="272" w:lineRule="auto"/>
        <w:tabs>
          <w:tab w:leader="none" w:pos="2252" w:val="left"/>
        </w:tabs>
        <w:numPr>
          <w:ilvl w:val="0"/>
          <w:numId w:val="643"/>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issuance, amendment, renewal or extension of such Letter of Credit, except to the extent any such representations and warranties are expressly limited to an earlier date, in which case, on and as of the date of such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7" w:name="page558"/>
    <w:bookmarkEnd w:id="557"/>
    <w:p>
      <w:pPr>
        <w:jc w:val="both"/>
        <w:ind w:firstLine="1305"/>
        <w:spacing w:after="0" w:line="302" w:lineRule="auto"/>
        <w:tabs>
          <w:tab w:leader="none" w:pos="2411" w:val="left"/>
        </w:tabs>
        <w:numPr>
          <w:ilvl w:val="0"/>
          <w:numId w:val="644"/>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applicable Issuing Bank shall have received (i) in the case of an issuance, amendment, renewal or extension of a Letter of Credit, a Letter of Credit Request as required by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by the time and on the Business Day specified in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(ii)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54" w:lineRule="exact"/>
        <w:rPr>
          <w:rFonts w:ascii="Arial" w:cs="Arial" w:eastAsia="Arial" w:hAnsi="Arial"/>
          <w:sz w:val="16"/>
          <w:szCs w:val="16"/>
          <w:color w:val="auto"/>
        </w:rPr>
      </w:pPr>
    </w:p>
    <w:p>
      <w:pPr>
        <w:ind w:firstLine="1305"/>
        <w:spacing w:after="0" w:line="277" w:lineRule="auto"/>
        <w:tabs>
          <w:tab w:leader="none" w:pos="2185" w:val="left"/>
        </w:tabs>
        <w:numPr>
          <w:ilvl w:val="0"/>
          <w:numId w:val="644"/>
        </w:numPr>
        <w:rPr>
          <w:rFonts w:ascii="Arial" w:cs="Arial" w:eastAsia="Arial" w:hAnsi="Arial"/>
          <w:sz w:val="18"/>
          <w:szCs w:val="18"/>
          <w:color w:val="auto"/>
        </w:rPr>
      </w:pPr>
      <w:r>
        <w:rPr>
          <w:rFonts w:ascii="Arial" w:cs="Arial" w:eastAsia="Arial" w:hAnsi="Arial"/>
          <w:sz w:val="18"/>
          <w:szCs w:val="18"/>
          <w:color w:val="auto"/>
        </w:rPr>
        <w:t>After giving effect to the issuance, amendment, renewal or extension of such Letter of Credit, the Dollar Equivalent of the Total LC Exposure shall not exceed the Aggregate Commitments.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424"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To the extent a Defaulting Lender exists at the time of such issuance, amendment, renewal or extension, such Defaulting Lender’s LC Exposure in respect of such Letter of Credit shall be cash collateralized to the extent required by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of this Agreement, or otherwise secured to the reasonable satisfaction of the applicable Issuing Bank.</w:t>
      </w:r>
    </w:p>
    <w:p>
      <w:pPr>
        <w:spacing w:after="0" w:line="181" w:lineRule="exact"/>
        <w:rPr>
          <w:rFonts w:ascii="Arial" w:cs="Arial" w:eastAsia="Arial" w:hAnsi="Arial"/>
          <w:sz w:val="18"/>
          <w:szCs w:val="18"/>
          <w:color w:val="auto"/>
        </w:rPr>
      </w:pPr>
    </w:p>
    <w:p>
      <w:pPr>
        <w:ind w:firstLine="1305"/>
        <w:spacing w:after="0" w:line="277" w:lineRule="auto"/>
        <w:tabs>
          <w:tab w:leader="none" w:pos="2239" w:val="left"/>
        </w:tabs>
        <w:numPr>
          <w:ilvl w:val="0"/>
          <w:numId w:val="64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issuance, amendment, renewal or extension of such Letter of Credit.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318" w:val="left"/>
        </w:tabs>
        <w:numPr>
          <w:ilvl w:val="0"/>
          <w:numId w:val="644"/>
        </w:numPr>
        <w:rPr>
          <w:rFonts w:ascii="Arial" w:cs="Arial" w:eastAsia="Arial" w:hAnsi="Arial"/>
          <w:sz w:val="18"/>
          <w:szCs w:val="18"/>
          <w:color w:val="auto"/>
        </w:rPr>
      </w:pPr>
      <w:r>
        <w:rPr>
          <w:rFonts w:ascii="Arial" w:cs="Arial" w:eastAsia="Arial" w:hAnsi="Arial"/>
          <w:sz w:val="18"/>
          <w:szCs w:val="18"/>
          <w:color w:val="auto"/>
        </w:rPr>
        <w:t>If such Letter of Credit is denominated in an Alternative Currency, the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such applicable Issuing Bank, would make it impractical for such Letter of Credit to be denominated in the relevant Alternative Currency.</w:t>
      </w:r>
    </w:p>
    <w:p>
      <w:pPr>
        <w:spacing w:after="0" w:line="186" w:lineRule="exact"/>
        <w:rPr>
          <w:rFonts w:ascii="Arial" w:cs="Arial" w:eastAsia="Arial" w:hAnsi="Arial"/>
          <w:sz w:val="18"/>
          <w:szCs w:val="18"/>
          <w:color w:val="auto"/>
        </w:rPr>
      </w:pPr>
    </w:p>
    <w:p>
      <w:pPr>
        <w:ind w:firstLine="1305"/>
        <w:spacing w:after="0" w:line="277" w:lineRule="auto"/>
        <w:tabs>
          <w:tab w:leader="none" w:pos="2357"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issuance, amendment, renewal or extension of such Letter of Credit shall not violate any Requirement of Law nor any policy of the applicable Issuing Bank in effect at such time and generally applicable to letters of credit.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acceptance of the benefits of each Letter of Credit and any amendment, renewal, or extension thereof shall constitute a representation and warranty by each of the Obligors to each of the Lenders that all of the conditions specified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5.02(c)</w:t>
      </w:r>
      <w:r>
        <w:rPr>
          <w:rFonts w:ascii="Arial" w:cs="Arial" w:eastAsia="Arial" w:hAnsi="Arial"/>
          <w:sz w:val="18"/>
          <w:szCs w:val="18"/>
          <w:color w:val="auto"/>
        </w:rPr>
        <w:t xml:space="preserve"> have been satisfied as of that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8" w:name="page559"/>
    <w:bookmarkEnd w:id="558"/>
    <w:p>
      <w:pPr>
        <w:jc w:val="center"/>
        <w:spacing w:after="0"/>
        <w:rPr>
          <w:sz w:val="20"/>
          <w:szCs w:val="20"/>
          <w:color w:val="auto"/>
        </w:rPr>
      </w:pPr>
      <w:r>
        <w:rPr>
          <w:rFonts w:ascii="Arial" w:cs="Arial" w:eastAsia="Arial" w:hAnsi="Arial"/>
          <w:sz w:val="18"/>
          <w:szCs w:val="18"/>
          <w:color w:val="010000"/>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Party represents and warrants to the Lenders, the Issuing Banks and the Administrative Agent as follows:</w:t>
      </w:r>
    </w:p>
    <w:p>
      <w:pPr>
        <w:spacing w:after="0" w:line="225"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Obligor and each Restricted Subsidiary (a) is a company, corporation, partnership</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Arial" w:cs="Arial" w:eastAsia="Arial" w:hAnsi="Arial"/>
          <w:sz w:val="16"/>
          <w:szCs w:val="16"/>
          <w:i w:val="1"/>
          <w:iCs w:val="1"/>
          <w:color w:val="auto"/>
        </w:rPr>
        <w:t>siège statutaire</w:t>
      </w:r>
      <w:r>
        <w:rPr>
          <w:rFonts w:ascii="Arial" w:cs="Arial" w:eastAsia="Arial" w:hAnsi="Arial"/>
          <w:sz w:val="16"/>
          <w:szCs w:val="16"/>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Authorization, Validity, Etc.</w:t>
      </w:r>
      <w:r>
        <w:rPr>
          <w:rFonts w:ascii="Arial" w:cs="Arial" w:eastAsia="Arial" w:hAnsi="Arial"/>
          <w:sz w:val="16"/>
          <w:szCs w:val="16"/>
          <w:color w:val="auto"/>
        </w:rPr>
        <w:t xml:space="preserve"> Each Obligor has the corporate and, as applicable, any other power and authority to execute, deliver and perform its obligations hereunder and under the other Loan Documents to which it is a party and to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Governmental Consents, Etc.</w:t>
      </w:r>
      <w:r>
        <w:rPr>
          <w:rFonts w:ascii="Arial" w:cs="Arial" w:eastAsia="Arial" w:hAnsi="Arial"/>
          <w:sz w:val="18"/>
          <w:szCs w:val="18"/>
          <w:color w:val="auto"/>
        </w:rPr>
        <w:t xml:space="preserve">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9" w:name="page560"/>
    <w:bookmarkEnd w:id="559"/>
    <w:p>
      <w:pPr>
        <w:jc w:val="both"/>
        <w:ind w:firstLine="648"/>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No Breach or Violation of Law or Agreements</w:t>
      </w:r>
      <w:r>
        <w:rPr>
          <w:rFonts w:ascii="Arial" w:cs="Arial" w:eastAsia="Arial" w:hAnsi="Arial"/>
          <w:sz w:val="17"/>
          <w:szCs w:val="17"/>
          <w:color w:val="auto"/>
        </w:rPr>
        <w:t xml:space="preserve">.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ABL Credit Agreement, the Exit Senior Notes or the Exit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that collectively for the Obligors would not have a Material Adverse Effect, or (c) will violate any provision of the organizational documents or by-laws of any Obligor.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6.05</w:t>
      </w:r>
      <w:r>
        <w:rPr>
          <w:rFonts w:ascii="Arial" w:cs="Arial" w:eastAsia="Arial" w:hAnsi="Arial"/>
          <w:sz w:val="18"/>
          <w:szCs w:val="18"/>
          <w:color w:val="auto"/>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187"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Information; No Material Adverse Change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198" w:val="left"/>
        </w:tabs>
        <w:numPr>
          <w:ilvl w:val="0"/>
          <w:numId w:val="645"/>
        </w:numPr>
        <w:rPr>
          <w:rFonts w:ascii="Arial" w:cs="Arial" w:eastAsia="Arial" w:hAnsi="Arial"/>
          <w:sz w:val="18"/>
          <w:szCs w:val="18"/>
          <w:color w:val="auto"/>
        </w:rPr>
      </w:pPr>
      <w:r>
        <w:rPr>
          <w:rFonts w:ascii="Arial" w:cs="Arial" w:eastAsia="Arial" w:hAnsi="Arial"/>
          <w:sz w:val="18"/>
          <w:szCs w:val="18"/>
          <w:color w:val="auto"/>
        </w:rPr>
        <w:t>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89" w:lineRule="exact"/>
        <w:rPr>
          <w:rFonts w:ascii="Arial" w:cs="Arial" w:eastAsia="Arial" w:hAnsi="Arial"/>
          <w:sz w:val="18"/>
          <w:szCs w:val="18"/>
          <w:color w:val="auto"/>
        </w:rPr>
      </w:pPr>
    </w:p>
    <w:p>
      <w:pPr>
        <w:jc w:val="both"/>
        <w:ind w:firstLine="1305"/>
        <w:spacing w:after="0" w:line="279" w:lineRule="auto"/>
        <w:tabs>
          <w:tab w:leader="none" w:pos="2195" w:val="left"/>
        </w:tabs>
        <w:numPr>
          <w:ilvl w:val="0"/>
          <w:numId w:val="645"/>
        </w:numPr>
        <w:rPr>
          <w:rFonts w:ascii="Arial" w:cs="Arial" w:eastAsia="Arial" w:hAnsi="Arial"/>
          <w:sz w:val="17"/>
          <w:szCs w:val="17"/>
          <w:color w:val="auto"/>
        </w:rPr>
      </w:pPr>
      <w:r>
        <w:rPr>
          <w:rFonts w:ascii="Arial" w:cs="Arial" w:eastAsia="Arial" w:hAnsi="Arial"/>
          <w:sz w:val="17"/>
          <w:szCs w:val="17"/>
          <w:color w:val="auto"/>
        </w:rPr>
        <w:t>Parent has heretofore furnished to the Lenders its consolidated balance sheet and statements of income, stockholders equity and cash flows as of and for the Fiscal Years ended December 31, 2018 and December 31, 2017,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60" w:name="page561"/>
    <w:bookmarkEnd w:id="560"/>
    <w:p>
      <w:pPr>
        <w:ind w:firstLine="1305"/>
        <w:spacing w:after="0" w:line="277" w:lineRule="auto"/>
        <w:tabs>
          <w:tab w:leader="none" w:pos="218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There has been no material adverse change since July 3, 2019 in the financial condition, business, assets or operations of Parent and its Restricted Subsidiaries, taken as a whole.</w:t>
      </w:r>
    </w:p>
    <w:p>
      <w:pPr>
        <w:spacing w:after="0" w:line="170"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Investment Company Act; Margin Regulations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7" w:lineRule="auto"/>
        <w:tabs>
          <w:tab w:leader="none" w:pos="237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Neither any Obligor nor any of its Restricted Subsidiaries is, or is regulated as, an “investment company”, as such term is defined in the Investment Company Act of 1940 (as adopted in the United States), as amended.</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33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any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17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ERISA; Canadian Defined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2306" w:val="left"/>
        </w:tabs>
        <w:numPr>
          <w:ilvl w:val="0"/>
          <w:numId w:val="648"/>
        </w:numPr>
        <w:rPr>
          <w:rFonts w:ascii="Arial" w:cs="Arial" w:eastAsia="Arial" w:hAnsi="Arial"/>
          <w:sz w:val="17"/>
          <w:szCs w:val="17"/>
          <w:color w:val="auto"/>
        </w:rPr>
      </w:pPr>
      <w:r>
        <w:rPr>
          <w:rFonts w:ascii="Arial" w:cs="Arial" w:eastAsia="Arial" w:hAnsi="Arial"/>
          <w:sz w:val="17"/>
          <w:szCs w:val="17"/>
          <w:color w:val="auto"/>
        </w:rPr>
        <w:t>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spacing w:after="0" w:line="165" w:lineRule="exact"/>
        <w:rPr>
          <w:rFonts w:ascii="Arial" w:cs="Arial" w:eastAsia="Arial" w:hAnsi="Arial"/>
          <w:sz w:val="17"/>
          <w:szCs w:val="17"/>
          <w:color w:val="auto"/>
        </w:rPr>
      </w:pPr>
    </w:p>
    <w:p>
      <w:pPr>
        <w:ind w:firstLine="1305"/>
        <w:spacing w:after="0" w:line="277" w:lineRule="auto"/>
        <w:tabs>
          <w:tab w:leader="none" w:pos="2249"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that are reasonably expected to occur, could reasonably be expected to have a Material Adverse Effect.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401" w:val="left"/>
        </w:tabs>
        <w:numPr>
          <w:ilvl w:val="0"/>
          <w:numId w:val="648"/>
        </w:numPr>
        <w:rPr>
          <w:rFonts w:ascii="Arial" w:cs="Arial" w:eastAsia="Arial" w:hAnsi="Arial"/>
          <w:sz w:val="18"/>
          <w:szCs w:val="18"/>
          <w:color w:val="auto"/>
        </w:rPr>
      </w:pPr>
      <w:r>
        <w:rPr>
          <w:rFonts w:ascii="Arial" w:cs="Arial" w:eastAsia="Arial" w:hAnsi="Arial"/>
          <w:sz w:val="18"/>
          <w:szCs w:val="18"/>
          <w:color w:val="auto"/>
        </w:rPr>
        <w:t>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None of the assets of the Obligors constitute “plan assets” (within the meaning of the Plan Asset Regulations).</w:t>
      </w:r>
    </w:p>
    <w:p>
      <w:pPr>
        <w:spacing w:after="0" w:line="225" w:lineRule="exact"/>
        <w:rPr>
          <w:rFonts w:ascii="Arial" w:cs="Arial" w:eastAsia="Arial" w:hAnsi="Arial"/>
          <w:sz w:val="18"/>
          <w:szCs w:val="18"/>
          <w:color w:val="auto"/>
        </w:rPr>
      </w:pPr>
    </w:p>
    <w:p>
      <w:pPr>
        <w:ind w:left="2440" w:hanging="1135"/>
        <w:spacing w:after="0"/>
        <w:tabs>
          <w:tab w:leader="none" w:pos="244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No Obligor sponsors, administers, participates in or contributes to, or has any liabilities or obligations in respect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Canadian Defined Benefit Plan.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1" w:name="page562"/>
    <w:bookmarkEnd w:id="561"/>
    <w:p>
      <w:pPr>
        <w:ind w:left="660"/>
        <w:spacing w:after="0"/>
        <w:tabs>
          <w:tab w:leader="none" w:pos="27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333"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2451" w:val="left"/>
        </w:tabs>
        <w:numPr>
          <w:ilvl w:val="0"/>
          <w:numId w:val="649"/>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spacing w:after="0" w:line="172" w:lineRule="exact"/>
        <w:rPr>
          <w:rFonts w:ascii="Arial" w:cs="Arial" w:eastAsia="Arial" w:hAnsi="Arial"/>
          <w:sz w:val="17"/>
          <w:szCs w:val="17"/>
          <w:color w:val="auto"/>
        </w:rPr>
      </w:pPr>
    </w:p>
    <w:p>
      <w:pPr>
        <w:ind w:firstLine="1305"/>
        <w:spacing w:after="0" w:line="277" w:lineRule="auto"/>
        <w:tabs>
          <w:tab w:leader="none" w:pos="245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As of the Effective Date, the information included in the Beneficial Ownership Certification (if any such certificate was required to be delivered by any Borrower under the Beneficial Ownership Regulation) is true and correct in all respects.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SECTION 6.11</w:t>
            </w:r>
          </w:p>
        </w:tc>
        <w:tc>
          <w:tcPr>
            <w:tcW w:w="5420" w:type="dxa"/>
            <w:vAlign w:val="bottom"/>
            <w:gridSpan w:val="3"/>
          </w:tcPr>
          <w:p>
            <w:pPr>
              <w:spacing w:after="0"/>
              <w:rPr>
                <w:sz w:val="20"/>
                <w:szCs w:val="20"/>
                <w:color w:val="auto"/>
              </w:rPr>
            </w:pPr>
            <w:r>
              <w:rPr>
                <w:rFonts w:ascii="Arial" w:cs="Arial" w:eastAsia="Arial" w:hAnsi="Arial"/>
                <w:sz w:val="18"/>
                <w:szCs w:val="18"/>
                <w:color w:val="auto"/>
                <w:w w:val="91"/>
              </w:rPr>
              <w:t>No Default. No Default or Event of Default has occurred and is continuing.</w:t>
            </w:r>
          </w:p>
        </w:tc>
      </w:tr>
      <w:tr>
        <w:trPr>
          <w:trHeight w:val="20"/>
        </w:trPr>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12"/>
        </w:trPr>
        <w:tc>
          <w:tcPr>
            <w:tcW w:w="2100" w:type="dxa"/>
            <w:vAlign w:val="bottom"/>
          </w:tcPr>
          <w:p>
            <w:pPr>
              <w:spacing w:after="0"/>
              <w:rPr>
                <w:sz w:val="20"/>
                <w:szCs w:val="20"/>
                <w:color w:val="auto"/>
              </w:rPr>
            </w:pPr>
            <w:r>
              <w:rPr>
                <w:rFonts w:ascii="Arial" w:cs="Arial" w:eastAsia="Arial" w:hAnsi="Arial"/>
                <w:sz w:val="18"/>
                <w:szCs w:val="18"/>
                <w:color w:val="auto"/>
              </w:rPr>
              <w:t>SECTION 6.12</w:t>
            </w:r>
          </w:p>
        </w:tc>
        <w:tc>
          <w:tcPr>
            <w:tcW w:w="5420" w:type="dxa"/>
            <w:vAlign w:val="bottom"/>
            <w:gridSpan w:val="3"/>
          </w:tcPr>
          <w:p>
            <w:pPr>
              <w:spacing w:after="0"/>
              <w:rPr>
                <w:sz w:val="20"/>
                <w:szCs w:val="20"/>
                <w:color w:val="auto"/>
              </w:rPr>
            </w:pPr>
            <w:r>
              <w:rPr>
                <w:rFonts w:ascii="Arial" w:cs="Arial" w:eastAsia="Arial" w:hAnsi="Arial"/>
                <w:sz w:val="18"/>
                <w:szCs w:val="18"/>
                <w:color w:val="auto"/>
              </w:rPr>
              <w:t>Anti-Corruption Laws and Sanctions.</w:t>
            </w:r>
          </w:p>
        </w:tc>
      </w:tr>
      <w:tr>
        <w:trPr>
          <w:trHeight w:val="20"/>
        </w:trPr>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5"/>
        <w:spacing w:after="0" w:line="254" w:lineRule="auto"/>
        <w:tabs>
          <w:tab w:leader="none" w:pos="2198" w:val="left"/>
        </w:tabs>
        <w:numPr>
          <w:ilvl w:val="0"/>
          <w:numId w:val="650"/>
        </w:numPr>
        <w:rPr>
          <w:rFonts w:ascii="Arial" w:cs="Arial" w:eastAsia="Arial" w:hAnsi="Arial"/>
          <w:sz w:val="18"/>
          <w:szCs w:val="18"/>
          <w:color w:val="auto"/>
        </w:rPr>
      </w:pPr>
      <w:r>
        <w:rPr>
          <w:rFonts w:ascii="Arial" w:cs="Arial" w:eastAsia="Arial" w:hAnsi="Arial"/>
          <w:sz w:val="18"/>
          <w:szCs w:val="18"/>
          <w:color w:val="auto"/>
        </w:rPr>
        <w:t xml:space="preserve">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Arial" w:cs="Arial" w:eastAsia="Arial" w:hAnsi="Arial"/>
          <w:sz w:val="18"/>
          <w:szCs w:val="18"/>
          <w:u w:val="single" w:color="auto"/>
          <w:color w:val="auto"/>
        </w:rPr>
        <w:t>Schedule 6.12</w:t>
      </w:r>
      <w:r>
        <w:rPr>
          <w:rFonts w:ascii="Arial" w:cs="Arial" w:eastAsia="Arial" w:hAnsi="Arial"/>
          <w:sz w:val="18"/>
          <w:szCs w:val="18"/>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established hereby, is a Sanctioned Person. No issuance of the Letters of Credit or any other transaction contemplated by this Agreement will violate any Anti-Corruption Laws or any Sanctions applicable to any party hereto.</w:t>
      </w:r>
    </w:p>
    <w:p>
      <w:pPr>
        <w:spacing w:after="0" w:line="192" w:lineRule="exact"/>
        <w:rPr>
          <w:rFonts w:ascii="Arial" w:cs="Arial" w:eastAsia="Arial" w:hAnsi="Arial"/>
          <w:sz w:val="18"/>
          <w:szCs w:val="18"/>
          <w:color w:val="auto"/>
        </w:rPr>
      </w:pPr>
    </w:p>
    <w:p>
      <w:pPr>
        <w:jc w:val="both"/>
        <w:ind w:firstLine="1305"/>
        <w:spacing w:after="0" w:line="255" w:lineRule="auto"/>
        <w:tabs>
          <w:tab w:leader="none" w:pos="2276" w:val="left"/>
        </w:tabs>
        <w:numPr>
          <w:ilvl w:val="0"/>
          <w:numId w:val="650"/>
        </w:numPr>
        <w:rPr>
          <w:rFonts w:ascii="Arial" w:cs="Arial" w:eastAsia="Arial" w:hAnsi="Arial"/>
          <w:sz w:val="18"/>
          <w:szCs w:val="18"/>
          <w:color w:val="auto"/>
        </w:rPr>
      </w:pPr>
      <w:r>
        <w:rPr>
          <w:rFonts w:ascii="Arial" w:cs="Arial" w:eastAsia="Arial" w:hAnsi="Arial"/>
          <w:sz w:val="18"/>
          <w:szCs w:val="18"/>
          <w:color w:val="auto"/>
        </w:rPr>
        <w:t xml:space="preserve">To the extent that any representation contained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made by any Obligor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 or section 7 of the German Foreign Trade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w:t>
      </w:r>
      <w:r>
        <w:rPr>
          <w:rFonts w:ascii="Arial" w:cs="Arial" w:eastAsia="Arial" w:hAnsi="Arial"/>
          <w:sz w:val="18"/>
          <w:szCs w:val="18"/>
          <w:color w:val="auto"/>
        </w:rPr>
        <w:t xml:space="preserve"> (AWG)) or any similar anti-boycott statute, the Required Lenders will, upon the request of the respective Obligor, enter into bona fide discussions with such Obligor regarding the implementation of procedures to mitigate any such conflict or violation.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2" w:name="page563"/>
    <w:bookmarkEnd w:id="562"/>
    <w:p>
      <w:pPr>
        <w:ind w:left="660"/>
        <w:spacing w:after="0"/>
        <w:tabs>
          <w:tab w:leader="none" w:pos="27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312" w:lineRule="auto"/>
        <w:tabs>
          <w:tab w:leader="none" w:pos="2293" w:val="left"/>
        </w:tabs>
        <w:numPr>
          <w:ilvl w:val="0"/>
          <w:numId w:val="651"/>
        </w:numPr>
        <w:rPr>
          <w:rFonts w:ascii="Arial" w:cs="Arial" w:eastAsia="Arial" w:hAnsi="Arial"/>
          <w:sz w:val="16"/>
          <w:szCs w:val="16"/>
          <w:color w:val="auto"/>
        </w:rPr>
      </w:pPr>
      <w:r>
        <w:rPr>
          <w:rFonts w:ascii="Arial" w:cs="Arial" w:eastAsia="Arial" w:hAnsi="Arial"/>
          <w:sz w:val="16"/>
          <w:szCs w:val="16"/>
          <w:color w:val="auto"/>
        </w:rPr>
        <w:t xml:space="preserve">Each of Parent and its Restricted Subsidiaries has good and marketable title to, or valid leasehold interests in, all its real and personal property material to its business, except for (i) Liens permitted by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46" w:lineRule="exact"/>
        <w:rPr>
          <w:rFonts w:ascii="Arial" w:cs="Arial" w:eastAsia="Arial" w:hAnsi="Arial"/>
          <w:sz w:val="16"/>
          <w:szCs w:val="16"/>
          <w:color w:val="auto"/>
        </w:rPr>
      </w:pPr>
    </w:p>
    <w:p>
      <w:pPr>
        <w:jc w:val="both"/>
        <w:ind w:right="20" w:firstLine="1305"/>
        <w:spacing w:after="0" w:line="312" w:lineRule="auto"/>
        <w:tabs>
          <w:tab w:leader="none" w:pos="2249" w:val="left"/>
        </w:tabs>
        <w:numPr>
          <w:ilvl w:val="0"/>
          <w:numId w:val="651"/>
        </w:numPr>
        <w:rPr>
          <w:rFonts w:ascii="Arial" w:cs="Arial" w:eastAsia="Arial" w:hAnsi="Arial"/>
          <w:sz w:val="16"/>
          <w:szCs w:val="16"/>
          <w:color w:val="auto"/>
        </w:rPr>
      </w:pPr>
      <w:r>
        <w:rPr>
          <w:rFonts w:ascii="Arial" w:cs="Arial" w:eastAsia="Arial" w:hAnsi="Arial"/>
          <w:sz w:val="16"/>
          <w:szCs w:val="16"/>
          <w:color w:val="auto"/>
        </w:rPr>
        <w:t>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ind w:left="660"/>
              <w:spacing w:after="0"/>
              <w:rPr>
                <w:sz w:val="20"/>
                <w:szCs w:val="20"/>
                <w:color w:val="auto"/>
              </w:rPr>
            </w:pPr>
            <w:r>
              <w:rPr>
                <w:rFonts w:ascii="Arial" w:cs="Arial" w:eastAsia="Arial" w:hAnsi="Arial"/>
                <w:sz w:val="18"/>
                <w:szCs w:val="18"/>
                <w:color w:val="auto"/>
              </w:rPr>
              <w:t>SECTION 6.14</w:t>
            </w:r>
          </w:p>
        </w:tc>
        <w:tc>
          <w:tcPr>
            <w:tcW w:w="85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No Restrictive Agreements. Parent and its Restricted Subsidiaries are not subject to any Restrictive Agreements other</w:t>
            </w:r>
          </w:p>
        </w:tc>
      </w:tr>
      <w:tr>
        <w:trPr>
          <w:trHeight w:val="20"/>
        </w:trPr>
        <w:tc>
          <w:tcPr>
            <w:tcW w:w="28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1420" w:type="dxa"/>
            <w:vAlign w:val="bottom"/>
            <w:gridSpan w:val="7"/>
          </w:tcPr>
          <w:p>
            <w:pPr>
              <w:spacing w:after="0" w:line="196" w:lineRule="exact"/>
              <w:rPr>
                <w:sz w:val="20"/>
                <w:szCs w:val="20"/>
                <w:color w:val="auto"/>
              </w:rPr>
            </w:pPr>
            <w:r>
              <w:rPr>
                <w:rFonts w:ascii="Arial" w:cs="Arial" w:eastAsia="Arial" w:hAnsi="Arial"/>
                <w:sz w:val="18"/>
                <w:szCs w:val="18"/>
                <w:color w:val="auto"/>
              </w:rPr>
              <w:t>than Restrictive Agreements permitted by Section 8.11.</w:t>
            </w:r>
          </w:p>
        </w:tc>
      </w:tr>
      <w:tr>
        <w:trPr>
          <w:trHeight w:val="20"/>
        </w:trPr>
        <w:tc>
          <w:tcPr>
            <w:tcW w:w="28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r>
      <w:tr>
        <w:trPr>
          <w:trHeight w:val="412"/>
        </w:trPr>
        <w:tc>
          <w:tcPr>
            <w:tcW w:w="2880" w:type="dxa"/>
            <w:vAlign w:val="bottom"/>
          </w:tcPr>
          <w:p>
            <w:pPr>
              <w:ind w:left="660"/>
              <w:spacing w:after="0"/>
              <w:rPr>
                <w:sz w:val="20"/>
                <w:szCs w:val="20"/>
                <w:color w:val="auto"/>
              </w:rPr>
            </w:pPr>
            <w:r>
              <w:rPr>
                <w:rFonts w:ascii="Arial" w:cs="Arial" w:eastAsia="Arial" w:hAnsi="Arial"/>
                <w:sz w:val="18"/>
                <w:szCs w:val="18"/>
                <w:color w:val="auto"/>
              </w:rPr>
              <w:t>SECTION 6.15</w:t>
            </w:r>
          </w:p>
        </w:tc>
        <w:tc>
          <w:tcPr>
            <w:tcW w:w="260" w:type="dxa"/>
            <w:vAlign w:val="bottom"/>
          </w:tcPr>
          <w:p>
            <w:pPr>
              <w:spacing w:after="0"/>
              <w:rPr>
                <w:sz w:val="24"/>
                <w:szCs w:val="24"/>
                <w:color w:val="auto"/>
              </w:rPr>
            </w:pPr>
          </w:p>
        </w:tc>
        <w:tc>
          <w:tcPr>
            <w:tcW w:w="8280" w:type="dxa"/>
            <w:vAlign w:val="bottom"/>
            <w:gridSpan w:val="5"/>
          </w:tcPr>
          <w:p>
            <w:pPr>
              <w:jc w:val="right"/>
              <w:spacing w:after="0"/>
              <w:rPr>
                <w:sz w:val="20"/>
                <w:szCs w:val="20"/>
                <w:color w:val="auto"/>
              </w:rPr>
            </w:pPr>
            <w:r>
              <w:rPr>
                <w:rFonts w:ascii="Arial" w:cs="Arial" w:eastAsia="Arial" w:hAnsi="Arial"/>
                <w:sz w:val="18"/>
                <w:szCs w:val="18"/>
                <w:color w:val="auto"/>
                <w:w w:val="92"/>
              </w:rPr>
              <w:t>Solvency. Immediately after the consummation of the Transactions to occur on the Effective Date, Parent and its</w:t>
            </w:r>
          </w:p>
        </w:tc>
      </w:tr>
      <w:tr>
        <w:trPr>
          <w:trHeight w:val="20"/>
        </w:trPr>
        <w:tc>
          <w:tcPr>
            <w:tcW w:w="3140" w:type="dxa"/>
            <w:vAlign w:val="bottom"/>
            <w:tcBorders>
              <w:right w:val="single" w:sz="8" w:color="auto"/>
            </w:tcBorders>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237"/>
        </w:trPr>
        <w:tc>
          <w:tcPr>
            <w:tcW w:w="11420" w:type="dxa"/>
            <w:vAlign w:val="bottom"/>
            <w:gridSpan w:val="7"/>
          </w:tcPr>
          <w:p>
            <w:pPr>
              <w:spacing w:after="0"/>
              <w:rPr>
                <w:sz w:val="20"/>
                <w:szCs w:val="20"/>
                <w:color w:val="auto"/>
              </w:rPr>
            </w:pPr>
            <w:r>
              <w:rPr>
                <w:rFonts w:ascii="Arial" w:cs="Arial" w:eastAsia="Arial" w:hAnsi="Arial"/>
                <w:sz w:val="18"/>
                <w:szCs w:val="18"/>
                <w:color w:val="auto"/>
              </w:rPr>
              <w:t>Subsidiaries, taken as a whole, are and will be Solvent.</w:t>
            </w:r>
          </w:p>
        </w:tc>
      </w:tr>
      <w:tr>
        <w:trPr>
          <w:trHeight w:val="392"/>
        </w:trPr>
        <w:tc>
          <w:tcPr>
            <w:tcW w:w="2880" w:type="dxa"/>
            <w:vAlign w:val="bottom"/>
          </w:tcPr>
          <w:p>
            <w:pPr>
              <w:ind w:left="660"/>
              <w:spacing w:after="0"/>
              <w:rPr>
                <w:sz w:val="20"/>
                <w:szCs w:val="20"/>
                <w:color w:val="auto"/>
              </w:rPr>
            </w:pPr>
            <w:r>
              <w:rPr>
                <w:rFonts w:ascii="Arial" w:cs="Arial" w:eastAsia="Arial" w:hAnsi="Arial"/>
                <w:sz w:val="18"/>
                <w:szCs w:val="18"/>
                <w:color w:val="auto"/>
              </w:rPr>
              <w:t>SECTION 6.16</w:t>
            </w:r>
          </w:p>
        </w:tc>
        <w:tc>
          <w:tcPr>
            <w:tcW w:w="260" w:type="dxa"/>
            <w:vAlign w:val="bottom"/>
          </w:tcPr>
          <w:p>
            <w:pPr>
              <w:spacing w:after="0"/>
              <w:rPr>
                <w:sz w:val="24"/>
                <w:szCs w:val="24"/>
                <w:color w:val="auto"/>
              </w:rPr>
            </w:pPr>
          </w:p>
        </w:tc>
        <w:tc>
          <w:tcPr>
            <w:tcW w:w="8280" w:type="dxa"/>
            <w:vAlign w:val="bottom"/>
            <w:gridSpan w:val="5"/>
          </w:tcPr>
          <w:p>
            <w:pPr>
              <w:jc w:val="right"/>
              <w:spacing w:after="0"/>
              <w:rPr>
                <w:sz w:val="20"/>
                <w:szCs w:val="20"/>
                <w:color w:val="auto"/>
              </w:rPr>
            </w:pPr>
            <w:r>
              <w:rPr>
                <w:rFonts w:ascii="Arial" w:cs="Arial" w:eastAsia="Arial" w:hAnsi="Arial"/>
                <w:sz w:val="18"/>
                <w:szCs w:val="18"/>
                <w:color w:val="auto"/>
                <w:w w:val="92"/>
              </w:rPr>
              <w:t>Insurance. Parent and its Subsidiaries maintain, including through self-insurance, insurance with respect to their</w:t>
            </w:r>
          </w:p>
        </w:tc>
      </w:tr>
      <w:tr>
        <w:trPr>
          <w:trHeight w:val="20"/>
        </w:trPr>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Rank of Obligations</w:t>
      </w:r>
      <w:r>
        <w:rPr>
          <w:rFonts w:ascii="Arial" w:cs="Arial" w:eastAsia="Arial" w:hAnsi="Arial"/>
          <w:sz w:val="18"/>
          <w:szCs w:val="18"/>
          <w:color w:val="auto"/>
        </w:rPr>
        <w:t>.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There are no Liens on any of the assets of Parent or any Restricted Subsidiary other than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Liens that are being released on the Effective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3" w:name="page564"/>
    <w:bookmarkEnd w:id="563"/>
    <w:p>
      <w:pPr>
        <w:jc w:val="both"/>
        <w:ind w:firstLine="648"/>
        <w:spacing w:after="0" w:line="285" w:lineRule="auto"/>
        <w:rPr>
          <w:sz w:val="20"/>
          <w:szCs w:val="20"/>
          <w:color w:val="auto"/>
        </w:rPr>
      </w:pPr>
      <w:r>
        <w:rPr>
          <w:rFonts w:ascii="Arial" w:cs="Arial" w:eastAsia="Arial" w:hAnsi="Arial"/>
          <w:sz w:val="16"/>
          <w:szCs w:val="16"/>
          <w:color w:val="auto"/>
        </w:rPr>
        <w:t xml:space="preserve">SECTION 6.19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The provisions of this Agreement and the other Loan Documents, including but not limited to the English Security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w:t>
      </w:r>
    </w:p>
    <w:p>
      <w:pPr>
        <w:spacing w:after="0" w:line="2" w:lineRule="exact"/>
        <w:rPr>
          <w:sz w:val="20"/>
          <w:szCs w:val="20"/>
          <w:color w:val="auto"/>
        </w:rPr>
      </w:pPr>
    </w:p>
    <w:p>
      <w:pPr>
        <w:jc w:val="both"/>
        <w:ind w:firstLine="8"/>
        <w:spacing w:after="0" w:line="252" w:lineRule="auto"/>
        <w:tabs>
          <w:tab w:leader="none" w:pos="285"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and recordation contemplated by the Collateral Documents, in each case, in the appropriate filing offices), and having priority over all other Liens on the Collateral except in the case of (a) Liens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(b) Liens perfected only by possession (including possession of any certificate of title) to the extent the Administrative Agent has not obtained or does not maintain possession of such Collateral.</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6.20 </w:t>
      </w:r>
      <w:r>
        <w:rPr>
          <w:rFonts w:ascii="Arial" w:cs="Arial" w:eastAsia="Arial" w:hAnsi="Arial"/>
          <w:sz w:val="17"/>
          <w:szCs w:val="17"/>
          <w:u w:val="single" w:color="auto"/>
          <w:color w:val="auto"/>
        </w:rPr>
        <w:t>Capital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6.20(a)</w:t>
      </w:r>
      <w:r>
        <w:rPr>
          <w:rFonts w:ascii="Arial" w:cs="Arial" w:eastAsia="Arial" w:hAnsi="Arial"/>
          <w:sz w:val="17"/>
          <w:szCs w:val="17"/>
          <w:color w:val="auto"/>
        </w:rPr>
        <w:t xml:space="preserve"> sets forth a complete and accurate description of the authorized Capital Stock of Parent as of the Effective Date immediately after giving effect to the Transactions, by class, and, as of the Effective Date immediately after giving effect to the Transactions, a description of the number of shares of each such class that are issued and outstanding. </w:t>
      </w:r>
      <w:r>
        <w:rPr>
          <w:rFonts w:ascii="Arial" w:cs="Arial" w:eastAsia="Arial" w:hAnsi="Arial"/>
          <w:sz w:val="17"/>
          <w:szCs w:val="17"/>
          <w:u w:val="single" w:color="auto"/>
          <w:color w:val="auto"/>
        </w:rPr>
        <w:t>Schedule 6.20(b)</w:t>
      </w:r>
      <w:r>
        <w:rPr>
          <w:rFonts w:ascii="Arial" w:cs="Arial" w:eastAsia="Arial" w:hAnsi="Arial"/>
          <w:sz w:val="17"/>
          <w:szCs w:val="17"/>
          <w:color w:val="auto"/>
        </w:rPr>
        <w:t xml:space="preserve">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(ii) the number and the percentage of the outstanding shares of each class of Capital Stock owned directly by the parent (or parents) of each such Obligor and (iii) the number and the percentage of the outstanding shares of each class of Capital Stock held by any Obligor in any other Subsidiary. All of the outstanding Capital Stock of each Obligor has been validly issued and is fully paid and non-assessable.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SECTION 6.21</w:t>
            </w:r>
          </w:p>
        </w:tc>
        <w:tc>
          <w:tcPr>
            <w:tcW w:w="5160" w:type="dxa"/>
            <w:vAlign w:val="bottom"/>
            <w:gridSpan w:val="3"/>
          </w:tcPr>
          <w:p>
            <w:pPr>
              <w:spacing w:after="0"/>
              <w:rPr>
                <w:sz w:val="20"/>
                <w:szCs w:val="20"/>
                <w:color w:val="auto"/>
              </w:rPr>
            </w:pPr>
            <w:r>
              <w:rPr>
                <w:rFonts w:ascii="Arial" w:cs="Arial" w:eastAsia="Arial" w:hAnsi="Arial"/>
                <w:sz w:val="18"/>
                <w:szCs w:val="18"/>
                <w:color w:val="auto"/>
                <w:w w:val="93"/>
              </w:rPr>
              <w:t>EEA Financial Institutions. No Obligor is an EEA Financial Institution.</w:t>
            </w:r>
          </w:p>
        </w:tc>
      </w:tr>
      <w:tr>
        <w:trPr>
          <w:trHeight w:val="20"/>
        </w:trPr>
        <w:tc>
          <w:tcPr>
            <w:tcW w:w="21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2100" w:type="dxa"/>
            <w:vAlign w:val="bottom"/>
          </w:tcPr>
          <w:p>
            <w:pPr>
              <w:spacing w:after="0"/>
              <w:rPr>
                <w:sz w:val="20"/>
                <w:szCs w:val="20"/>
                <w:color w:val="auto"/>
              </w:rPr>
            </w:pPr>
            <w:r>
              <w:rPr>
                <w:rFonts w:ascii="Arial" w:cs="Arial" w:eastAsia="Arial" w:hAnsi="Arial"/>
                <w:sz w:val="18"/>
                <w:szCs w:val="18"/>
                <w:color w:val="auto"/>
              </w:rPr>
              <w:t>SECTION 6.22</w:t>
            </w:r>
          </w:p>
        </w:tc>
        <w:tc>
          <w:tcPr>
            <w:tcW w:w="5160" w:type="dxa"/>
            <w:vAlign w:val="bottom"/>
            <w:gridSpan w:val="3"/>
          </w:tcPr>
          <w:p>
            <w:pPr>
              <w:spacing w:after="0"/>
              <w:rPr>
                <w:sz w:val="20"/>
                <w:szCs w:val="20"/>
                <w:color w:val="auto"/>
              </w:rPr>
            </w:pPr>
            <w:r>
              <w:rPr>
                <w:rFonts w:ascii="Arial" w:cs="Arial" w:eastAsia="Arial" w:hAnsi="Arial"/>
                <w:sz w:val="18"/>
                <w:szCs w:val="18"/>
                <w:color w:val="auto"/>
              </w:rPr>
              <w:t>Compliance with the Swiss Non-Bank Rules.</w:t>
            </w:r>
          </w:p>
        </w:tc>
      </w:tr>
      <w:tr>
        <w:trPr>
          <w:trHeight w:val="20"/>
        </w:trPr>
        <w:tc>
          <w:tcPr>
            <w:tcW w:w="21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305"/>
        <w:spacing w:after="0" w:line="277" w:lineRule="auto"/>
        <w:tabs>
          <w:tab w:leader="none" w:pos="2239"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Each Swiss Obligor is in compliance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representation if the permitted number of Swiss Non-Qualifying Lenders is exceeded solely by reason of:</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 xml:space="preserve">a failure by one or more Lenders or Participants to comply with their obligations under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120" w:hanging="1167"/>
        <w:spacing w:after="0"/>
        <w:tabs>
          <w:tab w:leader="none" w:pos="3120" w:val="left"/>
        </w:tabs>
        <w:numPr>
          <w:ilvl w:val="1"/>
          <w:numId w:val="653"/>
        </w:numPr>
        <w:rPr>
          <w:rFonts w:ascii="Arial" w:cs="Arial" w:eastAsia="Arial" w:hAnsi="Arial"/>
          <w:sz w:val="17"/>
          <w:szCs w:val="17"/>
          <w:color w:val="auto"/>
        </w:rPr>
      </w:pPr>
      <w:r>
        <w:rPr>
          <w:rFonts w:ascii="Arial" w:cs="Arial" w:eastAsia="Arial" w:hAnsi="Arial"/>
          <w:sz w:val="17"/>
          <w:szCs w:val="17"/>
          <w:color w:val="auto"/>
        </w:rPr>
        <w:t>a confirmation made by one or more Lenders or Participants to be one single Swiss Non-Qualifying Lender 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incorrect;</w:t>
      </w:r>
    </w:p>
    <w:p>
      <w:pPr>
        <w:spacing w:after="0" w:line="210" w:lineRule="exact"/>
        <w:rPr>
          <w:rFonts w:ascii="Arial" w:cs="Arial" w:eastAsia="Arial" w:hAnsi="Arial"/>
          <w:sz w:val="17"/>
          <w:szCs w:val="17"/>
          <w:color w:val="auto"/>
        </w:rPr>
      </w:pPr>
    </w:p>
    <w:p>
      <w:pPr>
        <w:ind w:left="660" w:firstLine="1293"/>
        <w:spacing w:after="0" w:line="277" w:lineRule="auto"/>
        <w:tabs>
          <w:tab w:leader="none" w:pos="2766" w:val="left"/>
        </w:tabs>
        <w:numPr>
          <w:ilvl w:val="1"/>
          <w:numId w:val="653"/>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is confirmed to be a Swiss Qualifying Lender) as a result of any reason attributable to such Lender or Participant;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64" w:name="page565"/>
    <w:bookmarkEnd w:id="564"/>
    <w:p>
      <w:pPr>
        <w:ind w:left="660" w:firstLine="1293"/>
        <w:spacing w:after="0" w:line="277" w:lineRule="auto"/>
        <w:tabs>
          <w:tab w:leader="none" w:pos="2647" w:val="left"/>
        </w:tabs>
        <w:numPr>
          <w:ilvl w:val="1"/>
          <w:numId w:val="654"/>
        </w:numPr>
        <w:rPr>
          <w:rFonts w:ascii="Arial" w:cs="Arial" w:eastAsia="Arial" w:hAnsi="Arial"/>
          <w:sz w:val="18"/>
          <w:szCs w:val="18"/>
          <w:color w:val="auto"/>
        </w:rPr>
      </w:pPr>
      <w:r>
        <w:rPr>
          <w:rFonts w:ascii="Arial" w:cs="Arial" w:eastAsia="Arial" w:hAnsi="Arial"/>
          <w:sz w:val="18"/>
          <w:szCs w:val="18"/>
          <w:color w:val="auto"/>
        </w:rPr>
        <w:t>an assignment or participation of any Commitments or LC Exposure under this Agreement to a Swiss Non-Qualifying Lender after the occurrence of an Event of Default.</w:t>
      </w:r>
    </w:p>
    <w:p>
      <w:pPr>
        <w:spacing w:after="0" w:line="170" w:lineRule="exact"/>
        <w:rPr>
          <w:rFonts w:ascii="Arial" w:cs="Arial" w:eastAsia="Arial" w:hAnsi="Arial"/>
          <w:sz w:val="18"/>
          <w:szCs w:val="18"/>
          <w:color w:val="auto"/>
        </w:rPr>
      </w:pPr>
    </w:p>
    <w:p>
      <w:pPr>
        <w:ind w:right="20" w:firstLine="1305"/>
        <w:spacing w:after="0" w:line="277" w:lineRule="auto"/>
        <w:tabs>
          <w:tab w:leader="none" w:pos="2316" w:val="left"/>
        </w:tabs>
        <w:numPr>
          <w:ilvl w:val="0"/>
          <w:numId w:val="655"/>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6.22</w:t>
      </w:r>
      <w:r>
        <w:rPr>
          <w:rFonts w:ascii="Arial" w:cs="Arial" w:eastAsia="Arial" w:hAnsi="Arial"/>
          <w:sz w:val="18"/>
          <w:szCs w:val="18"/>
          <w:color w:val="auto"/>
        </w:rPr>
        <w:t>, each Swiss Obligor shall assume that the aggregate number of Lenders or Participants under this Agreement which are Swiss Non-Qualifying Lenders is ten (10).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ind w:left="660"/>
              <w:spacing w:after="0"/>
              <w:rPr>
                <w:sz w:val="20"/>
                <w:szCs w:val="20"/>
                <w:color w:val="auto"/>
              </w:rPr>
            </w:pPr>
            <w:r>
              <w:rPr>
                <w:rFonts w:ascii="Arial" w:cs="Arial" w:eastAsia="Arial" w:hAnsi="Arial"/>
                <w:sz w:val="18"/>
                <w:szCs w:val="18"/>
                <w:color w:val="auto"/>
              </w:rPr>
              <w:t>SECTION 6.23</w:t>
            </w:r>
          </w:p>
        </w:tc>
        <w:tc>
          <w:tcPr>
            <w:tcW w:w="8660" w:type="dxa"/>
            <w:vAlign w:val="bottom"/>
            <w:gridSpan w:val="4"/>
          </w:tcPr>
          <w:p>
            <w:pPr>
              <w:jc w:val="right"/>
              <w:spacing w:after="0"/>
              <w:rPr>
                <w:sz w:val="20"/>
                <w:szCs w:val="20"/>
                <w:color w:val="auto"/>
              </w:rPr>
            </w:pPr>
            <w:r>
              <w:rPr>
                <w:rFonts w:ascii="Arial" w:cs="Arial" w:eastAsia="Arial" w:hAnsi="Arial"/>
                <w:sz w:val="18"/>
                <w:szCs w:val="18"/>
                <w:color w:val="auto"/>
                <w:w w:val="92"/>
              </w:rPr>
              <w:t>Dutch Fiscal Unity. Any fiscal unity (</w:t>
            </w:r>
            <w:r>
              <w:rPr>
                <w:rFonts w:ascii="Arial" w:cs="Arial" w:eastAsia="Arial" w:hAnsi="Arial"/>
                <w:sz w:val="18"/>
                <w:szCs w:val="18"/>
                <w:i w:val="1"/>
                <w:iCs w:val="1"/>
                <w:color w:val="auto"/>
                <w:w w:val="92"/>
              </w:rPr>
              <w:t>fiscale eenheid</w:t>
            </w:r>
            <w:r>
              <w:rPr>
                <w:rFonts w:ascii="Arial" w:cs="Arial" w:eastAsia="Arial" w:hAnsi="Arial"/>
                <w:sz w:val="18"/>
                <w:szCs w:val="18"/>
                <w:color w:val="auto"/>
                <w:w w:val="92"/>
              </w:rPr>
              <w:t>) for Dutch tax purposes of which an Obligor forms part consists of</w:t>
            </w:r>
          </w:p>
        </w:tc>
      </w:tr>
      <w:tr>
        <w:trPr>
          <w:trHeight w:val="20"/>
        </w:trPr>
        <w:tc>
          <w:tcPr>
            <w:tcW w:w="2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Obligors and/or Restricted Subsidiaries only.</w:t>
            </w:r>
          </w:p>
        </w:tc>
      </w:tr>
      <w:tr>
        <w:trPr>
          <w:trHeight w:val="392"/>
        </w:trPr>
        <w:tc>
          <w:tcPr>
            <w:tcW w:w="2760" w:type="dxa"/>
            <w:vAlign w:val="bottom"/>
          </w:tcPr>
          <w:p>
            <w:pPr>
              <w:ind w:left="660"/>
              <w:spacing w:after="0"/>
              <w:rPr>
                <w:sz w:val="20"/>
                <w:szCs w:val="20"/>
                <w:color w:val="auto"/>
              </w:rPr>
            </w:pPr>
            <w:r>
              <w:rPr>
                <w:rFonts w:ascii="Arial" w:cs="Arial" w:eastAsia="Arial" w:hAnsi="Arial"/>
                <w:sz w:val="18"/>
                <w:szCs w:val="18"/>
                <w:color w:val="auto"/>
              </w:rPr>
              <w:t>SECTION 6.24</w:t>
            </w:r>
          </w:p>
        </w:tc>
        <w:tc>
          <w:tcPr>
            <w:tcW w:w="500" w:type="dxa"/>
            <w:vAlign w:val="bottom"/>
          </w:tcPr>
          <w:p>
            <w:pPr>
              <w:spacing w:after="0"/>
              <w:rPr>
                <w:sz w:val="24"/>
                <w:szCs w:val="24"/>
                <w:color w:val="auto"/>
              </w:rPr>
            </w:pPr>
          </w:p>
        </w:tc>
        <w:tc>
          <w:tcPr>
            <w:tcW w:w="8160" w:type="dxa"/>
            <w:vAlign w:val="bottom"/>
            <w:gridSpan w:val="3"/>
          </w:tcPr>
          <w:p>
            <w:pPr>
              <w:jc w:val="right"/>
              <w:spacing w:after="0"/>
              <w:rPr>
                <w:sz w:val="20"/>
                <w:szCs w:val="20"/>
                <w:color w:val="auto"/>
              </w:rPr>
            </w:pPr>
            <w:r>
              <w:rPr>
                <w:rFonts w:ascii="Arial" w:cs="Arial" w:eastAsia="Arial" w:hAnsi="Arial"/>
                <w:sz w:val="18"/>
                <w:szCs w:val="18"/>
                <w:color w:val="auto"/>
                <w:w w:val="94"/>
              </w:rPr>
              <w:t>Tax Residency. Each Obligor organized under the laws of the Netherlands is resident for tax purposes in the</w:t>
            </w:r>
          </w:p>
        </w:tc>
      </w:tr>
      <w:tr>
        <w:trPr>
          <w:trHeight w:val="20"/>
        </w:trPr>
        <w:tc>
          <w:tcPr>
            <w:tcW w:w="2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Netherlands only and does not have a permanent establishment or other taxable presence outside the Netherlands, unless with the prior written consent of the Administrative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6.25 </w:t>
      </w:r>
      <w:r>
        <w:rPr>
          <w:rFonts w:ascii="Arial" w:cs="Arial" w:eastAsia="Arial" w:hAnsi="Arial"/>
          <w:sz w:val="18"/>
          <w:szCs w:val="18"/>
          <w:u w:val="single" w:color="auto"/>
          <w:color w:val="auto"/>
        </w:rPr>
        <w:t>Status as a Holding Company</w:t>
      </w:r>
      <w:r>
        <w:rPr>
          <w:rFonts w:ascii="Arial" w:cs="Arial" w:eastAsia="Arial" w:hAnsi="Arial"/>
          <w:sz w:val="18"/>
          <w:szCs w:val="18"/>
          <w:color w:val="auto"/>
        </w:rPr>
        <w:t>. Parent does not have any operating assets or engage in any business other than any customary business of a holding company and ordinary course business operations of Parent in existence prior to the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Information Covenants</w:t>
      </w:r>
      <w:r>
        <w:rPr>
          <w:rFonts w:ascii="Arial" w:cs="Arial" w:eastAsia="Arial" w:hAnsi="Arial"/>
          <w:sz w:val="16"/>
          <w:szCs w:val="16"/>
          <w:color w:val="auto"/>
        </w:rPr>
        <w:t>. Each Obligor Party shall furnish or cause to be furnished to the Administrative Agent:</w:t>
      </w:r>
    </w:p>
    <w:p>
      <w:pPr>
        <w:spacing w:after="0" w:line="225" w:lineRule="exact"/>
        <w:rPr>
          <w:sz w:val="20"/>
          <w:szCs w:val="20"/>
          <w:color w:val="auto"/>
        </w:rPr>
      </w:pPr>
    </w:p>
    <w:p>
      <w:pPr>
        <w:jc w:val="both"/>
        <w:ind w:firstLine="1305"/>
        <w:spacing w:after="0" w:line="288" w:lineRule="auto"/>
        <w:tabs>
          <w:tab w:leader="none" w:pos="2293" w:val="left"/>
        </w:tabs>
        <w:numPr>
          <w:ilvl w:val="0"/>
          <w:numId w:val="656"/>
        </w:numPr>
        <w:rPr>
          <w:rFonts w:ascii="Arial" w:cs="Arial" w:eastAsia="Arial" w:hAnsi="Arial"/>
          <w:sz w:val="16"/>
          <w:szCs w:val="16"/>
          <w:color w:val="auto"/>
        </w:rPr>
      </w:pPr>
      <w:r>
        <w:rPr>
          <w:rFonts w:ascii="Arial" w:cs="Arial" w:eastAsia="Arial" w:hAnsi="Arial"/>
          <w:sz w:val="16"/>
          <w:szCs w:val="16"/>
          <w:color w:val="auto"/>
        </w:rPr>
        <w:t xml:space="preserve">Upon the earlier to occur of (i) five Business Days after being filed with the SEC and (ii) the date that is the deadline to file with SEC, the quarterly report on Form 10-Q, or its equivalent, of Parent for such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Obligor Parties shall be deemed to have furnished said quarterly report on Form 10-Q for purposes of this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65" w:name="page566"/>
    <w:bookmarkEnd w:id="565"/>
    <w:p>
      <w:pPr>
        <w:jc w:val="both"/>
        <w:ind w:firstLine="1305"/>
        <w:spacing w:after="0" w:line="268" w:lineRule="auto"/>
        <w:tabs>
          <w:tab w:leader="none" w:pos="2303" w:val="left"/>
        </w:tabs>
        <w:numPr>
          <w:ilvl w:val="1"/>
          <w:numId w:val="657"/>
        </w:numPr>
        <w:rPr>
          <w:rFonts w:ascii="Arial" w:cs="Arial" w:eastAsia="Arial" w:hAnsi="Arial"/>
          <w:sz w:val="17"/>
          <w:szCs w:val="17"/>
          <w:color w:val="auto"/>
        </w:rPr>
      </w:pPr>
      <w:r>
        <w:rPr>
          <w:rFonts w:ascii="Arial" w:cs="Arial" w:eastAsia="Arial" w:hAnsi="Arial"/>
          <w:sz w:val="17"/>
          <w:szCs w:val="17"/>
          <w:color w:val="auto"/>
        </w:rPr>
        <w:t xml:space="preserve">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Obligor Parties shall be deemed to have furnished said annual report on Form 10-K for purposes of this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187" w:lineRule="exact"/>
        <w:rPr>
          <w:rFonts w:ascii="Arial" w:cs="Arial" w:eastAsia="Arial" w:hAnsi="Arial"/>
          <w:sz w:val="17"/>
          <w:szCs w:val="17"/>
          <w:color w:val="auto"/>
        </w:rPr>
      </w:pPr>
    </w:p>
    <w:p>
      <w:pPr>
        <w:jc w:val="both"/>
        <w:ind w:firstLine="1305"/>
        <w:spacing w:after="0" w:line="255" w:lineRule="auto"/>
        <w:tabs>
          <w:tab w:leader="none" w:pos="2225" w:val="left"/>
        </w:tabs>
        <w:numPr>
          <w:ilvl w:val="1"/>
          <w:numId w:val="657"/>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93" w:lineRule="exact"/>
        <w:rPr>
          <w:rFonts w:ascii="Arial" w:cs="Arial" w:eastAsia="Arial" w:hAnsi="Arial"/>
          <w:sz w:val="18"/>
          <w:szCs w:val="18"/>
          <w:color w:val="auto"/>
        </w:rPr>
      </w:pPr>
    </w:p>
    <w:p>
      <w:pPr>
        <w:ind w:left="2180" w:hanging="875"/>
        <w:spacing w:after="0"/>
        <w:tabs>
          <w:tab w:leader="none" w:pos="218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w:t>
      </w:r>
    </w:p>
    <w:p>
      <w:pPr>
        <w:spacing w:after="0" w:line="225" w:lineRule="exact"/>
        <w:rPr>
          <w:rFonts w:ascii="Arial" w:cs="Arial" w:eastAsia="Arial" w:hAnsi="Arial"/>
          <w:sz w:val="18"/>
          <w:szCs w:val="18"/>
          <w:color w:val="auto"/>
        </w:rPr>
      </w:pPr>
    </w:p>
    <w:p>
      <w:pPr>
        <w:jc w:val="both"/>
        <w:ind w:left="660" w:firstLine="1293"/>
        <w:spacing w:after="0" w:line="288" w:lineRule="auto"/>
        <w:tabs>
          <w:tab w:leader="none" w:pos="3135" w:val="left"/>
        </w:tabs>
        <w:numPr>
          <w:ilvl w:val="2"/>
          <w:numId w:val="657"/>
        </w:numPr>
        <w:rPr>
          <w:rFonts w:ascii="Arial" w:cs="Arial" w:eastAsia="Arial" w:hAnsi="Arial"/>
          <w:sz w:val="16"/>
          <w:szCs w:val="16"/>
          <w:color w:val="auto"/>
        </w:rPr>
      </w:pPr>
      <w:r>
        <w:rPr>
          <w:rFonts w:ascii="Arial" w:cs="Arial" w:eastAsia="Arial" w:hAnsi="Arial"/>
          <w:sz w:val="16"/>
          <w:szCs w:val="16"/>
          <w:color w:val="auto"/>
        </w:rPr>
        <w:t>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w:t>
      </w:r>
    </w:p>
    <w:p>
      <w:pPr>
        <w:jc w:val="both"/>
        <w:ind w:left="660" w:hanging="4"/>
        <w:spacing w:after="0" w:line="253" w:lineRule="auto"/>
        <w:tabs>
          <w:tab w:leader="none" w:pos="949"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91" w:lineRule="exact"/>
        <w:rPr>
          <w:rFonts w:ascii="Arial" w:cs="Arial" w:eastAsia="Arial" w:hAnsi="Arial"/>
          <w:sz w:val="18"/>
          <w:szCs w:val="18"/>
          <w:color w:val="auto"/>
        </w:rPr>
      </w:pPr>
    </w:p>
    <w:p>
      <w:pPr>
        <w:ind w:left="2960" w:hanging="1007"/>
        <w:spacing w:after="0"/>
        <w:tabs>
          <w:tab w:leader="none" w:pos="2960" w:val="left"/>
        </w:tabs>
        <w:numPr>
          <w:ilvl w:val="2"/>
          <w:numId w:val="658"/>
        </w:numPr>
        <w:rPr>
          <w:rFonts w:ascii="Arial" w:cs="Arial" w:eastAsia="Arial" w:hAnsi="Arial"/>
          <w:sz w:val="16"/>
          <w:szCs w:val="16"/>
          <w:color w:val="auto"/>
        </w:rPr>
      </w:pPr>
      <w:r>
        <w:rPr>
          <w:rFonts w:ascii="Arial" w:cs="Arial" w:eastAsia="Arial" w:hAnsi="Arial"/>
          <w:sz w:val="16"/>
          <w:szCs w:val="16"/>
          <w:color w:val="auto"/>
        </w:rPr>
        <w:t>any Obligor Party obtains knowledge of the occurrence of any event or condition which constitutes a Default or an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Event of Default;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6" w:name="page567"/>
    <w:bookmarkEnd w:id="566"/>
    <w:p>
      <w:pPr>
        <w:ind w:left="2760" w:hanging="807"/>
        <w:spacing w:after="0"/>
        <w:tabs>
          <w:tab w:leader="none" w:pos="2760" w:val="left"/>
        </w:tabs>
        <w:numPr>
          <w:ilvl w:val="2"/>
          <w:numId w:val="659"/>
        </w:numPr>
        <w:rPr>
          <w:rFonts w:ascii="Arial" w:cs="Arial" w:eastAsia="Arial" w:hAnsi="Arial"/>
          <w:sz w:val="18"/>
          <w:szCs w:val="18"/>
          <w:color w:val="auto"/>
        </w:rPr>
      </w:pPr>
      <w:r>
        <w:rPr>
          <w:rFonts w:ascii="Arial" w:cs="Arial" w:eastAsia="Arial" w:hAnsi="Arial"/>
          <w:sz w:val="18"/>
          <w:szCs w:val="18"/>
          <w:color w:val="auto"/>
        </w:rPr>
        <w:t>any Obligor Party obtains knowledge of the occurrence of a Change of Control;</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notice of such event, condition, occurrence or development, specifying the nature thereof.</w:t>
      </w:r>
    </w:p>
    <w:p>
      <w:pPr>
        <w:spacing w:after="0" w:line="225" w:lineRule="exact"/>
        <w:rPr>
          <w:rFonts w:ascii="Arial" w:cs="Arial" w:eastAsia="Arial" w:hAnsi="Arial"/>
          <w:sz w:val="18"/>
          <w:szCs w:val="18"/>
          <w:color w:val="auto"/>
        </w:rPr>
      </w:pPr>
    </w:p>
    <w:p>
      <w:pPr>
        <w:ind w:right="20" w:firstLine="1305"/>
        <w:spacing w:after="0" w:line="277" w:lineRule="auto"/>
        <w:tabs>
          <w:tab w:leader="none" w:pos="2522" w:val="left"/>
        </w:tabs>
        <w:numPr>
          <w:ilvl w:val="1"/>
          <w:numId w:val="660"/>
        </w:numPr>
        <w:rPr>
          <w:rFonts w:ascii="Arial" w:cs="Arial" w:eastAsia="Arial" w:hAnsi="Arial"/>
          <w:sz w:val="18"/>
          <w:szCs w:val="18"/>
          <w:color w:val="auto"/>
        </w:rPr>
      </w:pPr>
      <w:r>
        <w:rPr>
          <w:rFonts w:ascii="Arial" w:cs="Arial" w:eastAsia="Arial" w:hAnsi="Arial"/>
          <w:sz w:val="18"/>
          <w:szCs w:val="18"/>
          <w:color w:val="auto"/>
        </w:rPr>
        <w:t xml:space="preserve">Within five Business Days after the delivery of the financial statements provided for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7.01(b)</w:t>
      </w:r>
      <w:r>
        <w:rPr>
          <w:rFonts w:ascii="Arial" w:cs="Arial" w:eastAsia="Arial" w:hAnsi="Arial"/>
          <w:sz w:val="18"/>
          <w:szCs w:val="18"/>
          <w:color w:val="auto"/>
        </w:rPr>
        <w:t>, a Compliance Certificate with respect to the fiscal period covered by such financial statements.</w:t>
      </w:r>
    </w:p>
    <w:p>
      <w:pPr>
        <w:spacing w:after="0" w:line="170" w:lineRule="exact"/>
        <w:rPr>
          <w:rFonts w:ascii="Arial" w:cs="Arial" w:eastAsia="Arial" w:hAnsi="Arial"/>
          <w:sz w:val="18"/>
          <w:szCs w:val="18"/>
          <w:color w:val="auto"/>
        </w:rPr>
      </w:pPr>
    </w:p>
    <w:p>
      <w:pPr>
        <w:ind w:left="2400" w:hanging="1095"/>
        <w:spacing w:after="0"/>
        <w:tabs>
          <w:tab w:leader="none" w:pos="2400" w:val="left"/>
        </w:tabs>
        <w:numPr>
          <w:ilvl w:val="1"/>
          <w:numId w:val="660"/>
        </w:numPr>
        <w:rPr>
          <w:rFonts w:ascii="Arial" w:cs="Arial" w:eastAsia="Arial" w:hAnsi="Arial"/>
          <w:sz w:val="16"/>
          <w:szCs w:val="16"/>
          <w:color w:val="auto"/>
        </w:rPr>
      </w:pPr>
      <w:r>
        <w:rPr>
          <w:rFonts w:ascii="Arial" w:cs="Arial" w:eastAsia="Arial" w:hAnsi="Arial"/>
          <w:sz w:val="16"/>
          <w:szCs w:val="16"/>
          <w:color w:val="auto"/>
        </w:rPr>
        <w:t>Promptly, and in any event within 30 days after any Responsible Officer of such Obligor Party obtains knowledge thereof,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of:</w:t>
      </w:r>
    </w:p>
    <w:p>
      <w:pPr>
        <w:spacing w:after="0" w:line="210" w:lineRule="exact"/>
        <w:rPr>
          <w:rFonts w:ascii="Arial" w:cs="Arial" w:eastAsia="Arial" w:hAnsi="Arial"/>
          <w:sz w:val="16"/>
          <w:szCs w:val="16"/>
          <w:color w:val="auto"/>
        </w:rPr>
      </w:pPr>
    </w:p>
    <w:p>
      <w:pPr>
        <w:ind w:left="2940" w:hanging="987"/>
        <w:spacing w:after="0"/>
        <w:tabs>
          <w:tab w:leader="none" w:pos="2940" w:val="left"/>
        </w:tabs>
        <w:numPr>
          <w:ilvl w:val="2"/>
          <w:numId w:val="660"/>
        </w:numPr>
        <w:rPr>
          <w:rFonts w:ascii="Arial" w:cs="Arial" w:eastAsia="Arial" w:hAnsi="Arial"/>
          <w:sz w:val="16"/>
          <w:szCs w:val="16"/>
          <w:color w:val="auto"/>
        </w:rPr>
      </w:pPr>
      <w:r>
        <w:rPr>
          <w:rFonts w:ascii="Arial" w:cs="Arial" w:eastAsia="Arial" w:hAnsi="Arial"/>
          <w:sz w:val="16"/>
          <w:szCs w:val="16"/>
          <w:color w:val="auto"/>
        </w:rPr>
        <w:t>the occurrence or expected occurrence of (A) any ERISA Event with respect to any Plan or any Multiemployer Plan,</w:t>
      </w:r>
    </w:p>
    <w:p>
      <w:pPr>
        <w:spacing w:after="0" w:line="46" w:lineRule="exact"/>
        <w:rPr>
          <w:rFonts w:ascii="Arial" w:cs="Arial" w:eastAsia="Arial" w:hAnsi="Arial"/>
          <w:sz w:val="16"/>
          <w:szCs w:val="16"/>
          <w:color w:val="auto"/>
        </w:rPr>
      </w:pPr>
    </w:p>
    <w:p>
      <w:pPr>
        <w:ind w:left="660" w:hanging="4"/>
        <w:spacing w:after="0" w:line="290" w:lineRule="auto"/>
        <w:tabs>
          <w:tab w:leader="none" w:pos="946" w:val="left"/>
        </w:tabs>
        <w:numPr>
          <w:ilvl w:val="0"/>
          <w:numId w:val="661"/>
        </w:numPr>
        <w:rPr>
          <w:rFonts w:ascii="Arial" w:cs="Arial" w:eastAsia="Arial" w:hAnsi="Arial"/>
          <w:sz w:val="17"/>
          <w:szCs w:val="17"/>
          <w:color w:val="auto"/>
        </w:rPr>
      </w:pPr>
      <w:r>
        <w:rPr>
          <w:rFonts w:ascii="Arial" w:cs="Arial" w:eastAsia="Arial" w:hAnsi="Arial"/>
          <w:sz w:val="17"/>
          <w:szCs w:val="17"/>
          <w:color w:val="auto"/>
        </w:rPr>
        <w:t>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161" w:lineRule="exact"/>
        <w:rPr>
          <w:rFonts w:ascii="Arial" w:cs="Arial" w:eastAsia="Arial" w:hAnsi="Arial"/>
          <w:sz w:val="17"/>
          <w:szCs w:val="17"/>
          <w:color w:val="auto"/>
        </w:rPr>
      </w:pPr>
    </w:p>
    <w:p>
      <w:pPr>
        <w:jc w:val="both"/>
        <w:ind w:left="660" w:firstLine="1293"/>
        <w:spacing w:after="0" w:line="257" w:lineRule="auto"/>
        <w:tabs>
          <w:tab w:leader="none" w:pos="2901" w:val="left"/>
        </w:tabs>
        <w:numPr>
          <w:ilvl w:val="2"/>
          <w:numId w:val="661"/>
        </w:numPr>
        <w:rPr>
          <w:rFonts w:ascii="Arial" w:cs="Arial" w:eastAsia="Arial" w:hAnsi="Arial"/>
          <w:sz w:val="18"/>
          <w:szCs w:val="18"/>
          <w:color w:val="auto"/>
        </w:rPr>
      </w:pPr>
      <w:r>
        <w:rPr>
          <w:rFonts w:ascii="Arial" w:cs="Arial" w:eastAsia="Arial" w:hAnsi="Arial"/>
          <w:sz w:val="18"/>
          <w:szCs w:val="18"/>
          <w:color w:val="auto"/>
        </w:rPr>
        <w:t>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2249"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2492" w:val="left"/>
        </w:tabs>
        <w:numPr>
          <w:ilvl w:val="1"/>
          <w:numId w:val="661"/>
        </w:numPr>
        <w:rPr>
          <w:rFonts w:ascii="Arial" w:cs="Arial" w:eastAsia="Arial" w:hAnsi="Arial"/>
          <w:sz w:val="17"/>
          <w:szCs w:val="17"/>
          <w:color w:val="auto"/>
        </w:rPr>
      </w:pPr>
      <w:r>
        <w:rPr>
          <w:rFonts w:ascii="Arial" w:cs="Arial" w:eastAsia="Arial" w:hAnsi="Arial"/>
          <w:sz w:val="17"/>
          <w:szCs w:val="17"/>
          <w:color w:val="auto"/>
        </w:rPr>
        <w:t xml:space="preserve">(i) Within 30 days after the consummation of any Collateral Transfer resulting in Book Value of Assets of greater than $50,000,000 ceasing to be Collateral, (A) written notice of such Collateral Transfer (including the book value of the Collateral so transferred), (B) a certificate of a Principal Financial Officer of an Obligor Party, certifying that after giving effect to such Collateral Transfer, the Book Value of Assets with respect to all remaining Collateral is no less than $1,500,000,000 and (C) a reasonably detailed calculation demonstrating Parent’s calculation of such Book Value of Assets and (ii) within five Business Days after the delivery of the financial statements provided for in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7.01(b)</w:t>
      </w:r>
      <w:r>
        <w:rPr>
          <w:rFonts w:ascii="Arial" w:cs="Arial" w:eastAsia="Arial" w:hAnsi="Arial"/>
          <w:sz w:val="17"/>
          <w:szCs w:val="17"/>
          <w:color w:val="auto"/>
        </w:rPr>
        <w:t>, a calculation of the Book Value of Assets as of the end of the fiscal period covered by such financial statements.</w:t>
      </w:r>
    </w:p>
    <w:p>
      <w:pPr>
        <w:spacing w:after="0" w:line="178" w:lineRule="exact"/>
        <w:rPr>
          <w:rFonts w:ascii="Arial" w:cs="Arial" w:eastAsia="Arial" w:hAnsi="Arial"/>
          <w:sz w:val="17"/>
          <w:szCs w:val="17"/>
          <w:color w:val="auto"/>
        </w:rPr>
      </w:pPr>
    </w:p>
    <w:p>
      <w:pPr>
        <w:ind w:firstLine="1305"/>
        <w:spacing w:after="0" w:line="342" w:lineRule="auto"/>
        <w:tabs>
          <w:tab w:leader="none" w:pos="2353" w:val="left"/>
        </w:tabs>
        <w:numPr>
          <w:ilvl w:val="1"/>
          <w:numId w:val="661"/>
        </w:numPr>
        <w:rPr>
          <w:rFonts w:ascii="Arial" w:cs="Arial" w:eastAsia="Arial" w:hAnsi="Arial"/>
          <w:sz w:val="16"/>
          <w:szCs w:val="16"/>
          <w:color w:val="auto"/>
        </w:rPr>
      </w:pPr>
      <w:r>
        <w:rPr>
          <w:rFonts w:ascii="Arial" w:cs="Arial" w:eastAsia="Arial" w:hAnsi="Arial"/>
          <w:sz w:val="16"/>
          <w:szCs w:val="16"/>
          <w:color w:val="auto"/>
        </w:rPr>
        <w:t>Promptly, and in any event within five (5) Business Days after, notices of default sent to or from the Obligors in connection with the ABL Credit Agreement or any amendment, supplement or other modification to the ABL Credit Agreement or the loan documents related thereto.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7" w:name="page568"/>
    <w:bookmarkEnd w:id="567"/>
    <w:p>
      <w:pPr>
        <w:jc w:val="both"/>
        <w:ind w:firstLine="1305"/>
        <w:spacing w:after="0" w:line="271" w:lineRule="auto"/>
        <w:tabs>
          <w:tab w:leader="none" w:pos="2434" w:val="left"/>
        </w:tabs>
        <w:numPr>
          <w:ilvl w:val="0"/>
          <w:numId w:val="662"/>
        </w:numPr>
        <w:rPr>
          <w:rFonts w:ascii="Arial" w:cs="Arial" w:eastAsia="Arial" w:hAnsi="Arial"/>
          <w:sz w:val="17"/>
          <w:szCs w:val="17"/>
          <w:color w:val="auto"/>
        </w:rPr>
      </w:pPr>
      <w:r>
        <w:rPr>
          <w:rFonts w:ascii="Arial" w:cs="Arial" w:eastAsia="Arial" w:hAnsi="Arial"/>
          <w:sz w:val="17"/>
          <w:szCs w:val="17"/>
          <w:color w:val="auto"/>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non-public information obtained by any Person pursuant to such request shall be treated as confidential information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Books, Records and Inspections</w:t>
      </w:r>
      <w:r>
        <w:rPr>
          <w:rFonts w:ascii="Arial" w:cs="Arial" w:eastAsia="Arial" w:hAnsi="Arial"/>
          <w:sz w:val="17"/>
          <w:szCs w:val="17"/>
          <w:color w:val="auto"/>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8" w:name="page569"/>
    <w:bookmarkEnd w:id="568"/>
    <w:p>
      <w:pPr>
        <w:jc w:val="both"/>
        <w:ind w:firstLine="648"/>
        <w:spacing w:after="0" w:line="288"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w:t>
      </w:r>
    </w:p>
    <w:p>
      <w:pPr>
        <w:jc w:val="both"/>
        <w:ind w:firstLine="8"/>
        <w:spacing w:after="0" w:line="255" w:lineRule="auto"/>
        <w:tabs>
          <w:tab w:leader="none" w:pos="222" w:val="left"/>
        </w:tabs>
        <w:numPr>
          <w:ilvl w:val="0"/>
          <w:numId w:val="663"/>
        </w:numPr>
        <w:rPr>
          <w:rFonts w:ascii="Arial" w:cs="Arial" w:eastAsia="Arial" w:hAnsi="Arial"/>
          <w:sz w:val="18"/>
          <w:szCs w:val="18"/>
          <w:color w:val="auto"/>
        </w:rPr>
      </w:pPr>
      <w:r>
        <w:rPr>
          <w:rFonts w:ascii="Arial" w:cs="Arial" w:eastAsia="Arial" w:hAnsi="Arial"/>
          <w:sz w:val="18"/>
          <w:szCs w:val="18"/>
          <w:color w:val="auto"/>
        </w:rPr>
        <w:t>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Except as expressly permitted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ERISA Compliance</w:t>
      </w:r>
      <w:r>
        <w:rPr>
          <w:rFonts w:ascii="Arial" w:cs="Arial" w:eastAsia="Arial" w:hAnsi="Arial"/>
          <w:sz w:val="17"/>
          <w:szCs w:val="17"/>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6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Compliance with Laws and Material Contractual Obligations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6" w:lineRule="auto"/>
        <w:tabs>
          <w:tab w:leader="none" w:pos="2239" w:val="left"/>
        </w:tabs>
        <w:numPr>
          <w:ilvl w:val="0"/>
          <w:numId w:val="664"/>
        </w:numPr>
        <w:rPr>
          <w:rFonts w:ascii="Arial" w:cs="Arial" w:eastAsia="Arial" w:hAnsi="Arial"/>
          <w:sz w:val="17"/>
          <w:szCs w:val="17"/>
          <w:color w:val="auto"/>
        </w:rPr>
      </w:pPr>
      <w:r>
        <w:rPr>
          <w:rFonts w:ascii="Arial" w:cs="Arial" w:eastAsia="Arial" w:hAnsi="Arial"/>
          <w:sz w:val="17"/>
          <w:szCs w:val="17"/>
          <w:color w:val="auto"/>
        </w:rPr>
        <w:t xml:space="preserve">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69" w:name="page570"/>
    <w:bookmarkEnd w:id="569"/>
    <w:p>
      <w:pPr>
        <w:jc w:val="both"/>
        <w:ind w:firstLine="1305"/>
        <w:spacing w:after="0" w:line="276" w:lineRule="auto"/>
        <w:tabs>
          <w:tab w:leader="none" w:pos="2235" w:val="left"/>
        </w:tabs>
        <w:numPr>
          <w:ilvl w:val="0"/>
          <w:numId w:val="665"/>
        </w:numPr>
        <w:rPr>
          <w:rFonts w:ascii="Arial" w:cs="Arial" w:eastAsia="Arial" w:hAnsi="Arial"/>
          <w:sz w:val="17"/>
          <w:szCs w:val="17"/>
          <w:color w:val="auto"/>
        </w:rPr>
      </w:pPr>
      <w:r>
        <w:rPr>
          <w:rFonts w:ascii="Arial" w:cs="Arial" w:eastAsia="Arial" w:hAnsi="Arial"/>
          <w:sz w:val="17"/>
          <w:szCs w:val="17"/>
          <w:color w:val="auto"/>
        </w:rPr>
        <w:t xml:space="preserve">To the extent that any obligation contained in this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made by any Obligor incorporated or organized under the laws of Germany or a resident (</w:t>
      </w:r>
      <w:r>
        <w:rPr>
          <w:rFonts w:ascii="Arial" w:cs="Arial" w:eastAsia="Arial" w:hAnsi="Arial"/>
          <w:sz w:val="17"/>
          <w:szCs w:val="17"/>
          <w:i w:val="1"/>
          <w:iCs w:val="1"/>
          <w:color w:val="auto"/>
        </w:rPr>
        <w:t>Inländer</w:t>
      </w:r>
      <w:r>
        <w:rPr>
          <w:rFonts w:ascii="Arial" w:cs="Arial" w:eastAsia="Arial" w:hAnsi="Arial"/>
          <w:sz w:val="17"/>
          <w:szCs w:val="17"/>
          <w:color w:val="auto"/>
        </w:rPr>
        <w:t>) (within the meaning of section 2 paragraph 15 of the German Foreign Trade Act (</w:t>
      </w:r>
      <w:r>
        <w:rPr>
          <w:rFonts w:ascii="Arial" w:cs="Arial" w:eastAsia="Arial" w:hAnsi="Arial"/>
          <w:sz w:val="17"/>
          <w:szCs w:val="17"/>
          <w:i w:val="1"/>
          <w:iCs w:val="1"/>
          <w:color w:val="auto"/>
        </w:rPr>
        <w:t>Auβenwirtschaftgesetz</w:t>
      </w:r>
      <w:r>
        <w:rPr>
          <w:rFonts w:ascii="Arial" w:cs="Arial" w:eastAsia="Arial" w:hAnsi="Arial"/>
          <w:sz w:val="17"/>
          <w:szCs w:val="17"/>
          <w:color w:val="auto"/>
        </w:rPr>
        <w:t>)) would result in a violation of or conflict with or liability under either EU Regulation (EC) 2271/96 or section 7 of the German Foreign Trade Ordinance (</w:t>
      </w:r>
      <w:r>
        <w:rPr>
          <w:rFonts w:ascii="Arial" w:cs="Arial" w:eastAsia="Arial" w:hAnsi="Arial"/>
          <w:sz w:val="17"/>
          <w:szCs w:val="17"/>
          <w:i w:val="1"/>
          <w:iCs w:val="1"/>
          <w:u w:val="single" w:color="auto"/>
          <w:color w:val="auto"/>
        </w:rPr>
        <w:t>Außenwirtschaftsverordnung</w:t>
      </w:r>
      <w:r>
        <w:rPr>
          <w:rFonts w:ascii="Arial" w:cs="Arial" w:eastAsia="Arial" w:hAnsi="Arial"/>
          <w:sz w:val="17"/>
          <w:szCs w:val="17"/>
          <w:color w:val="auto"/>
        </w:rPr>
        <w:t>) (in connection with the German Foreign Trade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xml:space="preserve"> (AWG)) or any similar anti-boycott statute, such Obligor shall implement procedures to mitigate any such conflict or violation to the reasonable satisfaction of the Required Lenders.</w:t>
      </w:r>
    </w:p>
    <w:p>
      <w:pPr>
        <w:spacing w:after="0" w:line="173"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Additional Guarantors; Additional Specified Jurisdictions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2333" w:val="left"/>
        </w:tabs>
        <w:numPr>
          <w:ilvl w:val="0"/>
          <w:numId w:val="666"/>
        </w:numPr>
        <w:rPr>
          <w:rFonts w:ascii="Arial" w:cs="Arial" w:eastAsia="Arial" w:hAnsi="Arial"/>
          <w:sz w:val="16"/>
          <w:szCs w:val="16"/>
          <w:color w:val="auto"/>
        </w:rPr>
      </w:pPr>
      <w:r>
        <w:rPr>
          <w:rFonts w:ascii="Arial" w:cs="Arial" w:eastAsia="Arial" w:hAnsi="Arial"/>
          <w:sz w:val="16"/>
          <w:szCs w:val="16"/>
          <w:color w:val="auto"/>
        </w:rPr>
        <w:t xml:space="preserve">If (i) as of the time of delivery of a Compliance Certificate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under the ABL Credit Facility or any other third party Indebtedness for borrowed money of an Obligor in an aggregate principal amount in excess of $20,000,000, Parent shall (A) with respect to a determination made pursuant to </w:t>
      </w:r>
      <w:r>
        <w:rPr>
          <w:rFonts w:ascii="Arial" w:cs="Arial" w:eastAsia="Arial" w:hAnsi="Arial"/>
          <w:sz w:val="16"/>
          <w:szCs w:val="16"/>
          <w:u w:val="single" w:color="auto"/>
          <w:color w:val="auto"/>
        </w:rPr>
        <w:t>Section 7.08(a)(i)</w:t>
      </w:r>
      <w:r>
        <w:rPr>
          <w:rFonts w:ascii="Arial" w:cs="Arial" w:eastAsia="Arial" w:hAnsi="Arial"/>
          <w:sz w:val="16"/>
          <w:szCs w:val="16"/>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16"/>
          <w:szCs w:val="16"/>
          <w:u w:val="single" w:color="auto"/>
          <w:color w:val="auto"/>
        </w:rPr>
        <w:t>Section 7.08(b)</w:t>
      </w:r>
      <w:r>
        <w:rPr>
          <w:rFonts w:ascii="Arial" w:cs="Arial" w:eastAsia="Arial" w:hAnsi="Arial"/>
          <w:sz w:val="16"/>
          <w:szCs w:val="16"/>
          <w:color w:val="auto"/>
        </w:rPr>
        <w:t xml:space="preserve">, as such time period may be extended by the Administrative Agent in its sole discretion), or (B) with respect to any Guarantee provided pursuant to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ii)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71" w:lineRule="exact"/>
        <w:rPr>
          <w:rFonts w:ascii="Arial" w:cs="Arial" w:eastAsia="Arial" w:hAnsi="Arial"/>
          <w:sz w:val="16"/>
          <w:szCs w:val="16"/>
          <w:color w:val="auto"/>
        </w:rPr>
      </w:pPr>
    </w:p>
    <w:p>
      <w:pPr>
        <w:jc w:val="both"/>
        <w:ind w:firstLine="1305"/>
        <w:spacing w:after="0" w:line="279" w:lineRule="auto"/>
        <w:tabs>
          <w:tab w:leader="none" w:pos="2343" w:val="left"/>
        </w:tabs>
        <w:numPr>
          <w:ilvl w:val="0"/>
          <w:numId w:val="666"/>
        </w:numPr>
        <w:rPr>
          <w:rFonts w:ascii="Arial" w:cs="Arial" w:eastAsia="Arial" w:hAnsi="Arial"/>
          <w:sz w:val="17"/>
          <w:szCs w:val="17"/>
          <w:color w:val="auto"/>
        </w:rPr>
      </w:pPr>
      <w:r>
        <w:rPr>
          <w:rFonts w:ascii="Arial" w:cs="Arial" w:eastAsia="Arial" w:hAnsi="Arial"/>
          <w:sz w:val="17"/>
          <w:szCs w:val="17"/>
          <w:color w:val="auto"/>
        </w:rPr>
        <w:t xml:space="preserve">If, in the most recent Compliance Certificate delivered pursuant to </w:t>
      </w:r>
      <w:r>
        <w:rPr>
          <w:rFonts w:ascii="Arial" w:cs="Arial" w:eastAsia="Arial" w:hAnsi="Arial"/>
          <w:sz w:val="17"/>
          <w:szCs w:val="17"/>
          <w:u w:val="single" w:color="auto"/>
          <w:color w:val="auto"/>
        </w:rPr>
        <w:t>Section 7.01(e)</w:t>
      </w:r>
      <w:r>
        <w:rPr>
          <w:rFonts w:ascii="Arial" w:cs="Arial" w:eastAsia="Arial" w:hAnsi="Arial"/>
          <w:sz w:val="17"/>
          <w:szCs w:val="17"/>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0" w:name="page571"/>
    <w:bookmarkEnd w:id="570"/>
    <w:p>
      <w:pPr>
        <w:jc w:val="both"/>
        <w:ind w:firstLine="1305"/>
        <w:spacing w:after="0" w:line="287" w:lineRule="auto"/>
        <w:tabs>
          <w:tab w:leader="none" w:pos="2171" w:val="left"/>
        </w:tabs>
        <w:numPr>
          <w:ilvl w:val="0"/>
          <w:numId w:val="667"/>
        </w:numPr>
        <w:rPr>
          <w:rFonts w:ascii="Arial" w:cs="Arial" w:eastAsia="Arial" w:hAnsi="Arial"/>
          <w:sz w:val="16"/>
          <w:szCs w:val="16"/>
          <w:color w:val="auto"/>
        </w:rPr>
      </w:pPr>
      <w:r>
        <w:rPr>
          <w:rFonts w:ascii="Arial" w:cs="Arial" w:eastAsia="Arial" w:hAnsi="Arial"/>
          <w:sz w:val="16"/>
          <w:szCs w:val="16"/>
          <w:color w:val="auto"/>
        </w:rPr>
        <w:t xml:space="preserve">As promptly as possible but in any event within 45 days (or such later date as may be agreed upon by the Administrative Agent) after any Person becomes an Obligor pursuant to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 (ii) 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172" w:lineRule="exact"/>
        <w:rPr>
          <w:rFonts w:ascii="Arial" w:cs="Arial" w:eastAsia="Arial" w:hAnsi="Arial"/>
          <w:sz w:val="16"/>
          <w:szCs w:val="16"/>
          <w:color w:val="auto"/>
        </w:rPr>
      </w:pPr>
    </w:p>
    <w:p>
      <w:pPr>
        <w:jc w:val="both"/>
        <w:ind w:firstLine="1305"/>
        <w:spacing w:after="0" w:line="286" w:lineRule="auto"/>
        <w:tabs>
          <w:tab w:leader="none" w:pos="2181" w:val="left"/>
        </w:tabs>
        <w:numPr>
          <w:ilvl w:val="0"/>
          <w:numId w:val="667"/>
        </w:numPr>
        <w:rPr>
          <w:rFonts w:ascii="Arial" w:cs="Arial" w:eastAsia="Arial" w:hAnsi="Arial"/>
          <w:sz w:val="16"/>
          <w:szCs w:val="16"/>
          <w:color w:val="auto"/>
        </w:rPr>
      </w:pPr>
      <w:r>
        <w:rPr>
          <w:rFonts w:ascii="Arial" w:cs="Arial" w:eastAsia="Arial" w:hAnsi="Arial"/>
          <w:sz w:val="16"/>
          <w:szCs w:val="16"/>
          <w:color w:val="auto"/>
        </w:rPr>
        <w:t xml:space="preserve">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(ii) to the extent not covered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1" w:name="page572"/>
    <w:bookmarkEnd w:id="571"/>
    <w:p>
      <w:pPr>
        <w:jc w:val="both"/>
        <w:ind w:firstLine="1305"/>
        <w:spacing w:after="0" w:line="270" w:lineRule="auto"/>
        <w:tabs>
          <w:tab w:leader="none" w:pos="2185" w:val="left"/>
        </w:tabs>
        <w:numPr>
          <w:ilvl w:val="0"/>
          <w:numId w:val="668"/>
        </w:numPr>
        <w:rPr>
          <w:rFonts w:ascii="Arial" w:cs="Arial" w:eastAsia="Arial" w:hAnsi="Arial"/>
          <w:sz w:val="17"/>
          <w:szCs w:val="17"/>
          <w:color w:val="auto"/>
        </w:rPr>
      </w:pPr>
      <w:r>
        <w:rPr>
          <w:rFonts w:ascii="Arial" w:cs="Arial" w:eastAsia="Arial" w:hAnsi="Arial"/>
          <w:sz w:val="17"/>
          <w:szCs w:val="17"/>
          <w:color w:val="auto"/>
        </w:rPr>
        <w:t xml:space="preserve">Within 120 days after the Effective Date (or such later date as the Administrative Agent may agree in its sole discretion), Parent shall, and shall cause each Obligor that owns Material Real Property as of the Effective Date to, deliver Mortgages and Real Estate Deliverables with respect to such Material Real Property (and, to the extent not constituting Material Real Property, the Effective Date Real Property) to the Administrative Agent. Notwithstanding the foregoing, the Administrative Agent (in consultation with the Lenders) may waive the requirement contained in this </w:t>
      </w:r>
      <w:r>
        <w:rPr>
          <w:rFonts w:ascii="Arial" w:cs="Arial" w:eastAsia="Arial" w:hAnsi="Arial"/>
          <w:sz w:val="17"/>
          <w:szCs w:val="17"/>
          <w:u w:val="single" w:color="auto"/>
          <w:color w:val="auto"/>
        </w:rPr>
        <w:t>Section 7.08(e)</w:t>
      </w:r>
      <w:r>
        <w:rPr>
          <w:rFonts w:ascii="Arial" w:cs="Arial" w:eastAsia="Arial" w:hAnsi="Arial"/>
          <w:sz w:val="17"/>
          <w:szCs w:val="17"/>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77" w:lineRule="exact"/>
        <w:rPr>
          <w:rFonts w:ascii="Arial" w:cs="Arial" w:eastAsia="Arial" w:hAnsi="Arial"/>
          <w:sz w:val="17"/>
          <w:szCs w:val="17"/>
          <w:color w:val="auto"/>
        </w:rPr>
      </w:pPr>
    </w:p>
    <w:p>
      <w:pPr>
        <w:jc w:val="both"/>
        <w:ind w:firstLine="1305"/>
        <w:spacing w:after="0" w:line="289" w:lineRule="auto"/>
        <w:tabs>
          <w:tab w:leader="none" w:pos="2318" w:val="left"/>
        </w:tabs>
        <w:numPr>
          <w:ilvl w:val="0"/>
          <w:numId w:val="668"/>
        </w:numPr>
        <w:rPr>
          <w:rFonts w:ascii="Arial" w:cs="Arial" w:eastAsia="Arial" w:hAnsi="Arial"/>
          <w:sz w:val="16"/>
          <w:szCs w:val="16"/>
          <w:color w:val="auto"/>
        </w:rPr>
      </w:pPr>
      <w:r>
        <w:rPr>
          <w:rFonts w:ascii="Arial" w:cs="Arial" w:eastAsia="Arial" w:hAnsi="Arial"/>
          <w:sz w:val="16"/>
          <w:szCs w:val="16"/>
          <w:color w:val="auto"/>
        </w:rPr>
        <w:t xml:space="preserve">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Arial" w:cs="Arial" w:eastAsia="Arial" w:hAnsi="Arial"/>
          <w:sz w:val="16"/>
          <w:szCs w:val="16"/>
          <w:u w:val="single" w:color="auto"/>
          <w:color w:val="auto"/>
        </w:rPr>
        <w:t>Section 7.08(f)</w:t>
      </w:r>
      <w:r>
        <w:rPr>
          <w:rFonts w:ascii="Arial" w:cs="Arial" w:eastAsia="Arial" w:hAnsi="Arial"/>
          <w:sz w:val="16"/>
          <w:szCs w:val="16"/>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66" w:lineRule="exact"/>
        <w:rPr>
          <w:rFonts w:ascii="Arial" w:cs="Arial" w:eastAsia="Arial" w:hAnsi="Arial"/>
          <w:sz w:val="16"/>
          <w:szCs w:val="16"/>
          <w:color w:val="auto"/>
        </w:rPr>
      </w:pPr>
    </w:p>
    <w:p>
      <w:pPr>
        <w:jc w:val="both"/>
        <w:ind w:firstLine="1305"/>
        <w:spacing w:after="0" w:line="289" w:lineRule="auto"/>
        <w:tabs>
          <w:tab w:leader="none" w:pos="2249" w:val="left"/>
        </w:tabs>
        <w:numPr>
          <w:ilvl w:val="0"/>
          <w:numId w:val="668"/>
        </w:numPr>
        <w:rPr>
          <w:rFonts w:ascii="Arial" w:cs="Arial" w:eastAsia="Arial" w:hAnsi="Arial"/>
          <w:sz w:val="16"/>
          <w:szCs w:val="16"/>
          <w:color w:val="auto"/>
        </w:rPr>
      </w:pPr>
      <w:r>
        <w:rPr>
          <w:rFonts w:ascii="Arial" w:cs="Arial" w:eastAsia="Arial" w:hAnsi="Arial"/>
          <w:sz w:val="16"/>
          <w:szCs w:val="16"/>
          <w:color w:val="auto"/>
        </w:rPr>
        <w:t xml:space="preserve">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233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2" w:name="page573"/>
    <w:bookmarkEnd w:id="572"/>
    <w:p>
      <w:pPr>
        <w:jc w:val="both"/>
        <w:ind w:firstLine="1305"/>
        <w:spacing w:after="0" w:line="284" w:lineRule="auto"/>
        <w:tabs>
          <w:tab w:leader="none" w:pos="2299" w:val="left"/>
        </w:tabs>
        <w:numPr>
          <w:ilvl w:val="1"/>
          <w:numId w:val="669"/>
        </w:numPr>
        <w:rPr>
          <w:rFonts w:ascii="Arial" w:cs="Arial" w:eastAsia="Arial" w:hAnsi="Arial"/>
          <w:sz w:val="16"/>
          <w:szCs w:val="16"/>
          <w:color w:val="auto"/>
        </w:rPr>
      </w:pPr>
      <w:r>
        <w:rPr>
          <w:rFonts w:ascii="Arial" w:cs="Arial" w:eastAsia="Arial" w:hAnsi="Arial"/>
          <w:sz w:val="16"/>
          <w:szCs w:val="16"/>
          <w:color w:val="auto"/>
        </w:rPr>
        <w:t xml:space="preserve">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Arial" w:cs="Arial" w:eastAsia="Arial" w:hAnsi="Arial"/>
          <w:sz w:val="16"/>
          <w:szCs w:val="16"/>
          <w:u w:val="single" w:color="auto"/>
          <w:color w:val="auto"/>
        </w:rPr>
        <w:t>Section 5.02(a)</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jc w:val="both"/>
        <w:ind w:firstLine="8"/>
        <w:spacing w:after="0" w:line="302" w:lineRule="auto"/>
        <w:tabs>
          <w:tab w:leader="none" w:pos="327" w:val="left"/>
        </w:tabs>
        <w:numPr>
          <w:ilvl w:val="0"/>
          <w:numId w:val="670"/>
        </w:numPr>
        <w:rPr>
          <w:rFonts w:ascii="Arial" w:cs="Arial" w:eastAsia="Arial" w:hAnsi="Arial"/>
          <w:sz w:val="16"/>
          <w:szCs w:val="16"/>
          <w:color w:val="auto"/>
        </w:rPr>
      </w:pPr>
      <w:r>
        <w:rPr>
          <w:rFonts w:ascii="Arial" w:cs="Arial" w:eastAsia="Arial" w:hAnsi="Arial"/>
          <w:sz w:val="16"/>
          <w:szCs w:val="16"/>
          <w:color w:val="auto"/>
        </w:rPr>
        <w:t>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6"/>
          <w:szCs w:val="16"/>
          <w:u w:val="single" w:color="auto"/>
          <w:color w:val="auto"/>
        </w:rPr>
        <w:t>Added Guarantor</w:t>
      </w:r>
      <w:r>
        <w:rPr>
          <w:rFonts w:ascii="Arial" w:cs="Arial" w:eastAsia="Arial" w:hAnsi="Arial"/>
          <w:sz w:val="16"/>
          <w:szCs w:val="16"/>
          <w:color w:val="auto"/>
        </w:rPr>
        <w:t>”). Notwithstanding anything to the contrary herein, no Added Guarantor shall become a party to any Collateral Document except as elected by Parent and consented to by the Administrative Agent.</w:t>
      </w:r>
    </w:p>
    <w:p>
      <w:pPr>
        <w:spacing w:after="0" w:line="155" w:lineRule="exact"/>
        <w:rPr>
          <w:rFonts w:ascii="Arial" w:cs="Arial" w:eastAsia="Arial" w:hAnsi="Arial"/>
          <w:sz w:val="16"/>
          <w:szCs w:val="16"/>
          <w:color w:val="auto"/>
        </w:rPr>
      </w:pPr>
    </w:p>
    <w:p>
      <w:pPr>
        <w:jc w:val="both"/>
        <w:ind w:firstLine="1305"/>
        <w:spacing w:after="0" w:line="269" w:lineRule="auto"/>
        <w:tabs>
          <w:tab w:leader="none" w:pos="2231" w:val="left"/>
        </w:tabs>
        <w:numPr>
          <w:ilvl w:val="1"/>
          <w:numId w:val="67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(including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which shall be satisfactory to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delays with respect to the delivery, execution or effectiveness of any Loan Document or other deliverable caused by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shall not constitute a Default or an Event of Default.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Arial" w:cs="Arial" w:eastAsia="Arial" w:hAnsi="Arial"/>
          <w:sz w:val="17"/>
          <w:szCs w:val="17"/>
          <w:u w:val="single" w:color="auto"/>
          <w:color w:val="auto"/>
        </w:rPr>
        <w:t>Insurance Act</w:t>
      </w:r>
      <w:r>
        <w:rPr>
          <w:rFonts w:ascii="Arial" w:cs="Arial" w:eastAsia="Arial" w:hAnsi="Arial"/>
          <w:sz w:val="17"/>
          <w:szCs w:val="17"/>
          <w:color w:val="auto"/>
        </w:rPr>
        <w:t>”) and remains in compliance with sections 31A through 31C of the Insurance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73" w:name="page574"/>
    <w:bookmarkEnd w:id="573"/>
    <w:p>
      <w:pPr>
        <w:ind w:left="660"/>
        <w:spacing w:after="0"/>
        <w:tabs>
          <w:tab w:leader="none" w:pos="274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u w:val="single" w:color="auto"/>
          <w:color w:val="auto"/>
        </w:rPr>
        <w:t>Designation of Unrestricted Subsidiaries; Redesignation of Unrestricted Subsidiaries as Restricted Subsidiaries.</w:t>
      </w:r>
    </w:p>
    <w:p>
      <w:pPr>
        <w:spacing w:after="0" w:line="225" w:lineRule="exact"/>
        <w:rPr>
          <w:sz w:val="20"/>
          <w:szCs w:val="20"/>
          <w:color w:val="auto"/>
        </w:rPr>
      </w:pPr>
    </w:p>
    <w:p>
      <w:pPr>
        <w:ind w:left="2180" w:hanging="875"/>
        <w:spacing w:after="0"/>
        <w:tabs>
          <w:tab w:leader="none" w:pos="2180" w:val="left"/>
        </w:tabs>
        <w:numPr>
          <w:ilvl w:val="0"/>
          <w:numId w:val="671"/>
        </w:numPr>
        <w:rPr>
          <w:rFonts w:ascii="Arial" w:cs="Arial" w:eastAsia="Arial" w:hAnsi="Arial"/>
          <w:sz w:val="16"/>
          <w:szCs w:val="16"/>
          <w:color w:val="auto"/>
        </w:rPr>
      </w:pPr>
      <w:r>
        <w:rPr>
          <w:rFonts w:ascii="Arial" w:cs="Arial" w:eastAsia="Arial" w:hAnsi="Arial"/>
          <w:sz w:val="16"/>
          <w:szCs w:val="16"/>
          <w:color w:val="auto"/>
        </w:rPr>
        <w:t xml:space="preserve">Unless designated as an Unrestricted Subsidiary pursuant to this </w:t>
      </w:r>
      <w:r>
        <w:rPr>
          <w:rFonts w:ascii="Arial" w:cs="Arial" w:eastAsia="Arial" w:hAnsi="Arial"/>
          <w:sz w:val="16"/>
          <w:szCs w:val="16"/>
          <w:u w:val="single" w:color="auto"/>
          <w:color w:val="auto"/>
        </w:rPr>
        <w:t>Section 7.09</w:t>
      </w:r>
      <w:r>
        <w:rPr>
          <w:rFonts w:ascii="Arial" w:cs="Arial" w:eastAsia="Arial" w:hAnsi="Arial"/>
          <w:sz w:val="16"/>
          <w:szCs w:val="16"/>
          <w:color w:val="auto"/>
        </w:rPr>
        <w:t>, each Subsidiary shall be classified as a Restricted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jc w:val="both"/>
        <w:ind w:firstLine="1305"/>
        <w:spacing w:after="0" w:line="264" w:lineRule="auto"/>
        <w:tabs>
          <w:tab w:leader="none" w:pos="2289" w:val="left"/>
        </w:tabs>
        <w:numPr>
          <w:ilvl w:val="1"/>
          <w:numId w:val="672"/>
        </w:numPr>
        <w:rPr>
          <w:rFonts w:ascii="Arial" w:cs="Arial" w:eastAsia="Arial" w:hAnsi="Arial"/>
          <w:sz w:val="18"/>
          <w:szCs w:val="18"/>
          <w:color w:val="auto"/>
        </w:rPr>
      </w:pPr>
      <w:r>
        <w:rPr>
          <w:rFonts w:ascii="Arial" w:cs="Arial" w:eastAsia="Arial" w:hAnsi="Arial"/>
          <w:sz w:val="18"/>
          <w:szCs w:val="18"/>
          <w:color w:val="auto"/>
        </w:rPr>
        <w:t xml:space="preserve">If Parent designates any Subsidiary as an Unrestricted Subsidiary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181" w:lineRule="exact"/>
        <w:rPr>
          <w:rFonts w:ascii="Arial" w:cs="Arial" w:eastAsia="Arial" w:hAnsi="Arial"/>
          <w:sz w:val="18"/>
          <w:szCs w:val="18"/>
          <w:color w:val="auto"/>
        </w:rPr>
      </w:pPr>
    </w:p>
    <w:p>
      <w:pPr>
        <w:ind w:left="2480" w:hanging="1175"/>
        <w:spacing w:after="0"/>
        <w:tabs>
          <w:tab w:leader="none" w:pos="2480" w:val="left"/>
        </w:tabs>
        <w:numPr>
          <w:ilvl w:val="1"/>
          <w:numId w:val="672"/>
        </w:numPr>
        <w:rPr>
          <w:rFonts w:ascii="Arial" w:cs="Arial" w:eastAsia="Arial" w:hAnsi="Arial"/>
          <w:sz w:val="17"/>
          <w:szCs w:val="17"/>
          <w:color w:val="auto"/>
        </w:rPr>
      </w:pPr>
      <w:r>
        <w:rPr>
          <w:rFonts w:ascii="Arial" w:cs="Arial" w:eastAsia="Arial" w:hAnsi="Arial"/>
          <w:sz w:val="17"/>
          <w:szCs w:val="17"/>
          <w:color w:val="auto"/>
        </w:rPr>
        <w:t>Parent may designate, by written notice to the Administrative Agent, any Subsidiary to be an Unrestricted Subsidiary if</w:t>
      </w:r>
    </w:p>
    <w:p>
      <w:pPr>
        <w:spacing w:after="0" w:line="34" w:lineRule="exact"/>
        <w:rPr>
          <w:rFonts w:ascii="Arial" w:cs="Arial" w:eastAsia="Arial" w:hAnsi="Arial"/>
          <w:sz w:val="17"/>
          <w:szCs w:val="17"/>
          <w:color w:val="auto"/>
        </w:rPr>
      </w:pPr>
    </w:p>
    <w:p>
      <w:pPr>
        <w:jc w:val="both"/>
        <w:ind w:firstLine="8"/>
        <w:spacing w:after="0" w:line="253" w:lineRule="auto"/>
        <w:tabs>
          <w:tab w:leader="none" w:pos="216" w:val="left"/>
        </w:tabs>
        <w:numPr>
          <w:ilvl w:val="0"/>
          <w:numId w:val="673"/>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such designation, no Default or Event of Default shall exist, (ii) Parent shall be in pro forma compliance with the covenant set forth in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both before and after giving effect to such designation, (iii) the deemed Investment by Parent in such Unrestricted Subsidiary resulting from such designation would be permitted to be made at the time of such designation under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(iv) such Subsidiary otherwise meets the requirements set forth in the definition of “Unrestricted Subsidiary”. Such written notice shall be accompanied by a certificate of a Principal Financial Officer, certifying as to the matters set forth in the preceding sentence.</w:t>
      </w:r>
    </w:p>
    <w:p>
      <w:pPr>
        <w:spacing w:after="0" w:line="191" w:lineRule="exact"/>
        <w:rPr>
          <w:rFonts w:ascii="Arial" w:cs="Arial" w:eastAsia="Arial" w:hAnsi="Arial"/>
          <w:sz w:val="18"/>
          <w:szCs w:val="18"/>
          <w:color w:val="auto"/>
        </w:rPr>
      </w:pPr>
    </w:p>
    <w:p>
      <w:pPr>
        <w:jc w:val="both"/>
        <w:ind w:firstLine="1305"/>
        <w:spacing w:after="0" w:line="289" w:lineRule="auto"/>
        <w:tabs>
          <w:tab w:leader="none" w:pos="2181" w:val="left"/>
        </w:tabs>
        <w:numPr>
          <w:ilvl w:val="1"/>
          <w:numId w:val="673"/>
        </w:numPr>
        <w:rPr>
          <w:rFonts w:ascii="Arial" w:cs="Arial" w:eastAsia="Arial" w:hAnsi="Arial"/>
          <w:sz w:val="16"/>
          <w:szCs w:val="16"/>
          <w:color w:val="auto"/>
        </w:rPr>
      </w:pPr>
      <w:r>
        <w:rPr>
          <w:rFonts w:ascii="Arial" w:cs="Arial" w:eastAsia="Arial" w:hAnsi="Arial"/>
          <w:sz w:val="16"/>
          <w:szCs w:val="16"/>
          <w:color w:val="auto"/>
        </w:rPr>
        <w:t xml:space="preserve">Parent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5"/>
        <w:spacing w:after="0" w:line="264" w:lineRule="auto"/>
        <w:tabs>
          <w:tab w:leader="none" w:pos="2401" w:val="left"/>
        </w:tabs>
        <w:numPr>
          <w:ilvl w:val="1"/>
          <w:numId w:val="673"/>
        </w:numPr>
        <w:rPr>
          <w:rFonts w:ascii="Arial" w:cs="Arial" w:eastAsia="Arial" w:hAnsi="Arial"/>
          <w:sz w:val="18"/>
          <w:szCs w:val="18"/>
          <w:color w:val="auto"/>
        </w:rPr>
      </w:pPr>
      <w:r>
        <w:rPr>
          <w:rFonts w:ascii="Arial" w:cs="Arial" w:eastAsia="Arial" w:hAnsi="Arial"/>
          <w:sz w:val="18"/>
          <w:szCs w:val="18"/>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8"/>
          <w:szCs w:val="18"/>
          <w:u w:val="single" w:color="auto"/>
          <w:color w:val="auto"/>
        </w:rPr>
        <w:t>Section 7.09(d)</w:t>
      </w:r>
      <w:r>
        <w:rPr>
          <w:rFonts w:ascii="Arial" w:cs="Arial" w:eastAsia="Arial" w:hAnsi="Arial"/>
          <w:sz w:val="18"/>
          <w:szCs w:val="18"/>
          <w:color w:val="auto"/>
        </w:rPr>
        <w:t xml:space="preserve"> (in addition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any other relevant provisions herein).</w:t>
      </w:r>
    </w:p>
    <w:p>
      <w:pPr>
        <w:spacing w:after="0" w:line="181" w:lineRule="exact"/>
        <w:rPr>
          <w:rFonts w:ascii="Arial" w:cs="Arial" w:eastAsia="Arial" w:hAnsi="Arial"/>
          <w:sz w:val="18"/>
          <w:szCs w:val="18"/>
          <w:color w:val="auto"/>
        </w:rPr>
      </w:pPr>
    </w:p>
    <w:p>
      <w:pPr>
        <w:ind w:left="2200" w:hanging="895"/>
        <w:spacing w:after="0"/>
        <w:tabs>
          <w:tab w:leader="none" w:pos="2200" w:val="left"/>
        </w:tabs>
        <w:numPr>
          <w:ilvl w:val="1"/>
          <w:numId w:val="673"/>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contained herein, no Obligor may be an Unrestricted Subsidiary.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4" w:name="page575"/>
    <w:bookmarkEnd w:id="574"/>
    <w:p>
      <w:pPr>
        <w:ind w:left="660"/>
        <w:spacing w:after="0"/>
        <w:tabs>
          <w:tab w:leader="none" w:pos="274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Compliance with the Swiss Non-Bank Rules</w:t>
      </w:r>
    </w:p>
    <w:p>
      <w:pPr>
        <w:spacing w:after="0" w:line="225" w:lineRule="exact"/>
        <w:rPr>
          <w:sz w:val="20"/>
          <w:szCs w:val="20"/>
          <w:color w:val="auto"/>
        </w:rPr>
      </w:pPr>
    </w:p>
    <w:p>
      <w:pPr>
        <w:ind w:firstLine="1305"/>
        <w:spacing w:after="0" w:line="277" w:lineRule="auto"/>
        <w:tabs>
          <w:tab w:leader="none" w:pos="236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Each Swiss Obligor shall comply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covenant if the permitted number of Swiss Non-Qualifying Lenders is exceeded solely by reason of:</w:t>
      </w:r>
    </w:p>
    <w:p>
      <w:pPr>
        <w:spacing w:after="0" w:line="170" w:lineRule="exact"/>
        <w:rPr>
          <w:rFonts w:ascii="Arial" w:cs="Arial" w:eastAsia="Arial" w:hAnsi="Arial"/>
          <w:sz w:val="18"/>
          <w:szCs w:val="18"/>
          <w:color w:val="auto"/>
        </w:rPr>
      </w:pPr>
    </w:p>
    <w:p>
      <w:pPr>
        <w:ind w:left="3100" w:hanging="1147"/>
        <w:spacing w:after="0"/>
        <w:tabs>
          <w:tab w:leader="none" w:pos="3100" w:val="left"/>
        </w:tabs>
        <w:numPr>
          <w:ilvl w:val="1"/>
          <w:numId w:val="674"/>
        </w:numPr>
        <w:rPr>
          <w:rFonts w:ascii="Arial" w:cs="Arial" w:eastAsia="Arial" w:hAnsi="Arial"/>
          <w:sz w:val="16"/>
          <w:szCs w:val="16"/>
          <w:color w:val="auto"/>
        </w:rPr>
      </w:pPr>
      <w:r>
        <w:rPr>
          <w:rFonts w:ascii="Arial" w:cs="Arial" w:eastAsia="Arial" w:hAnsi="Arial"/>
          <w:sz w:val="16"/>
          <w:szCs w:val="16"/>
          <w:color w:val="auto"/>
        </w:rPr>
        <w:t xml:space="preserve">a failure by one or more Lenders or Participants to comply with their obligations under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11.25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3120" w:hanging="1167"/>
        <w:spacing w:after="0"/>
        <w:tabs>
          <w:tab w:leader="none" w:pos="3120" w:val="left"/>
        </w:tabs>
        <w:numPr>
          <w:ilvl w:val="1"/>
          <w:numId w:val="674"/>
        </w:numPr>
        <w:rPr>
          <w:rFonts w:ascii="Arial" w:cs="Arial" w:eastAsia="Arial" w:hAnsi="Arial"/>
          <w:sz w:val="17"/>
          <w:szCs w:val="17"/>
          <w:color w:val="auto"/>
        </w:rPr>
      </w:pPr>
      <w:r>
        <w:rPr>
          <w:rFonts w:ascii="Arial" w:cs="Arial" w:eastAsia="Arial" w:hAnsi="Arial"/>
          <w:sz w:val="17"/>
          <w:szCs w:val="17"/>
          <w:color w:val="auto"/>
        </w:rPr>
        <w:t>a confirmation made by one or more Lenders or Participants to be one single Swiss Non-Qualifying Lender 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incorrect;</w:t>
      </w:r>
    </w:p>
    <w:p>
      <w:pPr>
        <w:spacing w:after="0" w:line="210" w:lineRule="exact"/>
        <w:rPr>
          <w:rFonts w:ascii="Arial" w:cs="Arial" w:eastAsia="Arial" w:hAnsi="Arial"/>
          <w:sz w:val="17"/>
          <w:szCs w:val="17"/>
          <w:color w:val="auto"/>
        </w:rPr>
      </w:pPr>
    </w:p>
    <w:p>
      <w:pPr>
        <w:jc w:val="both"/>
        <w:ind w:left="660" w:firstLine="1293"/>
        <w:spacing w:after="0" w:line="259" w:lineRule="auto"/>
        <w:tabs>
          <w:tab w:leader="none" w:pos="2766" w:val="left"/>
        </w:tabs>
        <w:numPr>
          <w:ilvl w:val="1"/>
          <w:numId w:val="674"/>
        </w:numPr>
        <w:rPr>
          <w:rFonts w:ascii="Arial" w:cs="Arial" w:eastAsia="Arial" w:hAnsi="Arial"/>
          <w:sz w:val="18"/>
          <w:szCs w:val="18"/>
          <w:color w:val="auto"/>
        </w:rPr>
      </w:pPr>
      <w:r>
        <w:rPr>
          <w:rFonts w:ascii="Arial" w:cs="Arial" w:eastAsia="Arial" w:hAnsi="Arial"/>
          <w:sz w:val="18"/>
          <w:szCs w:val="18"/>
          <w:color w:val="auto"/>
        </w:rPr>
        <w:t>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86" w:lineRule="exact"/>
        <w:rPr>
          <w:rFonts w:ascii="Arial" w:cs="Arial" w:eastAsia="Arial" w:hAnsi="Arial"/>
          <w:sz w:val="18"/>
          <w:szCs w:val="18"/>
          <w:color w:val="auto"/>
        </w:rPr>
      </w:pPr>
    </w:p>
    <w:p>
      <w:pPr>
        <w:ind w:left="660" w:firstLine="1293"/>
        <w:spacing w:after="0" w:line="277" w:lineRule="auto"/>
        <w:tabs>
          <w:tab w:leader="none" w:pos="284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an assignment or participation of any Commitments or LC Exposure under this Agreement to a Swiss Non-Qualifying Lender after the occurrence of an Event of Default.</w:t>
      </w:r>
    </w:p>
    <w:p>
      <w:pPr>
        <w:spacing w:after="0" w:line="170" w:lineRule="exact"/>
        <w:rPr>
          <w:rFonts w:ascii="Arial" w:cs="Arial" w:eastAsia="Arial" w:hAnsi="Arial"/>
          <w:sz w:val="18"/>
          <w:szCs w:val="18"/>
          <w:color w:val="auto"/>
        </w:rPr>
      </w:pPr>
    </w:p>
    <w:p>
      <w:pPr>
        <w:ind w:firstLine="1305"/>
        <w:spacing w:after="0" w:line="277" w:lineRule="auto"/>
        <w:tabs>
          <w:tab w:leader="none" w:pos="2262" w:val="left"/>
        </w:tabs>
        <w:numPr>
          <w:ilvl w:val="0"/>
          <w:numId w:val="674"/>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7.10</w:t>
      </w:r>
      <w:r>
        <w:rPr>
          <w:rFonts w:ascii="Arial" w:cs="Arial" w:eastAsia="Arial" w:hAnsi="Arial"/>
          <w:sz w:val="18"/>
          <w:szCs w:val="18"/>
          <w:color w:val="auto"/>
        </w:rPr>
        <w:t>, each Swiss Obligor shall assume that the aggregate number of Lenders and Participants under this Agreement which are Swiss Non-Qualifying Lenders is ten.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Post-Closing Grant and Perfection Requirements Matters</w:t>
      </w:r>
      <w:r>
        <w:rPr>
          <w:rFonts w:ascii="Arial" w:cs="Arial" w:eastAsia="Arial" w:hAnsi="Arial"/>
          <w:sz w:val="18"/>
          <w:szCs w:val="18"/>
          <w:color w:val="auto"/>
        </w:rPr>
        <w:t xml:space="preserve">. Parent shall, and shall cause each Restricted Subsidiary to, satisfy each requirement set forth on </w:t>
      </w:r>
      <w:r>
        <w:rPr>
          <w:rFonts w:ascii="Arial" w:cs="Arial" w:eastAsia="Arial" w:hAnsi="Arial"/>
          <w:sz w:val="18"/>
          <w:szCs w:val="18"/>
          <w:u w:val="single" w:color="auto"/>
          <w:color w:val="auto"/>
        </w:rPr>
        <w:t>Schedule 7.11</w:t>
      </w:r>
      <w:r>
        <w:rPr>
          <w:rFonts w:ascii="Arial" w:cs="Arial" w:eastAsia="Arial" w:hAnsi="Arial"/>
          <w:sz w:val="18"/>
          <w:szCs w:val="18"/>
          <w:color w:val="auto"/>
        </w:rPr>
        <w:t xml:space="preserve"> on or before the date set forth on such Schedule (or such later date as the Administrative Agent may agree in its sole discretion).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ind w:left="660"/>
              <w:spacing w:after="0"/>
              <w:rPr>
                <w:sz w:val="20"/>
                <w:szCs w:val="20"/>
                <w:color w:val="auto"/>
              </w:rPr>
            </w:pPr>
            <w:r>
              <w:rPr>
                <w:rFonts w:ascii="Arial" w:cs="Arial" w:eastAsia="Arial" w:hAnsi="Arial"/>
                <w:sz w:val="18"/>
                <w:szCs w:val="18"/>
                <w:color w:val="auto"/>
              </w:rPr>
              <w:t>SECTION 7.12</w:t>
            </w:r>
          </w:p>
        </w:tc>
        <w:tc>
          <w:tcPr>
            <w:tcW w:w="8420" w:type="dxa"/>
            <w:vAlign w:val="bottom"/>
            <w:gridSpan w:val="4"/>
          </w:tcPr>
          <w:p>
            <w:pPr>
              <w:spacing w:after="0"/>
              <w:rPr>
                <w:sz w:val="20"/>
                <w:szCs w:val="20"/>
                <w:color w:val="auto"/>
              </w:rPr>
            </w:pPr>
            <w:r>
              <w:rPr>
                <w:rFonts w:ascii="Arial" w:cs="Arial" w:eastAsia="Arial" w:hAnsi="Arial"/>
                <w:sz w:val="18"/>
                <w:szCs w:val="18"/>
                <w:color w:val="auto"/>
                <w:w w:val="90"/>
              </w:rPr>
              <w:t>Status as a Holding Company. Parent shall not have any operating assets or engage in any business other than any</w:t>
            </w:r>
          </w:p>
        </w:tc>
      </w:tr>
      <w:tr>
        <w:trPr>
          <w:trHeight w:val="20"/>
        </w:trPr>
        <w:tc>
          <w:tcPr>
            <w:tcW w:w="3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customary business of a holding company and ordinary course business operations of Parent in existence prior to the Effective Date.</w:t>
            </w:r>
          </w:p>
        </w:tc>
      </w:tr>
      <w:tr>
        <w:trPr>
          <w:trHeight w:val="392"/>
        </w:trPr>
        <w:tc>
          <w:tcPr>
            <w:tcW w:w="3000" w:type="dxa"/>
            <w:vAlign w:val="bottom"/>
          </w:tcPr>
          <w:p>
            <w:pPr>
              <w:ind w:left="660"/>
              <w:spacing w:after="0"/>
              <w:rPr>
                <w:sz w:val="20"/>
                <w:szCs w:val="20"/>
                <w:color w:val="auto"/>
              </w:rPr>
            </w:pPr>
            <w:r>
              <w:rPr>
                <w:rFonts w:ascii="Arial" w:cs="Arial" w:eastAsia="Arial" w:hAnsi="Arial"/>
                <w:sz w:val="18"/>
                <w:szCs w:val="18"/>
                <w:color w:val="auto"/>
              </w:rPr>
              <w:t>SECTION 7.13</w:t>
            </w:r>
          </w:p>
        </w:tc>
        <w:tc>
          <w:tcPr>
            <w:tcW w:w="340" w:type="dxa"/>
            <w:vAlign w:val="bottom"/>
          </w:tcPr>
          <w:p>
            <w:pPr>
              <w:spacing w:after="0"/>
              <w:rPr>
                <w:sz w:val="24"/>
                <w:szCs w:val="24"/>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w w:val="96"/>
              </w:rPr>
              <w:t>Lender Meeting. Parent will, within 90 days after the close of each Fiscal Year of Parent, at the request of</w:t>
            </w:r>
          </w:p>
        </w:tc>
      </w:tr>
      <w:tr>
        <w:trPr>
          <w:trHeight w:val="20"/>
        </w:trPr>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requirement may be satisfied by public earnings calls for all shareholders that are open to the Administrative Agent and the Lenders.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excepted (except where the failure to so maintain and preserve assets could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5" w:name="page576"/>
    <w:bookmarkEnd w:id="575"/>
    <w:p>
      <w:pPr>
        <w:jc w:val="center"/>
        <w:spacing w:after="0"/>
        <w:rPr>
          <w:sz w:val="20"/>
          <w:szCs w:val="20"/>
          <w:color w:val="auto"/>
        </w:rPr>
      </w:pPr>
      <w:r>
        <w:rPr>
          <w:rFonts w:ascii="Arial" w:cs="Arial" w:eastAsia="Arial" w:hAnsi="Arial"/>
          <w:sz w:val="18"/>
          <w:szCs w:val="18"/>
          <w:color w:val="010000"/>
        </w:rPr>
        <w:t>ARTICLE VIII</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ind w:left="660"/>
              <w:spacing w:after="0"/>
              <w:rPr>
                <w:sz w:val="20"/>
                <w:szCs w:val="20"/>
                <w:color w:val="auto"/>
              </w:rPr>
            </w:pPr>
            <w:r>
              <w:rPr>
                <w:rFonts w:ascii="Arial" w:cs="Arial" w:eastAsia="Arial" w:hAnsi="Arial"/>
                <w:sz w:val="18"/>
                <w:szCs w:val="18"/>
                <w:color w:val="auto"/>
              </w:rPr>
              <w:t>SECTION 8.01</w:t>
            </w:r>
          </w:p>
        </w:tc>
        <w:tc>
          <w:tcPr>
            <w:tcW w:w="8640" w:type="dxa"/>
            <w:vAlign w:val="bottom"/>
            <w:gridSpan w:val="2"/>
          </w:tcPr>
          <w:p>
            <w:pPr>
              <w:spacing w:after="0"/>
              <w:rPr>
                <w:sz w:val="20"/>
                <w:szCs w:val="20"/>
                <w:color w:val="auto"/>
              </w:rPr>
            </w:pPr>
            <w:r>
              <w:rPr>
                <w:rFonts w:ascii="Arial" w:cs="Arial" w:eastAsia="Arial" w:hAnsi="Arial"/>
                <w:sz w:val="18"/>
                <w:szCs w:val="18"/>
                <w:color w:val="auto"/>
                <w:w w:val="89"/>
              </w:rPr>
              <w:t>Indebtedness. Parent shall not, and shall not permit any Restricted Subsidiary to, create, incur, assume or permit to exist</w:t>
            </w: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any Indebtedness, except:</w:t>
            </w:r>
          </w:p>
        </w:tc>
        <w:tc>
          <w:tcPr>
            <w:tcW w:w="940" w:type="dxa"/>
            <w:vAlign w:val="bottom"/>
            <w:tcBorders>
              <w:top w:val="single" w:sz="8" w:color="auto"/>
            </w:tcBorders>
          </w:tcPr>
          <w:p>
            <w:pPr>
              <w:spacing w:after="0"/>
              <w:rPr>
                <w:sz w:val="20"/>
                <w:szCs w:val="20"/>
                <w:color w:val="auto"/>
              </w:rPr>
            </w:pPr>
          </w:p>
        </w:tc>
        <w:tc>
          <w:tcPr>
            <w:tcW w:w="7700" w:type="dxa"/>
            <w:vAlign w:val="bottom"/>
          </w:tcPr>
          <w:p>
            <w:pPr>
              <w:spacing w:after="0"/>
              <w:rPr>
                <w:sz w:val="20"/>
                <w:szCs w:val="20"/>
                <w:color w:val="auto"/>
              </w:rPr>
            </w:pPr>
          </w:p>
        </w:tc>
      </w:tr>
    </w:tbl>
    <w:p>
      <w:pPr>
        <w:spacing w:after="0" w:line="202" w:lineRule="exact"/>
        <w:rPr>
          <w:sz w:val="20"/>
          <w:szCs w:val="20"/>
          <w:color w:val="auto"/>
        </w:rPr>
      </w:pPr>
    </w:p>
    <w:p>
      <w:pPr>
        <w:ind w:left="2180" w:hanging="875"/>
        <w:spacing w:after="0"/>
        <w:tabs>
          <w:tab w:leader="none" w:pos="21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316" w:val="left"/>
        </w:tabs>
        <w:numPr>
          <w:ilvl w:val="0"/>
          <w:numId w:val="675"/>
        </w:numPr>
        <w:rPr>
          <w:rFonts w:ascii="Arial" w:cs="Arial" w:eastAsia="Arial" w:hAnsi="Arial"/>
          <w:sz w:val="18"/>
          <w:szCs w:val="18"/>
          <w:color w:val="auto"/>
        </w:rPr>
      </w:pPr>
      <w:r>
        <w:rPr>
          <w:rFonts w:ascii="Arial" w:cs="Arial" w:eastAsia="Arial" w:hAnsi="Arial"/>
          <w:sz w:val="18"/>
          <w:szCs w:val="18"/>
          <w:color w:val="auto"/>
        </w:rPr>
        <w:t xml:space="preserve">Indebtedness of the Obligors incurred under the ABL Credit Facility and any Permitted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(including undrawn or available committed amounts thereunder), taken together, shall not exceed $495,000,000 at any time outstanding;</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Permitted Existing Indebtedness and Permitted Refinancing Indebtedness in respect thereof;</w:t>
      </w:r>
    </w:p>
    <w:p>
      <w:pPr>
        <w:spacing w:after="0" w:line="225" w:lineRule="exact"/>
        <w:rPr>
          <w:rFonts w:ascii="Arial" w:cs="Arial" w:eastAsia="Arial" w:hAnsi="Arial"/>
          <w:sz w:val="18"/>
          <w:szCs w:val="18"/>
          <w:color w:val="auto"/>
        </w:rPr>
      </w:pPr>
    </w:p>
    <w:p>
      <w:pPr>
        <w:jc w:val="both"/>
        <w:ind w:firstLine="1305"/>
        <w:spacing w:after="0" w:line="288" w:lineRule="auto"/>
        <w:tabs>
          <w:tab w:leader="none" w:pos="2330" w:val="left"/>
        </w:tabs>
        <w:numPr>
          <w:ilvl w:val="0"/>
          <w:numId w:val="675"/>
        </w:numPr>
        <w:rPr>
          <w:rFonts w:ascii="Arial" w:cs="Arial" w:eastAsia="Arial" w:hAnsi="Arial"/>
          <w:sz w:val="16"/>
          <w:szCs w:val="16"/>
          <w:color w:val="auto"/>
        </w:rPr>
      </w:pPr>
      <w:r>
        <w:rPr>
          <w:rFonts w:ascii="Arial" w:cs="Arial" w:eastAsia="Arial" w:hAnsi="Arial"/>
          <w:sz w:val="16"/>
          <w:szCs w:val="16"/>
          <w:color w:val="auto"/>
        </w:rPr>
        <w:t xml:space="preserve">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 the aggregate amount of all such loans (by type, not by the borrower) made from and after the Effective Date, together with all such loans made from and after the Effective Date pursuant to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 the aggregate amount of all such loans (by type, not by the borrower) made from and after the Effective Date, together with all such loans made from and after the Effective Date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does not exceed $55,000,000 outstanding at any one time, and (B) at the time of the making of such loan, no Event of Default has occurred and is continuing or would result therefrom;</w:t>
      </w:r>
    </w:p>
    <w:p>
      <w:pPr>
        <w:spacing w:after="0" w:line="169" w:lineRule="exact"/>
        <w:rPr>
          <w:rFonts w:ascii="Arial" w:cs="Arial" w:eastAsia="Arial" w:hAnsi="Arial"/>
          <w:sz w:val="16"/>
          <w:szCs w:val="16"/>
          <w:color w:val="auto"/>
        </w:rPr>
      </w:pPr>
    </w:p>
    <w:p>
      <w:pPr>
        <w:ind w:right="20" w:firstLine="1305"/>
        <w:spacing w:after="0" w:line="277" w:lineRule="auto"/>
        <w:tabs>
          <w:tab w:leader="none" w:pos="2252"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Indebtedness of the Obligors incurred under the Exit Senior Notes in an aggregate principal amount not to exceed at any time outstanding $2,100,000,000 and Permitted Refinancing Indebtedness in respect thereof;</w:t>
      </w:r>
    </w:p>
    <w:p>
      <w:pPr>
        <w:spacing w:after="0" w:line="170" w:lineRule="exact"/>
        <w:rPr>
          <w:rFonts w:ascii="Arial" w:cs="Arial" w:eastAsia="Arial" w:hAnsi="Arial"/>
          <w:sz w:val="18"/>
          <w:szCs w:val="18"/>
          <w:color w:val="auto"/>
        </w:rPr>
      </w:pPr>
    </w:p>
    <w:p>
      <w:pPr>
        <w:ind w:right="20" w:firstLine="1305"/>
        <w:spacing w:after="0" w:line="277" w:lineRule="auto"/>
        <w:tabs>
          <w:tab w:leader="none" w:pos="2264" w:val="left"/>
        </w:tabs>
        <w:numPr>
          <w:ilvl w:val="0"/>
          <w:numId w:val="675"/>
        </w:numPr>
        <w:rPr>
          <w:rFonts w:ascii="Arial" w:cs="Arial" w:eastAsia="Arial" w:hAnsi="Arial"/>
          <w:sz w:val="18"/>
          <w:szCs w:val="18"/>
          <w:color w:val="auto"/>
        </w:rPr>
      </w:pPr>
      <w:r>
        <w:rPr>
          <w:rFonts w:ascii="Arial" w:cs="Arial" w:eastAsia="Arial" w:hAnsi="Arial"/>
          <w:sz w:val="18"/>
          <w:szCs w:val="18"/>
          <w:color w:val="auto"/>
        </w:rPr>
        <w:t>unsecured guarantees with respect to the Indebtedness of any Obligor or one of their Restricted Subsidiaries, to the extent that the Person that is obligated under such guaranty could have incurred such underlying Indebtedness;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76" w:name="page577"/>
    <w:bookmarkEnd w:id="576"/>
    <w:p>
      <w:pPr>
        <w:jc w:val="both"/>
        <w:ind w:firstLine="1305"/>
        <w:spacing w:after="0" w:line="279" w:lineRule="auto"/>
        <w:tabs>
          <w:tab w:leader="none" w:pos="2208" w:val="left"/>
        </w:tabs>
        <w:numPr>
          <w:ilvl w:val="1"/>
          <w:numId w:val="676"/>
        </w:numPr>
        <w:rPr>
          <w:rFonts w:ascii="Arial" w:cs="Arial" w:eastAsia="Arial" w:hAnsi="Arial"/>
          <w:sz w:val="17"/>
          <w:szCs w:val="17"/>
          <w:color w:val="auto"/>
        </w:rPr>
      </w:pPr>
      <w:r>
        <w:rPr>
          <w:rFonts w:ascii="Arial" w:cs="Arial" w:eastAsia="Arial" w:hAnsi="Arial"/>
          <w:sz w:val="17"/>
          <w:szCs w:val="17"/>
          <w:color w:val="auto"/>
        </w:rPr>
        <w:t xml:space="preserve">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outstanding amount of such Indebtedness does not at any time exceed $200,000,000, and such Indebtedness is not secured by LC Priority Collateral;</w:t>
      </w:r>
    </w:p>
    <w:p>
      <w:pPr>
        <w:spacing w:after="0" w:line="171" w:lineRule="exact"/>
        <w:rPr>
          <w:rFonts w:ascii="Arial" w:cs="Arial" w:eastAsia="Arial" w:hAnsi="Arial"/>
          <w:sz w:val="17"/>
          <w:szCs w:val="17"/>
          <w:color w:val="auto"/>
        </w:rPr>
      </w:pPr>
    </w:p>
    <w:p>
      <w:pPr>
        <w:ind w:left="2220" w:hanging="915"/>
        <w:spacing w:after="0"/>
        <w:tabs>
          <w:tab w:leader="none" w:pos="2220" w:val="left"/>
        </w:tabs>
        <w:numPr>
          <w:ilvl w:val="1"/>
          <w:numId w:val="676"/>
        </w:numPr>
        <w:rPr>
          <w:rFonts w:ascii="Arial" w:cs="Arial" w:eastAsia="Arial" w:hAnsi="Arial"/>
          <w:sz w:val="16"/>
          <w:szCs w:val="16"/>
          <w:color w:val="auto"/>
        </w:rPr>
      </w:pPr>
      <w:r>
        <w:rPr>
          <w:rFonts w:ascii="Arial" w:cs="Arial" w:eastAsia="Arial" w:hAnsi="Arial"/>
          <w:sz w:val="16"/>
          <w:szCs w:val="16"/>
          <w:color w:val="auto"/>
        </w:rPr>
        <w:t xml:space="preserve">Unsecured Specified Senior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as a condition to incurring any such Specified Senior Indebtedness,</w:t>
      </w:r>
    </w:p>
    <w:p>
      <w:pPr>
        <w:spacing w:after="0" w:line="46" w:lineRule="exact"/>
        <w:rPr>
          <w:rFonts w:ascii="Arial" w:cs="Arial" w:eastAsia="Arial" w:hAnsi="Arial"/>
          <w:sz w:val="16"/>
          <w:szCs w:val="16"/>
          <w:color w:val="auto"/>
        </w:rPr>
      </w:pPr>
    </w:p>
    <w:p>
      <w:pPr>
        <w:jc w:val="both"/>
        <w:ind w:firstLine="8"/>
        <w:spacing w:after="0" w:line="252" w:lineRule="auto"/>
        <w:tabs>
          <w:tab w:leader="none" w:pos="307"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would not exceed $200,000,000 at any time, and (C)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Effective Date, and 3.75 to 1.00 if such Indebtedness is incurred at any time thereafter, and (ii) as of the date of incurrence, such Indebtedness shall have a stated maturity date no sooner than 91 days after the latest to occur of (A) the Maturity Date and (B) the ABL Maturity Date;</w:t>
      </w:r>
    </w:p>
    <w:p>
      <w:pPr>
        <w:spacing w:after="0" w:line="193" w:lineRule="exact"/>
        <w:rPr>
          <w:rFonts w:ascii="Arial" w:cs="Arial" w:eastAsia="Arial" w:hAnsi="Arial"/>
          <w:sz w:val="18"/>
          <w:szCs w:val="18"/>
          <w:color w:val="auto"/>
        </w:rPr>
      </w:pPr>
    </w:p>
    <w:p>
      <w:pPr>
        <w:jc w:val="both"/>
        <w:ind w:firstLine="1305"/>
        <w:spacing w:after="0" w:line="290" w:lineRule="auto"/>
        <w:tabs>
          <w:tab w:leader="none" w:pos="2272" w:val="left"/>
        </w:tabs>
        <w:numPr>
          <w:ilvl w:val="1"/>
          <w:numId w:val="677"/>
        </w:numPr>
        <w:rPr>
          <w:rFonts w:ascii="Arial" w:cs="Arial" w:eastAsia="Arial" w:hAnsi="Arial"/>
          <w:sz w:val="16"/>
          <w:szCs w:val="16"/>
          <w:color w:val="auto"/>
        </w:rPr>
      </w:pPr>
      <w:r>
        <w:rPr>
          <w:rFonts w:ascii="Arial" w:cs="Arial" w:eastAsia="Arial" w:hAnsi="Arial"/>
          <w:sz w:val="16"/>
          <w:szCs w:val="16"/>
          <w:color w:val="auto"/>
        </w:rPr>
        <w:t xml:space="preserve">unsecured Indebtedness incurred by an Obligor or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4.25 to 1.00, if such Indebtedness is incurred on or prior to the second anniversary of the Effective Date, and 3.75 to 1.00 if such Indebtedness is incurred at any time thereafter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$45,000,000, as of the date of incurrence, such Indebtedness shall have a stated maturity date no sooner than 91 days after the latest to occur of (A) the Maturity Date and (B) the ABL Maturity Date;</w:t>
      </w:r>
    </w:p>
    <w:p>
      <w:pPr>
        <w:spacing w:after="0" w:line="166" w:lineRule="exact"/>
        <w:rPr>
          <w:rFonts w:ascii="Arial" w:cs="Arial" w:eastAsia="Arial" w:hAnsi="Arial"/>
          <w:sz w:val="16"/>
          <w:szCs w:val="16"/>
          <w:color w:val="auto"/>
        </w:rPr>
      </w:pPr>
    </w:p>
    <w:p>
      <w:pPr>
        <w:jc w:val="both"/>
        <w:ind w:firstLine="1305"/>
        <w:spacing w:after="0" w:line="302" w:lineRule="auto"/>
        <w:tabs>
          <w:tab w:leader="none" w:pos="2326" w:val="left"/>
        </w:tabs>
        <w:numPr>
          <w:ilvl w:val="1"/>
          <w:numId w:val="677"/>
        </w:numPr>
        <w:rPr>
          <w:rFonts w:ascii="Arial" w:cs="Arial" w:eastAsia="Arial" w:hAnsi="Arial"/>
          <w:sz w:val="16"/>
          <w:szCs w:val="16"/>
          <w:color w:val="auto"/>
        </w:rPr>
      </w:pPr>
      <w:r>
        <w:rPr>
          <w:rFonts w:ascii="Arial" w:cs="Arial" w:eastAsia="Arial" w:hAnsi="Arial"/>
          <w:sz w:val="16"/>
          <w:szCs w:val="16"/>
          <w:color w:val="auto"/>
        </w:rPr>
        <w:t xml:space="preserve">unsecured Subordinated Indebtedness of any Obligor (other than Subordinated Indebtedness consisting of Guarantees by any Obligor of Indebtedness incurred pursuant to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latest to occur of (A) the Maturity Date and (B) the ABL Maturity Date;</w:t>
      </w:r>
    </w:p>
    <w:p>
      <w:pPr>
        <w:spacing w:after="0" w:line="154" w:lineRule="exact"/>
        <w:rPr>
          <w:rFonts w:ascii="Arial" w:cs="Arial" w:eastAsia="Arial" w:hAnsi="Arial"/>
          <w:sz w:val="16"/>
          <w:szCs w:val="16"/>
          <w:color w:val="auto"/>
        </w:rPr>
      </w:pPr>
    </w:p>
    <w:p>
      <w:pPr>
        <w:jc w:val="both"/>
        <w:ind w:firstLine="1305"/>
        <w:spacing w:after="0" w:line="255" w:lineRule="auto"/>
        <w:tabs>
          <w:tab w:leader="none" w:pos="233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 xml:space="preserve">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18"/>
          <w:szCs w:val="18"/>
          <w:u w:val="single" w:color="auto"/>
          <w:color w:val="auto"/>
        </w:rPr>
        <w:t>Section 8.01(k)</w:t>
      </w:r>
      <w:r>
        <w:rPr>
          <w:rFonts w:ascii="Arial" w:cs="Arial" w:eastAsia="Arial" w:hAnsi="Arial"/>
          <w:sz w:val="18"/>
          <w:szCs w:val="18"/>
          <w:color w:val="auto"/>
        </w:rPr>
        <w:t xml:space="preserve"> shall not at any time exceed $175,000,000;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7" w:name="page578"/>
    <w:bookmarkEnd w:id="577"/>
    <w:p>
      <w:pPr>
        <w:ind w:firstLine="1305"/>
        <w:spacing w:after="0" w:line="277" w:lineRule="auto"/>
        <w:tabs>
          <w:tab w:leader="none" w:pos="242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Indebtedness incurred to finance insurance premiums of any Restricted Subsidiary in the ordinary course of business in an aggregate principal amount not to exceed the amount of such insurance premiums;</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209" w:val="left"/>
        </w:tabs>
        <w:numPr>
          <w:ilvl w:val="1"/>
          <w:numId w:val="678"/>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86" w:lineRule="exact"/>
        <w:rPr>
          <w:rFonts w:ascii="Arial" w:cs="Arial" w:eastAsia="Arial" w:hAnsi="Arial"/>
          <w:sz w:val="18"/>
          <w:szCs w:val="18"/>
          <w:color w:val="auto"/>
        </w:rPr>
      </w:pPr>
    </w:p>
    <w:p>
      <w:pPr>
        <w:ind w:left="2300" w:hanging="995"/>
        <w:spacing w:after="0"/>
        <w:tabs>
          <w:tab w:leader="none" w:pos="2300" w:val="left"/>
        </w:tabs>
        <w:numPr>
          <w:ilvl w:val="1"/>
          <w:numId w:val="678"/>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principal amount at any time outstanding pursuant to this </w:t>
      </w:r>
      <w:r>
        <w:rPr>
          <w:rFonts w:ascii="Arial" w:cs="Arial" w:eastAsia="Arial" w:hAnsi="Arial"/>
          <w:sz w:val="16"/>
          <w:szCs w:val="16"/>
          <w:u w:val="single" w:color="auto"/>
          <w:color w:val="auto"/>
        </w:rPr>
        <w:t>Section 8.01(n)</w:t>
      </w:r>
      <w:r>
        <w:rPr>
          <w:rFonts w:ascii="Arial" w:cs="Arial" w:eastAsia="Arial" w:hAnsi="Arial"/>
          <w:sz w:val="16"/>
          <w:szCs w:val="16"/>
          <w:color w:val="auto"/>
        </w:rPr>
        <w:t xml:space="preserve"> not in excess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$10,000,000;</w:t>
      </w:r>
    </w:p>
    <w:p>
      <w:pPr>
        <w:spacing w:after="0" w:line="210" w:lineRule="exact"/>
        <w:rPr>
          <w:rFonts w:ascii="Arial" w:cs="Arial" w:eastAsia="Arial" w:hAnsi="Arial"/>
          <w:sz w:val="16"/>
          <w:szCs w:val="16"/>
          <w:color w:val="auto"/>
        </w:rPr>
      </w:pPr>
    </w:p>
    <w:p>
      <w:pPr>
        <w:ind w:firstLine="1305"/>
        <w:spacing w:after="0" w:line="308" w:lineRule="auto"/>
        <w:tabs>
          <w:tab w:leader="none" w:pos="2546" w:val="left"/>
        </w:tabs>
        <w:numPr>
          <w:ilvl w:val="1"/>
          <w:numId w:val="678"/>
        </w:numPr>
        <w:rPr>
          <w:rFonts w:ascii="Arial" w:cs="Arial" w:eastAsia="Arial" w:hAnsi="Arial"/>
          <w:sz w:val="17"/>
          <w:szCs w:val="17"/>
          <w:color w:val="auto"/>
        </w:rPr>
      </w:pPr>
      <w:r>
        <w:rPr>
          <w:rFonts w:ascii="Arial" w:cs="Arial" w:eastAsia="Arial" w:hAnsi="Arial"/>
          <w:sz w:val="17"/>
          <w:szCs w:val="17"/>
          <w:color w:val="auto"/>
        </w:rPr>
        <w:t>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46" w:lineRule="exact"/>
        <w:rPr>
          <w:rFonts w:ascii="Arial" w:cs="Arial" w:eastAsia="Arial" w:hAnsi="Arial"/>
          <w:sz w:val="17"/>
          <w:szCs w:val="17"/>
          <w:color w:val="auto"/>
        </w:rPr>
      </w:pPr>
    </w:p>
    <w:p>
      <w:pPr>
        <w:jc w:val="both"/>
        <w:ind w:firstLine="1305"/>
        <w:spacing w:after="0" w:line="286" w:lineRule="auto"/>
        <w:tabs>
          <w:tab w:leader="none" w:pos="2208" w:val="left"/>
        </w:tabs>
        <w:numPr>
          <w:ilvl w:val="1"/>
          <w:numId w:val="678"/>
        </w:numPr>
        <w:rPr>
          <w:rFonts w:ascii="Arial" w:cs="Arial" w:eastAsia="Arial" w:hAnsi="Arial"/>
          <w:sz w:val="16"/>
          <w:szCs w:val="16"/>
          <w:color w:val="auto"/>
        </w:rPr>
      </w:pPr>
      <w:r>
        <w:rPr>
          <w:rFonts w:ascii="Arial" w:cs="Arial" w:eastAsia="Arial" w:hAnsi="Arial"/>
          <w:sz w:val="16"/>
          <w:szCs w:val="16"/>
          <w:color w:val="auto"/>
        </w:rPr>
        <w:t xml:space="preserve">Indebtedness of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latest to occur of (A) the Maturity Date and (B) the ABL Maturity Date, (iii) such Indebtedness shall not provide for any of principal or any scheduled or mandatory prepayments or redemptions on any date sooner than 91 days after the latest to occur of (A) the Maturity Date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1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 xml:space="preserve">the ABL Maturity Date (other than any change of control or customary acceleration rights after an event of default), (iv) any secured Indebtedness incurred pursuant to this </w:t>
      </w:r>
      <w:r>
        <w:rPr>
          <w:rFonts w:ascii="Arial" w:cs="Arial" w:eastAsia="Arial" w:hAnsi="Arial"/>
          <w:sz w:val="18"/>
          <w:szCs w:val="18"/>
          <w:u w:val="single" w:color="auto"/>
          <w:color w:val="auto"/>
        </w:rPr>
        <w:t>Section 8.01(p)</w:t>
      </w:r>
      <w:r>
        <w:rPr>
          <w:rFonts w:ascii="Arial" w:cs="Arial" w:eastAsia="Arial" w:hAnsi="Arial"/>
          <w:sz w:val="18"/>
          <w:szCs w:val="18"/>
          <w:color w:val="auto"/>
        </w:rPr>
        <w:t xml:space="preserve"> may only be secured by a junior lien on the Collateral and the holder of such Indebtedness (or an agent or representative in respect thereof) shall have entered into a customary intercreditor agreement in form and substance reasonably satisfactory to the Administrative Agent, and (v) the aggregate principal amount of all Indebtedness incurred pursuant to this </w:t>
      </w:r>
      <w:r>
        <w:rPr>
          <w:rFonts w:ascii="Arial" w:cs="Arial" w:eastAsia="Arial" w:hAnsi="Arial"/>
          <w:sz w:val="18"/>
          <w:szCs w:val="18"/>
          <w:u w:val="single" w:color="auto"/>
          <w:color w:val="auto"/>
        </w:rPr>
        <w:t>Section 8.01(p)</w:t>
      </w:r>
      <w:r>
        <w:rPr>
          <w:rFonts w:ascii="Arial" w:cs="Arial" w:eastAsia="Arial" w:hAnsi="Arial"/>
          <w:sz w:val="18"/>
          <w:szCs w:val="18"/>
          <w:color w:val="auto"/>
        </w:rPr>
        <w:t xml:space="preserve"> would not exceed $500,000,000 at any time;</w:t>
      </w:r>
    </w:p>
    <w:p>
      <w:pPr>
        <w:spacing w:after="0" w:line="191" w:lineRule="exact"/>
        <w:rPr>
          <w:rFonts w:ascii="Arial" w:cs="Arial" w:eastAsia="Arial" w:hAnsi="Arial"/>
          <w:sz w:val="18"/>
          <w:szCs w:val="18"/>
          <w:color w:val="auto"/>
        </w:rPr>
      </w:pPr>
    </w:p>
    <w:p>
      <w:pPr>
        <w:jc w:val="both"/>
        <w:ind w:firstLine="1305"/>
        <w:spacing w:after="0" w:line="276" w:lineRule="auto"/>
        <w:tabs>
          <w:tab w:leader="none" w:pos="2181" w:val="left"/>
        </w:tabs>
        <w:numPr>
          <w:ilvl w:val="1"/>
          <w:numId w:val="679"/>
        </w:numPr>
        <w:rPr>
          <w:rFonts w:ascii="Arial" w:cs="Arial" w:eastAsia="Arial" w:hAnsi="Arial"/>
          <w:sz w:val="17"/>
          <w:szCs w:val="17"/>
          <w:color w:val="auto"/>
        </w:rPr>
      </w:pPr>
      <w:r>
        <w:rPr>
          <w:rFonts w:ascii="Arial" w:cs="Arial" w:eastAsia="Arial" w:hAnsi="Arial"/>
          <w:sz w:val="17"/>
          <w:szCs w:val="17"/>
          <w:color w:val="auto"/>
        </w:rPr>
        <w:t>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 (ii) 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72" w:lineRule="exact"/>
        <w:rPr>
          <w:rFonts w:ascii="Arial" w:cs="Arial" w:eastAsia="Arial" w:hAnsi="Arial"/>
          <w:sz w:val="17"/>
          <w:szCs w:val="17"/>
          <w:color w:val="auto"/>
        </w:rPr>
      </w:pPr>
    </w:p>
    <w:p>
      <w:pPr>
        <w:ind w:left="2200" w:hanging="895"/>
        <w:spacing w:after="0"/>
        <w:tabs>
          <w:tab w:leader="none" w:pos="220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Indebtedness in the form of Permitted Intercompany Treasury Management Transactions;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8" w:name="page579"/>
    <w:bookmarkEnd w:id="578"/>
    <w:p>
      <w:pPr>
        <w:ind w:firstLine="1305"/>
        <w:spacing w:after="0" w:line="277" w:lineRule="auto"/>
        <w:tabs>
          <w:tab w:leader="none" w:pos="2247" w:val="left"/>
        </w:tabs>
        <w:numPr>
          <w:ilvl w:val="0"/>
          <w:numId w:val="680"/>
        </w:numPr>
        <w:rPr>
          <w:rFonts w:ascii="Arial" w:cs="Arial" w:eastAsia="Arial" w:hAnsi="Arial"/>
          <w:sz w:val="18"/>
          <w:szCs w:val="18"/>
          <w:color w:val="auto"/>
        </w:rPr>
      </w:pPr>
      <w:r>
        <w:rPr>
          <w:rFonts w:ascii="Arial" w:cs="Arial" w:eastAsia="Arial" w:hAnsi="Arial"/>
          <w:sz w:val="18"/>
          <w:szCs w:val="18"/>
          <w:color w:val="auto"/>
        </w:rPr>
        <w:t>Indebtedness in the form of Permitted Intercompany Specified Transactions, so long as at the time of incurrence, no Default or Event of Default then exists or would arise as a result of the applicable transaction.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8.01</w:t>
      </w:r>
      <w:r>
        <w:rPr>
          <w:rFonts w:ascii="Arial" w:cs="Arial" w:eastAsia="Arial" w:hAnsi="Arial"/>
          <w:sz w:val="18"/>
          <w:szCs w:val="18"/>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70"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89" w:lineRule="auto"/>
        <w:tabs>
          <w:tab w:leader="none" w:pos="2347" w:val="left"/>
        </w:tabs>
        <w:numPr>
          <w:ilvl w:val="1"/>
          <w:numId w:val="681"/>
        </w:numPr>
        <w:rPr>
          <w:rFonts w:ascii="Arial" w:cs="Arial" w:eastAsia="Arial" w:hAnsi="Arial"/>
          <w:sz w:val="16"/>
          <w:szCs w:val="16"/>
          <w:color w:val="auto"/>
        </w:rPr>
      </w:pPr>
      <w:r>
        <w:rPr>
          <w:rFonts w:ascii="Arial" w:cs="Arial" w:eastAsia="Arial" w:hAnsi="Arial"/>
          <w:sz w:val="16"/>
          <w:szCs w:val="16"/>
          <w:color w:val="auto"/>
        </w:rPr>
        <w:t xml:space="preserve">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in the case of a Person that is an Unrestricted Subsidiary immediately prior to such merger, consolidation or amalgamation, </w:t>
      </w:r>
      <w:r>
        <w:rPr>
          <w:rFonts w:ascii="Arial" w:cs="Arial" w:eastAsia="Arial" w:hAnsi="Arial"/>
          <w:sz w:val="16"/>
          <w:szCs w:val="16"/>
          <w:u w:val="single" w:color="auto"/>
          <w:color w:val="auto"/>
        </w:rPr>
        <w:t>Section 7.09</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305"/>
        <w:spacing w:after="0" w:line="283" w:lineRule="auto"/>
        <w:tabs>
          <w:tab w:leader="none" w:pos="2181" w:val="left"/>
        </w:tabs>
        <w:numPr>
          <w:ilvl w:val="1"/>
          <w:numId w:val="681"/>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shall not prohibit any Redomestication;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 Redomestication of Parent of the type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w:t>
      </w:r>
    </w:p>
    <w:p>
      <w:pPr>
        <w:spacing w:after="0" w:line="5" w:lineRule="exact"/>
        <w:rPr>
          <w:rFonts w:ascii="Arial" w:cs="Arial" w:eastAsia="Arial" w:hAnsi="Arial"/>
          <w:sz w:val="16"/>
          <w:szCs w:val="16"/>
          <w:color w:val="auto"/>
        </w:rPr>
      </w:pPr>
    </w:p>
    <w:p>
      <w:pPr>
        <w:jc w:val="both"/>
        <w:ind w:firstLine="8"/>
        <w:spacing w:after="0" w:line="255" w:lineRule="auto"/>
        <w:tabs>
          <w:tab w:leader="none" w:pos="33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Patriot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9" w:name="page580"/>
    <w:bookmarkEnd w:id="579"/>
    <w:p>
      <w:pPr>
        <w:jc w:val="both"/>
        <w:ind w:firstLine="1305"/>
        <w:spacing w:after="0" w:line="269" w:lineRule="auto"/>
        <w:tabs>
          <w:tab w:leader="none" w:pos="2266" w:val="left"/>
        </w:tabs>
        <w:numPr>
          <w:ilvl w:val="0"/>
          <w:numId w:val="683"/>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any Restricted Subsidiary to, wind up, liquidate or dissolve;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Arial" w:cs="Arial" w:eastAsia="Arial" w:hAnsi="Arial"/>
          <w:sz w:val="17"/>
          <w:szCs w:val="17"/>
          <w:u w:val="single" w:color="auto"/>
          <w:color w:val="auto"/>
        </w:rPr>
        <w:t>Section 7.08(d)</w:t>
      </w:r>
      <w:r>
        <w:rPr>
          <w:rFonts w:ascii="Arial" w:cs="Arial" w:eastAsia="Arial" w:hAnsi="Arial"/>
          <w:sz w:val="17"/>
          <w:szCs w:val="17"/>
          <w:color w:val="auto"/>
        </w:rPr>
        <w:t>) and (4) such other documentation as the Administrative Agent may reasonably request.</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Material Change in Business</w:t>
      </w:r>
      <w:r>
        <w:rPr>
          <w:rFonts w:ascii="Arial" w:cs="Arial" w:eastAsia="Arial" w:hAnsi="Arial"/>
          <w:sz w:val="18"/>
          <w:szCs w:val="18"/>
          <w:color w:val="auto"/>
        </w:rPr>
        <w:t>. Parent and its Restricted Subsidiaries (taken as a whole) shall not engage in any material business substantially different from those businesses of Parent and its Subsidiaries described in the Form 10-K of Parent for the Fiscal Year ended December 31, 2018, and any business reasonably related, ancillary or complementary thereto.</w:t>
      </w:r>
    </w:p>
    <w:p>
      <w:pPr>
        <w:spacing w:after="0" w:line="181"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Parent shall not, and shall not permit any Restricted Subsidiary to, create, incur, assume or permit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Lien on any property or asset now owned or hereafter acquired by it, except:</w:t>
      </w:r>
    </w:p>
    <w:p>
      <w:pPr>
        <w:spacing w:after="0" w:line="211" w:lineRule="exact"/>
        <w:rPr>
          <w:sz w:val="20"/>
          <w:szCs w:val="20"/>
          <w:color w:val="auto"/>
        </w:rPr>
      </w:pPr>
    </w:p>
    <w:p>
      <w:pPr>
        <w:ind w:left="2180" w:hanging="875"/>
        <w:spacing w:after="0"/>
        <w:tabs>
          <w:tab w:leader="none" w:pos="21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right="20" w:firstLine="1305"/>
        <w:spacing w:after="0" w:line="277" w:lineRule="auto"/>
        <w:tabs>
          <w:tab w:leader="none" w:pos="233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 xml:space="preserve">Liens arising under the ABL Credit Documents that secure the ABL Credit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will at all times be subject to the terms of the Intercreditor Agreement;</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573" w:val="left"/>
        </w:tabs>
        <w:numPr>
          <w:ilvl w:val="0"/>
          <w:numId w:val="684"/>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Parent or any Restricted Subsidiary existing on the date hereof and set forth in </w:t>
      </w:r>
      <w:r>
        <w:rPr>
          <w:rFonts w:ascii="Arial" w:cs="Arial" w:eastAsia="Arial" w:hAnsi="Arial"/>
          <w:sz w:val="18"/>
          <w:szCs w:val="18"/>
          <w:u w:val="single" w:color="auto"/>
          <w:color w:val="auto"/>
        </w:rPr>
        <w:t>Schedule 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property or asset of Parent or any Restricted Subsidiary and (ii) such Lien shall secure only those obligations that it secures on the date hereof and Permitted Refinancing Indebtedness in respect thereof;</w:t>
      </w:r>
    </w:p>
    <w:p>
      <w:pPr>
        <w:spacing w:after="0" w:line="181" w:lineRule="exact"/>
        <w:rPr>
          <w:rFonts w:ascii="Arial" w:cs="Arial" w:eastAsia="Arial" w:hAnsi="Arial"/>
          <w:sz w:val="18"/>
          <w:szCs w:val="18"/>
          <w:color w:val="auto"/>
        </w:rPr>
      </w:pPr>
    </w:p>
    <w:p>
      <w:pPr>
        <w:ind w:left="2620" w:hanging="1315"/>
        <w:spacing w:after="0"/>
        <w:tabs>
          <w:tab w:leader="none" w:pos="2620" w:val="left"/>
        </w:tabs>
        <w:numPr>
          <w:ilvl w:val="0"/>
          <w:numId w:val="684"/>
        </w:numPr>
        <w:rPr>
          <w:rFonts w:ascii="Arial" w:cs="Arial" w:eastAsia="Arial" w:hAnsi="Arial"/>
          <w:sz w:val="17"/>
          <w:szCs w:val="17"/>
          <w:color w:val="auto"/>
        </w:rPr>
      </w:pPr>
      <w:r>
        <w:rPr>
          <w:rFonts w:ascii="Arial" w:cs="Arial" w:eastAsia="Arial" w:hAnsi="Arial"/>
          <w:sz w:val="17"/>
          <w:szCs w:val="17"/>
          <w:color w:val="auto"/>
        </w:rPr>
        <w:t>precautionary Liens on Receivables and Receivables Related Security arising in connection with Permitted Factoring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0" w:name="page581"/>
    <w:bookmarkEnd w:id="580"/>
    <w:p>
      <w:pPr>
        <w:jc w:val="both"/>
        <w:ind w:firstLine="1305"/>
        <w:spacing w:after="0" w:line="257" w:lineRule="auto"/>
        <w:tabs>
          <w:tab w:leader="none" w:pos="2304" w:val="left"/>
        </w:tabs>
        <w:numPr>
          <w:ilvl w:val="0"/>
          <w:numId w:val="685"/>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(and deposit accounts in which such cash and Cash Equivalents are held), granted in the ordinary course of business and consistent with past practices prior to the commencement of the Chapter 11 Cases,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pro forma effect to the application of such Lien, Parent would be in compliance with the covenant set forth in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180" w:hanging="875"/>
        <w:spacing w:after="0"/>
        <w:tabs>
          <w:tab w:leader="none" w:pos="218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 xml:space="preserve">Liens in accordance with, and securing Indebtedness permitted by, </w:t>
      </w:r>
      <w:r>
        <w:rPr>
          <w:rFonts w:ascii="Arial" w:cs="Arial" w:eastAsia="Arial" w:hAnsi="Arial"/>
          <w:sz w:val="18"/>
          <w:szCs w:val="18"/>
          <w:u w:val="single" w:color="auto"/>
          <w:color w:val="auto"/>
        </w:rPr>
        <w:t>Section 8.01(p)</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firstLine="1305"/>
        <w:spacing w:after="0" w:line="277" w:lineRule="auto"/>
        <w:tabs>
          <w:tab w:leader="none" w:pos="220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Liens on assets so long as the aggregate principal amount of the Indebtedness and other obligations secured by such Liens does not at any time exceed $15,000,000.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ind w:left="660"/>
              <w:spacing w:after="0"/>
              <w:rPr>
                <w:sz w:val="20"/>
                <w:szCs w:val="20"/>
                <w:color w:val="auto"/>
              </w:rPr>
            </w:pPr>
            <w:r>
              <w:rPr>
                <w:rFonts w:ascii="Arial" w:cs="Arial" w:eastAsia="Arial" w:hAnsi="Arial"/>
                <w:sz w:val="18"/>
                <w:szCs w:val="18"/>
                <w:color w:val="auto"/>
              </w:rPr>
              <w:t>SECTION 8.05</w:t>
            </w:r>
          </w:p>
        </w:tc>
        <w:tc>
          <w:tcPr>
            <w:tcW w:w="9040" w:type="dxa"/>
            <w:vAlign w:val="bottom"/>
            <w:gridSpan w:val="3"/>
          </w:tcPr>
          <w:p>
            <w:pPr>
              <w:ind w:left="580"/>
              <w:spacing w:after="0"/>
              <w:rPr>
                <w:sz w:val="20"/>
                <w:szCs w:val="20"/>
                <w:color w:val="auto"/>
              </w:rPr>
            </w:pPr>
            <w:r>
              <w:rPr>
                <w:rFonts w:ascii="Arial" w:cs="Arial" w:eastAsia="Arial" w:hAnsi="Arial"/>
                <w:sz w:val="18"/>
                <w:szCs w:val="18"/>
                <w:color w:val="auto"/>
                <w:w w:val="91"/>
              </w:rPr>
              <w:t>Asset Dispositions. Parent shall not, and shall not permit any Restricted Subsidiary to, Dispose of any assets to any</w:t>
            </w:r>
          </w:p>
        </w:tc>
      </w:tr>
      <w:tr>
        <w:trPr>
          <w:trHeight w:val="237"/>
        </w:trPr>
        <w:tc>
          <w:tcPr>
            <w:tcW w:w="2380" w:type="dxa"/>
            <w:vAlign w:val="bottom"/>
          </w:tcPr>
          <w:p>
            <w:pPr>
              <w:spacing w:after="0"/>
              <w:rPr>
                <w:sz w:val="20"/>
                <w:szCs w:val="20"/>
                <w:color w:val="auto"/>
              </w:rPr>
            </w:pPr>
            <w:r>
              <w:rPr>
                <w:rFonts w:ascii="Arial" w:cs="Arial" w:eastAsia="Arial" w:hAnsi="Arial"/>
                <w:sz w:val="18"/>
                <w:szCs w:val="18"/>
                <w:color w:val="auto"/>
              </w:rPr>
              <w:t>Person, except that:</w:t>
            </w:r>
          </w:p>
        </w:tc>
        <w:tc>
          <w:tcPr>
            <w:tcW w:w="5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100" w:type="dxa"/>
            <w:vAlign w:val="bottom"/>
          </w:tcPr>
          <w:p>
            <w:pPr>
              <w:spacing w:after="0"/>
              <w:rPr>
                <w:sz w:val="20"/>
                <w:szCs w:val="20"/>
                <w:color w:val="auto"/>
              </w:rPr>
            </w:pPr>
          </w:p>
        </w:tc>
      </w:tr>
    </w:tbl>
    <w:p>
      <w:pPr>
        <w:spacing w:after="0" w:line="202" w:lineRule="exact"/>
        <w:rPr>
          <w:sz w:val="20"/>
          <w:szCs w:val="20"/>
          <w:color w:val="auto"/>
        </w:rPr>
      </w:pPr>
    </w:p>
    <w:p>
      <w:pPr>
        <w:ind w:left="2180" w:hanging="875"/>
        <w:spacing w:after="0"/>
        <w:tabs>
          <w:tab w:leader="none" w:pos="2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any Obligor may Dispose of assets to any Obligor that is a Wholly-Owned Subsidiary;</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any Restricted Subsidiary that is not an Obligor may Dispose of assets to an Obligor;</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2212" w:val="left"/>
        </w:tabs>
        <w:numPr>
          <w:ilvl w:val="0"/>
          <w:numId w:val="686"/>
        </w:numPr>
        <w:rPr>
          <w:rFonts w:ascii="Arial" w:cs="Arial" w:eastAsia="Arial" w:hAnsi="Arial"/>
          <w:sz w:val="16"/>
          <w:szCs w:val="16"/>
          <w:color w:val="auto"/>
        </w:rPr>
      </w:pPr>
      <w:r>
        <w:rPr>
          <w:rFonts w:ascii="Arial" w:cs="Arial" w:eastAsia="Arial" w:hAnsi="Arial"/>
          <w:sz w:val="16"/>
          <w:szCs w:val="16"/>
          <w:color w:val="auto"/>
        </w:rPr>
        <w:t xml:space="preserve">any Obligor may Dispose of assets to any other Obligor that is not a Wholly-Owned Subsidiary and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value of all assets Disposed of in reliance on this </w:t>
      </w:r>
      <w:r>
        <w:rPr>
          <w:rFonts w:ascii="Arial" w:cs="Arial" w:eastAsia="Arial" w:hAnsi="Arial"/>
          <w:sz w:val="16"/>
          <w:szCs w:val="16"/>
          <w:u w:val="single" w:color="auto"/>
          <w:color w:val="auto"/>
        </w:rPr>
        <w:t>Section 8.05(c)</w:t>
      </w:r>
      <w:r>
        <w:rPr>
          <w:rFonts w:ascii="Arial" w:cs="Arial" w:eastAsia="Arial" w:hAnsi="Arial"/>
          <w:sz w:val="16"/>
          <w:szCs w:val="16"/>
          <w:color w:val="auto"/>
        </w:rPr>
        <w:t xml:space="preserve"> (net of the value of any such assets subsequently transferred to any Obligor by an Obligor that is not a Wholly-Owned Subsidiary) since the Effective Date shall not exceed (i) $25,000,000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up to an additional $25,000,000 so long as, at the time of such Disposition, no Default or Event of Default shall have occurred and be continuing;</w:t>
      </w:r>
    </w:p>
    <w:p>
      <w:pPr>
        <w:spacing w:after="0" w:line="154" w:lineRule="exact"/>
        <w:rPr>
          <w:rFonts w:ascii="Arial" w:cs="Arial" w:eastAsia="Arial" w:hAnsi="Arial"/>
          <w:sz w:val="16"/>
          <w:szCs w:val="16"/>
          <w:color w:val="auto"/>
        </w:rPr>
      </w:pPr>
    </w:p>
    <w:p>
      <w:pPr>
        <w:ind w:left="2180" w:hanging="875"/>
        <w:spacing w:after="0"/>
        <w:tabs>
          <w:tab w:leader="none" w:pos="21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any Specified Disposition shall be permitted;</w:t>
      </w:r>
    </w:p>
    <w:p>
      <w:pPr>
        <w:spacing w:after="0" w:line="225" w:lineRule="exact"/>
        <w:rPr>
          <w:rFonts w:ascii="Arial" w:cs="Arial" w:eastAsia="Arial" w:hAnsi="Arial"/>
          <w:sz w:val="18"/>
          <w:szCs w:val="18"/>
          <w:color w:val="auto"/>
        </w:rPr>
      </w:pPr>
    </w:p>
    <w:p>
      <w:pPr>
        <w:ind w:left="2360" w:hanging="1055"/>
        <w:spacing w:after="0"/>
        <w:tabs>
          <w:tab w:leader="none" w:pos="2360" w:val="left"/>
        </w:tabs>
        <w:numPr>
          <w:ilvl w:val="0"/>
          <w:numId w:val="686"/>
        </w:numPr>
        <w:rPr>
          <w:rFonts w:ascii="Arial" w:cs="Arial" w:eastAsia="Arial" w:hAnsi="Arial"/>
          <w:sz w:val="16"/>
          <w:szCs w:val="16"/>
          <w:color w:val="auto"/>
        </w:rPr>
      </w:pPr>
      <w:r>
        <w:rPr>
          <w:rFonts w:ascii="Arial" w:cs="Arial" w:eastAsia="Arial" w:hAnsi="Arial"/>
          <w:sz w:val="16"/>
          <w:szCs w:val="16"/>
          <w:color w:val="auto"/>
        </w:rPr>
        <w:t>Parent and its Restricted Subsidiaries may Dispose of inventory or obsolete or worn-out property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firstLine="1305"/>
        <w:spacing w:after="0" w:line="277" w:lineRule="auto"/>
        <w:tabs>
          <w:tab w:leader="none" w:pos="2264" w:val="left"/>
        </w:tabs>
        <w:numPr>
          <w:ilvl w:val="0"/>
          <w:numId w:val="686"/>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make Investments permitted by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8.08</w:t>
      </w:r>
      <w:r>
        <w:rPr>
          <w:rFonts w:ascii="Arial" w:cs="Arial" w:eastAsia="Arial" w:hAnsi="Arial"/>
          <w:sz w:val="18"/>
          <w:szCs w:val="18"/>
          <w:color w:val="auto"/>
        </w:rPr>
        <w:t>, in each case to the extent constituting Dispositions;</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222" w:val="left"/>
        </w:tabs>
        <w:numPr>
          <w:ilvl w:val="0"/>
          <w:numId w:val="686"/>
        </w:numPr>
        <w:rPr>
          <w:rFonts w:ascii="Arial" w:cs="Arial" w:eastAsia="Arial" w:hAnsi="Arial"/>
          <w:sz w:val="17"/>
          <w:szCs w:val="17"/>
          <w:color w:val="auto"/>
        </w:rPr>
      </w:pPr>
      <w:r>
        <w:rPr>
          <w:rFonts w:ascii="Arial" w:cs="Arial" w:eastAsia="Arial" w:hAnsi="Arial"/>
          <w:sz w:val="17"/>
          <w:szCs w:val="17"/>
          <w:color w:val="auto"/>
        </w:rPr>
        <w:t>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65" w:lineRule="exact"/>
        <w:rPr>
          <w:rFonts w:ascii="Arial" w:cs="Arial" w:eastAsia="Arial" w:hAnsi="Arial"/>
          <w:sz w:val="17"/>
          <w:szCs w:val="17"/>
          <w:color w:val="auto"/>
        </w:rPr>
      </w:pPr>
    </w:p>
    <w:p>
      <w:pPr>
        <w:ind w:firstLine="1305"/>
        <w:spacing w:after="0" w:line="277" w:lineRule="auto"/>
        <w:tabs>
          <w:tab w:leader="none" w:pos="2195"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any Disposition of assets resulting from a casualty event or condemnation proceeding, expropriation or other involuntary taking by a Governmental Authority shall be permitted;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81" w:name="page582"/>
    <w:bookmarkEnd w:id="581"/>
    <w:p>
      <w:pPr>
        <w:ind w:firstLine="1305"/>
        <w:spacing w:after="0" w:line="277" w:lineRule="auto"/>
        <w:tabs>
          <w:tab w:leader="none" w:pos="2231" w:val="left"/>
        </w:tabs>
        <w:numPr>
          <w:ilvl w:val="1"/>
          <w:numId w:val="687"/>
        </w:numPr>
        <w:rPr>
          <w:rFonts w:ascii="Arial" w:cs="Arial" w:eastAsia="Arial" w:hAnsi="Arial"/>
          <w:sz w:val="18"/>
          <w:szCs w:val="18"/>
          <w:color w:val="auto"/>
        </w:rPr>
      </w:pPr>
      <w:r>
        <w:rPr>
          <w:rFonts w:ascii="Arial" w:cs="Arial" w:eastAsia="Arial" w:hAnsi="Arial"/>
          <w:sz w:val="18"/>
          <w:szCs w:val="18"/>
          <w:color w:val="auto"/>
        </w:rPr>
        <w:t>Parent and its Restricted Subsidiaries may grant in the ordinary course of business any license of Intellectual Property that does not interfere in any material respect with the business of Parent or any of its Restricted Subsidiaries;</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2299" w:val="left"/>
        </w:tabs>
        <w:numPr>
          <w:ilvl w:val="1"/>
          <w:numId w:val="687"/>
        </w:numPr>
        <w:rPr>
          <w:rFonts w:ascii="Arial" w:cs="Arial" w:eastAsia="Arial" w:hAnsi="Arial"/>
          <w:sz w:val="17"/>
          <w:szCs w:val="17"/>
          <w:color w:val="auto"/>
        </w:rPr>
      </w:pPr>
      <w:r>
        <w:rPr>
          <w:rFonts w:ascii="Arial" w:cs="Arial" w:eastAsia="Arial" w:hAnsi="Arial"/>
          <w:sz w:val="17"/>
          <w:szCs w:val="17"/>
          <w:color w:val="auto"/>
        </w:rPr>
        <w:t xml:space="preserve">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Parent, and if requested by the Administrative Agent, Parent shall deliver a certificate of a Principal Financial Officer of Parent certifying as to the foregoing), and (iv) after giving pro forma effect to such Disposition, Parent and its Restricted Subsidiaries would be in compliance with the covenant set forth in </w:t>
      </w:r>
      <w:r>
        <w:rPr>
          <w:rFonts w:ascii="Arial" w:cs="Arial" w:eastAsia="Arial" w:hAnsi="Arial"/>
          <w:sz w:val="17"/>
          <w:szCs w:val="17"/>
          <w:u w:val="single" w:color="auto"/>
          <w:color w:val="auto"/>
        </w:rPr>
        <w:t>Section 8.09</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5"/>
        <w:spacing w:after="0" w:line="291" w:lineRule="auto"/>
        <w:tabs>
          <w:tab w:leader="none" w:pos="2208" w:val="left"/>
        </w:tabs>
        <w:numPr>
          <w:ilvl w:val="1"/>
          <w:numId w:val="687"/>
        </w:numPr>
        <w:rPr>
          <w:rFonts w:ascii="Arial" w:cs="Arial" w:eastAsia="Arial" w:hAnsi="Arial"/>
          <w:sz w:val="16"/>
          <w:szCs w:val="16"/>
          <w:color w:val="auto"/>
        </w:rPr>
      </w:pPr>
      <w:r>
        <w:rPr>
          <w:rFonts w:ascii="Arial" w:cs="Arial" w:eastAsia="Arial" w:hAnsi="Arial"/>
          <w:sz w:val="16"/>
          <w:szCs w:val="16"/>
          <w:color w:val="auto"/>
        </w:rPr>
        <w:t xml:space="preserve">Dispositions of surplus property in the ordinary course of business shall be permitted so long as the aggregate fair market value of all such surplus property Disposed of pursuant to this </w:t>
      </w:r>
      <w:r>
        <w:rPr>
          <w:rFonts w:ascii="Arial" w:cs="Arial" w:eastAsia="Arial" w:hAnsi="Arial"/>
          <w:sz w:val="16"/>
          <w:szCs w:val="16"/>
          <w:u w:val="single" w:color="auto"/>
          <w:color w:val="auto"/>
        </w:rPr>
        <w:t>Section 8.05(k)</w:t>
      </w:r>
      <w:r>
        <w:rPr>
          <w:rFonts w:ascii="Arial" w:cs="Arial" w:eastAsia="Arial" w:hAnsi="Arial"/>
          <w:sz w:val="16"/>
          <w:szCs w:val="16"/>
          <w:color w:val="auto"/>
        </w:rPr>
        <w:t xml:space="preserve"> does not exceed (i) $35,000,000 from the Effective Date through December 31, 2020,</w:t>
      </w:r>
    </w:p>
    <w:p>
      <w:pPr>
        <w:ind w:left="280" w:hanging="272"/>
        <w:spacing w:after="0"/>
        <w:tabs>
          <w:tab w:leader="none" w:pos="28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$30,000,000 during the Fiscal Year ending December 31, 2021, and (iii) $25,000,000 during any Fiscal Year thereafter;</w:t>
      </w:r>
    </w:p>
    <w:p>
      <w:pPr>
        <w:spacing w:after="0" w:line="210" w:lineRule="exact"/>
        <w:rPr>
          <w:rFonts w:ascii="Arial" w:cs="Arial" w:eastAsia="Arial" w:hAnsi="Arial"/>
          <w:sz w:val="18"/>
          <w:szCs w:val="18"/>
          <w:color w:val="auto"/>
        </w:rPr>
      </w:pPr>
    </w:p>
    <w:p>
      <w:pPr>
        <w:ind w:firstLine="1305"/>
        <w:spacing w:after="0" w:line="342" w:lineRule="auto"/>
        <w:tabs>
          <w:tab w:leader="none" w:pos="2312" w:val="left"/>
        </w:tabs>
        <w:numPr>
          <w:ilvl w:val="1"/>
          <w:numId w:val="688"/>
        </w:numPr>
        <w:rPr>
          <w:rFonts w:ascii="Arial" w:cs="Arial" w:eastAsia="Arial" w:hAnsi="Arial"/>
          <w:sz w:val="16"/>
          <w:szCs w:val="16"/>
          <w:color w:val="auto"/>
        </w:rPr>
      </w:pPr>
      <w:r>
        <w:rPr>
          <w:rFonts w:ascii="Arial" w:cs="Arial" w:eastAsia="Arial" w:hAnsi="Arial"/>
          <w:sz w:val="16"/>
          <w:szCs w:val="16"/>
          <w:color w:val="auto"/>
        </w:rPr>
        <w:t>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23" w:lineRule="exact"/>
        <w:rPr>
          <w:rFonts w:ascii="Arial" w:cs="Arial" w:eastAsia="Arial" w:hAnsi="Arial"/>
          <w:sz w:val="16"/>
          <w:szCs w:val="16"/>
          <w:color w:val="auto"/>
        </w:rPr>
      </w:pPr>
    </w:p>
    <w:p>
      <w:pPr>
        <w:ind w:left="2140" w:hanging="835"/>
        <w:spacing w:after="0"/>
        <w:tabs>
          <w:tab w:leader="none" w:pos="214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leases of real or personal property in the ordinary course of business shall be permitted;</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Permitted Intercompany Treasury Management Transactions;</w:t>
      </w:r>
    </w:p>
    <w:p>
      <w:pPr>
        <w:spacing w:after="0" w:line="225" w:lineRule="exact"/>
        <w:rPr>
          <w:rFonts w:ascii="Arial" w:cs="Arial" w:eastAsia="Arial" w:hAnsi="Arial"/>
          <w:sz w:val="18"/>
          <w:szCs w:val="18"/>
          <w:color w:val="auto"/>
        </w:rPr>
      </w:pPr>
    </w:p>
    <w:p>
      <w:pPr>
        <w:ind w:firstLine="1305"/>
        <w:spacing w:after="0" w:line="277" w:lineRule="auto"/>
        <w:tabs>
          <w:tab w:leader="none" w:pos="2195" w:val="left"/>
        </w:tabs>
        <w:numPr>
          <w:ilvl w:val="1"/>
          <w:numId w:val="688"/>
        </w:numPr>
        <w:rPr>
          <w:rFonts w:ascii="Arial" w:cs="Arial" w:eastAsia="Arial" w:hAnsi="Arial"/>
          <w:sz w:val="18"/>
          <w:szCs w:val="18"/>
          <w:color w:val="auto"/>
        </w:rPr>
      </w:pPr>
      <w:r>
        <w:rPr>
          <w:rFonts w:ascii="Arial" w:cs="Arial" w:eastAsia="Arial" w:hAnsi="Arial"/>
          <w:sz w:val="18"/>
          <w:szCs w:val="18"/>
          <w:color w:val="auto"/>
        </w:rPr>
        <w:t>Dispositions constituting Permitted Intercompany Specified Transactions, so long as at the time of such Disposition, no Default or Event of Default then exists or would arise as a result of the applicable transaction; and</w:t>
      </w:r>
    </w:p>
    <w:p>
      <w:pPr>
        <w:spacing w:after="0" w:line="170" w:lineRule="exact"/>
        <w:rPr>
          <w:rFonts w:ascii="Arial" w:cs="Arial" w:eastAsia="Arial" w:hAnsi="Arial"/>
          <w:sz w:val="18"/>
          <w:szCs w:val="18"/>
          <w:color w:val="auto"/>
        </w:rPr>
      </w:pPr>
    </w:p>
    <w:p>
      <w:pPr>
        <w:ind w:left="2320" w:hanging="1015"/>
        <w:spacing w:after="0"/>
        <w:tabs>
          <w:tab w:leader="none" w:pos="2320" w:val="left"/>
        </w:tabs>
        <w:numPr>
          <w:ilvl w:val="1"/>
          <w:numId w:val="688"/>
        </w:numPr>
        <w:rPr>
          <w:rFonts w:ascii="Arial" w:cs="Arial" w:eastAsia="Arial" w:hAnsi="Arial"/>
          <w:sz w:val="16"/>
          <w:szCs w:val="16"/>
          <w:color w:val="auto"/>
        </w:rPr>
      </w:pPr>
      <w:r>
        <w:rPr>
          <w:rFonts w:ascii="Arial" w:cs="Arial" w:eastAsia="Arial" w:hAnsi="Arial"/>
          <w:sz w:val="16"/>
          <w:szCs w:val="16"/>
          <w:color w:val="auto"/>
        </w:rPr>
        <w:t>Parent and its Restricted Subsidiaries may Dispose of any personal or real property with a fair market value not in excess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$2,500,000 in any Fiscal Year.</w:t>
      </w:r>
    </w:p>
    <w:p>
      <w:pPr>
        <w:spacing w:after="0" w:line="211"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Parent shall not, and shall not permit any Restricted Subsidiary to, make any Investments in any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left="2180" w:hanging="875"/>
        <w:spacing w:after="0"/>
        <w:tabs>
          <w:tab w:leader="none" w:pos="218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52" w:val="left"/>
        </w:tabs>
        <w:numPr>
          <w:ilvl w:val="0"/>
          <w:numId w:val="689"/>
        </w:numPr>
        <w:rPr>
          <w:rFonts w:ascii="Arial" w:cs="Arial" w:eastAsia="Arial" w:hAnsi="Arial"/>
          <w:sz w:val="18"/>
          <w:szCs w:val="18"/>
          <w:color w:val="auto"/>
        </w:rPr>
      </w:pPr>
      <w:r>
        <w:rPr>
          <w:rFonts w:ascii="Arial" w:cs="Arial" w:eastAsia="Arial" w:hAnsi="Arial"/>
          <w:sz w:val="18"/>
          <w:szCs w:val="18"/>
          <w:color w:val="auto"/>
        </w:rPr>
        <w:t xml:space="preserve">(i) Investments in Subsidiaries in existence on the Effective Date and (ii) other Investments in existence on the Effective Date and described on </w:t>
      </w:r>
      <w:r>
        <w:rPr>
          <w:rFonts w:ascii="Arial" w:cs="Arial" w:eastAsia="Arial" w:hAnsi="Arial"/>
          <w:sz w:val="18"/>
          <w:szCs w:val="18"/>
          <w:u w:val="single" w:color="auto"/>
          <w:color w:val="auto"/>
        </w:rPr>
        <w:t>Schedule 8.06</w:t>
      </w:r>
      <w:r>
        <w:rPr>
          <w:rFonts w:ascii="Arial" w:cs="Arial" w:eastAsia="Arial" w:hAnsi="Arial"/>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82" w:name="page583"/>
    <w:bookmarkEnd w:id="582"/>
    <w:p>
      <w:pPr>
        <w:ind w:left="2180" w:hanging="875"/>
        <w:spacing w:after="0"/>
        <w:tabs>
          <w:tab w:leader="none" w:pos="21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Investments by any Obligor in any other Obligor that is a Wholly-Owned Subsidiary;</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Investments by any Restricted Subsidiary that is not an Obligor in any Obligor or any Restricted Subsidiary;</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318"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(i) Investments in Unrestricted Subsidiaries, and (ii) Investments by any Obligor in any Obligor that is not a Wholly-Owned Subsidiary and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Investments made pursuant to this </w:t>
      </w:r>
      <w:r>
        <w:rPr>
          <w:rFonts w:ascii="Arial" w:cs="Arial" w:eastAsia="Arial" w:hAnsi="Arial"/>
          <w:sz w:val="18"/>
          <w:szCs w:val="18"/>
          <w:u w:val="single" w:color="auto"/>
          <w:color w:val="auto"/>
        </w:rPr>
        <w:t>Section 8.06(f)</w:t>
      </w:r>
      <w:r>
        <w:rPr>
          <w:rFonts w:ascii="Arial" w:cs="Arial" w:eastAsia="Arial" w:hAnsi="Arial"/>
          <w:sz w:val="18"/>
          <w:szCs w:val="18"/>
          <w:color w:val="auto"/>
        </w:rPr>
        <w:t xml:space="preserve"> and then outstanding since the Effective Date, shall not exceed $25,000,000;</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6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81" w:lineRule="exact"/>
        <w:rPr>
          <w:rFonts w:ascii="Arial" w:cs="Arial" w:eastAsia="Arial" w:hAnsi="Arial"/>
          <w:sz w:val="18"/>
          <w:szCs w:val="18"/>
          <w:color w:val="auto"/>
        </w:rPr>
      </w:pPr>
    </w:p>
    <w:p>
      <w:pPr>
        <w:ind w:firstLine="1305"/>
        <w:spacing w:after="0" w:line="277" w:lineRule="auto"/>
        <w:tabs>
          <w:tab w:leader="none" w:pos="2424"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Investments by any Obligor or Restricted Subsidiary in overnight time deposits in Argentina;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Investments shall not exceed $10,000,000 at any time outstanding;</w:t>
      </w:r>
    </w:p>
    <w:p>
      <w:pPr>
        <w:spacing w:after="0" w:line="170" w:lineRule="exact"/>
        <w:rPr>
          <w:rFonts w:ascii="Arial" w:cs="Arial" w:eastAsia="Arial" w:hAnsi="Arial"/>
          <w:sz w:val="18"/>
          <w:szCs w:val="18"/>
          <w:color w:val="auto"/>
        </w:rPr>
      </w:pPr>
    </w:p>
    <w:p>
      <w:pPr>
        <w:ind w:left="2240" w:hanging="935"/>
        <w:spacing w:after="0"/>
        <w:tabs>
          <w:tab w:leader="none" w:pos="22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Section, Guarantees permitted by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0" w:hanging="935"/>
        <w:spacing w:after="0"/>
        <w:tabs>
          <w:tab w:leader="none" w:pos="22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Investments received in consideration for a Disposition permitted by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35"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advances and loans shall not exceed $2,500,000 at any time outstanding;</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7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181" w:lineRule="exact"/>
        <w:rPr>
          <w:rFonts w:ascii="Arial" w:cs="Arial" w:eastAsia="Arial" w:hAnsi="Arial"/>
          <w:sz w:val="18"/>
          <w:szCs w:val="18"/>
          <w:color w:val="auto"/>
        </w:rPr>
      </w:pPr>
    </w:p>
    <w:p>
      <w:pPr>
        <w:ind w:left="2140" w:hanging="835"/>
        <w:spacing w:after="0"/>
        <w:tabs>
          <w:tab w:leader="none" w:pos="21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Investments consisting of Swap Agreements permitted under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49" w:val="left"/>
        </w:tabs>
        <w:numPr>
          <w:ilvl w:val="0"/>
          <w:numId w:val="690"/>
        </w:numPr>
        <w:rPr>
          <w:rFonts w:ascii="Arial" w:cs="Arial" w:eastAsia="Arial" w:hAnsi="Arial"/>
          <w:sz w:val="18"/>
          <w:szCs w:val="18"/>
          <w:color w:val="auto"/>
        </w:rPr>
      </w:pPr>
      <w:r>
        <w:rPr>
          <w:rFonts w:ascii="Arial" w:cs="Arial" w:eastAsia="Arial" w:hAnsi="Arial"/>
          <w:sz w:val="18"/>
          <w:szCs w:val="18"/>
          <w:color w:val="auto"/>
        </w:rPr>
        <w:t xml:space="preserve">additional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thereof and immediately after giving effect thereto, (i) the amount of all such Investments made pursuant to this </w:t>
      </w:r>
      <w:r>
        <w:rPr>
          <w:rFonts w:ascii="Arial" w:cs="Arial" w:eastAsia="Arial" w:hAnsi="Arial"/>
          <w:sz w:val="18"/>
          <w:szCs w:val="18"/>
          <w:u w:val="single" w:color="auto"/>
          <w:color w:val="auto"/>
        </w:rPr>
        <w:t>Section 8.06(n)</w:t>
      </w:r>
      <w:r>
        <w:rPr>
          <w:rFonts w:ascii="Arial" w:cs="Arial" w:eastAsia="Arial" w:hAnsi="Arial"/>
          <w:sz w:val="18"/>
          <w:szCs w:val="18"/>
          <w:color w:val="auto"/>
        </w:rPr>
        <w:t xml:space="preserve"> in the aggregate does not exceed $200,000,000 and (ii) no Default or Event of Default shall have occurred and be continuing;</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Investments constituting Permitted Intercompany Treasury Management Transactions;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3" w:name="page584"/>
    <w:bookmarkEnd w:id="583"/>
    <w:p>
      <w:pPr>
        <w:ind w:firstLine="1305"/>
        <w:spacing w:after="0" w:line="277" w:lineRule="auto"/>
        <w:tabs>
          <w:tab w:leader="none" w:pos="222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Investments constituting Permitted Intercompany Specified Transactions, so long as at the time of such Investment, no Default or Event of Default then exists or would arise as a result of the applicable transaction.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Swap Agreements</w:t>
      </w:r>
      <w:r>
        <w:rPr>
          <w:rFonts w:ascii="Arial" w:cs="Arial" w:eastAsia="Arial" w:hAnsi="Arial"/>
          <w:sz w:val="18"/>
          <w:szCs w:val="18"/>
          <w:color w:val="auto"/>
        </w:rPr>
        <w:t>. Parent shall not, and shall not permit any Restricted Subsidiary to, enter into any Swap Agreement, except (a) 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and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Parent shall not, and shall not permit any Restricted Subsidiary to, declare or make, or agree to pay or make, directly or indirectly, any Restricted Payment, except:</w:t>
      </w:r>
    </w:p>
    <w:p>
      <w:pPr>
        <w:spacing w:after="0" w:line="170" w:lineRule="exact"/>
        <w:rPr>
          <w:sz w:val="20"/>
          <w:szCs w:val="20"/>
          <w:color w:val="auto"/>
        </w:rPr>
      </w:pPr>
    </w:p>
    <w:p>
      <w:pPr>
        <w:ind w:left="2280" w:hanging="975"/>
        <w:spacing w:after="0"/>
        <w:tabs>
          <w:tab w:leader="none" w:pos="2280" w:val="left"/>
        </w:tabs>
        <w:numPr>
          <w:ilvl w:val="0"/>
          <w:numId w:val="692"/>
        </w:numPr>
        <w:rPr>
          <w:rFonts w:ascii="Arial" w:cs="Arial" w:eastAsia="Arial" w:hAnsi="Arial"/>
          <w:sz w:val="16"/>
          <w:szCs w:val="16"/>
          <w:color w:val="auto"/>
        </w:rPr>
      </w:pPr>
      <w:r>
        <w:rPr>
          <w:rFonts w:ascii="Arial" w:cs="Arial" w:eastAsia="Arial" w:hAnsi="Arial"/>
          <w:sz w:val="16"/>
          <w:szCs w:val="16"/>
          <w:color w:val="auto"/>
        </w:rPr>
        <w:t>Parent may declare and pay dividends on its Capital Stock payable solely in additional Capital Stock (other than Disqualified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ind w:right="20" w:firstLine="1305"/>
        <w:spacing w:after="0" w:line="308" w:lineRule="auto"/>
        <w:tabs>
          <w:tab w:leader="none" w:pos="2181" w:val="left"/>
        </w:tabs>
        <w:numPr>
          <w:ilvl w:val="1"/>
          <w:numId w:val="693"/>
        </w:numPr>
        <w:rPr>
          <w:rFonts w:ascii="Arial" w:cs="Arial" w:eastAsia="Arial" w:hAnsi="Arial"/>
          <w:sz w:val="17"/>
          <w:szCs w:val="17"/>
          <w:color w:val="auto"/>
        </w:rPr>
      </w:pPr>
      <w:r>
        <w:rPr>
          <w:rFonts w:ascii="Arial" w:cs="Arial" w:eastAsia="Arial" w:hAnsi="Arial"/>
          <w:sz w:val="17"/>
          <w:szCs w:val="17"/>
          <w:color w:val="auto"/>
        </w:rPr>
        <w:t>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146" w:lineRule="exact"/>
        <w:rPr>
          <w:rFonts w:ascii="Arial" w:cs="Arial" w:eastAsia="Arial" w:hAnsi="Arial"/>
          <w:sz w:val="17"/>
          <w:szCs w:val="17"/>
          <w:color w:val="auto"/>
        </w:rPr>
      </w:pPr>
    </w:p>
    <w:p>
      <w:pPr>
        <w:jc w:val="both"/>
        <w:ind w:firstLine="1305"/>
        <w:spacing w:after="0" w:line="288" w:lineRule="auto"/>
        <w:tabs>
          <w:tab w:leader="none" w:pos="2360" w:val="left"/>
        </w:tabs>
        <w:numPr>
          <w:ilvl w:val="1"/>
          <w:numId w:val="693"/>
        </w:numPr>
        <w:rPr>
          <w:rFonts w:ascii="Arial" w:cs="Arial" w:eastAsia="Arial" w:hAnsi="Arial"/>
          <w:sz w:val="16"/>
          <w:szCs w:val="16"/>
          <w:color w:val="auto"/>
        </w:rPr>
      </w:pPr>
      <w:r>
        <w:rPr>
          <w:rFonts w:ascii="Arial" w:cs="Arial" w:eastAsia="Arial" w:hAnsi="Arial"/>
          <w:sz w:val="16"/>
          <w:szCs w:val="16"/>
          <w:color w:val="auto"/>
        </w:rPr>
        <w:t>(i)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w:t>
      </w:r>
    </w:p>
    <w:p>
      <w:pPr>
        <w:jc w:val="both"/>
        <w:ind w:firstLine="8"/>
        <w:spacing w:after="0" w:line="254" w:lineRule="auto"/>
        <w:tabs>
          <w:tab w:leader="none" w:pos="301" w:val="left"/>
        </w:tabs>
        <w:numPr>
          <w:ilvl w:val="0"/>
          <w:numId w:val="694"/>
        </w:numPr>
        <w:rPr>
          <w:rFonts w:ascii="Arial" w:cs="Arial" w:eastAsia="Arial" w:hAnsi="Arial"/>
          <w:sz w:val="18"/>
          <w:szCs w:val="18"/>
          <w:color w:val="auto"/>
        </w:rPr>
      </w:pPr>
      <w:r>
        <w:rPr>
          <w:rFonts w:ascii="Arial" w:cs="Arial" w:eastAsia="Arial" w:hAnsi="Arial"/>
          <w:sz w:val="18"/>
          <w:szCs w:val="18"/>
          <w:color w:val="auto"/>
        </w:rPr>
        <w:t>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spacing w:after="0" w:line="189" w:lineRule="exact"/>
        <w:rPr>
          <w:rFonts w:ascii="Arial" w:cs="Arial" w:eastAsia="Arial" w:hAnsi="Arial"/>
          <w:sz w:val="18"/>
          <w:szCs w:val="18"/>
          <w:color w:val="auto"/>
        </w:rPr>
      </w:pPr>
    </w:p>
    <w:p>
      <w:pPr>
        <w:ind w:firstLine="1305"/>
        <w:spacing w:after="0" w:line="277" w:lineRule="auto"/>
        <w:tabs>
          <w:tab w:leader="none" w:pos="2357" w:val="left"/>
        </w:tabs>
        <w:numPr>
          <w:ilvl w:val="1"/>
          <w:numId w:val="694"/>
        </w:numPr>
        <w:rPr>
          <w:rFonts w:ascii="Arial" w:cs="Arial" w:eastAsia="Arial" w:hAnsi="Arial"/>
          <w:sz w:val="18"/>
          <w:szCs w:val="18"/>
          <w:color w:val="auto"/>
        </w:rPr>
      </w:pPr>
      <w:r>
        <w:rPr>
          <w:rFonts w:ascii="Arial" w:cs="Arial" w:eastAsia="Arial" w:hAnsi="Arial"/>
          <w:sz w:val="18"/>
          <w:szCs w:val="18"/>
          <w:color w:val="auto"/>
        </w:rPr>
        <w:t>Parent and its Restricted Subsidiaries may make any prepayments under this Agreement and the ABL Credit Agreement in accordance with the terms thereof;</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239" w:val="left"/>
        </w:tabs>
        <w:numPr>
          <w:ilvl w:val="1"/>
          <w:numId w:val="694"/>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has occurred and is continuing at the time thereof or immediately after giving effect thereto, Parent and its Restricted Subsidiaries may (i) Redeem any Exit Senior Notes or other senior notes, in each case, that have a stated maturity date prior to the Maturity Date and (ii) Redeem any Exit Senior Notes or other senior notes, in each case, with the proceeds of (A) Permitted Refinancing Indebtedness or (B) Indebtedness incurred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4" w:name="page585"/>
    <w:bookmarkEnd w:id="584"/>
    <w:p>
      <w:pPr>
        <w:jc w:val="both"/>
        <w:ind w:firstLine="1305"/>
        <w:spacing w:after="0" w:line="255" w:lineRule="auto"/>
        <w:tabs>
          <w:tab w:leader="none" w:pos="2277" w:val="left"/>
        </w:tabs>
        <w:numPr>
          <w:ilvl w:val="1"/>
          <w:numId w:val="695"/>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any case, that the aggregate cash consideration paid for all such redemptions, repurchases or other acquisitions or retirements shall not exceed $10,000,000 during any calendar year;</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2316" w:val="left"/>
        </w:tabs>
        <w:numPr>
          <w:ilvl w:val="1"/>
          <w:numId w:val="695"/>
        </w:numPr>
        <w:rPr>
          <w:rFonts w:ascii="Arial" w:cs="Arial" w:eastAsia="Arial" w:hAnsi="Arial"/>
          <w:sz w:val="17"/>
          <w:szCs w:val="17"/>
          <w:color w:val="auto"/>
        </w:rPr>
      </w:pPr>
      <w:r>
        <w:rPr>
          <w:rFonts w:ascii="Arial" w:cs="Arial" w:eastAsia="Arial" w:hAnsi="Arial"/>
          <w:sz w:val="17"/>
          <w:szCs w:val="17"/>
          <w:color w:val="auto"/>
        </w:rPr>
        <w:t xml:space="preserve">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78" w:lineRule="exact"/>
        <w:rPr>
          <w:rFonts w:ascii="Arial" w:cs="Arial" w:eastAsia="Arial" w:hAnsi="Arial"/>
          <w:sz w:val="17"/>
          <w:szCs w:val="17"/>
          <w:color w:val="auto"/>
        </w:rPr>
      </w:pPr>
    </w:p>
    <w:p>
      <w:pPr>
        <w:ind w:left="2180" w:hanging="875"/>
        <w:spacing w:after="0"/>
        <w:tabs>
          <w:tab w:leader="none" w:pos="2180" w:val="left"/>
        </w:tabs>
        <w:numPr>
          <w:ilvl w:val="1"/>
          <w:numId w:val="695"/>
        </w:numPr>
        <w:rPr>
          <w:rFonts w:ascii="Arial" w:cs="Arial" w:eastAsia="Arial" w:hAnsi="Arial"/>
          <w:sz w:val="18"/>
          <w:szCs w:val="18"/>
          <w:color w:val="auto"/>
        </w:rPr>
      </w:pPr>
      <w:r>
        <w:rPr>
          <w:rFonts w:ascii="Arial" w:cs="Arial" w:eastAsia="Arial" w:hAnsi="Arial"/>
          <w:sz w:val="18"/>
          <w:szCs w:val="18"/>
          <w:color w:val="auto"/>
        </w:rPr>
        <w:t>Parent and each Restricted Subsidiary may make payments of cash in lieu of issuing fractional Capital Stock;</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623" w:val="left"/>
        </w:tabs>
        <w:numPr>
          <w:ilvl w:val="1"/>
          <w:numId w:val="695"/>
        </w:numPr>
        <w:rPr>
          <w:rFonts w:ascii="Arial" w:cs="Arial" w:eastAsia="Arial" w:hAnsi="Arial"/>
          <w:sz w:val="18"/>
          <w:szCs w:val="18"/>
          <w:color w:val="auto"/>
        </w:rPr>
      </w:pPr>
      <w:r>
        <w:rPr>
          <w:rFonts w:ascii="Arial" w:cs="Arial" w:eastAsia="Arial" w:hAnsi="Arial"/>
          <w:sz w:val="18"/>
          <w:szCs w:val="18"/>
          <w:color w:val="auto"/>
        </w:rPr>
        <w:t xml:space="preserve">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18"/>
          <w:szCs w:val="18"/>
          <w:u w:val="single" w:color="auto"/>
          <w:color w:val="auto"/>
        </w:rPr>
        <w:t>Sections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1305"/>
        <w:spacing w:after="0" w:line="277" w:lineRule="auto"/>
        <w:tabs>
          <w:tab w:leader="none" w:pos="2420" w:val="left"/>
        </w:tabs>
        <w:numPr>
          <w:ilvl w:val="1"/>
          <w:numId w:val="695"/>
        </w:numPr>
        <w:rPr>
          <w:rFonts w:ascii="Arial" w:cs="Arial" w:eastAsia="Arial" w:hAnsi="Arial"/>
          <w:sz w:val="18"/>
          <w:szCs w:val="18"/>
          <w:color w:val="auto"/>
        </w:rPr>
      </w:pPr>
      <w:r>
        <w:rPr>
          <w:rFonts w:ascii="Arial" w:cs="Arial" w:eastAsia="Arial" w:hAnsi="Arial"/>
          <w:sz w:val="18"/>
          <w:szCs w:val="18"/>
          <w:color w:val="auto"/>
        </w:rPr>
        <w:t>Restricted Payments constituting Permitted Intercompany Specified Transactions, so long as at the time of such Restricted Payment no Default or Event of Default then exists or would arise as a result of the applicable transaction;</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1"/>
          <w:numId w:val="695"/>
        </w:numPr>
        <w:rPr>
          <w:rFonts w:ascii="Arial" w:cs="Arial" w:eastAsia="Arial" w:hAnsi="Arial"/>
          <w:sz w:val="18"/>
          <w:szCs w:val="18"/>
          <w:color w:val="auto"/>
        </w:rPr>
      </w:pPr>
      <w:r>
        <w:rPr>
          <w:rFonts w:ascii="Arial" w:cs="Arial" w:eastAsia="Arial" w:hAnsi="Arial"/>
          <w:sz w:val="18"/>
          <w:szCs w:val="18"/>
          <w:color w:val="auto"/>
        </w:rPr>
        <w:t>Restricted Payments constituting Permitted Intercompany Treasury Management Transactions;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85" w:val="left"/>
        </w:tabs>
        <w:numPr>
          <w:ilvl w:val="1"/>
          <w:numId w:val="695"/>
        </w:numPr>
        <w:rPr>
          <w:rFonts w:ascii="Arial" w:cs="Arial" w:eastAsia="Arial" w:hAnsi="Arial"/>
          <w:sz w:val="18"/>
          <w:szCs w:val="18"/>
          <w:color w:val="auto"/>
        </w:rPr>
      </w:pPr>
      <w:r>
        <w:rPr>
          <w:rFonts w:ascii="Arial" w:cs="Arial" w:eastAsia="Arial" w:hAnsi="Arial"/>
          <w:sz w:val="18"/>
          <w:szCs w:val="18"/>
          <w:color w:val="auto"/>
        </w:rPr>
        <w:t xml:space="preserve">Parent and its Restricted Subsidiaries may make 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thereof and immediately after giving effect thereto, (i) the amount of all such Restricted Payments made pursuant to this </w:t>
      </w:r>
      <w:r>
        <w:rPr>
          <w:rFonts w:ascii="Arial" w:cs="Arial" w:eastAsia="Arial" w:hAnsi="Arial"/>
          <w:sz w:val="18"/>
          <w:szCs w:val="18"/>
          <w:u w:val="single" w:color="auto"/>
          <w:color w:val="auto"/>
        </w:rPr>
        <w:t>Section 8.05(l)</w:t>
      </w:r>
      <w:r>
        <w:rPr>
          <w:rFonts w:ascii="Arial" w:cs="Arial" w:eastAsia="Arial" w:hAnsi="Arial"/>
          <w:sz w:val="18"/>
          <w:szCs w:val="18"/>
          <w:color w:val="auto"/>
        </w:rPr>
        <w:t xml:space="preserve"> in the aggregate shall not exceed $200,000,000 and (ii) no Default or Event of Default shall have occurred and be continuing; and</w:t>
      </w:r>
    </w:p>
    <w:p>
      <w:pPr>
        <w:spacing w:after="0" w:line="181" w:lineRule="exact"/>
        <w:rPr>
          <w:rFonts w:ascii="Arial" w:cs="Arial" w:eastAsia="Arial" w:hAnsi="Arial"/>
          <w:sz w:val="18"/>
          <w:szCs w:val="18"/>
          <w:color w:val="auto"/>
        </w:rPr>
      </w:pPr>
    </w:p>
    <w:p>
      <w:pPr>
        <w:jc w:val="both"/>
        <w:ind w:firstLine="1305"/>
        <w:spacing w:after="0" w:line="288" w:lineRule="auto"/>
        <w:tabs>
          <w:tab w:leader="none" w:pos="2182" w:val="left"/>
        </w:tabs>
        <w:numPr>
          <w:ilvl w:val="1"/>
          <w:numId w:val="695"/>
        </w:numPr>
        <w:rPr>
          <w:rFonts w:ascii="Arial" w:cs="Arial" w:eastAsia="Arial" w:hAnsi="Arial"/>
          <w:sz w:val="16"/>
          <w:szCs w:val="16"/>
          <w:color w:val="auto"/>
        </w:rPr>
      </w:pPr>
      <w:r>
        <w:rPr>
          <w:rFonts w:ascii="Arial" w:cs="Arial" w:eastAsia="Arial" w:hAnsi="Arial"/>
          <w:sz w:val="16"/>
          <w:szCs w:val="16"/>
          <w:color w:val="auto"/>
        </w:rPr>
        <w:t xml:space="preserve">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(iii)</w:t>
      </w:r>
      <w:r>
        <w:rPr>
          <w:rFonts w:ascii="Arial" w:cs="Arial" w:eastAsia="Arial" w:hAnsi="Arial"/>
          <w:sz w:val="16"/>
          <w:szCs w:val="16"/>
          <w:color w:val="auto"/>
        </w:rPr>
        <w:t>,</w:t>
      </w:r>
    </w:p>
    <w:p>
      <w:pPr>
        <w:ind w:firstLine="8"/>
        <w:spacing w:after="0" w:line="290" w:lineRule="auto"/>
        <w:tabs>
          <w:tab w:leader="none" w:pos="279" w:val="left"/>
        </w:tabs>
        <w:numPr>
          <w:ilvl w:val="0"/>
          <w:numId w:val="696"/>
        </w:numPr>
        <w:rPr>
          <w:rFonts w:ascii="Arial" w:cs="Arial" w:eastAsia="Arial" w:hAnsi="Arial"/>
          <w:sz w:val="17"/>
          <w:szCs w:val="17"/>
          <w:color w:val="auto"/>
        </w:rPr>
      </w:pPr>
      <w:r>
        <w:rPr>
          <w:rFonts w:ascii="Arial" w:cs="Arial" w:eastAsia="Arial" w:hAnsi="Arial"/>
          <w:sz w:val="17"/>
          <w:szCs w:val="17"/>
          <w:color w:val="auto"/>
        </w:rPr>
        <w:t>no Default or Event of Default then exists or would arise as a result of the applicable transaction, and (y) to the extent such intercompany loans or advances are subject to the Intercompany Subordination Agreement, such repayment or prepayment shall not violate the terms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85" w:name="page586"/>
    <w:bookmarkEnd w:id="585"/>
    <w:tbl>
      <w:tblPr>
        <w:tblLayout w:type="fixed"/>
        <w:tblInd w:w="6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rPr>
              <w:t>SECTION 8.09</w:t>
            </w:r>
          </w:p>
        </w:tc>
        <w:tc>
          <w:tcPr>
            <w:tcW w:w="48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8"/>
                <w:szCs w:val="18"/>
                <w:color w:val="auto"/>
              </w:rPr>
              <w:t>Minimum Liquidity. Parent shall not, at any time, permit Liquidity to be less than $200,000,000.</w:t>
            </w:r>
          </w:p>
        </w:tc>
      </w:tr>
      <w:tr>
        <w:trPr>
          <w:trHeight w:val="20"/>
        </w:trPr>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SECTION 8.10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w w:val="92"/>
              </w:rPr>
              <w:t>Limitation on Transactions with Affiliates. Parent shall not, and shall not permit any Restricted Subsidiary to, directly</w:t>
            </w:r>
          </w:p>
        </w:tc>
      </w:tr>
      <w:tr>
        <w:trPr>
          <w:trHeight w:val="20"/>
        </w:trPr>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w:t>
      </w:r>
    </w:p>
    <w:p>
      <w:pPr>
        <w:jc w:val="both"/>
        <w:ind w:firstLine="8"/>
        <w:spacing w:after="0" w:line="286" w:lineRule="auto"/>
        <w:tabs>
          <w:tab w:leader="none" w:pos="285" w:val="left"/>
        </w:tabs>
        <w:numPr>
          <w:ilvl w:val="0"/>
          <w:numId w:val="697"/>
        </w:numPr>
        <w:rPr>
          <w:rFonts w:ascii="Arial" w:cs="Arial" w:eastAsia="Arial" w:hAnsi="Arial"/>
          <w:sz w:val="16"/>
          <w:szCs w:val="16"/>
          <w:color w:val="auto"/>
        </w:rPr>
      </w:pPr>
      <w:r>
        <w:rPr>
          <w:rFonts w:ascii="Arial" w:cs="Arial" w:eastAsia="Arial" w:hAnsi="Arial"/>
          <w:sz w:val="16"/>
          <w:szCs w:val="16"/>
          <w:color w:val="auto"/>
        </w:rPr>
        <w:t xml:space="preserve">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permitted by </w:t>
      </w:r>
      <w:r>
        <w:rPr>
          <w:rFonts w:ascii="Arial" w:cs="Arial" w:eastAsia="Arial" w:hAnsi="Arial"/>
          <w:sz w:val="16"/>
          <w:szCs w:val="16"/>
          <w:u w:val="single" w:color="auto"/>
          <w:color w:val="auto"/>
        </w:rPr>
        <w:t>Section 8.06</w:t>
      </w:r>
      <w:r>
        <w:rPr>
          <w:rFonts w:ascii="Arial" w:cs="Arial" w:eastAsia="Arial" w:hAnsi="Arial"/>
          <w:sz w:val="16"/>
          <w:szCs w:val="16"/>
          <w:color w:val="auto"/>
        </w:rPr>
        <w:t>;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Intellectual Property.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Parent shall not, and shall not permit any Restricted Subsidiary to, directly or indirectly, enter into, incur, create or permit to exist any Restrictive Agreement, except for:</w:t>
      </w:r>
    </w:p>
    <w:p>
      <w:pPr>
        <w:spacing w:after="0" w:line="170" w:lineRule="exact"/>
        <w:rPr>
          <w:sz w:val="20"/>
          <w:szCs w:val="20"/>
          <w:color w:val="auto"/>
        </w:rPr>
      </w:pPr>
    </w:p>
    <w:p>
      <w:pPr>
        <w:ind w:left="2280" w:hanging="975"/>
        <w:spacing w:after="0"/>
        <w:tabs>
          <w:tab w:leader="none" w:pos="2280" w:val="left"/>
        </w:tabs>
        <w:numPr>
          <w:ilvl w:val="0"/>
          <w:numId w:val="698"/>
        </w:numPr>
        <w:rPr>
          <w:rFonts w:ascii="Arial" w:cs="Arial" w:eastAsia="Arial" w:hAnsi="Arial"/>
          <w:sz w:val="16"/>
          <w:szCs w:val="16"/>
          <w:color w:val="auto"/>
        </w:rPr>
      </w:pPr>
      <w:r>
        <w:rPr>
          <w:rFonts w:ascii="Arial" w:cs="Arial" w:eastAsia="Arial" w:hAnsi="Arial"/>
          <w:sz w:val="16"/>
          <w:szCs w:val="16"/>
          <w:color w:val="auto"/>
        </w:rPr>
        <w:t>limitations or restrictions contained in any Loan Document and any of the ABL Credit Documents and the Exit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2180" w:hanging="875"/>
        <w:spacing w:after="0"/>
        <w:tabs>
          <w:tab w:leader="none" w:pos="218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limitations or restrictions existing under or by reason of any Requirement of Law;</w:t>
      </w:r>
    </w:p>
    <w:p>
      <w:pPr>
        <w:spacing w:after="0" w:line="225" w:lineRule="exact"/>
        <w:rPr>
          <w:rFonts w:ascii="Arial" w:cs="Arial" w:eastAsia="Arial" w:hAnsi="Arial"/>
          <w:sz w:val="18"/>
          <w:szCs w:val="18"/>
          <w:color w:val="auto"/>
        </w:rPr>
      </w:pPr>
    </w:p>
    <w:p>
      <w:pPr>
        <w:jc w:val="both"/>
        <w:ind w:firstLine="1305"/>
        <w:spacing w:after="0" w:line="312" w:lineRule="auto"/>
        <w:tabs>
          <w:tab w:leader="none" w:pos="2495" w:val="left"/>
        </w:tabs>
        <w:numPr>
          <w:ilvl w:val="0"/>
          <w:numId w:val="699"/>
        </w:numPr>
        <w:rPr>
          <w:rFonts w:ascii="Arial" w:cs="Arial" w:eastAsia="Arial" w:hAnsi="Arial"/>
          <w:sz w:val="16"/>
          <w:szCs w:val="16"/>
          <w:color w:val="auto"/>
        </w:rPr>
      </w:pPr>
      <w:r>
        <w:rPr>
          <w:rFonts w:ascii="Arial" w:cs="Arial" w:eastAsia="Arial" w:hAnsi="Arial"/>
          <w:sz w:val="16"/>
          <w:szCs w:val="16"/>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apply only to the Restricted Subsidiary that is, or assets that are, the subject of such Disposition and such Disposition is permitted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586" w:name="page587"/>
    <w:bookmarkEnd w:id="586"/>
    <w:p>
      <w:pPr>
        <w:jc w:val="both"/>
        <w:ind w:firstLine="1305"/>
        <w:spacing w:after="0" w:line="259" w:lineRule="auto"/>
        <w:tabs>
          <w:tab w:leader="none" w:pos="231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set forth in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2293" w:val="left"/>
        </w:tabs>
        <w:numPr>
          <w:ilvl w:val="0"/>
          <w:numId w:val="700"/>
        </w:numPr>
        <w:rPr>
          <w:rFonts w:ascii="Arial" w:cs="Arial" w:eastAsia="Arial" w:hAnsi="Arial"/>
          <w:sz w:val="16"/>
          <w:szCs w:val="16"/>
          <w:color w:val="auto"/>
        </w:rPr>
      </w:pPr>
      <w:r>
        <w:rPr>
          <w:rFonts w:ascii="Arial" w:cs="Arial" w:eastAsia="Arial" w:hAnsi="Arial"/>
          <w:sz w:val="16"/>
          <w:szCs w:val="16"/>
          <w:color w:val="auto"/>
        </w:rPr>
        <w:t xml:space="preserve">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2223"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(i) the definition of “Restrictive Agreements” shall not apply to restrictions or conditions imposed by any agreement relating to secured Indebtedness permitted by this Agreement or Liens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2384" w:val="left"/>
        </w:tabs>
        <w:numPr>
          <w:ilvl w:val="0"/>
          <w:numId w:val="700"/>
        </w:numPr>
        <w:rPr>
          <w:rFonts w:ascii="Arial" w:cs="Arial" w:eastAsia="Arial" w:hAnsi="Arial"/>
          <w:sz w:val="17"/>
          <w:szCs w:val="17"/>
          <w:color w:val="auto"/>
        </w:rPr>
      </w:pPr>
      <w:r>
        <w:rPr>
          <w:rFonts w:ascii="Arial" w:cs="Arial" w:eastAsia="Arial" w:hAnsi="Arial"/>
          <w:sz w:val="17"/>
          <w:szCs w:val="17"/>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65" w:lineRule="exact"/>
        <w:rPr>
          <w:rFonts w:ascii="Arial" w:cs="Arial" w:eastAsia="Arial" w:hAnsi="Arial"/>
          <w:sz w:val="17"/>
          <w:szCs w:val="17"/>
          <w:color w:val="auto"/>
        </w:rPr>
      </w:pPr>
    </w:p>
    <w:p>
      <w:pPr>
        <w:ind w:left="2180" w:hanging="875"/>
        <w:spacing w:after="0"/>
        <w:tabs>
          <w:tab w:leader="none" w:pos="21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customary restrictions and conditions contained in Permitted Factoring Transaction Documents; and</w:t>
      </w:r>
    </w:p>
    <w:p>
      <w:pPr>
        <w:spacing w:after="0" w:line="225" w:lineRule="exact"/>
        <w:rPr>
          <w:rFonts w:ascii="Arial" w:cs="Arial" w:eastAsia="Arial" w:hAnsi="Arial"/>
          <w:sz w:val="18"/>
          <w:szCs w:val="18"/>
          <w:color w:val="auto"/>
        </w:rPr>
      </w:pPr>
    </w:p>
    <w:p>
      <w:pPr>
        <w:ind w:firstLine="1305"/>
        <w:spacing w:after="0" w:line="308" w:lineRule="auto"/>
        <w:tabs>
          <w:tab w:leader="none" w:pos="2555" w:val="left"/>
        </w:tabs>
        <w:numPr>
          <w:ilvl w:val="0"/>
          <w:numId w:val="700"/>
        </w:numPr>
        <w:rPr>
          <w:rFonts w:ascii="Arial" w:cs="Arial" w:eastAsia="Arial" w:hAnsi="Arial"/>
          <w:sz w:val="17"/>
          <w:szCs w:val="17"/>
          <w:color w:val="auto"/>
        </w:rPr>
      </w:pPr>
      <w:r>
        <w:rPr>
          <w:rFonts w:ascii="Arial" w:cs="Arial" w:eastAsia="Arial" w:hAnsi="Arial"/>
          <w:sz w:val="17"/>
          <w:szCs w:val="17"/>
          <w:color w:val="auto"/>
        </w:rPr>
        <w:t xml:space="preserve">limitations or restrictions contained in the definitive documentation for any Indebtedness permitted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limitations and restrictions, taken as a whole, are not materially more restrictive than those set forth in the ABL Credit Documents.</w:t>
      </w:r>
    </w:p>
    <w:p>
      <w:pPr>
        <w:spacing w:after="0" w:line="147"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305"/>
        <w:spacing w:after="0" w:line="342" w:lineRule="auto"/>
        <w:tabs>
          <w:tab w:leader="none" w:pos="2239" w:val="left"/>
        </w:tabs>
        <w:numPr>
          <w:ilvl w:val="0"/>
          <w:numId w:val="701"/>
        </w:numPr>
        <w:rPr>
          <w:rFonts w:ascii="Arial" w:cs="Arial" w:eastAsia="Arial" w:hAnsi="Arial"/>
          <w:sz w:val="16"/>
          <w:szCs w:val="16"/>
          <w:color w:val="auto"/>
        </w:rPr>
      </w:pPr>
      <w:r>
        <w:rPr>
          <w:rFonts w:ascii="Arial" w:cs="Arial" w:eastAsia="Arial" w:hAnsi="Arial"/>
          <w:sz w:val="16"/>
          <w:szCs w:val="16"/>
          <w:color w:val="auto"/>
        </w:rPr>
        <w:t>Parent and the Borrowers shall not, and Parent shall not permit any of its other Subsidiaries to, arrange for the issuance of any Letters of Credit for any purpose other than general corporate purposes of Parent and its Restricted Subsidiaries (to the extent otherwise permitted hereunder).</w:t>
      </w:r>
    </w:p>
    <w:p>
      <w:pPr>
        <w:spacing w:after="0" w:line="123" w:lineRule="exact"/>
        <w:rPr>
          <w:rFonts w:ascii="Arial" w:cs="Arial" w:eastAsia="Arial" w:hAnsi="Arial"/>
          <w:sz w:val="16"/>
          <w:szCs w:val="16"/>
          <w:color w:val="auto"/>
        </w:rPr>
      </w:pPr>
    </w:p>
    <w:p>
      <w:pPr>
        <w:jc w:val="both"/>
        <w:ind w:firstLine="1305"/>
        <w:spacing w:after="0" w:line="271" w:lineRule="auto"/>
        <w:tabs>
          <w:tab w:leader="none" w:pos="2289" w:val="left"/>
        </w:tabs>
        <w:numPr>
          <w:ilvl w:val="0"/>
          <w:numId w:val="701"/>
        </w:numPr>
        <w:rPr>
          <w:rFonts w:ascii="Arial" w:cs="Arial" w:eastAsia="Arial" w:hAnsi="Arial"/>
          <w:sz w:val="17"/>
          <w:szCs w:val="17"/>
          <w:color w:val="auto"/>
        </w:rPr>
      </w:pPr>
      <w:r>
        <w:rPr>
          <w:rFonts w:ascii="Arial" w:cs="Arial" w:eastAsia="Arial" w:hAnsi="Arial"/>
          <w:sz w:val="17"/>
          <w:szCs w:val="17"/>
          <w:color w:val="auto"/>
        </w:rPr>
        <w:t>Parent shall not, nor shall it permit any of its Subsidiaries to, use any Letter of Credit or the proceeds of any Letter of Credit under this Agreement directly or indirectly for the purpose of buying or carrying any “margin stock” within the meaning of Regulation U (herein called “</w:t>
      </w:r>
      <w:r>
        <w:rPr>
          <w:rFonts w:ascii="Arial" w:cs="Arial" w:eastAsia="Arial" w:hAnsi="Arial"/>
          <w:sz w:val="17"/>
          <w:szCs w:val="17"/>
          <w:u w:val="single" w:color="auto"/>
          <w:color w:val="auto"/>
        </w:rPr>
        <w:t>margin stock</w:t>
      </w:r>
      <w:r>
        <w:rPr>
          <w:rFonts w:ascii="Arial" w:cs="Arial" w:eastAsia="Arial" w:hAnsi="Arial"/>
          <w:sz w:val="17"/>
          <w:szCs w:val="17"/>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7" w:name="page588"/>
    <w:bookmarkEnd w:id="587"/>
    <w:p>
      <w:pPr>
        <w:jc w:val="both"/>
        <w:ind w:firstLine="1305"/>
        <w:spacing w:after="0" w:line="276" w:lineRule="auto"/>
        <w:tabs>
          <w:tab w:leader="none" w:pos="2212" w:val="left"/>
        </w:tabs>
        <w:numPr>
          <w:ilvl w:val="0"/>
          <w:numId w:val="702"/>
        </w:numPr>
        <w:rPr>
          <w:rFonts w:ascii="Arial" w:cs="Arial" w:eastAsia="Arial" w:hAnsi="Arial"/>
          <w:sz w:val="17"/>
          <w:szCs w:val="17"/>
          <w:color w:val="auto"/>
        </w:rPr>
      </w:pPr>
      <w:r>
        <w:rPr>
          <w:rFonts w:ascii="Arial" w:cs="Arial" w:eastAsia="Arial" w:hAnsi="Arial"/>
          <w:sz w:val="17"/>
          <w:szCs w:val="17"/>
          <w:color w:val="auto"/>
        </w:rPr>
        <w:t>No Borrower will request any Letters of Credit, and Parent shall not use or otherwise make available, and shall procure that its Subsidiaries and its or their respective directors, officers, employees and agents shall not use or otherwise make available, any Letters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rPr>
              <w:t>SECTION 8.13</w:t>
            </w:r>
          </w:p>
        </w:tc>
        <w:tc>
          <w:tcPr>
            <w:tcW w:w="480" w:type="dxa"/>
            <w:vAlign w:val="bottom"/>
          </w:tcPr>
          <w:p>
            <w:pPr>
              <w:spacing w:after="0"/>
              <w:rPr>
                <w:sz w:val="17"/>
                <w:szCs w:val="17"/>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Changes to Fiscal Year. Parent will not change its Fiscal Year from the basis in effect on the Effective Date.</w:t>
            </w:r>
          </w:p>
        </w:tc>
      </w:tr>
      <w:tr>
        <w:trPr>
          <w:trHeight w:val="20"/>
        </w:trPr>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SECTION 8.14</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w w:val="91"/>
              </w:rPr>
              <w:t>Amendments to Documents Governing Certain Indebtedness. Parent shall not, and shall not permit any Restricted</w:t>
            </w:r>
          </w:p>
        </w:tc>
      </w:tr>
      <w:tr>
        <w:trPr>
          <w:trHeight w:val="20"/>
        </w:trPr>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Subsidiary to, amend or otherwise modify any of the documentation governing (a) (i) the ABL Credit Facility or Permitted Refinancing Indebtedness in respect thereof or (ii) any Exit Senior Notes or senior notes in existence on the date hereof or Permitted Refinancing Indebtedness in respect thereof, in each case to the extent that any such amendment or other modification, taken as a whole, would be materially adverse to the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for the avoidance of doubt, any amendment or other modification in order to incorporate the replacement of the Adjusted LIBO Rate or the LIBO Rate (each as defined in the ABL Credit Agreement) shall be deemed to not be materially adverse to the Lenders), (b) except as permitted by </w:t>
      </w:r>
      <w:r>
        <w:rPr>
          <w:rFonts w:ascii="Arial" w:cs="Arial" w:eastAsia="Arial" w:hAnsi="Arial"/>
          <w:sz w:val="17"/>
          <w:szCs w:val="17"/>
          <w:u w:val="single" w:color="auto"/>
          <w:color w:val="auto"/>
        </w:rPr>
        <w:t>Section 8.01(i)(iii)</w:t>
      </w:r>
      <w:r>
        <w:rPr>
          <w:rFonts w:ascii="Arial" w:cs="Arial" w:eastAsia="Arial" w:hAnsi="Arial"/>
          <w:sz w:val="17"/>
          <w:szCs w:val="17"/>
          <w:color w:val="auto"/>
        </w:rPr>
        <w:t xml:space="preserve">, any unsecured Indebtedness incurred pursuant to </w:t>
      </w:r>
      <w:r>
        <w:rPr>
          <w:rFonts w:ascii="Arial" w:cs="Arial" w:eastAsia="Arial" w:hAnsi="Arial"/>
          <w:sz w:val="17"/>
          <w:szCs w:val="17"/>
          <w:u w:val="single" w:color="auto"/>
          <w:color w:val="auto"/>
        </w:rPr>
        <w:t>Section 8.01(i)</w:t>
      </w:r>
      <w:r>
        <w:rPr>
          <w:rFonts w:ascii="Arial" w:cs="Arial" w:eastAsia="Arial" w:hAnsi="Arial"/>
          <w:sz w:val="17"/>
          <w:szCs w:val="17"/>
          <w:color w:val="auto"/>
        </w:rPr>
        <w:t xml:space="preserve"> to reduce the stated maturity of any such Indebtedness to be sooner than 91 days after the latest to occur of the Maturity Date and the ABL Maturity Date or (c) any Subordinated Indebtedness incurred pursuant to </w:t>
      </w:r>
      <w:r>
        <w:rPr>
          <w:rFonts w:ascii="Arial" w:cs="Arial" w:eastAsia="Arial" w:hAnsi="Arial"/>
          <w:sz w:val="17"/>
          <w:szCs w:val="17"/>
          <w:u w:val="single" w:color="auto"/>
          <w:color w:val="auto"/>
        </w:rPr>
        <w:t>Section 8.01(j)</w:t>
      </w:r>
      <w:r>
        <w:rPr>
          <w:rFonts w:ascii="Arial" w:cs="Arial" w:eastAsia="Arial" w:hAnsi="Arial"/>
          <w:sz w:val="17"/>
          <w:szCs w:val="17"/>
          <w:color w:val="auto"/>
        </w:rPr>
        <w:t xml:space="preserve"> to amend or otherwise modify the subordination terms of such Indebtedness in a manner adverse to the Lenders.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ind w:left="660"/>
              <w:spacing w:after="0"/>
              <w:rPr>
                <w:sz w:val="20"/>
                <w:szCs w:val="20"/>
                <w:color w:val="auto"/>
              </w:rPr>
            </w:pPr>
            <w:r>
              <w:rPr>
                <w:rFonts w:ascii="Arial" w:cs="Arial" w:eastAsia="Arial" w:hAnsi="Arial"/>
                <w:sz w:val="18"/>
                <w:szCs w:val="18"/>
                <w:color w:val="auto"/>
              </w:rPr>
              <w:t>SECTION 8.15</w:t>
            </w:r>
          </w:p>
        </w:tc>
        <w:tc>
          <w:tcPr>
            <w:tcW w:w="9100" w:type="dxa"/>
            <w:vAlign w:val="bottom"/>
            <w:gridSpan w:val="7"/>
          </w:tcPr>
          <w:p>
            <w:pPr>
              <w:jc w:val="right"/>
              <w:spacing w:after="0"/>
              <w:rPr>
                <w:sz w:val="20"/>
                <w:szCs w:val="20"/>
                <w:color w:val="auto"/>
              </w:rPr>
            </w:pPr>
            <w:r>
              <w:rPr>
                <w:rFonts w:ascii="Arial" w:cs="Arial" w:eastAsia="Arial" w:hAnsi="Arial"/>
                <w:sz w:val="18"/>
                <w:szCs w:val="18"/>
                <w:color w:val="auto"/>
                <w:w w:val="97"/>
              </w:rPr>
              <w:t>Limitation on Equity Issuances. Parent will not issue or sell any of its Capital Stock, except for the issuance or sale of</w:t>
            </w:r>
          </w:p>
        </w:tc>
      </w:tr>
      <w:tr>
        <w:trPr>
          <w:trHeight w:val="237"/>
        </w:trPr>
        <w:tc>
          <w:tcPr>
            <w:tcW w:w="2320" w:type="dxa"/>
            <w:vAlign w:val="bottom"/>
          </w:tcPr>
          <w:p>
            <w:pPr>
              <w:spacing w:after="0"/>
              <w:rPr>
                <w:sz w:val="20"/>
                <w:szCs w:val="20"/>
                <w:color w:val="auto"/>
              </w:rPr>
            </w:pPr>
            <w:r>
              <w:rPr>
                <w:rFonts w:ascii="Arial" w:cs="Arial" w:eastAsia="Arial" w:hAnsi="Arial"/>
                <w:sz w:val="18"/>
                <w:szCs w:val="18"/>
                <w:color w:val="auto"/>
              </w:rPr>
              <w:t>Qualified Capital Stock.</w:t>
            </w:r>
          </w:p>
        </w:tc>
        <w:tc>
          <w:tcPr>
            <w:tcW w:w="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2320" w:type="dxa"/>
            <w:vAlign w:val="bottom"/>
          </w:tcPr>
          <w:p>
            <w:pPr>
              <w:ind w:left="660"/>
              <w:spacing w:after="0"/>
              <w:rPr>
                <w:sz w:val="20"/>
                <w:szCs w:val="20"/>
                <w:color w:val="auto"/>
              </w:rPr>
            </w:pPr>
            <w:r>
              <w:rPr>
                <w:rFonts w:ascii="Arial" w:cs="Arial" w:eastAsia="Arial" w:hAnsi="Arial"/>
                <w:sz w:val="18"/>
                <w:szCs w:val="18"/>
                <w:color w:val="auto"/>
              </w:rPr>
              <w:t>SECTION 8.16</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4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Book Value of Assets. Notwithstanding the foregoing provisions of this Article VIII, Parent shall not, and shall not</w:t>
            </w:r>
          </w:p>
        </w:tc>
      </w:tr>
      <w:tr>
        <w:trPr>
          <w:trHeight w:val="20"/>
        </w:trPr>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permit any Restricted Subsidiary to, directly or indirectly, consummate any Permitted Acquisition, Permitted Intercompany Treasury Management Transactions, Permitted Intercompany Specified Transactions, Permitted Factoring Transactions, designation of an Unrestricted Subsidiary pursuant to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or any of the transactions contemplated by </w:t>
      </w:r>
      <w:r>
        <w:rPr>
          <w:rFonts w:ascii="Arial" w:cs="Arial" w:eastAsia="Arial" w:hAnsi="Arial"/>
          <w:sz w:val="17"/>
          <w:szCs w:val="17"/>
          <w:u w:val="single" w:color="auto"/>
          <w:color w:val="auto"/>
        </w:rPr>
        <w:t>Section 8.01(d)(iv)</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8.01(d)(v)</w:t>
      </w:r>
      <w:r>
        <w:rPr>
          <w:rFonts w:ascii="Arial" w:cs="Arial" w:eastAsia="Arial" w:hAnsi="Arial"/>
          <w:sz w:val="17"/>
          <w:szCs w:val="17"/>
          <w:color w:val="auto"/>
        </w:rPr>
        <w:t xml:space="preserve">, </w:t>
      </w:r>
      <w:r>
        <w:rPr>
          <w:rFonts w:ascii="Arial" w:cs="Arial" w:eastAsia="Arial" w:hAnsi="Arial"/>
          <w:sz w:val="17"/>
          <w:szCs w:val="17"/>
          <w:u w:val="single" w:color="auto"/>
          <w:color w:val="auto"/>
        </w:rPr>
        <w:t>8.02(c)(ii)</w:t>
      </w:r>
      <w:r>
        <w:rPr>
          <w:rFonts w:ascii="Arial" w:cs="Arial" w:eastAsia="Arial" w:hAnsi="Arial"/>
          <w:sz w:val="17"/>
          <w:szCs w:val="17"/>
          <w:color w:val="auto"/>
        </w:rPr>
        <w:t xml:space="preserve"> (other than in the case of any winding up, liquidation or dissolution of a Restricted Subsidiary all of the Capital Stock of which is directly owned by one or more Obligors), </w:t>
      </w:r>
      <w:r>
        <w:rPr>
          <w:rFonts w:ascii="Arial" w:cs="Arial" w:eastAsia="Arial" w:hAnsi="Arial"/>
          <w:sz w:val="17"/>
          <w:szCs w:val="17"/>
          <w:u w:val="single" w:color="auto"/>
          <w:color w:val="auto"/>
        </w:rPr>
        <w:t>8.05(c)(ii)</w:t>
      </w:r>
      <w:r>
        <w:rPr>
          <w:rFonts w:ascii="Arial" w:cs="Arial" w:eastAsia="Arial" w:hAnsi="Arial"/>
          <w:sz w:val="17"/>
          <w:szCs w:val="17"/>
          <w:color w:val="auto"/>
        </w:rPr>
        <w:t xml:space="preserve">, </w:t>
      </w:r>
      <w:r>
        <w:rPr>
          <w:rFonts w:ascii="Arial" w:cs="Arial" w:eastAsia="Arial" w:hAnsi="Arial"/>
          <w:sz w:val="17"/>
          <w:szCs w:val="17"/>
          <w:u w:val="single" w:color="auto"/>
          <w:color w:val="auto"/>
        </w:rPr>
        <w:t>8.05(j)</w:t>
      </w:r>
      <w:r>
        <w:rPr>
          <w:rFonts w:ascii="Arial" w:cs="Arial" w:eastAsia="Arial" w:hAnsi="Arial"/>
          <w:sz w:val="17"/>
          <w:szCs w:val="17"/>
          <w:color w:val="auto"/>
        </w:rPr>
        <w:t xml:space="preserve">, </w:t>
      </w:r>
      <w:r>
        <w:rPr>
          <w:rFonts w:ascii="Arial" w:cs="Arial" w:eastAsia="Arial" w:hAnsi="Arial"/>
          <w:sz w:val="17"/>
          <w:szCs w:val="17"/>
          <w:u w:val="single" w:color="auto"/>
          <w:color w:val="auto"/>
        </w:rPr>
        <w:t>8.06(n)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8.08(c)(ii)</w:t>
      </w:r>
      <w:r>
        <w:rPr>
          <w:rFonts w:ascii="Arial" w:cs="Arial" w:eastAsia="Arial" w:hAnsi="Arial"/>
          <w:sz w:val="17"/>
          <w:szCs w:val="17"/>
          <w:color w:val="auto"/>
        </w:rPr>
        <w:t xml:space="preserve">, </w:t>
      </w:r>
      <w:r>
        <w:rPr>
          <w:rFonts w:ascii="Arial" w:cs="Arial" w:eastAsia="Arial" w:hAnsi="Arial"/>
          <w:sz w:val="17"/>
          <w:szCs w:val="17"/>
          <w:u w:val="single" w:color="auto"/>
          <w:color w:val="auto"/>
        </w:rPr>
        <w:t>8.08(e)</w:t>
      </w:r>
      <w:r>
        <w:rPr>
          <w:rFonts w:ascii="Arial" w:cs="Arial" w:eastAsia="Arial" w:hAnsi="Arial"/>
          <w:sz w:val="17"/>
          <w:szCs w:val="17"/>
          <w:color w:val="auto"/>
        </w:rPr>
        <w:t xml:space="preserve">, </w:t>
      </w:r>
      <w:r>
        <w:rPr>
          <w:rFonts w:ascii="Arial" w:cs="Arial" w:eastAsia="Arial" w:hAnsi="Arial"/>
          <w:sz w:val="17"/>
          <w:szCs w:val="17"/>
          <w:u w:val="single" w:color="auto"/>
          <w:color w:val="auto"/>
        </w:rPr>
        <w:t>8.08(l)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8.08(m)</w:t>
      </w:r>
      <w:r>
        <w:rPr>
          <w:rFonts w:ascii="Arial" w:cs="Arial" w:eastAsia="Arial" w:hAnsi="Arial"/>
          <w:sz w:val="17"/>
          <w:szCs w:val="17"/>
          <w:color w:val="auto"/>
        </w:rPr>
        <w:t xml:space="preserve"> if, after giving effect thereto, the Book Value of Assets would be less than $1,500,000,000.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88" w:name="page589"/>
    <w:bookmarkEnd w:id="588"/>
    <w:p>
      <w:pPr>
        <w:jc w:val="center"/>
        <w:spacing w:after="0"/>
        <w:rPr>
          <w:sz w:val="20"/>
          <w:szCs w:val="20"/>
          <w:color w:val="auto"/>
        </w:rPr>
      </w:pPr>
      <w:r>
        <w:rPr>
          <w:rFonts w:ascii="Arial" w:cs="Arial" w:eastAsia="Arial" w:hAnsi="Arial"/>
          <w:sz w:val="18"/>
          <w:szCs w:val="18"/>
          <w:color w:val="010000"/>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Events of Default and Remedies</w:t>
      </w:r>
      <w:r>
        <w:rPr>
          <w:rFonts w:ascii="Arial" w:cs="Arial" w:eastAsia="Arial" w:hAnsi="Arial"/>
          <w:sz w:val="16"/>
          <w:szCs w:val="16"/>
          <w:color w:val="auto"/>
        </w:rPr>
        <w:t>. If any of the following events (“</w:t>
      </w:r>
      <w:r>
        <w:rPr>
          <w:rFonts w:ascii="Arial" w:cs="Arial" w:eastAsia="Arial" w:hAnsi="Arial"/>
          <w:sz w:val="16"/>
          <w:szCs w:val="16"/>
          <w:u w:val="single" w:color="auto"/>
          <w:color w:val="auto"/>
        </w:rPr>
        <w:t>Events of Default</w:t>
      </w:r>
      <w:r>
        <w:rPr>
          <w:rFonts w:ascii="Arial" w:cs="Arial" w:eastAsia="Arial" w:hAnsi="Arial"/>
          <w:sz w:val="16"/>
          <w:szCs w:val="16"/>
          <w:color w:val="auto"/>
        </w:rPr>
        <w:t>”) shall occur and be continuing:</w:t>
      </w:r>
    </w:p>
    <w:p>
      <w:pPr>
        <w:spacing w:after="0" w:line="225" w:lineRule="exact"/>
        <w:rPr>
          <w:sz w:val="20"/>
          <w:szCs w:val="20"/>
          <w:color w:val="auto"/>
        </w:rPr>
      </w:pPr>
    </w:p>
    <w:p>
      <w:pPr>
        <w:jc w:val="both"/>
        <w:ind w:firstLine="1305"/>
        <w:spacing w:after="0" w:line="257" w:lineRule="auto"/>
        <w:tabs>
          <w:tab w:leader="none" w:pos="2185"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(i)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or (ii) any interest on any Obligation, any fee or any other amount (other than an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9.01(a)</w:t>
      </w:r>
      <w:r>
        <w:rPr>
          <w:rFonts w:ascii="Arial" w:cs="Arial" w:eastAsia="Arial" w:hAnsi="Arial"/>
          <w:sz w:val="18"/>
          <w:szCs w:val="18"/>
          <w:color w:val="auto"/>
        </w:rPr>
        <w:t>) payable hereunder or any other Loan Document shall not be paid within five (5) Business Days following the date on which the payment of interest, fee or such other amount is due; or</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2289"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any representation or warranty made or, for purposes of </w:t>
      </w:r>
      <w:r>
        <w:rPr>
          <w:rFonts w:ascii="Arial" w:cs="Arial" w:eastAsia="Arial" w:hAnsi="Arial"/>
          <w:sz w:val="18"/>
          <w:szCs w:val="18"/>
          <w:u w:val="single" w:color="auto"/>
          <w:color w:val="auto"/>
        </w:rPr>
        <w:t>Article V</w:t>
      </w:r>
      <w:r>
        <w:rPr>
          <w:rFonts w:ascii="Arial" w:cs="Arial" w:eastAsia="Arial" w:hAnsi="Arial"/>
          <w:sz w:val="18"/>
          <w:szCs w:val="18"/>
          <w:color w:val="auto"/>
        </w:rPr>
        <w:t>, deemed made by or on behalf of Parent or any Subsidiary herein or in any other Loan Document 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spacing w:after="0" w:line="186" w:lineRule="exact"/>
        <w:rPr>
          <w:rFonts w:ascii="Arial" w:cs="Arial" w:eastAsia="Arial" w:hAnsi="Arial"/>
          <w:sz w:val="18"/>
          <w:szCs w:val="18"/>
          <w:color w:val="auto"/>
        </w:rPr>
      </w:pPr>
    </w:p>
    <w:p>
      <w:pPr>
        <w:ind w:firstLine="1305"/>
        <w:spacing w:after="0" w:line="277" w:lineRule="auto"/>
        <w:tabs>
          <w:tab w:leader="none" w:pos="2279" w:val="left"/>
        </w:tabs>
        <w:numPr>
          <w:ilvl w:val="0"/>
          <w:numId w:val="703"/>
        </w:numPr>
        <w:rPr>
          <w:rFonts w:ascii="Arial" w:cs="Arial" w:eastAsia="Arial" w:hAnsi="Arial"/>
          <w:sz w:val="18"/>
          <w:szCs w:val="18"/>
          <w:color w:val="auto"/>
        </w:rPr>
      </w:pPr>
      <w:r>
        <w:rPr>
          <w:rFonts w:ascii="Arial" w:cs="Arial" w:eastAsia="Arial" w:hAnsi="Arial"/>
          <w:sz w:val="18"/>
          <w:szCs w:val="18"/>
          <w:color w:val="auto"/>
        </w:rPr>
        <w:t xml:space="preserve">any Obligor shall fail to (i) perform or observe any covenant, condition or agreement contained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 respect to the existence of any Obligor) or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(ii) fail to give any notice required by </w:t>
      </w:r>
      <w:r>
        <w:rPr>
          <w:rFonts w:ascii="Arial" w:cs="Arial" w:eastAsia="Arial" w:hAnsi="Arial"/>
          <w:sz w:val="18"/>
          <w:szCs w:val="18"/>
          <w:u w:val="single" w:color="auto"/>
          <w:color w:val="auto"/>
        </w:rPr>
        <w:t>Section 7.01(d)(ii)</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firstLine="1305"/>
        <w:spacing w:after="0" w:line="291" w:lineRule="auto"/>
        <w:tabs>
          <w:tab w:leader="none" w:pos="2330" w:val="left"/>
        </w:tabs>
        <w:numPr>
          <w:ilvl w:val="0"/>
          <w:numId w:val="703"/>
        </w:numPr>
        <w:rPr>
          <w:rFonts w:ascii="Arial" w:cs="Arial" w:eastAsia="Arial" w:hAnsi="Arial"/>
          <w:sz w:val="16"/>
          <w:szCs w:val="16"/>
          <w:color w:val="auto"/>
        </w:rPr>
      </w:pPr>
      <w:r>
        <w:rPr>
          <w:rFonts w:ascii="Arial" w:cs="Arial" w:eastAsia="Arial" w:hAnsi="Arial"/>
          <w:sz w:val="16"/>
          <w:szCs w:val="16"/>
          <w:color w:val="auto"/>
        </w:rPr>
        <w:t xml:space="preserve">(i) any Obligor shall fail to give any notice required by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with respect to the existence of any Obligor),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7.14</w:t>
      </w:r>
      <w:r>
        <w:rPr>
          <w:rFonts w:ascii="Arial" w:cs="Arial" w:eastAsia="Arial" w:hAnsi="Arial"/>
          <w:sz w:val="16"/>
          <w:szCs w:val="16"/>
          <w:color w:val="auto"/>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67" w:lineRule="exact"/>
        <w:rPr>
          <w:rFonts w:ascii="Arial" w:cs="Arial" w:eastAsia="Arial" w:hAnsi="Arial"/>
          <w:sz w:val="16"/>
          <w:szCs w:val="16"/>
          <w:color w:val="auto"/>
        </w:rPr>
      </w:pPr>
    </w:p>
    <w:p>
      <w:pPr>
        <w:jc w:val="both"/>
        <w:ind w:firstLine="1305"/>
        <w:spacing w:after="0" w:line="279" w:lineRule="auto"/>
        <w:tabs>
          <w:tab w:leader="none" w:pos="2171" w:val="left"/>
        </w:tabs>
        <w:numPr>
          <w:ilvl w:val="0"/>
          <w:numId w:val="703"/>
        </w:numPr>
        <w:rPr>
          <w:rFonts w:ascii="Arial" w:cs="Arial" w:eastAsia="Arial" w:hAnsi="Arial"/>
          <w:sz w:val="17"/>
          <w:szCs w:val="17"/>
          <w:color w:val="auto"/>
        </w:rPr>
      </w:pPr>
      <w:r>
        <w:rPr>
          <w:rFonts w:ascii="Arial" w:cs="Arial" w:eastAsia="Arial" w:hAnsi="Arial"/>
          <w:sz w:val="17"/>
          <w:szCs w:val="17"/>
          <w:color w:val="auto"/>
        </w:rPr>
        <w:t xml:space="preserve">Parent or any Obligor shall fail to perform or observe any other term, covenant or agreement contained in this Agreement (other than those specified in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9.01(c)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9.01(d)</w:t>
      </w:r>
      <w:r>
        <w:rPr>
          <w:rFonts w:ascii="Arial" w:cs="Arial" w:eastAsia="Arial" w:hAnsi="Arial"/>
          <w:sz w:val="17"/>
          <w:szCs w:val="17"/>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89" w:name="page590"/>
    <w:bookmarkEnd w:id="589"/>
    <w:p>
      <w:pPr>
        <w:jc w:val="both"/>
        <w:ind w:firstLine="1305"/>
        <w:spacing w:after="0" w:line="273" w:lineRule="auto"/>
        <w:tabs>
          <w:tab w:leader="none" w:pos="2196" w:val="left"/>
        </w:tabs>
        <w:numPr>
          <w:ilvl w:val="0"/>
          <w:numId w:val="704"/>
        </w:numPr>
        <w:rPr>
          <w:rFonts w:ascii="Arial" w:cs="Arial" w:eastAsia="Arial" w:hAnsi="Arial"/>
          <w:sz w:val="17"/>
          <w:szCs w:val="17"/>
          <w:color w:val="auto"/>
        </w:rPr>
      </w:pPr>
      <w:r>
        <w:rPr>
          <w:rFonts w:ascii="Arial" w:cs="Arial" w:eastAsia="Arial" w:hAnsi="Arial"/>
          <w:sz w:val="17"/>
          <w:szCs w:val="17"/>
          <w:color w:val="auto"/>
        </w:rPr>
        <w:t xml:space="preserve">there is (i) an event of default with respect to any Material Indebtedness, and such default (A) occurs at the final maturity of the obligations thereunder, or (B) results in a right by the holder of such Material Indebtedness, irrespective of whether exercised, to accelerate the maturity of such Obligor’s or its Restricted Subsidiary’s obligations thereunder, or (ii) an event of default under (A) the ABL Credit Agreement or (B) the Exit Senior Notes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event of default under any financial maintenance covenant included in the ABL Credit Agreement shall not constitute an Event of Default under this </w:t>
      </w:r>
      <w:r>
        <w:rPr>
          <w:rFonts w:ascii="Arial" w:cs="Arial" w:eastAsia="Arial" w:hAnsi="Arial"/>
          <w:sz w:val="17"/>
          <w:szCs w:val="17"/>
          <w:u w:val="single" w:color="auto"/>
          <w:color w:val="auto"/>
        </w:rPr>
        <w:t>Section 9.01(f)</w:t>
      </w:r>
      <w:r>
        <w:rPr>
          <w:rFonts w:ascii="Arial" w:cs="Arial" w:eastAsia="Arial" w:hAnsi="Arial"/>
          <w:sz w:val="17"/>
          <w:szCs w:val="17"/>
          <w:color w:val="auto"/>
        </w:rPr>
        <w:t xml:space="preserve"> unless (x) the ABL Credit Agreement has become due prior to its scheduled maturity or (y) the ABL Collateral Agent or the ABL Secured Parties have commenced enforcement actions with respect to the ABL Priority Collateral; or</w:t>
      </w:r>
    </w:p>
    <w:p>
      <w:pPr>
        <w:spacing w:after="0" w:line="178" w:lineRule="exact"/>
        <w:rPr>
          <w:rFonts w:ascii="Arial" w:cs="Arial" w:eastAsia="Arial" w:hAnsi="Arial"/>
          <w:sz w:val="17"/>
          <w:szCs w:val="17"/>
          <w:color w:val="auto"/>
        </w:rPr>
      </w:pPr>
    </w:p>
    <w:p>
      <w:pPr>
        <w:ind w:left="2180" w:hanging="875"/>
        <w:spacing w:after="0"/>
        <w:tabs>
          <w:tab w:leader="none" w:pos="218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40" w:hanging="935"/>
        <w:spacing w:after="0"/>
        <w:tabs>
          <w:tab w:leader="none" w:pos="224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an Insolvency Proceeding is commenced by an Obligor or any of its Material Subsidiaries; or</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2258" w:val="left"/>
        </w:tabs>
        <w:numPr>
          <w:ilvl w:val="0"/>
          <w:numId w:val="704"/>
        </w:numPr>
        <w:rPr>
          <w:rFonts w:ascii="Arial" w:cs="Arial" w:eastAsia="Arial" w:hAnsi="Arial"/>
          <w:sz w:val="16"/>
          <w:szCs w:val="16"/>
          <w:color w:val="auto"/>
        </w:rPr>
      </w:pPr>
      <w:r>
        <w:rPr>
          <w:rFonts w:ascii="Arial" w:cs="Arial" w:eastAsia="Arial" w:hAnsi="Arial"/>
          <w:sz w:val="16"/>
          <w:szCs w:val="16"/>
          <w:color w:val="auto"/>
        </w:rPr>
        <w:t>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its Material Subsidiary, or (e) an order for relief shall have been issued or entered therein; or</w:t>
      </w:r>
    </w:p>
    <w:p>
      <w:pPr>
        <w:spacing w:after="0" w:line="158" w:lineRule="exact"/>
        <w:rPr>
          <w:rFonts w:ascii="Arial" w:cs="Arial" w:eastAsia="Arial" w:hAnsi="Arial"/>
          <w:sz w:val="16"/>
          <w:szCs w:val="16"/>
          <w:color w:val="auto"/>
        </w:rPr>
      </w:pPr>
    </w:p>
    <w:p>
      <w:pPr>
        <w:jc w:val="both"/>
        <w:ind w:firstLine="1305"/>
        <w:spacing w:after="0" w:line="269" w:lineRule="auto"/>
        <w:tabs>
          <w:tab w:leader="none" w:pos="2235" w:val="left"/>
        </w:tabs>
        <w:numPr>
          <w:ilvl w:val="0"/>
          <w:numId w:val="704"/>
        </w:numPr>
        <w:rPr>
          <w:rFonts w:ascii="Arial" w:cs="Arial" w:eastAsia="Arial" w:hAnsi="Arial"/>
          <w:sz w:val="17"/>
          <w:szCs w:val="17"/>
          <w:color w:val="auto"/>
        </w:rPr>
      </w:pPr>
      <w:r>
        <w:rPr>
          <w:rFonts w:ascii="Arial" w:cs="Arial" w:eastAsia="Arial" w:hAnsi="Arial"/>
          <w:sz w:val="17"/>
          <w:szCs w:val="17"/>
          <w:color w:val="auto"/>
        </w:rPr>
        <w:t xml:space="preserve">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judgment or order provides for any Obligor or any Restricted Subsidiary to make periodic payments over time, no Event of Default shall arise under this </w:t>
      </w:r>
      <w:r>
        <w:rPr>
          <w:rFonts w:ascii="Arial" w:cs="Arial" w:eastAsia="Arial" w:hAnsi="Arial"/>
          <w:sz w:val="17"/>
          <w:szCs w:val="17"/>
          <w:u w:val="single" w:color="auto"/>
          <w:color w:val="auto"/>
        </w:rPr>
        <w:t>clause (k)</w:t>
      </w:r>
      <w:r>
        <w:rPr>
          <w:rFonts w:ascii="Arial" w:cs="Arial" w:eastAsia="Arial" w:hAnsi="Arial"/>
          <w:sz w:val="17"/>
          <w:szCs w:val="17"/>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0" w:name="page591"/>
    <w:bookmarkEnd w:id="590"/>
    <w:p>
      <w:pPr>
        <w:jc w:val="both"/>
        <w:ind w:firstLine="1305"/>
        <w:spacing w:after="0" w:line="276" w:lineRule="auto"/>
        <w:tabs>
          <w:tab w:leader="none" w:pos="2326" w:val="left"/>
        </w:tabs>
        <w:numPr>
          <w:ilvl w:val="0"/>
          <w:numId w:val="705"/>
        </w:numPr>
        <w:rPr>
          <w:rFonts w:ascii="Arial" w:cs="Arial" w:eastAsia="Arial" w:hAnsi="Arial"/>
          <w:sz w:val="17"/>
          <w:szCs w:val="17"/>
          <w:color w:val="auto"/>
        </w:rPr>
      </w:pPr>
      <w:r>
        <w:rPr>
          <w:rFonts w:ascii="Arial" w:cs="Arial" w:eastAsia="Arial" w:hAnsi="Arial"/>
          <w:sz w:val="17"/>
          <w:szCs w:val="17"/>
          <w:color w:val="auto"/>
        </w:rPr>
        <w:t>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spacing w:after="0" w:line="172" w:lineRule="exact"/>
        <w:rPr>
          <w:rFonts w:ascii="Arial" w:cs="Arial" w:eastAsia="Arial" w:hAnsi="Arial"/>
          <w:sz w:val="17"/>
          <w:szCs w:val="17"/>
          <w:color w:val="auto"/>
        </w:rPr>
      </w:pPr>
    </w:p>
    <w:p>
      <w:pPr>
        <w:jc w:val="both"/>
        <w:ind w:firstLine="1305"/>
        <w:spacing w:after="0" w:line="273" w:lineRule="auto"/>
        <w:tabs>
          <w:tab w:leader="none" w:pos="2330" w:val="left"/>
        </w:tabs>
        <w:numPr>
          <w:ilvl w:val="0"/>
          <w:numId w:val="705"/>
        </w:numPr>
        <w:rPr>
          <w:rFonts w:ascii="Arial" w:cs="Arial" w:eastAsia="Arial" w:hAnsi="Arial"/>
          <w:sz w:val="17"/>
          <w:szCs w:val="17"/>
          <w:color w:val="auto"/>
        </w:rPr>
      </w:pPr>
      <w:r>
        <w:rPr>
          <w:rFonts w:ascii="Arial" w:cs="Arial" w:eastAsia="Arial" w:hAnsi="Arial"/>
          <w:sz w:val="17"/>
          <w:szCs w:val="17"/>
          <w:color w:val="auto"/>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if the aggregate net book value of the Collateral with respect to which the Collateral Documents fail to create a valid and perfected security interest or other Lien does not exceed $5,000,000;</w:t>
      </w:r>
    </w:p>
    <w:p>
      <w:pPr>
        <w:spacing w:after="0" w:line="178" w:lineRule="exact"/>
        <w:rPr>
          <w:rFonts w:ascii="Arial" w:cs="Arial" w:eastAsia="Arial" w:hAnsi="Arial"/>
          <w:sz w:val="17"/>
          <w:szCs w:val="17"/>
          <w:color w:val="auto"/>
        </w:rPr>
      </w:pPr>
    </w:p>
    <w:p>
      <w:pPr>
        <w:jc w:val="both"/>
        <w:ind w:firstLine="1305"/>
        <w:spacing w:after="0" w:line="287" w:lineRule="auto"/>
        <w:tabs>
          <w:tab w:leader="none" w:pos="2384" w:val="left"/>
        </w:tabs>
        <w:numPr>
          <w:ilvl w:val="0"/>
          <w:numId w:val="705"/>
        </w:numPr>
        <w:rPr>
          <w:rFonts w:ascii="Arial" w:cs="Arial" w:eastAsia="Arial" w:hAnsi="Arial"/>
          <w:sz w:val="16"/>
          <w:szCs w:val="16"/>
          <w:color w:val="auto"/>
        </w:rPr>
      </w:pPr>
      <w:r>
        <w:rPr>
          <w:rFonts w:ascii="Arial" w:cs="Arial" w:eastAsia="Arial" w:hAnsi="Arial"/>
          <w:sz w:val="16"/>
          <w:szCs w:val="16"/>
          <w:color w:val="auto"/>
        </w:rPr>
        <w:t>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168" w:lineRule="exact"/>
        <w:rPr>
          <w:rFonts w:ascii="Arial" w:cs="Arial" w:eastAsia="Arial" w:hAnsi="Arial"/>
          <w:sz w:val="16"/>
          <w:szCs w:val="16"/>
          <w:color w:val="auto"/>
        </w:rPr>
      </w:pPr>
    </w:p>
    <w:p>
      <w:pPr>
        <w:jc w:val="both"/>
        <w:ind w:firstLine="1305"/>
        <w:spacing w:after="0" w:line="312" w:lineRule="auto"/>
        <w:tabs>
          <w:tab w:leader="none" w:pos="2384" w:val="left"/>
        </w:tabs>
        <w:numPr>
          <w:ilvl w:val="0"/>
          <w:numId w:val="705"/>
        </w:numPr>
        <w:rPr>
          <w:rFonts w:ascii="Arial" w:cs="Arial" w:eastAsia="Arial" w:hAnsi="Arial"/>
          <w:sz w:val="16"/>
          <w:szCs w:val="16"/>
          <w:color w:val="auto"/>
        </w:rPr>
      </w:pPr>
      <w:r>
        <w:rPr>
          <w:rFonts w:ascii="Arial" w:cs="Arial" w:eastAsia="Arial" w:hAnsi="Arial"/>
          <w:sz w:val="16"/>
          <w:szCs w:val="16"/>
          <w:color w:val="auto"/>
        </w:rPr>
        <w:t>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1" w:name="page592"/>
    <w:bookmarkEnd w:id="591"/>
    <w:p>
      <w:pPr>
        <w:jc w:val="both"/>
        <w:ind w:firstLine="1305"/>
        <w:spacing w:after="0" w:line="264" w:lineRule="auto"/>
        <w:tabs>
          <w:tab w:leader="none" w:pos="2208"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 Change of Control shall occur, whether directly or indirectly;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then, and in every such event (other than an event with respect to any Obligor described in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9.01(j)</w:t>
      </w:r>
      <w:r>
        <w:rPr>
          <w:rFonts w:ascii="Arial" w:cs="Arial" w:eastAsia="Arial" w:hAnsi="Arial"/>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81" w:lineRule="exact"/>
        <w:rPr>
          <w:sz w:val="20"/>
          <w:szCs w:val="20"/>
          <w:color w:val="auto"/>
        </w:rPr>
      </w:pPr>
    </w:p>
    <w:p>
      <w:pPr>
        <w:ind w:left="2880" w:hanging="927"/>
        <w:spacing w:after="0"/>
        <w:tabs>
          <w:tab w:leader="none" w:pos="288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terminate the Commitments, and thereupon the Commitments shall terminate immediately, and</w:t>
      </w:r>
    </w:p>
    <w:p>
      <w:pPr>
        <w:spacing w:after="0" w:line="225" w:lineRule="exact"/>
        <w:rPr>
          <w:rFonts w:ascii="Arial" w:cs="Arial" w:eastAsia="Arial" w:hAnsi="Arial"/>
          <w:sz w:val="18"/>
          <w:szCs w:val="18"/>
          <w:color w:val="auto"/>
        </w:rPr>
      </w:pPr>
    </w:p>
    <w:p>
      <w:pPr>
        <w:jc w:val="both"/>
        <w:ind w:left="660" w:firstLine="1293"/>
        <w:spacing w:after="0" w:line="302" w:lineRule="auto"/>
        <w:tabs>
          <w:tab w:leader="none" w:pos="2847" w:val="left"/>
        </w:tabs>
        <w:numPr>
          <w:ilvl w:val="0"/>
          <w:numId w:val="707"/>
        </w:numPr>
        <w:rPr>
          <w:rFonts w:ascii="Arial" w:cs="Arial" w:eastAsia="Arial" w:hAnsi="Arial"/>
          <w:sz w:val="16"/>
          <w:szCs w:val="16"/>
          <w:color w:val="auto"/>
        </w:rPr>
      </w:pPr>
      <w:r>
        <w:rPr>
          <w:rFonts w:ascii="Arial" w:cs="Arial" w:eastAsia="Arial" w:hAnsi="Arial"/>
          <w:sz w:val="16"/>
          <w:szCs w:val="16"/>
          <w:color w:val="auto"/>
        </w:rPr>
        <w:t>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54" w:lineRule="exact"/>
        <w:rPr>
          <w:rFonts w:ascii="Arial" w:cs="Arial" w:eastAsia="Arial" w:hAnsi="Arial"/>
          <w:sz w:val="16"/>
          <w:szCs w:val="16"/>
          <w:color w:val="auto"/>
        </w:rPr>
      </w:pPr>
    </w:p>
    <w:p>
      <w:pPr>
        <w:jc w:val="both"/>
        <w:ind w:left="660" w:firstLine="1293"/>
        <w:spacing w:after="0" w:line="264" w:lineRule="auto"/>
        <w:tabs>
          <w:tab w:leader="none" w:pos="278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 xml:space="preserve">require the Borrowers deposit in the LC Collateral Account an additional amount in cash equal to (a) 103% of the Total LC Exposure in respect of Letters of Credit denominated in Dollars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105% of the Dollar Equivalent Total LC Exposure in respect of Letters of Credit denominated in Alternative Currencies in accordance with </w:t>
      </w:r>
      <w:r>
        <w:rPr>
          <w:rFonts w:ascii="Arial" w:cs="Arial" w:eastAsia="Arial" w:hAnsi="Arial"/>
          <w:sz w:val="18"/>
          <w:szCs w:val="18"/>
          <w:u w:val="single" w:color="auto"/>
          <w:color w:val="auto"/>
        </w:rPr>
        <w:t>Section 3.01(k)</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And in case of any event with respect to any Obligor described in </w:t>
      </w:r>
      <w:r>
        <w:rPr>
          <w:rFonts w:ascii="Arial" w:cs="Arial" w:eastAsia="Arial" w:hAnsi="Arial"/>
          <w:sz w:val="16"/>
          <w:szCs w:val="16"/>
          <w:u w:val="single" w:color="auto"/>
          <w:color w:val="auto"/>
        </w:rPr>
        <w:t>Section 9.01(i)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9.01(j)</w:t>
      </w:r>
      <w:r>
        <w:rPr>
          <w:rFonts w:ascii="Arial" w:cs="Arial" w:eastAsia="Arial" w:hAnsi="Arial"/>
          <w:sz w:val="16"/>
          <w:szCs w:val="16"/>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2" w:name="page593"/>
    <w:bookmarkEnd w:id="592"/>
    <w:p>
      <w:pPr>
        <w:jc w:val="both"/>
        <w:ind w:firstLine="648"/>
        <w:spacing w:after="0" w:line="284" w:lineRule="auto"/>
        <w:rPr>
          <w:sz w:val="20"/>
          <w:szCs w:val="20"/>
          <w:color w:val="auto"/>
        </w:rPr>
      </w:pPr>
      <w:r>
        <w:rPr>
          <w:rFonts w:ascii="Arial" w:cs="Arial" w:eastAsia="Arial" w:hAnsi="Arial"/>
          <w:sz w:val="16"/>
          <w:szCs w:val="16"/>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3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Arial" w:cs="Arial" w:eastAsia="Arial" w:hAnsi="Arial"/>
          <w:sz w:val="17"/>
          <w:szCs w:val="17"/>
          <w:u w:val="single" w:color="auto"/>
          <w:color w:val="auto"/>
        </w:rPr>
        <w:t>Section 4.01(e)</w:t>
      </w:r>
      <w:r>
        <w:rPr>
          <w:rFonts w:ascii="Arial" w:cs="Arial" w:eastAsia="Arial" w:hAnsi="Arial"/>
          <w:sz w:val="17"/>
          <w:szCs w:val="17"/>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Arial" w:cs="Arial" w:eastAsia="Arial" w:hAnsi="Arial"/>
          <w:sz w:val="17"/>
          <w:szCs w:val="17"/>
          <w:u w:val="single" w:color="auto"/>
          <w:color w:val="auto"/>
        </w:rPr>
        <w:t>Section 4.01(c)</w:t>
      </w:r>
      <w:r>
        <w:rPr>
          <w:rFonts w:ascii="Arial" w:cs="Arial" w:eastAsia="Arial" w:hAnsi="Arial"/>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3" w:name="page594"/>
    <w:bookmarkEnd w:id="593"/>
    <w:p>
      <w:pPr>
        <w:jc w:val="both"/>
        <w:ind w:firstLine="648"/>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8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Application of Moneys During Continuation of Event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32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be distributed by the Administrative Agent and the LC Australian Collateral Agent (as applicable) on the dates selected by the Administrative Agent and the LC Australian Collateral Agent (as applicable) as follows:</w:t>
      </w:r>
    </w:p>
    <w:p>
      <w:pPr>
        <w:spacing w:after="0" w:line="18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the unreimbursed expenses of the Administrative Agent and the LC Australian Collateral Agent (as applicable) to be reimbursed under the Loan Documents, or pursuant to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and to any unpaid fees owing under the Loan Documents by the Obligors to the Administrative Agent and the LC Australian Collateral Agent (as applicable);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of the unreimbursed expenses for which any Lender is to be reimbursed pursuant to </w:t>
      </w:r>
      <w:r>
        <w:rPr>
          <w:rFonts w:ascii="Arial" w:cs="Arial" w:eastAsia="Arial" w:hAnsi="Arial"/>
          <w:sz w:val="18"/>
          <w:szCs w:val="18"/>
          <w:u w:val="single" w:color="auto"/>
          <w:color w:val="auto"/>
        </w:rPr>
        <w:t>Section 11.03;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ratable payment of all accrued and unpaid interest and fees on the LC Exposure;</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ratably, to secure the repayment and discharge of the outstanding amount of all LC Exposure in accordance with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and to the extent constituting Secured Obligations, any Banking Services Obligations and Swap Obligations, until all such LC Exposure, Banking Services Obligations and Swap Obligations shall have been paid in full;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ratable payment of all other Secured Obligations, until all Secured Obligations shall have been paid in full;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4" w:name="page595"/>
    <w:bookmarkEnd w:id="594"/>
    <w:p>
      <w:pPr>
        <w:ind w:left="1300"/>
        <w:spacing w:after="0" w:line="277" w:lineRule="auto"/>
        <w:rPr>
          <w:sz w:val="20"/>
          <w:szCs w:val="20"/>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to payment to the Obligors, or their respective successors or assigns, or as a court of competent jurisdiction may direct, of any surplus then remaining from such proceeds.</w:t>
      </w:r>
    </w:p>
    <w:p>
      <w:pPr>
        <w:spacing w:after="0" w:line="170" w:lineRule="exact"/>
        <w:rPr>
          <w:sz w:val="20"/>
          <w:szCs w:val="20"/>
          <w:color w:val="auto"/>
        </w:rPr>
      </w:pPr>
    </w:p>
    <w:p>
      <w:pPr>
        <w:jc w:val="both"/>
        <w:ind w:firstLine="1305"/>
        <w:spacing w:after="0" w:line="264" w:lineRule="auto"/>
        <w:tabs>
          <w:tab w:leader="none" w:pos="2505" w:val="left"/>
        </w:tabs>
        <w:numPr>
          <w:ilvl w:val="0"/>
          <w:numId w:val="709"/>
        </w:numPr>
        <w:rPr>
          <w:rFonts w:ascii="Arial" w:cs="Arial" w:eastAsia="Arial" w:hAnsi="Arial"/>
          <w:sz w:val="18"/>
          <w:szCs w:val="18"/>
          <w:color w:val="auto"/>
        </w:rPr>
      </w:pPr>
      <w:r>
        <w:rPr>
          <w:rFonts w:ascii="Arial" w:cs="Arial" w:eastAsia="Arial" w:hAnsi="Arial"/>
          <w:sz w:val="18"/>
          <w:szCs w:val="18"/>
          <w:color w:val="auto"/>
        </w:rPr>
        <w:t xml:space="preserve">The term “unpaid” as used in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mean all relevant Secured Obligations outstanding as of any such distribution date as to which prior distributions have not been made, after giving effect to any adjustments which are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which the Administrative Agent shall have been notified.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2212" w:val="left"/>
        </w:tabs>
        <w:numPr>
          <w:ilvl w:val="0"/>
          <w:numId w:val="710"/>
        </w:numPr>
        <w:rPr>
          <w:rFonts w:ascii="Arial" w:cs="Arial" w:eastAsia="Arial" w:hAnsi="Arial"/>
          <w:sz w:val="17"/>
          <w:szCs w:val="17"/>
          <w:color w:val="auto"/>
        </w:rPr>
      </w:pPr>
      <w:r>
        <w:rPr>
          <w:rFonts w:ascii="Arial" w:cs="Arial" w:eastAsia="Arial" w:hAnsi="Arial"/>
          <w:sz w:val="17"/>
          <w:szCs w:val="17"/>
          <w:color w:val="auto"/>
        </w:rPr>
        <w:t>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The provisions of this Article are solely for the benefit of the Administrative Agent and the Lenders, and neither the Borrowers nor any other 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82" w:lineRule="exact"/>
        <w:rPr>
          <w:rFonts w:ascii="Arial" w:cs="Arial" w:eastAsia="Arial" w:hAnsi="Arial"/>
          <w:sz w:val="17"/>
          <w:szCs w:val="17"/>
          <w:color w:val="auto"/>
        </w:rPr>
      </w:pPr>
    </w:p>
    <w:p>
      <w:pPr>
        <w:jc w:val="both"/>
        <w:ind w:firstLine="1305"/>
        <w:spacing w:after="0" w:line="259" w:lineRule="auto"/>
        <w:tabs>
          <w:tab w:leader="none" w:pos="2276"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86" w:lineRule="exact"/>
        <w:rPr>
          <w:rFonts w:ascii="Arial" w:cs="Arial" w:eastAsia="Arial" w:hAnsi="Arial"/>
          <w:sz w:val="18"/>
          <w:szCs w:val="18"/>
          <w:color w:val="auto"/>
        </w:rPr>
      </w:pPr>
    </w:p>
    <w:p>
      <w:pPr>
        <w:ind w:firstLine="1305"/>
        <w:spacing w:after="0" w:line="277" w:lineRule="auto"/>
        <w:tabs>
          <w:tab w:leader="none" w:pos="2495" w:val="left"/>
        </w:tabs>
        <w:numPr>
          <w:ilvl w:val="0"/>
          <w:numId w:val="710"/>
        </w:numPr>
        <w:rPr>
          <w:rFonts w:ascii="Arial" w:cs="Arial" w:eastAsia="Arial" w:hAnsi="Arial"/>
          <w:sz w:val="18"/>
          <w:szCs w:val="18"/>
          <w:color w:val="auto"/>
        </w:rPr>
      </w:pPr>
      <w:r>
        <w:rPr>
          <w:rFonts w:ascii="Arial" w:cs="Arial" w:eastAsia="Arial" w:hAnsi="Arial"/>
          <w:sz w:val="18"/>
          <w:szCs w:val="18"/>
          <w:color w:val="auto"/>
        </w:rPr>
        <w:t>In relation to Collateral which is subject to a Swiss Security Document, the Administrative Agent shall cause the ABL Administrative Agent to, subject to and in accordance with the provisions of the Intercreditor Agreement:</w:t>
      </w:r>
    </w:p>
    <w:p>
      <w:pPr>
        <w:spacing w:after="0" w:line="170" w:lineRule="exact"/>
        <w:rPr>
          <w:rFonts w:ascii="Arial" w:cs="Arial" w:eastAsia="Arial" w:hAnsi="Arial"/>
          <w:sz w:val="18"/>
          <w:szCs w:val="18"/>
          <w:color w:val="auto"/>
        </w:rPr>
      </w:pPr>
    </w:p>
    <w:p>
      <w:pPr>
        <w:ind w:left="660" w:firstLine="1293"/>
        <w:spacing w:after="0" w:line="277" w:lineRule="auto"/>
        <w:tabs>
          <w:tab w:leader="none" w:pos="2891" w:val="left"/>
        </w:tabs>
        <w:numPr>
          <w:ilvl w:val="1"/>
          <w:numId w:val="710"/>
        </w:numPr>
        <w:rPr>
          <w:rFonts w:ascii="Arial" w:cs="Arial" w:eastAsia="Arial" w:hAnsi="Arial"/>
          <w:sz w:val="18"/>
          <w:szCs w:val="18"/>
          <w:color w:val="auto"/>
        </w:rPr>
      </w:pPr>
      <w:r>
        <w:rPr>
          <w:rFonts w:ascii="Arial" w:cs="Arial" w:eastAsia="Arial" w:hAnsi="Arial"/>
          <w:sz w:val="18"/>
          <w:szCs w:val="18"/>
          <w:color w:val="auto"/>
        </w:rPr>
        <w:t>hold and administer any non-accessory Collateral (</w:t>
      </w:r>
      <w:r>
        <w:rPr>
          <w:rFonts w:ascii="Arial" w:cs="Arial" w:eastAsia="Arial" w:hAnsi="Arial"/>
          <w:sz w:val="18"/>
          <w:szCs w:val="18"/>
          <w:i w:val="1"/>
          <w:iCs w:val="1"/>
          <w:color w:val="auto"/>
        </w:rPr>
        <w:t>nicht-akzessorische Sicherheit</w:t>
      </w:r>
      <w:r>
        <w:rPr>
          <w:rFonts w:ascii="Arial" w:cs="Arial" w:eastAsia="Arial" w:hAnsi="Arial"/>
          <w:sz w:val="18"/>
          <w:szCs w:val="18"/>
          <w:color w:val="auto"/>
        </w:rPr>
        <w:t>) governed by Swiss law 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benefit of the Secured Parties;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5" w:name="page596"/>
    <w:bookmarkEnd w:id="595"/>
    <w:p>
      <w:pPr>
        <w:ind w:left="660" w:firstLine="1293"/>
        <w:spacing w:after="0" w:line="277" w:lineRule="auto"/>
        <w:tabs>
          <w:tab w:leader="none" w:pos="2820" w:val="left"/>
        </w:tabs>
        <w:numPr>
          <w:ilvl w:val="1"/>
          <w:numId w:val="711"/>
        </w:numPr>
        <w:rPr>
          <w:rFonts w:ascii="Arial" w:cs="Arial" w:eastAsia="Arial" w:hAnsi="Arial"/>
          <w:sz w:val="18"/>
          <w:szCs w:val="18"/>
          <w:color w:val="auto"/>
        </w:rPr>
      </w:pPr>
      <w:r>
        <w:rPr>
          <w:rFonts w:ascii="Arial" w:cs="Arial" w:eastAsia="Arial" w:hAnsi="Arial"/>
          <w:sz w:val="18"/>
          <w:szCs w:val="18"/>
          <w:color w:val="auto"/>
        </w:rPr>
        <w:t>hold and administer any accessory Collateral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governed by Swiss law as direct representative (</w:t>
      </w:r>
      <w:r>
        <w:rPr>
          <w:rFonts w:ascii="Arial" w:cs="Arial" w:eastAsia="Arial" w:hAnsi="Arial"/>
          <w:sz w:val="18"/>
          <w:szCs w:val="18"/>
          <w:i w:val="1"/>
          <w:iCs w:val="1"/>
          <w:color w:val="auto"/>
        </w:rPr>
        <w:t>direkter Stellvertrete</w:t>
      </w:r>
      <w:r>
        <w:rPr>
          <w:rFonts w:ascii="Arial" w:cs="Arial" w:eastAsia="Arial" w:hAnsi="Arial"/>
          <w:sz w:val="18"/>
          <w:szCs w:val="18"/>
          <w:color w:val="auto"/>
        </w:rPr>
        <w:t>r) in the name and on behalf of the Secured Parties.</w:t>
      </w:r>
    </w:p>
    <w:p>
      <w:pPr>
        <w:spacing w:after="0" w:line="170" w:lineRule="exact"/>
        <w:rPr>
          <w:rFonts w:ascii="Arial" w:cs="Arial" w:eastAsia="Arial" w:hAnsi="Arial"/>
          <w:sz w:val="18"/>
          <w:szCs w:val="18"/>
          <w:color w:val="auto"/>
        </w:rPr>
      </w:pPr>
    </w:p>
    <w:p>
      <w:pPr>
        <w:ind w:firstLine="1305"/>
        <w:spacing w:after="0" w:line="277" w:lineRule="auto"/>
        <w:tabs>
          <w:tab w:leader="none" w:pos="2384" w:val="left"/>
        </w:tabs>
        <w:numPr>
          <w:ilvl w:val="0"/>
          <w:numId w:val="712"/>
        </w:numPr>
        <w:rPr>
          <w:rFonts w:ascii="Arial" w:cs="Arial" w:eastAsia="Arial" w:hAnsi="Arial"/>
          <w:sz w:val="18"/>
          <w:szCs w:val="18"/>
          <w:color w:val="auto"/>
        </w:rPr>
      </w:pPr>
      <w:r>
        <w:rPr>
          <w:rFonts w:ascii="Arial" w:cs="Arial" w:eastAsia="Arial" w:hAnsi="Arial"/>
          <w:sz w:val="18"/>
          <w:szCs w:val="18"/>
          <w:color w:val="auto"/>
        </w:rPr>
        <w:t>Each Secured Party hereby appoints the ABL Administrative Agent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and authorizes the ABL Administrative Agent (whether or not by or through employees or agents) to:</w:t>
      </w:r>
    </w:p>
    <w:p>
      <w:pPr>
        <w:spacing w:after="0" w:line="170" w:lineRule="exact"/>
        <w:rPr>
          <w:rFonts w:ascii="Arial" w:cs="Arial" w:eastAsia="Arial" w:hAnsi="Arial"/>
          <w:sz w:val="18"/>
          <w:szCs w:val="18"/>
          <w:color w:val="auto"/>
        </w:rPr>
      </w:pPr>
    </w:p>
    <w:p>
      <w:pPr>
        <w:ind w:left="660" w:right="20" w:firstLine="1293"/>
        <w:spacing w:after="0" w:line="342" w:lineRule="auto"/>
        <w:tabs>
          <w:tab w:leader="none" w:pos="3080" w:val="left"/>
        </w:tabs>
        <w:numPr>
          <w:ilvl w:val="1"/>
          <w:numId w:val="712"/>
        </w:numPr>
        <w:rPr>
          <w:rFonts w:ascii="Arial" w:cs="Arial" w:eastAsia="Arial" w:hAnsi="Arial"/>
          <w:sz w:val="16"/>
          <w:szCs w:val="16"/>
          <w:color w:val="auto"/>
        </w:rPr>
      </w:pPr>
      <w:r>
        <w:rPr>
          <w:rFonts w:ascii="Arial" w:cs="Arial" w:eastAsia="Arial" w:hAnsi="Arial"/>
          <w:sz w:val="16"/>
          <w:szCs w:val="16"/>
          <w:color w:val="auto"/>
        </w:rPr>
        <w:t>exercise such rights, remedies, powers and discretions as are specifically delegated to or conferred upon the ABL Administrative Agent under the relevant Swiss Security Documents together with such powers and discretions as are reasonably incidental thereto;</w:t>
      </w:r>
    </w:p>
    <w:p>
      <w:pPr>
        <w:spacing w:after="0" w:line="124" w:lineRule="exact"/>
        <w:rPr>
          <w:sz w:val="20"/>
          <w:szCs w:val="20"/>
          <w:color w:val="auto"/>
        </w:rPr>
      </w:pPr>
    </w:p>
    <w:p>
      <w:pPr>
        <w:ind w:left="2880" w:hanging="927"/>
        <w:spacing w:after="0"/>
        <w:tabs>
          <w:tab w:leader="none" w:pos="2880" w:val="left"/>
        </w:tabs>
        <w:numPr>
          <w:ilvl w:val="0"/>
          <w:numId w:val="713"/>
        </w:numPr>
        <w:rPr>
          <w:rFonts w:ascii="Arial" w:cs="Arial" w:eastAsia="Arial" w:hAnsi="Arial"/>
          <w:sz w:val="16"/>
          <w:szCs w:val="16"/>
          <w:color w:val="auto"/>
        </w:rPr>
      </w:pPr>
      <w:r>
        <w:rPr>
          <w:rFonts w:ascii="Arial" w:cs="Arial" w:eastAsia="Arial" w:hAnsi="Arial"/>
          <w:sz w:val="16"/>
          <w:szCs w:val="16"/>
          <w:color w:val="auto"/>
        </w:rPr>
        <w:t>take such action on its behalf as may from time to time be authorized under or in accordance with the relevant Swiss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Security Documents; and</w:t>
      </w:r>
    </w:p>
    <w:p>
      <w:pPr>
        <w:spacing w:after="0" w:line="210" w:lineRule="exact"/>
        <w:rPr>
          <w:rFonts w:ascii="Arial" w:cs="Arial" w:eastAsia="Arial" w:hAnsi="Arial"/>
          <w:sz w:val="16"/>
          <w:szCs w:val="16"/>
          <w:color w:val="auto"/>
        </w:rPr>
      </w:pPr>
    </w:p>
    <w:p>
      <w:pPr>
        <w:jc w:val="both"/>
        <w:ind w:left="660" w:firstLine="1293"/>
        <w:spacing w:after="0" w:line="276" w:lineRule="auto"/>
        <w:tabs>
          <w:tab w:leader="none" w:pos="2888" w:val="left"/>
        </w:tabs>
        <w:numPr>
          <w:ilvl w:val="0"/>
          <w:numId w:val="713"/>
        </w:numPr>
        <w:rPr>
          <w:rFonts w:ascii="Arial" w:cs="Arial" w:eastAsia="Arial" w:hAnsi="Arial"/>
          <w:sz w:val="17"/>
          <w:szCs w:val="17"/>
          <w:color w:val="auto"/>
        </w:rPr>
      </w:pPr>
      <w:r>
        <w:rPr>
          <w:rFonts w:ascii="Arial" w:cs="Arial" w:eastAsia="Arial" w:hAnsi="Arial"/>
          <w:sz w:val="17"/>
          <w:szCs w:val="17"/>
          <w:color w:val="auto"/>
        </w:rPr>
        <w:t>accept, enter into and execute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amendments, confirmations and/or alterations to any Swiss Security Document which creates a pledge or any other accessory security right (</w:t>
      </w:r>
      <w:r>
        <w:rPr>
          <w:rFonts w:ascii="Arial" w:cs="Arial" w:eastAsia="Arial" w:hAnsi="Arial"/>
          <w:sz w:val="17"/>
          <w:szCs w:val="17"/>
          <w:i w:val="1"/>
          <w:iCs w:val="1"/>
          <w:color w:val="auto"/>
        </w:rPr>
        <w:t>akzessorische Sicherheit</w:t>
      </w:r>
      <w:r>
        <w:rPr>
          <w:rFonts w:ascii="Arial" w:cs="Arial" w:eastAsia="Arial" w:hAnsi="Arial"/>
          <w:sz w:val="17"/>
          <w:szCs w:val="17"/>
          <w:color w:val="auto"/>
        </w:rPr>
        <w:t>) including the release or confirmation of release of such Collateral, all subject to the provisions of the Intercreditor Agreement.</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Liability of Agents</w:t>
      </w:r>
      <w:r>
        <w:rPr>
          <w:rFonts w:ascii="Arial" w:cs="Arial" w:eastAsia="Arial" w:hAnsi="Arial"/>
          <w:sz w:val="16"/>
          <w:szCs w:val="16"/>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elsewhere herein, other than those conditions requiring delivery of items expressly required to be delivered to the Administrative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6" w:name="page597"/>
    <w:bookmarkEnd w:id="596"/>
    <w:p>
      <w:pPr>
        <w:jc w:val="both"/>
        <w:ind w:firstLine="648"/>
        <w:spacing w:after="0" w:line="273"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Reliance by Agents</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provide a copy of any notice of Default or Event of Default provided to the Borrowers under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each sub-agent.</w:t>
      </w:r>
    </w:p>
    <w:p>
      <w:pPr>
        <w:spacing w:after="0" w:line="197"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73" w:lineRule="auto"/>
        <w:tabs>
          <w:tab w:leader="none" w:pos="2279" w:val="left"/>
        </w:tabs>
        <w:numPr>
          <w:ilvl w:val="0"/>
          <w:numId w:val="714"/>
        </w:numPr>
        <w:rPr>
          <w:rFonts w:ascii="Arial" w:cs="Arial" w:eastAsia="Arial" w:hAnsi="Arial"/>
          <w:sz w:val="17"/>
          <w:szCs w:val="17"/>
          <w:color w:val="auto"/>
        </w:rPr>
      </w:pPr>
      <w:r>
        <w:rPr>
          <w:rFonts w:ascii="Arial" w:cs="Arial" w:eastAsia="Arial" w:hAnsi="Arial"/>
          <w:sz w:val="17"/>
          <w:szCs w:val="17"/>
          <w:color w:val="auto"/>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7" w:name="page598"/>
    <w:bookmarkEnd w:id="597"/>
    <w:p>
      <w:pPr>
        <w:jc w:val="both"/>
        <w:ind w:firstLine="1305"/>
        <w:spacing w:after="0" w:line="293" w:lineRule="auto"/>
        <w:tabs>
          <w:tab w:leader="none" w:pos="2181" w:val="left"/>
        </w:tabs>
        <w:numPr>
          <w:ilvl w:val="0"/>
          <w:numId w:val="715"/>
        </w:numPr>
        <w:rPr>
          <w:rFonts w:ascii="Arial" w:cs="Arial" w:eastAsia="Arial" w:hAnsi="Arial"/>
          <w:sz w:val="16"/>
          <w:szCs w:val="16"/>
          <w:color w:val="auto"/>
        </w:rPr>
      </w:pPr>
      <w:r>
        <w:rPr>
          <w:rFonts w:ascii="Arial" w:cs="Arial" w:eastAsia="Arial" w:hAnsi="Arial"/>
          <w:sz w:val="16"/>
          <w:szCs w:val="16"/>
          <w:color w:val="auto"/>
        </w:rPr>
        <w:t xml:space="preserve">In addition, in the event that (i) the Person serving as the Administrative Agent is a Defaulting Lender, (ii) such Person has been replaced in its capacity as a Lender pursuant to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and (iii) if such Person is an Issuing Bank, (A) the LC Commitment of such Person, as an Issuing Bank, has been terminated pursuant to </w:t>
      </w:r>
      <w:r>
        <w:rPr>
          <w:rFonts w:ascii="Arial" w:cs="Arial" w:eastAsia="Arial" w:hAnsi="Arial"/>
          <w:sz w:val="16"/>
          <w:szCs w:val="16"/>
          <w:u w:val="single" w:color="auto"/>
          <w:color w:val="auto"/>
        </w:rPr>
        <w:t>Section 3.01(j)</w:t>
      </w:r>
      <w:r>
        <w:rPr>
          <w:rFonts w:ascii="Arial" w:cs="Arial" w:eastAsia="Arial" w:hAnsi="Arial"/>
          <w:sz w:val="16"/>
          <w:szCs w:val="16"/>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successor Administrative Agent selected by the Required Lenders, in consultation with the Borrowers, shall be appointed concurrently with such removal.</w:t>
      </w:r>
    </w:p>
    <w:p>
      <w:pPr>
        <w:spacing w:after="0" w:line="164" w:lineRule="exact"/>
        <w:rPr>
          <w:rFonts w:ascii="Arial" w:cs="Arial" w:eastAsia="Arial" w:hAnsi="Arial"/>
          <w:sz w:val="16"/>
          <w:szCs w:val="16"/>
          <w:color w:val="auto"/>
        </w:rPr>
      </w:pPr>
    </w:p>
    <w:p>
      <w:pPr>
        <w:jc w:val="both"/>
        <w:ind w:firstLine="1305"/>
        <w:spacing w:after="0" w:line="255" w:lineRule="auto"/>
        <w:tabs>
          <w:tab w:leader="none" w:pos="2212" w:val="left"/>
        </w:tabs>
        <w:numPr>
          <w:ilvl w:val="0"/>
          <w:numId w:val="715"/>
        </w:numPr>
        <w:rPr>
          <w:rFonts w:ascii="Arial" w:cs="Arial" w:eastAsia="Arial" w:hAnsi="Arial"/>
          <w:sz w:val="18"/>
          <w:szCs w:val="18"/>
          <w:color w:val="auto"/>
        </w:rPr>
      </w:pPr>
      <w:r>
        <w:rPr>
          <w:rFonts w:ascii="Arial" w:cs="Arial" w:eastAsia="Arial" w:hAnsi="Arial"/>
          <w:sz w:val="18"/>
          <w:szCs w:val="18"/>
          <w:color w:val="auto"/>
        </w:rPr>
        <w:t xml:space="preserve">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Arial" w:cs="Arial" w:eastAsia="Arial" w:hAnsi="Arial"/>
          <w:sz w:val="18"/>
          <w:szCs w:val="18"/>
          <w:u w:val="single" w:color="auto"/>
          <w:color w:val="auto"/>
        </w:rPr>
        <w:t>Sections 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Credit Decision</w:t>
      </w:r>
      <w:r>
        <w:rPr>
          <w:rFonts w:ascii="Arial" w:cs="Arial" w:eastAsia="Arial" w:hAnsi="Arial"/>
          <w:sz w:val="18"/>
          <w:szCs w:val="18"/>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Other Agents; Joint Lead Arrangers</w:t>
      </w:r>
      <w:r>
        <w:rPr>
          <w:rFonts w:ascii="Arial" w:cs="Arial" w:eastAsia="Arial" w:hAnsi="Arial"/>
          <w:sz w:val="18"/>
          <w:szCs w:val="18"/>
          <w:color w:val="auto"/>
        </w:rPr>
        <w:t>. Notwithstanding anything to the contrary contained herein, none of the Joint Lead Arrangers, Joint Bookrunners, Syndication Agent or Co</w:t>
      </w:r>
      <w:r>
        <w:rPr>
          <w:rFonts w:ascii="Arial" w:cs="Arial" w:eastAsia="Arial" w:hAnsi="Arial"/>
          <w:sz w:val="18"/>
          <w:szCs w:val="18"/>
          <w:b w:val="1"/>
          <w:bCs w:val="1"/>
          <w:color w:val="auto"/>
        </w:rPr>
        <w:t>-</w:t>
      </w:r>
      <w:r>
        <w:rPr>
          <w:rFonts w:ascii="Arial" w:cs="Arial" w:eastAsia="Arial" w:hAnsi="Arial"/>
          <w:sz w:val="18"/>
          <w:szCs w:val="18"/>
          <w:color w:val="auto"/>
        </w:rPr>
        <w:t>Documentation Agents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No Joint Venture</w:t>
      </w:r>
      <w:r>
        <w:rPr>
          <w:rFonts w:ascii="Arial" w:cs="Arial" w:eastAsia="Arial" w:hAnsi="Arial"/>
          <w:sz w:val="18"/>
          <w:szCs w:val="18"/>
          <w:color w:val="auto"/>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8" w:name="page599"/>
    <w:bookmarkEnd w:id="598"/>
    <w:p>
      <w:pPr>
        <w:jc w:val="both"/>
        <w:ind w:firstLine="648"/>
        <w:spacing w:after="0" w:line="283"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Secured Party</w:t>
      </w:r>
      <w:r>
        <w:rPr>
          <w:rFonts w:ascii="Arial" w:cs="Arial" w:eastAsia="Arial" w:hAnsi="Arial"/>
          <w:sz w:val="16"/>
          <w:szCs w:val="16"/>
          <w:color w:val="auto"/>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Collateral Documents governed by the laws of Australia, Deutsche Bank Trust Company Americas shall not act in its own name or for the benefit of the Secured Parties nor as representative of the Secured Parties but rather through a sub-agent appointed by the Administrative Agent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 respect to any jurisdiction in which Deutsche Bank Trust Company Americas is not able under applicable law or regulations to perform any of its duties as Administrative Agent or exercise its rights or powers as Administrative Agent under any Loan Document, Deutsche Bank Trust Company Americas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to release any Lien granted to or held by the Administrative Agent or, as applicable, any such sub-agent upon any Collateral (i) as described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11.23</w:t>
      </w:r>
      <w:r>
        <w:rPr>
          <w:rFonts w:ascii="Arial" w:cs="Arial" w:eastAsia="Arial" w:hAnsi="Arial"/>
          <w:sz w:val="16"/>
          <w:szCs w:val="16"/>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99" w:name="page600"/>
    <w:bookmarkEnd w:id="599"/>
    <w:p>
      <w:pPr>
        <w:jc w:val="both"/>
        <w:ind w:firstLine="648"/>
        <w:spacing w:after="0" w:line="25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with respect to any Obligor under any federal, state or foreign bankruptcy, insolvency, receivership, administration, examinership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8" w:lineRule="exact"/>
        <w:rPr>
          <w:sz w:val="20"/>
          <w:szCs w:val="20"/>
          <w:color w:val="auto"/>
        </w:rPr>
      </w:pPr>
    </w:p>
    <w:p>
      <w:pPr>
        <w:jc w:val="both"/>
        <w:ind w:firstLine="1305"/>
        <w:spacing w:after="0" w:line="264" w:lineRule="auto"/>
        <w:tabs>
          <w:tab w:leader="none" w:pos="2347" w:val="left"/>
        </w:tabs>
        <w:numPr>
          <w:ilvl w:val="0"/>
          <w:numId w:val="716"/>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716"/>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and any custodian, receiver, assignee, trustee, administrator, examiner,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Arial" w:cs="Arial" w:eastAsia="Arial" w:hAnsi="Arial"/>
          <w:sz w:val="17"/>
          <w:szCs w:val="17"/>
          <w:u w:val="single" w:color="auto"/>
          <w:color w:val="auto"/>
        </w:rPr>
        <w:t>Sections 11.03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Foreign Collateral Matters</w:t>
      </w:r>
      <w:r>
        <w:rPr>
          <w:rFonts w:ascii="Arial" w:cs="Arial" w:eastAsia="Arial" w:hAnsi="Arial"/>
          <w:sz w:val="16"/>
          <w:szCs w:val="16"/>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Arial" w:cs="Arial" w:eastAsia="Arial" w:hAnsi="Arial"/>
          <w:sz w:val="16"/>
          <w:szCs w:val="16"/>
          <w:u w:val="single" w:color="auto"/>
          <w:color w:val="auto"/>
        </w:rPr>
        <w:t>Hypothecary Representative</w:t>
      </w:r>
      <w:r>
        <w:rPr>
          <w:rFonts w:ascii="Arial" w:cs="Arial" w:eastAsia="Arial" w:hAnsi="Arial"/>
          <w:sz w:val="16"/>
          <w:szCs w:val="16"/>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In the event of the resignation of the Administrative Agent (which shall include its resignation as the Hypothecary Representative) and appointment of a successor Administrative Agent, such successor Administrative Agent shall also act as the Hypothecary Representative, as contemplated above.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0" w:name="page601"/>
    <w:bookmarkEnd w:id="600"/>
    <w:p>
      <w:pPr>
        <w:jc w:val="both"/>
        <w:ind w:firstLine="1305"/>
        <w:spacing w:after="0" w:line="271" w:lineRule="auto"/>
        <w:tabs>
          <w:tab w:leader="none" w:pos="1920" w:val="left"/>
        </w:tabs>
        <w:numPr>
          <w:ilvl w:val="0"/>
          <w:numId w:val="717"/>
        </w:numPr>
        <w:rPr>
          <w:rFonts w:ascii="Arial" w:cs="Arial" w:eastAsia="Arial" w:hAnsi="Arial"/>
          <w:sz w:val="17"/>
          <w:szCs w:val="17"/>
          <w:color w:val="auto"/>
        </w:rPr>
      </w:pPr>
      <w:r>
        <w:rPr>
          <w:rFonts w:ascii="Arial" w:cs="Arial" w:eastAsia="Arial" w:hAnsi="Arial"/>
          <w:sz w:val="17"/>
          <w:szCs w:val="17"/>
          <w:color w:val="auto"/>
        </w:rPr>
        <w:t>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178" w:lineRule="exact"/>
        <w:rPr>
          <w:rFonts w:ascii="Arial" w:cs="Arial" w:eastAsia="Arial" w:hAnsi="Arial"/>
          <w:sz w:val="17"/>
          <w:szCs w:val="17"/>
          <w:color w:val="auto"/>
        </w:rPr>
      </w:pPr>
    </w:p>
    <w:p>
      <w:pPr>
        <w:ind w:left="1820" w:hanging="515"/>
        <w:spacing w:after="0"/>
        <w:tabs>
          <w:tab w:leader="none" w:pos="1820" w:val="left"/>
        </w:tabs>
        <w:numPr>
          <w:ilvl w:val="0"/>
          <w:numId w:val="717"/>
        </w:numPr>
        <w:rPr>
          <w:rFonts w:ascii="Arial" w:cs="Arial" w:eastAsia="Arial" w:hAnsi="Arial"/>
          <w:sz w:val="18"/>
          <w:szCs w:val="18"/>
          <w:color w:val="auto"/>
        </w:rPr>
      </w:pPr>
      <w:r>
        <w:rPr>
          <w:rFonts w:ascii="Arial" w:cs="Arial" w:eastAsia="Arial" w:hAnsi="Arial"/>
          <w:sz w:val="18"/>
          <w:szCs w:val="18"/>
          <w:u w:val="single" w:color="auto"/>
          <w:color w:val="auto"/>
        </w:rPr>
        <w:t>Scottish Appointment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4" w:lineRule="auto"/>
        <w:tabs>
          <w:tab w:leader="none" w:pos="2441" w:val="left"/>
        </w:tabs>
        <w:numPr>
          <w:ilvl w:val="1"/>
          <w:numId w:val="717"/>
        </w:numPr>
        <w:rPr>
          <w:rFonts w:ascii="Arial" w:cs="Arial" w:eastAsia="Arial" w:hAnsi="Arial"/>
          <w:sz w:val="18"/>
          <w:szCs w:val="18"/>
          <w:color w:val="auto"/>
        </w:rPr>
      </w:pPr>
      <w:r>
        <w:rPr>
          <w:rFonts w:ascii="Arial" w:cs="Arial" w:eastAsia="Arial" w:hAnsi="Arial"/>
          <w:sz w:val="18"/>
          <w:szCs w:val="18"/>
          <w:color w:val="auto"/>
        </w:rPr>
        <w:t xml:space="preserve">The Administrative Agent declares that it holds in trust for the Secured Parties, on the terms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spacing w:after="0" w:line="192" w:lineRule="exact"/>
        <w:rPr>
          <w:rFonts w:ascii="Arial" w:cs="Arial" w:eastAsia="Arial" w:hAnsi="Arial"/>
          <w:sz w:val="18"/>
          <w:szCs w:val="18"/>
          <w:color w:val="auto"/>
        </w:rPr>
      </w:pPr>
    </w:p>
    <w:p>
      <w:pPr>
        <w:jc w:val="both"/>
        <w:ind w:firstLine="1953"/>
        <w:spacing w:after="0" w:line="293" w:lineRule="auto"/>
        <w:tabs>
          <w:tab w:leader="none" w:pos="2521" w:val="left"/>
        </w:tabs>
        <w:numPr>
          <w:ilvl w:val="1"/>
          <w:numId w:val="717"/>
        </w:numPr>
        <w:rPr>
          <w:rFonts w:ascii="Arial" w:cs="Arial" w:eastAsia="Arial" w:hAnsi="Arial"/>
          <w:sz w:val="16"/>
          <w:szCs w:val="16"/>
          <w:color w:val="auto"/>
        </w:rPr>
      </w:pPr>
      <w:r>
        <w:rPr>
          <w:rFonts w:ascii="Arial" w:cs="Arial" w:eastAsia="Arial" w:hAnsi="Arial"/>
          <w:sz w:val="16"/>
          <w:szCs w:val="16"/>
          <w:color w:val="auto"/>
        </w:rPr>
        <w:t xml:space="preserve">Without prejudice to the other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1" w:name="page602"/>
    <w:bookmarkEnd w:id="601"/>
    <w:p>
      <w:pPr>
        <w:ind w:left="660"/>
        <w:spacing w:after="0"/>
        <w:tabs>
          <w:tab w:leader="none" w:pos="266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7"/>
          <w:szCs w:val="17"/>
          <w:u w:val="single" w:color="auto"/>
          <w:color w:val="auto"/>
        </w:rPr>
        <w:t>Credit Bid</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82" w:lineRule="auto"/>
        <w:tabs>
          <w:tab w:leader="none" w:pos="2239" w:val="left"/>
        </w:tabs>
        <w:numPr>
          <w:ilvl w:val="1"/>
          <w:numId w:val="718"/>
        </w:numPr>
        <w:rPr>
          <w:rFonts w:ascii="Arial" w:cs="Arial" w:eastAsia="Arial" w:hAnsi="Arial"/>
          <w:sz w:val="16"/>
          <w:szCs w:val="16"/>
          <w:color w:val="auto"/>
        </w:rPr>
      </w:pPr>
      <w:r>
        <w:rPr>
          <w:rFonts w:ascii="Arial" w:cs="Arial" w:eastAsia="Arial" w:hAnsi="Arial"/>
          <w:sz w:val="16"/>
          <w:szCs w:val="16"/>
          <w:color w:val="auto"/>
        </w:rPr>
        <w:t xml:space="preserve">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of this Agreement),</w:t>
      </w:r>
    </w:p>
    <w:p>
      <w:pPr>
        <w:spacing w:after="0" w:line="12" w:lineRule="exact"/>
        <w:rPr>
          <w:rFonts w:ascii="Arial" w:cs="Arial" w:eastAsia="Arial" w:hAnsi="Arial"/>
          <w:sz w:val="16"/>
          <w:szCs w:val="16"/>
          <w:color w:val="auto"/>
        </w:rPr>
      </w:pPr>
    </w:p>
    <w:p>
      <w:pPr>
        <w:jc w:val="both"/>
        <w:ind w:firstLine="8"/>
        <w:spacing w:after="0" w:line="285" w:lineRule="auto"/>
        <w:tabs>
          <w:tab w:leader="none" w:pos="311" w:val="left"/>
        </w:tabs>
        <w:numPr>
          <w:ilvl w:val="0"/>
          <w:numId w:val="719"/>
        </w:numPr>
        <w:rPr>
          <w:rFonts w:ascii="Arial" w:cs="Arial" w:eastAsia="Arial" w:hAnsi="Arial"/>
          <w:sz w:val="16"/>
          <w:szCs w:val="16"/>
          <w:color w:val="auto"/>
        </w:rPr>
      </w:pPr>
      <w:r>
        <w:rPr>
          <w:rFonts w:ascii="Arial" w:cs="Arial" w:eastAsia="Arial" w:hAnsi="Arial"/>
          <w:sz w:val="16"/>
          <w:szCs w:val="16"/>
          <w:color w:val="auto"/>
        </w:rPr>
        <w:t xml:space="preserve">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2" w:name="page603"/>
    <w:bookmarkEnd w:id="602"/>
    <w:p>
      <w:pPr>
        <w:jc w:val="both"/>
        <w:ind w:firstLine="1305"/>
        <w:spacing w:after="0" w:line="257" w:lineRule="auto"/>
        <w:tabs>
          <w:tab w:leader="none" w:pos="2276" w:val="left"/>
        </w:tabs>
        <w:numPr>
          <w:ilvl w:val="0"/>
          <w:numId w:val="720"/>
        </w:numPr>
        <w:rPr>
          <w:rFonts w:ascii="Arial" w:cs="Arial" w:eastAsia="Arial" w:hAnsi="Arial"/>
          <w:sz w:val="18"/>
          <w:szCs w:val="18"/>
          <w:color w:val="auto"/>
        </w:rPr>
      </w:pPr>
      <w:r>
        <w:rPr>
          <w:rFonts w:ascii="Arial" w:cs="Arial" w:eastAsia="Arial" w:hAnsi="Arial"/>
          <w:sz w:val="18"/>
          <w:szCs w:val="18"/>
          <w:color w:val="auto"/>
        </w:rPr>
        <w:t xml:space="preserve">Without limiting the authority granted to the Administrative Agent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each Lender (including each Person that becomes a Lender hereunder pursuant to </w:t>
      </w:r>
      <w:r>
        <w:rPr>
          <w:rFonts w:ascii="Arial" w:cs="Arial" w:eastAsia="Arial" w:hAnsi="Arial"/>
          <w:sz w:val="18"/>
          <w:szCs w:val="18"/>
          <w:u w:val="single" w:color="auto"/>
          <w:color w:val="auto"/>
        </w:rPr>
        <w:t>Section 11.05</w:t>
      </w:r>
      <w:r>
        <w:rPr>
          <w:rFonts w:ascii="Arial" w:cs="Arial" w:eastAsia="Arial" w:hAnsi="Arial"/>
          <w:sz w:val="18"/>
          <w:szCs w:val="18"/>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Certain ERISA Matters; Lender Representations</w:t>
      </w:r>
      <w:r>
        <w:rPr>
          <w:rFonts w:ascii="Arial" w:cs="Arial" w:eastAsia="Arial" w:hAnsi="Arial"/>
          <w:sz w:val="16"/>
          <w:szCs w:val="16"/>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54" w:lineRule="exact"/>
        <w:rPr>
          <w:sz w:val="20"/>
          <w:szCs w:val="20"/>
          <w:color w:val="auto"/>
        </w:rPr>
      </w:pPr>
    </w:p>
    <w:p>
      <w:pPr>
        <w:ind w:left="660" w:firstLine="1293"/>
        <w:spacing w:after="0" w:line="277" w:lineRule="auto"/>
        <w:tabs>
          <w:tab w:leader="none" w:pos="3067" w:val="left"/>
        </w:tabs>
        <w:numPr>
          <w:ilvl w:val="0"/>
          <w:numId w:val="72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Letters of Credit or the Commitments,</w:t>
      </w:r>
    </w:p>
    <w:p>
      <w:pPr>
        <w:spacing w:after="0" w:line="170" w:lineRule="exact"/>
        <w:rPr>
          <w:rFonts w:ascii="Arial" w:cs="Arial" w:eastAsia="Arial" w:hAnsi="Arial"/>
          <w:sz w:val="18"/>
          <w:szCs w:val="18"/>
          <w:color w:val="auto"/>
        </w:rPr>
      </w:pPr>
    </w:p>
    <w:p>
      <w:pPr>
        <w:jc w:val="both"/>
        <w:ind w:left="660" w:firstLine="1293"/>
        <w:spacing w:after="0" w:line="255" w:lineRule="auto"/>
        <w:tabs>
          <w:tab w:leader="none" w:pos="282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189" w:lineRule="exact"/>
        <w:rPr>
          <w:rFonts w:ascii="Arial" w:cs="Arial" w:eastAsia="Arial" w:hAnsi="Arial"/>
          <w:sz w:val="18"/>
          <w:szCs w:val="18"/>
          <w:color w:val="auto"/>
        </w:rPr>
      </w:pPr>
    </w:p>
    <w:p>
      <w:pPr>
        <w:jc w:val="both"/>
        <w:ind w:left="660" w:firstLine="1293"/>
        <w:spacing w:after="0" w:line="255" w:lineRule="auto"/>
        <w:tabs>
          <w:tab w:leader="none" w:pos="284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3" w:name="page604"/>
    <w:bookmarkEnd w:id="603"/>
    <w:p>
      <w:pPr>
        <w:ind w:left="660" w:right="20" w:firstLine="1293"/>
        <w:spacing w:after="0" w:line="277" w:lineRule="auto"/>
        <w:tabs>
          <w:tab w:leader="none" w:pos="2828" w:val="left"/>
        </w:tabs>
        <w:numPr>
          <w:ilvl w:val="1"/>
          <w:numId w:val="72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2195" w:val="left"/>
        </w:tabs>
        <w:numPr>
          <w:ilvl w:val="0"/>
          <w:numId w:val="723"/>
        </w:numPr>
        <w:rPr>
          <w:rFonts w:ascii="Arial" w:cs="Arial" w:eastAsia="Arial" w:hAnsi="Arial"/>
          <w:sz w:val="17"/>
          <w:szCs w:val="17"/>
          <w:color w:val="auto"/>
        </w:rPr>
      </w:pPr>
      <w:r>
        <w:rPr>
          <w:rFonts w:ascii="Arial" w:cs="Arial" w:eastAsia="Arial" w:hAnsi="Arial"/>
          <w:sz w:val="17"/>
          <w:szCs w:val="17"/>
          <w:color w:val="auto"/>
        </w:rPr>
        <w:t xml:space="preserve">In addition, unless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is true with respect to a Lender or such Lender has not provided another representation, warranty and covenant as provided in </w:t>
      </w:r>
      <w:r>
        <w:rPr>
          <w:rFonts w:ascii="Arial" w:cs="Arial" w:eastAsia="Arial" w:hAnsi="Arial"/>
          <w:sz w:val="17"/>
          <w:szCs w:val="17"/>
          <w:u w:val="single" w:color="auto"/>
          <w:color w:val="auto"/>
        </w:rPr>
        <w:t>sub-clause (iv)</w:t>
      </w:r>
      <w:r>
        <w:rPr>
          <w:rFonts w:ascii="Arial" w:cs="Arial" w:eastAsia="Arial" w:hAnsi="Arial"/>
          <w:sz w:val="17"/>
          <w:szCs w:val="17"/>
          <w:color w:val="auto"/>
        </w:rPr>
        <w:t xml:space="preserve">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72" w:lineRule="exact"/>
        <w:rPr>
          <w:rFonts w:ascii="Arial" w:cs="Arial" w:eastAsia="Arial" w:hAnsi="Arial"/>
          <w:sz w:val="17"/>
          <w:szCs w:val="17"/>
          <w:color w:val="auto"/>
        </w:rPr>
      </w:pPr>
    </w:p>
    <w:p>
      <w:pPr>
        <w:jc w:val="both"/>
        <w:ind w:left="660" w:firstLine="1293"/>
        <w:spacing w:after="0" w:line="264" w:lineRule="auto"/>
        <w:tabs>
          <w:tab w:leader="none" w:pos="2986" w:val="left"/>
        </w:tabs>
        <w:numPr>
          <w:ilvl w:val="1"/>
          <w:numId w:val="723"/>
        </w:numPr>
        <w:rPr>
          <w:rFonts w:ascii="Arial" w:cs="Arial" w:eastAsia="Arial" w:hAnsi="Arial"/>
          <w:sz w:val="18"/>
          <w:szCs w:val="18"/>
          <w:color w:val="auto"/>
        </w:rPr>
      </w:pPr>
      <w:r>
        <w:rPr>
          <w:rFonts w:ascii="Arial" w:cs="Arial" w:eastAsia="Arial" w:hAnsi="Arial"/>
          <w:sz w:val="18"/>
          <w:szCs w:val="18"/>
          <w:color w:val="auto"/>
        </w:rPr>
        <w:t>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8"/>
          <w:szCs w:val="18"/>
          <w:color w:val="auto"/>
        </w:rPr>
      </w:pPr>
    </w:p>
    <w:p>
      <w:pPr>
        <w:jc w:val="both"/>
        <w:ind w:left="660" w:firstLine="1293"/>
        <w:spacing w:after="0" w:line="302" w:lineRule="auto"/>
        <w:tabs>
          <w:tab w:leader="none" w:pos="2847" w:val="left"/>
        </w:tabs>
        <w:numPr>
          <w:ilvl w:val="1"/>
          <w:numId w:val="723"/>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4" w:lineRule="exact"/>
        <w:rPr>
          <w:rFonts w:ascii="Arial" w:cs="Arial" w:eastAsia="Arial" w:hAnsi="Arial"/>
          <w:sz w:val="16"/>
          <w:szCs w:val="16"/>
          <w:color w:val="auto"/>
        </w:rPr>
      </w:pPr>
    </w:p>
    <w:p>
      <w:pPr>
        <w:jc w:val="both"/>
        <w:ind w:left="660" w:firstLine="1293"/>
        <w:spacing w:after="0" w:line="312" w:lineRule="auto"/>
        <w:tabs>
          <w:tab w:leader="none" w:pos="2821" w:val="left"/>
        </w:tabs>
        <w:numPr>
          <w:ilvl w:val="1"/>
          <w:numId w:val="723"/>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jc w:val="both"/>
        <w:ind w:left="660" w:firstLine="1293"/>
        <w:spacing w:after="0" w:line="259" w:lineRule="auto"/>
        <w:tabs>
          <w:tab w:leader="none" w:pos="2842" w:val="left"/>
        </w:tabs>
        <w:numPr>
          <w:ilvl w:val="1"/>
          <w:numId w:val="72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jc w:val="both"/>
        <w:ind w:left="660" w:firstLine="1293"/>
        <w:spacing w:after="0" w:line="264" w:lineRule="auto"/>
        <w:tabs>
          <w:tab w:leader="none" w:pos="2895" w:val="left"/>
        </w:tabs>
        <w:numPr>
          <w:ilvl w:val="1"/>
          <w:numId w:val="723"/>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4" w:name="page605"/>
    <w:bookmarkEnd w:id="604"/>
    <w:p>
      <w:pPr>
        <w:jc w:val="both"/>
        <w:ind w:firstLine="1305"/>
        <w:spacing w:after="0" w:line="270" w:lineRule="auto"/>
        <w:tabs>
          <w:tab w:leader="none" w:pos="2198" w:val="left"/>
        </w:tabs>
        <w:numPr>
          <w:ilvl w:val="0"/>
          <w:numId w:val="724"/>
        </w:numPr>
        <w:rPr>
          <w:rFonts w:ascii="Arial" w:cs="Arial" w:eastAsia="Arial" w:hAnsi="Arial"/>
          <w:sz w:val="17"/>
          <w:szCs w:val="17"/>
          <w:color w:val="auto"/>
        </w:rPr>
      </w:pPr>
      <w:r>
        <w:rPr>
          <w:rFonts w:ascii="Arial" w:cs="Arial" w:eastAsia="Arial" w:hAnsi="Arial"/>
          <w:sz w:val="17"/>
          <w:szCs w:val="17"/>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and (b) hereby authorizes and instructs the Administrative Agent to enter into the Intercreditor Agreement and to subject the Liens on the Collateral securing the Secured Obligations to the provisions thereof.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Filings</w:t>
      </w:r>
      <w:r>
        <w:rPr>
          <w:rFonts w:ascii="Arial" w:cs="Arial" w:eastAsia="Arial" w:hAnsi="Arial"/>
          <w:sz w:val="18"/>
          <w:szCs w:val="18"/>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u w:val="single" w:color="auto"/>
          <w:color w:val="auto"/>
        </w:rPr>
        <w:t>Force Majeure</w:t>
      </w:r>
      <w:r>
        <w:rPr>
          <w:rFonts w:ascii="Arial" w:cs="Arial" w:eastAsia="Arial" w:hAnsi="Arial"/>
          <w:sz w:val="17"/>
          <w:szCs w:val="17"/>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5" w:name="page606"/>
    <w:bookmarkEnd w:id="605"/>
    <w:p>
      <w:pPr>
        <w:jc w:val="both"/>
        <w:ind w:firstLine="648"/>
        <w:spacing w:after="0" w:line="259"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No Risk of Funds</w:t>
      </w:r>
      <w:r>
        <w:rPr>
          <w:rFonts w:ascii="Arial" w:cs="Arial" w:eastAsia="Arial" w:hAnsi="Arial"/>
          <w:sz w:val="18"/>
          <w:szCs w:val="18"/>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u w:val="single" w:color="auto"/>
          <w:color w:val="auto"/>
        </w:rPr>
        <w:t>No Discretion</w:t>
      </w:r>
      <w:r>
        <w:rPr>
          <w:rFonts w:ascii="Arial" w:cs="Arial" w:eastAsia="Arial" w:hAnsi="Arial"/>
          <w:sz w:val="17"/>
          <w:szCs w:val="17"/>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Arial" w:cs="Arial" w:eastAsia="Arial" w:hAnsi="Arial"/>
          <w:sz w:val="17"/>
          <w:szCs w:val="17"/>
          <w:u w:val="single" w:color="auto"/>
          <w:color w:val="auto"/>
        </w:rPr>
        <w:t>Relevant Lenders</w:t>
      </w:r>
      <w:r>
        <w:rPr>
          <w:rFonts w:ascii="Arial" w:cs="Arial" w:eastAsia="Arial" w:hAnsi="Arial"/>
          <w:sz w:val="17"/>
          <w:szCs w:val="17"/>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8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Special, Consequential and Indirect Damages</w:t>
      </w:r>
      <w:r>
        <w:rPr>
          <w:rFonts w:ascii="Arial" w:cs="Arial" w:eastAsia="Arial" w:hAnsi="Arial"/>
          <w:sz w:val="18"/>
          <w:szCs w:val="18"/>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No Environmental Liability</w:t>
      </w:r>
      <w:r>
        <w:rPr>
          <w:rFonts w:ascii="Arial" w:cs="Arial" w:eastAsia="Arial" w:hAnsi="Arial"/>
          <w:sz w:val="18"/>
          <w:szCs w:val="18"/>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06" w:name="page607"/>
    <w:bookmarkEnd w:id="606"/>
    <w:p>
      <w:pPr>
        <w:jc w:val="center"/>
        <w:spacing w:after="0"/>
        <w:rPr>
          <w:sz w:val="20"/>
          <w:szCs w:val="20"/>
          <w:color w:val="auto"/>
        </w:rPr>
      </w:pPr>
      <w:r>
        <w:rPr>
          <w:rFonts w:ascii="Arial" w:cs="Arial" w:eastAsia="Arial" w:hAnsi="Arial"/>
          <w:sz w:val="18"/>
          <w:szCs w:val="18"/>
          <w:color w:val="010000"/>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MISCELLANEOUS</w:t>
      </w:r>
    </w:p>
    <w:p>
      <w:pPr>
        <w:spacing w:after="0" w:line="211"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Waiver; Amendments; Joinder; Release of Guarantors; Release of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198" w:val="left"/>
        </w:tabs>
        <w:numPr>
          <w:ilvl w:val="1"/>
          <w:numId w:val="725"/>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then such waiver or consent shall be effective only in the specific instance and for the purpose for which given. Without limiting the generality of the foregoing, the issuance of a Letter of Credit shall not be construed as a waiver of any Default or Event of Default, regardless of whether the Administrative Agent, any Lender or any Issuing Bank may have had notice or knowledge of such Default at the time.</w:t>
      </w:r>
    </w:p>
    <w:p>
      <w:pPr>
        <w:spacing w:after="0" w:line="181" w:lineRule="exact"/>
        <w:rPr>
          <w:rFonts w:ascii="Arial" w:cs="Arial" w:eastAsia="Arial" w:hAnsi="Arial"/>
          <w:sz w:val="17"/>
          <w:szCs w:val="17"/>
          <w:color w:val="auto"/>
        </w:rPr>
      </w:pPr>
    </w:p>
    <w:p>
      <w:pPr>
        <w:jc w:val="both"/>
        <w:ind w:firstLine="1305"/>
        <w:spacing w:after="0" w:line="282" w:lineRule="auto"/>
        <w:tabs>
          <w:tab w:leader="none" w:pos="2357" w:val="left"/>
        </w:tabs>
        <w:numPr>
          <w:ilvl w:val="1"/>
          <w:numId w:val="725"/>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(irrespective of whether such Lender is a Defaulting Lender), (ii) reduce or forgive the principal amount of any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4.01(c)</w:t>
      </w:r>
      <w:r>
        <w:rPr>
          <w:rFonts w:ascii="Arial" w:cs="Arial" w:eastAsia="Arial" w:hAnsi="Arial"/>
          <w:sz w:val="16"/>
          <w:szCs w:val="16"/>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joint and several liability for the Obligations, without the written consent of each Lender (other than Defaulting Lenders), (vii) except in accordance with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in any Collateral Document or the Intercreditor Agreement, release all or substantially all of the Collateral without the written consent of each Lender, (viii) change or waive any provisions of this Agreement or the Loan Documents so as to permit any Borrower to grant any Lien that is senior to, or pari passu with, the Liens granted to the Administrative Agent for the benefit of the Secured Parties (other than any such grant expressly required by the Intercreditor Agreement in respect of the ABL Collateral (as defined therein)), without the written consent of each Lender (other than Defaulting Lenders),</w:t>
      </w:r>
    </w:p>
    <w:p>
      <w:pPr>
        <w:spacing w:after="0" w:line="12" w:lineRule="exact"/>
        <w:rPr>
          <w:rFonts w:ascii="Arial" w:cs="Arial" w:eastAsia="Arial" w:hAnsi="Arial"/>
          <w:sz w:val="16"/>
          <w:szCs w:val="16"/>
          <w:color w:val="auto"/>
        </w:rPr>
      </w:pPr>
    </w:p>
    <w:p>
      <w:pPr>
        <w:jc w:val="both"/>
        <w:ind w:firstLine="8"/>
        <w:spacing w:after="0" w:line="267" w:lineRule="auto"/>
        <w:tabs>
          <w:tab w:leader="none" w:pos="341" w:val="left"/>
        </w:tabs>
        <w:numPr>
          <w:ilvl w:val="0"/>
          <w:numId w:val="726"/>
        </w:numPr>
        <w:rPr>
          <w:rFonts w:ascii="Arial" w:cs="Arial" w:eastAsia="Arial" w:hAnsi="Arial"/>
          <w:sz w:val="17"/>
          <w:szCs w:val="17"/>
          <w:color w:val="auto"/>
        </w:rPr>
      </w:pPr>
      <w:r>
        <w:rPr>
          <w:rFonts w:ascii="Arial" w:cs="Arial" w:eastAsia="Arial" w:hAnsi="Arial"/>
          <w:sz w:val="17"/>
          <w:szCs w:val="17"/>
          <w:color w:val="auto"/>
        </w:rPr>
        <w:t xml:space="preserve">change or waive any provisions of this Agreement or the Loan Documents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action expressly required by the Intercreditor Agreement in respect of the ABL Collateral (as defined therein)) without the written consent of each Lender (other than Defaulting Lenders), (x) release Guarantors that are borrowers or borrowing base loan parties under the ABL Credit Agreement from their applicable Guaranty Agreement without the written consent of each Lender (other than Defaulting Lenders) or (xi) release all or substantially all of the value of the Guaranty Agreements, collectively, without the written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or modify any provision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without the consent of the Administrative Agent, each Issuing Bank and the Required Lenders. Subject to the foregoing, the waiver, amendment or modification of any provision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may be effected with the consent of the Required Lenders. Notwithstanding anything to the contrary herein, this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shall, in respect of a Defaulting Lender, be subject to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7" w:name="page608"/>
    <w:bookmarkEnd w:id="607"/>
    <w:p>
      <w:pPr>
        <w:jc w:val="both"/>
        <w:ind w:firstLine="1305"/>
        <w:spacing w:after="0" w:line="253" w:lineRule="auto"/>
        <w:tabs>
          <w:tab w:leader="none" w:pos="2198" w:val="left"/>
        </w:tabs>
        <w:numPr>
          <w:ilvl w:val="0"/>
          <w:numId w:val="727"/>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to, and the Administrative Agent shall, release any Lien on any Collateral (i) upon Payment in Full, (ii) constituting property being Disposed of in compliance with the terms of this Agreement (other than property Disposed of to a Restricted Subsidiary organized in a Specified Jurisdiction), (iii) constituting property leased to Parent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in any case set forth above, promptly upon receipt of a written request therefor from the Borrower, the Administrative Agent will execute and deliver all documents as may reasonably be requested to evidence such release.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w:t>
      </w:r>
    </w:p>
    <w:p>
      <w:pPr>
        <w:spacing w:after="0" w:line="197" w:lineRule="exact"/>
        <w:rPr>
          <w:rFonts w:ascii="Arial" w:cs="Arial" w:eastAsia="Arial" w:hAnsi="Arial"/>
          <w:sz w:val="18"/>
          <w:szCs w:val="18"/>
          <w:color w:val="auto"/>
        </w:rPr>
      </w:pPr>
    </w:p>
    <w:p>
      <w:pPr>
        <w:jc w:val="both"/>
        <w:ind w:firstLine="1305"/>
        <w:spacing w:after="0" w:line="291" w:lineRule="auto"/>
        <w:tabs>
          <w:tab w:leader="none" w:pos="2343" w:val="left"/>
        </w:tabs>
        <w:numPr>
          <w:ilvl w:val="0"/>
          <w:numId w:val="727"/>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if the Administrative Agent and Borrowers acting together identify any ambiguity, omission, mistake, typographical error or other defect in any provision of this Agreement,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 and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shall become effective without any further action or consent of any other party to the applicable Collateral Document.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8" w:name="page609"/>
    <w:bookmarkEnd w:id="608"/>
    <w:p>
      <w:pPr>
        <w:jc w:val="both"/>
        <w:ind w:left="-20" w:firstLine="1305"/>
        <w:spacing w:after="0" w:line="312" w:lineRule="auto"/>
        <w:tabs>
          <w:tab w:leader="none" w:pos="2232" w:val="left"/>
        </w:tabs>
        <w:numPr>
          <w:ilvl w:val="0"/>
          <w:numId w:val="728"/>
        </w:numPr>
        <w:rPr>
          <w:rFonts w:ascii="Arial" w:cs="Arial" w:eastAsia="Arial" w:hAnsi="Arial"/>
          <w:sz w:val="16"/>
          <w:szCs w:val="16"/>
          <w:color w:val="auto"/>
        </w:rPr>
      </w:pPr>
      <w:r>
        <w:rPr>
          <w:rFonts w:ascii="Arial" w:cs="Arial" w:eastAsia="Arial" w:hAnsi="Arial"/>
          <w:sz w:val="16"/>
          <w:szCs w:val="16"/>
          <w:color w:val="auto"/>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The Borrowers hereby, jointly and severally, agree to pay all reasonable costs and expenses incurred by the Administrative Agent in connection with any such release of a Guarantor.</w:t>
      </w:r>
    </w:p>
    <w:p>
      <w:pPr>
        <w:spacing w:after="0" w:line="147" w:lineRule="exact"/>
        <w:rPr>
          <w:sz w:val="20"/>
          <w:szCs w:val="20"/>
          <w:color w:val="auto"/>
        </w:rPr>
      </w:pPr>
    </w:p>
    <w:p>
      <w:pPr>
        <w:ind w:left="640"/>
        <w:spacing w:after="0"/>
        <w:tabs>
          <w:tab w:leader="none" w:pos="262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64" w:lineRule="auto"/>
        <w:tabs>
          <w:tab w:leader="none" w:pos="2529" w:val="left"/>
        </w:tabs>
        <w:numPr>
          <w:ilvl w:val="0"/>
          <w:numId w:val="729"/>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1" w:lineRule="exact"/>
        <w:rPr>
          <w:sz w:val="20"/>
          <w:szCs w:val="20"/>
          <w:color w:val="auto"/>
        </w:rPr>
      </w:pPr>
    </w:p>
    <w:p>
      <w:pPr>
        <w:ind w:left="2860" w:hanging="927"/>
        <w:spacing w:after="0"/>
        <w:tabs>
          <w:tab w:leader="none" w:pos="286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if to any Borrower or Guarantor, to it at: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LegalWeatherford@weatherford.com</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(713) 836-7460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Mark.Rothleitner@weatherford.com; Josh.Silverman@weatherford.com</w:t>
      </w:r>
    </w:p>
    <w:p>
      <w:pPr>
        <w:spacing w:after="0" w:line="211" w:lineRule="exact"/>
        <w:rPr>
          <w:sz w:val="20"/>
          <w:szCs w:val="20"/>
          <w:color w:val="auto"/>
        </w:rPr>
      </w:pPr>
    </w:p>
    <w:p>
      <w:pPr>
        <w:ind w:left="2780" w:hanging="847"/>
        <w:spacing w:after="0"/>
        <w:tabs>
          <w:tab w:leader="none" w:pos="278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if to the Administrative Agent at: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Trust and Agency Services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60 Wall Street, 24th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Mail Stop: NYC60 - 2410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Project Finance Agency Services, Weatherford, SF0580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(646) 961-3317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Weatherford.LCAgency@db.com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09" w:name="page610"/>
    <w:bookmarkEnd w:id="609"/>
    <w:p>
      <w:pPr>
        <w:ind w:left="1560" w:hanging="807"/>
        <w:spacing w:after="0"/>
        <w:tabs>
          <w:tab w:leader="none" w:pos="15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if to Barclays, in its capacity as an Issuing Bank, to it at: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Churchill Place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London E14 5HP</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+44 (0) 20 7773 2190</w:t>
      </w:r>
    </w:p>
    <w:p>
      <w:pPr>
        <w:spacing w:after="0" w:line="9" w:lineRule="exact"/>
        <w:rPr>
          <w:sz w:val="20"/>
          <w:szCs w:val="20"/>
          <w:color w:val="auto"/>
        </w:rPr>
      </w:pPr>
    </w:p>
    <w:p>
      <w:pPr>
        <w:ind w:left="760" w:right="140"/>
        <w:spacing w:after="0" w:line="261" w:lineRule="auto"/>
        <w:rPr>
          <w:sz w:val="20"/>
          <w:szCs w:val="20"/>
          <w:color w:val="auto"/>
        </w:rPr>
      </w:pPr>
      <w:r>
        <w:rPr>
          <w:rFonts w:ascii="Arial" w:cs="Arial" w:eastAsia="Arial" w:hAnsi="Arial"/>
          <w:sz w:val="18"/>
          <w:szCs w:val="18"/>
          <w:color w:val="auto"/>
        </w:rPr>
        <w:t>Email: mark.pope@barclays.com, matthew.x.jackson@barclays.com, Daniel.scoines1@barclays.com, Edwin.lau@barclays.com, Yokaira.peralta@barclays.com</w:t>
      </w:r>
    </w:p>
    <w:p>
      <w:pPr>
        <w:spacing w:after="0" w:line="184" w:lineRule="exact"/>
        <w:rPr>
          <w:sz w:val="20"/>
          <w:szCs w:val="20"/>
          <w:color w:val="auto"/>
        </w:rPr>
      </w:pPr>
    </w:p>
    <w:p>
      <w:pPr>
        <w:ind w:left="1600" w:hanging="847"/>
        <w:spacing w:after="0"/>
        <w:tabs>
          <w:tab w:leader="none" w:pos="160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if to Wells Fargo, in its capacity as Issuing Bank, to it at: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Wells Fargo Bank, National Association</w:t>
      </w:r>
    </w:p>
    <w:p>
      <w:pPr>
        <w:ind w:left="760"/>
        <w:spacing w:after="0" w:line="195" w:lineRule="auto"/>
        <w:rPr>
          <w:sz w:val="20"/>
          <w:szCs w:val="20"/>
          <w:color w:val="auto"/>
        </w:rPr>
      </w:pPr>
      <w:r>
        <w:rPr>
          <w:rFonts w:ascii="Arial" w:cs="Arial" w:eastAsia="Arial" w:hAnsi="Arial"/>
          <w:sz w:val="18"/>
          <w:szCs w:val="18"/>
          <w:color w:val="auto"/>
        </w:rPr>
        <w:t>1700 Lincoln Street,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Denver, CO 80203</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(303) 863-5576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DENLCFX@wellsfargo.com</w:t>
      </w:r>
    </w:p>
    <w:p>
      <w:pPr>
        <w:spacing w:after="0" w:line="211" w:lineRule="exact"/>
        <w:rPr>
          <w:sz w:val="20"/>
          <w:szCs w:val="20"/>
          <w:color w:val="auto"/>
        </w:rPr>
      </w:pPr>
    </w:p>
    <w:p>
      <w:pPr>
        <w:ind w:left="1640" w:hanging="887"/>
        <w:spacing w:after="0"/>
        <w:tabs>
          <w:tab w:leader="none" w:pos="164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if to Deutsche Bank, in its capacity as Issuing Bank, to it at: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Trade Finance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(212) 250-9633, (212) 250-8321, (212) 250-8462, (212) 250-5427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Email: jack.leong@db.com, gaurav.mathur@db.com, konstanze.geppert@db.com, michelle.hsiao@db.com, tfcs.newyork@db.com</w:t>
      </w:r>
    </w:p>
    <w:p>
      <w:pPr>
        <w:spacing w:after="0" w:line="234" w:lineRule="exact"/>
        <w:rPr>
          <w:sz w:val="20"/>
          <w:szCs w:val="20"/>
          <w:color w:val="auto"/>
        </w:rPr>
      </w:pPr>
    </w:p>
    <w:p>
      <w:pPr>
        <w:ind w:left="1600" w:hanging="847"/>
        <w:spacing w:after="0"/>
        <w:tabs>
          <w:tab w:leader="none" w:pos="160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if to Citibank, N.A., in its capacity as Issuing Bank, to it at: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811 Main Street, Suite 4000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Ivan Davey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(713) 821-4709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ivan.davey@citi.com</w:t>
      </w: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10" w:right="259" w:bottom="1440" w:gutter="0" w:footer="0" w:header="0"/>
        </w:sectPr>
      </w:pPr>
    </w:p>
    <w:bookmarkStart w:id="610" w:name="page611"/>
    <w:bookmarkEnd w:id="610"/>
    <w:p>
      <w:pPr>
        <w:ind w:left="2720" w:hanging="767"/>
        <w:spacing w:after="0"/>
        <w:tabs>
          <w:tab w:leader="none" w:pos="272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if to Morgan Stanley Senior Funding, Inc., in its capacity as Issuing Bank,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1300 Thames Street, 4th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Thames Street Wharf</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(443) 627-4555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507-5010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MSB.LOC@morganstanley.com</w:t>
      </w:r>
    </w:p>
    <w:p>
      <w:pPr>
        <w:spacing w:after="0" w:line="211" w:lineRule="exact"/>
        <w:rPr>
          <w:sz w:val="20"/>
          <w:szCs w:val="20"/>
          <w:color w:val="auto"/>
        </w:rPr>
      </w:pPr>
    </w:p>
    <w:p>
      <w:pPr>
        <w:ind w:left="2680" w:hanging="727"/>
        <w:spacing w:after="0"/>
        <w:tabs>
          <w:tab w:leader="none" w:pos="268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if to Nordea Bank Abp, New York Branch, in its capacity as Issuing Bank,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Nordea Bank Abp, New York Branch</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1211 Avenue of the Americas, 23rd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318-9305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abdul.khail@nordea.com</w:t>
      </w:r>
    </w:p>
    <w:p>
      <w:pPr>
        <w:spacing w:after="0" w:line="211" w:lineRule="exact"/>
        <w:rPr>
          <w:sz w:val="20"/>
          <w:szCs w:val="20"/>
          <w:color w:val="auto"/>
        </w:rPr>
      </w:pPr>
    </w:p>
    <w:p>
      <w:pPr>
        <w:ind w:left="660" w:right="20" w:firstLine="1293"/>
        <w:spacing w:after="0" w:line="277" w:lineRule="auto"/>
        <w:tabs>
          <w:tab w:leader="none" w:pos="3004" w:val="left"/>
        </w:tabs>
        <w:numPr>
          <w:ilvl w:val="0"/>
          <w:numId w:val="738"/>
        </w:numPr>
        <w:rPr>
          <w:rFonts w:ascii="Arial" w:cs="Arial" w:eastAsia="Arial" w:hAnsi="Arial"/>
          <w:sz w:val="18"/>
          <w:szCs w:val="18"/>
          <w:color w:val="auto"/>
        </w:rPr>
      </w:pPr>
      <w:r>
        <w:rPr>
          <w:rFonts w:ascii="Arial" w:cs="Arial" w:eastAsia="Arial" w:hAnsi="Arial"/>
          <w:sz w:val="18"/>
          <w:szCs w:val="18"/>
          <w:color w:val="auto"/>
        </w:rPr>
        <w:t>if to any other Issuing Bank, to it at such address (or facsimile number) as shall be specified in the Issuing Bank Agreement to which such Issuing Bank shall be a party; and</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if to any Lender, to it at its address (or facsimile number) set forth in its Administrative Questionnaire.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87" w:lineRule="exact"/>
        <w:rPr>
          <w:sz w:val="20"/>
          <w:szCs w:val="20"/>
          <w:color w:val="auto"/>
        </w:rPr>
      </w:pPr>
    </w:p>
    <w:p>
      <w:pPr>
        <w:jc w:val="both"/>
        <w:ind w:firstLine="1305"/>
        <w:spacing w:after="0" w:line="257" w:lineRule="auto"/>
        <w:tabs>
          <w:tab w:leader="none" w:pos="2195" w:val="left"/>
        </w:tabs>
        <w:numPr>
          <w:ilvl w:val="0"/>
          <w:numId w:val="739"/>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1" w:name="page612"/>
    <w:bookmarkEnd w:id="611"/>
    <w:p>
      <w:pPr>
        <w:jc w:val="both"/>
        <w:ind w:firstLine="648"/>
        <w:spacing w:after="0" w:line="255" w:lineRule="auto"/>
        <w:rPr>
          <w:sz w:val="20"/>
          <w:szCs w:val="20"/>
          <w:color w:val="auto"/>
        </w:rPr>
      </w:pPr>
      <w:r>
        <w:rPr>
          <w:rFonts w:ascii="Arial" w:cs="Arial" w:eastAsia="Arial" w:hAnsi="Arial"/>
          <w:sz w:val="18"/>
          <w:szCs w:val="18"/>
          <w:color w:val="auto"/>
        </w:rPr>
        <w:t xml:space="preserve">Unless the Administrative Agent otherwise prescribes,(i)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2240" w:hanging="935"/>
        <w:spacing w:after="0"/>
        <w:tabs>
          <w:tab w:leader="none" w:pos="2240" w:val="left"/>
        </w:tabs>
        <w:numPr>
          <w:ilvl w:val="0"/>
          <w:numId w:val="740"/>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firstLine="1305"/>
        <w:spacing w:after="0" w:line="308" w:lineRule="auto"/>
        <w:tabs>
          <w:tab w:leader="none" w:pos="2208" w:val="left"/>
        </w:tabs>
        <w:numPr>
          <w:ilvl w:val="0"/>
          <w:numId w:val="740"/>
        </w:numPr>
        <w:rPr>
          <w:rFonts w:ascii="Arial" w:cs="Arial" w:eastAsia="Arial" w:hAnsi="Arial"/>
          <w:sz w:val="17"/>
          <w:szCs w:val="17"/>
          <w:color w:val="auto"/>
        </w:rPr>
      </w:pPr>
      <w:r>
        <w:rPr>
          <w:rFonts w:ascii="Arial" w:cs="Arial" w:eastAsia="Arial" w:hAnsi="Arial"/>
          <w:sz w:val="17"/>
          <w:szCs w:val="17"/>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46" w:lineRule="exact"/>
        <w:rPr>
          <w:rFonts w:ascii="Arial" w:cs="Arial" w:eastAsia="Arial" w:hAnsi="Arial"/>
          <w:sz w:val="17"/>
          <w:szCs w:val="17"/>
          <w:color w:val="auto"/>
        </w:rPr>
      </w:pPr>
    </w:p>
    <w:p>
      <w:pPr>
        <w:ind w:left="2180" w:hanging="875"/>
        <w:spacing w:after="0"/>
        <w:tabs>
          <w:tab w:leader="none" w:pos="218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Electronic Systems.</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304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81" w:lineRule="exact"/>
        <w:rPr>
          <w:rFonts w:ascii="Arial" w:cs="Arial" w:eastAsia="Arial" w:hAnsi="Arial"/>
          <w:sz w:val="18"/>
          <w:szCs w:val="18"/>
          <w:color w:val="auto"/>
        </w:rPr>
      </w:pPr>
    </w:p>
    <w:p>
      <w:pPr>
        <w:jc w:val="both"/>
        <w:ind w:left="660" w:firstLine="1293"/>
        <w:spacing w:after="0" w:line="269" w:lineRule="auto"/>
        <w:tabs>
          <w:tab w:leader="none" w:pos="2847" w:val="left"/>
        </w:tabs>
        <w:numPr>
          <w:ilvl w:val="1"/>
          <w:numId w:val="740"/>
        </w:numPr>
        <w:rPr>
          <w:rFonts w:ascii="Arial" w:cs="Arial" w:eastAsia="Arial" w:hAnsi="Arial"/>
          <w:sz w:val="17"/>
          <w:szCs w:val="17"/>
          <w:color w:val="auto"/>
        </w:rPr>
      </w:pPr>
      <w:r>
        <w:rPr>
          <w:rFonts w:ascii="Arial" w:cs="Arial" w:eastAsia="Arial" w:hAnsi="Arial"/>
          <w:sz w:val="17"/>
          <w:szCs w:val="17"/>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2" w:name="page613"/>
    <w:bookmarkEnd w:id="612"/>
    <w:p>
      <w:pPr>
        <w:jc w:val="both"/>
        <w:ind w:firstLine="648"/>
        <w:spacing w:after="0" w:line="267"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Expenses, Etc.</w:t>
      </w:r>
      <w:r>
        <w:rPr>
          <w:rFonts w:ascii="Arial" w:cs="Arial" w:eastAsia="Arial" w:hAnsi="Arial"/>
          <w:sz w:val="17"/>
          <w:szCs w:val="17"/>
          <w:color w:val="auto"/>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one local counsel in each applicable jurisdiction), in connection with the syndication and distribution (including via the Internet or through a service such as Intralinks) of the credit facilities provided for herein,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including the reasonable and documented or invoiced fees, charges and disbursements of Simpson Thacher &amp; Bartlett LLP and Goldberg Kohn Lt. as counsel the Joint Lead Arrangers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facilities provided for herein,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(or any sub-agent thereof), any Issuing Bank and/or any Lender (including the documented or invoiced fees, disbursements and other 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Letters of Credit issued hereunder, including all such out-of-pocket expenses incurred during any workout, restructuring or negotiations in respect of such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Defaulting Lender will not be reimbursed for its costs and expenses related to the replacement of such Defaulting Lender or other matters incidental thereto.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13" w:name="page614"/>
    <w:bookmarkEnd w:id="613"/>
    <w:p>
      <w:pPr>
        <w:ind w:left="660"/>
        <w:spacing w:after="0"/>
        <w:tabs>
          <w:tab w:leader="none" w:pos="264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83" w:lineRule="auto"/>
        <w:tabs>
          <w:tab w:leader="none" w:pos="2252" w:val="left"/>
        </w:tabs>
        <w:numPr>
          <w:ilvl w:val="0"/>
          <w:numId w:val="741"/>
        </w:numPr>
        <w:rPr>
          <w:rFonts w:ascii="Arial" w:cs="Arial" w:eastAsia="Arial" w:hAnsi="Arial"/>
          <w:sz w:val="16"/>
          <w:szCs w:val="16"/>
          <w:color w:val="auto"/>
        </w:rPr>
      </w:pPr>
      <w:r>
        <w:rPr>
          <w:rFonts w:ascii="Arial" w:cs="Arial" w:eastAsia="Arial" w:hAnsi="Arial"/>
          <w:sz w:val="16"/>
          <w:szCs w:val="16"/>
          <w:color w:val="auto"/>
        </w:rPr>
        <w:t>The Borrowers shall indemnify the Administrative Agent (and any sub-agent thereof), each Joint Lead Arranger, each Issuing Bank and each Lender, and each Affiliate of each of the foregoing, and their respective directors, officers, employees, advisors and agents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 (i) any claim, investigation, litigation or proceeding (including any threatened claim, investigation, litigation or proceeding) relating to this Agreement, any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WIL-Delaware, Parent or any of their Subsidiaries, or any Environmental Liability related in any way to WIL-Bermuda, WIL-Delaware,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WIL-Delaware, Parent or any of their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connection with 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SURVIVE THE TERMINATION OF THIS AGREEMENT AND THE OTHER LOAN DOCUMENTS AND THE PAYMENT OF THE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14" w:name="page615"/>
    <w:bookmarkEnd w:id="614"/>
    <w:p>
      <w:pPr>
        <w:jc w:val="both"/>
        <w:ind w:firstLine="648"/>
        <w:spacing w:after="0" w:line="264" w:lineRule="auto"/>
        <w:rPr>
          <w:sz w:val="20"/>
          <w:szCs w:val="20"/>
          <w:color w:val="auto"/>
        </w:rPr>
      </w:pPr>
      <w:r>
        <w:rPr>
          <w:rFonts w:ascii="Arial" w:cs="Arial" w:eastAsia="Arial" w:hAnsi="Arial"/>
          <w:sz w:val="18"/>
          <w:szCs w:val="18"/>
          <w:color w:val="auto"/>
        </w:rPr>
        <w:t>With respect to an Obligor incorporated in Germany as (x) a limited liability company (</w:t>
      </w:r>
      <w:r>
        <w:rPr>
          <w:rFonts w:ascii="Arial" w:cs="Arial" w:eastAsia="Arial" w:hAnsi="Arial"/>
          <w:sz w:val="18"/>
          <w:szCs w:val="18"/>
          <w:i w:val="1"/>
          <w:iCs w:val="1"/>
          <w:color w:val="auto"/>
        </w:rPr>
        <w:t>Gesellschaft mit beschränkter Haftung - GmbH</w:t>
      </w:r>
      <w:r>
        <w:rPr>
          <w:rFonts w:ascii="Arial" w:cs="Arial" w:eastAsia="Arial" w:hAnsi="Arial"/>
          <w:sz w:val="18"/>
          <w:szCs w:val="18"/>
          <w:color w:val="auto"/>
        </w:rPr>
        <w:t>) or (y) a limited partnership (</w:t>
      </w:r>
      <w:r>
        <w:rPr>
          <w:rFonts w:ascii="Arial" w:cs="Arial" w:eastAsia="Arial" w:hAnsi="Arial"/>
          <w:sz w:val="18"/>
          <w:szCs w:val="18"/>
          <w:i w:val="1"/>
          <w:iCs w:val="1"/>
          <w:color w:val="auto"/>
        </w:rPr>
        <w:t>Kommanditgesellschaft</w:t>
      </w:r>
      <w:r>
        <w:rPr>
          <w:rFonts w:ascii="Arial" w:cs="Arial" w:eastAsia="Arial" w:hAnsi="Arial"/>
          <w:sz w:val="18"/>
          <w:szCs w:val="18"/>
          <w:color w:val="auto"/>
        </w:rPr>
        <w:t xml:space="preserve">) with a limited liability company as general partner, the limitations pursuant to Section 30 of the Affiliate Guaranty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obligations set out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81" w:lineRule="exact"/>
        <w:rPr>
          <w:sz w:val="20"/>
          <w:szCs w:val="20"/>
          <w:color w:val="auto"/>
        </w:rPr>
      </w:pPr>
    </w:p>
    <w:p>
      <w:pPr>
        <w:jc w:val="both"/>
        <w:ind w:firstLine="1305"/>
        <w:spacing w:after="0" w:line="276" w:lineRule="auto"/>
        <w:tabs>
          <w:tab w:leader="none" w:pos="2303" w:val="left"/>
        </w:tabs>
        <w:numPr>
          <w:ilvl w:val="0"/>
          <w:numId w:val="742"/>
        </w:numPr>
        <w:rPr>
          <w:rFonts w:ascii="Arial" w:cs="Arial" w:eastAsia="Arial" w:hAnsi="Arial"/>
          <w:sz w:val="17"/>
          <w:szCs w:val="17"/>
          <w:color w:val="auto"/>
        </w:rPr>
      </w:pPr>
      <w:r>
        <w:rPr>
          <w:rFonts w:ascii="Arial" w:cs="Arial" w:eastAsia="Arial" w:hAnsi="Arial"/>
          <w:sz w:val="17"/>
          <w:szCs w:val="17"/>
          <w:color w:val="auto"/>
        </w:rPr>
        <w:t xml:space="preserve">To the extent that any Borrower fails to pay any amount required to be paid by it to the Administrative Agent or any Issuing Bank under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172" w:lineRule="exact"/>
        <w:rPr>
          <w:rFonts w:ascii="Arial" w:cs="Arial" w:eastAsia="Arial" w:hAnsi="Arial"/>
          <w:sz w:val="17"/>
          <w:szCs w:val="17"/>
          <w:color w:val="auto"/>
        </w:rPr>
      </w:pPr>
    </w:p>
    <w:p>
      <w:pPr>
        <w:jc w:val="both"/>
        <w:ind w:firstLine="1305"/>
        <w:spacing w:after="0" w:line="273" w:lineRule="auto"/>
        <w:tabs>
          <w:tab w:leader="none" w:pos="2185" w:val="left"/>
        </w:tabs>
        <w:numPr>
          <w:ilvl w:val="0"/>
          <w:numId w:val="742"/>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shall apply).</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2249" w:val="left"/>
        </w:tabs>
        <w:numPr>
          <w:ilvl w:val="0"/>
          <w:numId w:val="742"/>
        </w:numPr>
        <w:rPr>
          <w:rFonts w:ascii="Arial" w:cs="Arial" w:eastAsia="Arial" w:hAnsi="Arial"/>
          <w:sz w:val="18"/>
          <w:szCs w:val="18"/>
          <w:color w:val="auto"/>
        </w:rPr>
      </w:pPr>
      <w:r>
        <w:rPr>
          <w:rFonts w:ascii="Arial" w:cs="Arial" w:eastAsia="Arial" w:hAnsi="Arial"/>
          <w:sz w:val="18"/>
          <w:szCs w:val="18"/>
          <w:color w:val="auto"/>
        </w:rPr>
        <w:t xml:space="preserve">No Indemnitee referred to in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8" w:lineRule="exact"/>
        <w:rPr>
          <w:rFonts w:ascii="Arial" w:cs="Arial" w:eastAsia="Arial" w:hAnsi="Arial"/>
          <w:sz w:val="18"/>
          <w:szCs w:val="18"/>
          <w:color w:val="auto"/>
        </w:rPr>
      </w:pPr>
    </w:p>
    <w:p>
      <w:pPr>
        <w:ind w:firstLine="1305"/>
        <w:spacing w:after="0" w:line="277" w:lineRule="auto"/>
        <w:tabs>
          <w:tab w:leader="none" w:pos="2239" w:val="left"/>
        </w:tabs>
        <w:numPr>
          <w:ilvl w:val="0"/>
          <w:numId w:val="742"/>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shall be payable not later than ten (10) Business Days after written demand therefor and presentation of any documents required to be delivered in connection therewith.</w:t>
      </w:r>
    </w:p>
    <w:p>
      <w:pPr>
        <w:spacing w:after="0" w:line="170"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0" w:lineRule="auto"/>
        <w:tabs>
          <w:tab w:leader="none" w:pos="2414" w:val="left"/>
        </w:tabs>
        <w:numPr>
          <w:ilvl w:val="0"/>
          <w:numId w:val="743"/>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5" w:name="page616"/>
    <w:bookmarkEnd w:id="615"/>
    <w:p>
      <w:pPr>
        <w:jc w:val="both"/>
        <w:ind w:firstLine="1305"/>
        <w:spacing w:after="0" w:line="259" w:lineRule="auto"/>
        <w:tabs>
          <w:tab w:leader="none" w:pos="2181" w:val="left"/>
        </w:tabs>
        <w:numPr>
          <w:ilvl w:val="0"/>
          <w:numId w:val="744"/>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this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subparagraph (b)(ii)</w:t>
      </w:r>
      <w:r>
        <w:rPr>
          <w:rFonts w:ascii="Arial" w:cs="Arial" w:eastAsia="Arial" w:hAnsi="Arial"/>
          <w:sz w:val="18"/>
          <w:szCs w:val="18"/>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delayed or conditioned) of:</w:t>
      </w:r>
    </w:p>
    <w:p>
      <w:pPr>
        <w:spacing w:after="0" w:line="186" w:lineRule="exact"/>
        <w:rPr>
          <w:rFonts w:ascii="Arial" w:cs="Arial" w:eastAsia="Arial" w:hAnsi="Arial"/>
          <w:sz w:val="18"/>
          <w:szCs w:val="18"/>
          <w:color w:val="auto"/>
        </w:rPr>
      </w:pPr>
    </w:p>
    <w:p>
      <w:pPr>
        <w:jc w:val="both"/>
        <w:ind w:left="1300" w:firstLine="653"/>
        <w:spacing w:after="0" w:line="259" w:lineRule="auto"/>
        <w:tabs>
          <w:tab w:leader="none" w:pos="2878" w:val="left"/>
        </w:tabs>
        <w:numPr>
          <w:ilvl w:val="1"/>
          <w:numId w:val="744"/>
        </w:numPr>
        <w:rPr>
          <w:rFonts w:ascii="Arial" w:cs="Arial" w:eastAsia="Arial" w:hAnsi="Arial"/>
          <w:sz w:val="18"/>
          <w:szCs w:val="18"/>
          <w:color w:val="010000"/>
        </w:rPr>
      </w:pPr>
      <w:r>
        <w:rPr>
          <w:rFonts w:ascii="Arial" w:cs="Arial" w:eastAsia="Arial" w:hAnsi="Arial"/>
          <w:sz w:val="18"/>
          <w:szCs w:val="18"/>
          <w:color w:val="auto"/>
        </w:rPr>
        <w:t xml:space="preserve">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Borrowers shall be required for an assignment to a Lender (provided such Lender is a U.S. Qualifying Lender), an Affiliate of a Lender (provided such Affiliate is a U.S. Qualifying Lender), an Approved Fund (provided such Approved Fund is a U.S. Qualifying Lender) or, if an Event of Default has occurred and is continuing, any other assignee; and</w:t>
      </w:r>
    </w:p>
    <w:p>
      <w:pPr>
        <w:spacing w:after="0" w:line="186" w:lineRule="exact"/>
        <w:rPr>
          <w:rFonts w:ascii="Arial" w:cs="Arial" w:eastAsia="Arial" w:hAnsi="Arial"/>
          <w:sz w:val="18"/>
          <w:szCs w:val="18"/>
          <w:color w:val="010000"/>
        </w:rPr>
      </w:pPr>
    </w:p>
    <w:p>
      <w:pPr>
        <w:ind w:left="1300" w:right="20" w:firstLine="653"/>
        <w:spacing w:after="0" w:line="277" w:lineRule="auto"/>
        <w:tabs>
          <w:tab w:leader="none" w:pos="2845" w:val="left"/>
        </w:tabs>
        <w:numPr>
          <w:ilvl w:val="1"/>
          <w:numId w:val="744"/>
        </w:numPr>
        <w:rPr>
          <w:rFonts w:ascii="Arial" w:cs="Arial" w:eastAsia="Arial" w:hAnsi="Arial"/>
          <w:sz w:val="18"/>
          <w:szCs w:val="18"/>
          <w:color w:val="010000"/>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to a Lender, an Affiliate of a Lender, an Approved Fund immediately prior to giving effect to such assignment; and</w:t>
      </w:r>
    </w:p>
    <w:p>
      <w:pPr>
        <w:spacing w:after="0" w:line="170" w:lineRule="exact"/>
        <w:rPr>
          <w:rFonts w:ascii="Arial" w:cs="Arial" w:eastAsia="Arial" w:hAnsi="Arial"/>
          <w:sz w:val="18"/>
          <w:szCs w:val="18"/>
          <w:color w:val="010000"/>
        </w:rPr>
      </w:pPr>
    </w:p>
    <w:p>
      <w:pPr>
        <w:ind w:left="2820" w:hanging="867"/>
        <w:spacing w:after="0"/>
        <w:tabs>
          <w:tab w:leader="none" w:pos="2820" w:val="left"/>
        </w:tabs>
        <w:numPr>
          <w:ilvl w:val="1"/>
          <w:numId w:val="744"/>
        </w:numPr>
        <w:rPr>
          <w:rFonts w:ascii="Arial" w:cs="Arial" w:eastAsia="Arial" w:hAnsi="Arial"/>
          <w:sz w:val="18"/>
          <w:szCs w:val="18"/>
          <w:color w:val="010000"/>
        </w:rPr>
      </w:pPr>
      <w:r>
        <w:rPr>
          <w:rFonts w:ascii="Arial" w:cs="Arial" w:eastAsia="Arial" w:hAnsi="Arial"/>
          <w:sz w:val="18"/>
          <w:szCs w:val="18"/>
          <w:color w:val="auto"/>
        </w:rPr>
        <w:t>each Issuing Bank;</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consent to an assignment required by the Borrowers under this </w:t>
      </w:r>
      <w:r>
        <w:rPr>
          <w:rFonts w:ascii="Arial" w:cs="Arial" w:eastAsia="Arial" w:hAnsi="Arial"/>
          <w:sz w:val="18"/>
          <w:szCs w:val="18"/>
          <w:u w:val="single" w:color="auto"/>
          <w:color w:val="auto"/>
        </w:rPr>
        <w:t>Section 11.05(b)(i)</w:t>
      </w:r>
      <w:r>
        <w:rPr>
          <w:rFonts w:ascii="Arial" w:cs="Arial" w:eastAsia="Arial" w:hAnsi="Arial"/>
          <w:sz w:val="18"/>
          <w:szCs w:val="18"/>
          <w:color w:val="auto"/>
        </w:rPr>
        <w:t xml:space="preserve"> shall be deemed to have been given by the Borrowers unless it shall have objected thereto by written notice to the Administrative Agent within ten (10) Business Days after receiving a written request for its consent to such assignment.</w:t>
      </w:r>
    </w:p>
    <w:p>
      <w:pPr>
        <w:spacing w:after="0" w:line="181" w:lineRule="exact"/>
        <w:rPr>
          <w:sz w:val="20"/>
          <w:szCs w:val="20"/>
          <w:color w:val="auto"/>
        </w:rPr>
      </w:pPr>
    </w:p>
    <w:p>
      <w:pPr>
        <w:ind w:left="2800" w:hanging="847"/>
        <w:spacing w:after="0"/>
        <w:tabs>
          <w:tab w:leader="none" w:pos="280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sz w:val="20"/>
          <w:szCs w:val="20"/>
          <w:color w:val="auto"/>
        </w:rPr>
      </w:pPr>
    </w:p>
    <w:p>
      <w:pPr>
        <w:jc w:val="both"/>
        <w:ind w:left="1300" w:firstLine="653"/>
        <w:spacing w:after="0" w:line="276" w:lineRule="auto"/>
        <w:tabs>
          <w:tab w:leader="none" w:pos="2824" w:val="left"/>
        </w:tabs>
        <w:numPr>
          <w:ilvl w:val="0"/>
          <w:numId w:val="746"/>
        </w:numPr>
        <w:rPr>
          <w:rFonts w:ascii="Arial" w:cs="Arial" w:eastAsia="Arial" w:hAnsi="Arial"/>
          <w:sz w:val="17"/>
          <w:szCs w:val="17"/>
          <w:color w:val="010000"/>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Borrowers shall be required if an Event of Default has occurred and is continuing;</w:t>
      </w:r>
    </w:p>
    <w:p>
      <w:pPr>
        <w:spacing w:after="0" w:line="172" w:lineRule="exact"/>
        <w:rPr>
          <w:rFonts w:ascii="Arial" w:cs="Arial" w:eastAsia="Arial" w:hAnsi="Arial"/>
          <w:sz w:val="17"/>
          <w:szCs w:val="17"/>
          <w:color w:val="010000"/>
        </w:rPr>
      </w:pPr>
    </w:p>
    <w:p>
      <w:pPr>
        <w:ind w:left="1300" w:firstLine="653"/>
        <w:spacing w:after="0" w:line="277" w:lineRule="auto"/>
        <w:tabs>
          <w:tab w:leader="none" w:pos="2859" w:val="left"/>
        </w:tabs>
        <w:numPr>
          <w:ilvl w:val="0"/>
          <w:numId w:val="746"/>
        </w:numPr>
        <w:rPr>
          <w:rFonts w:ascii="Arial" w:cs="Arial" w:eastAsia="Arial" w:hAnsi="Arial"/>
          <w:sz w:val="18"/>
          <w:szCs w:val="18"/>
          <w:color w:val="010000"/>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16" w:name="page617"/>
    <w:bookmarkEnd w:id="616"/>
    <w:p>
      <w:pPr>
        <w:ind w:left="640" w:firstLine="653"/>
        <w:spacing w:after="0" w:line="277" w:lineRule="auto"/>
        <w:tabs>
          <w:tab w:leader="none" w:pos="2226" w:val="left"/>
        </w:tabs>
        <w:numPr>
          <w:ilvl w:val="0"/>
          <w:numId w:val="747"/>
        </w:numPr>
        <w:rPr>
          <w:rFonts w:ascii="Arial" w:cs="Arial" w:eastAsia="Arial" w:hAnsi="Arial"/>
          <w:sz w:val="18"/>
          <w:szCs w:val="18"/>
          <w:color w:val="010000"/>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70" w:lineRule="exact"/>
        <w:rPr>
          <w:rFonts w:ascii="Arial" w:cs="Arial" w:eastAsia="Arial" w:hAnsi="Arial"/>
          <w:sz w:val="18"/>
          <w:szCs w:val="18"/>
          <w:color w:val="010000"/>
        </w:rPr>
      </w:pPr>
    </w:p>
    <w:p>
      <w:pPr>
        <w:jc w:val="both"/>
        <w:ind w:left="640" w:firstLine="653"/>
        <w:spacing w:after="0" w:line="257" w:lineRule="auto"/>
        <w:tabs>
          <w:tab w:leader="none" w:pos="2218" w:val="left"/>
        </w:tabs>
        <w:numPr>
          <w:ilvl w:val="0"/>
          <w:numId w:val="747"/>
        </w:numPr>
        <w:rPr>
          <w:rFonts w:ascii="Arial" w:cs="Arial" w:eastAsia="Arial" w:hAnsi="Arial"/>
          <w:sz w:val="18"/>
          <w:szCs w:val="18"/>
          <w:color w:val="010000"/>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rFonts w:ascii="Arial" w:cs="Arial" w:eastAsia="Arial" w:hAnsi="Arial"/>
          <w:sz w:val="18"/>
          <w:szCs w:val="18"/>
          <w:color w:val="010000"/>
        </w:rPr>
      </w:pPr>
    </w:p>
    <w:p>
      <w:pPr>
        <w:jc w:val="both"/>
        <w:ind w:left="640" w:firstLine="653"/>
        <w:spacing w:after="0" w:line="259" w:lineRule="auto"/>
        <w:tabs>
          <w:tab w:leader="none" w:pos="2188" w:val="left"/>
        </w:tabs>
        <w:numPr>
          <w:ilvl w:val="0"/>
          <w:numId w:val="747"/>
        </w:numPr>
        <w:rPr>
          <w:rFonts w:ascii="Arial" w:cs="Arial" w:eastAsia="Arial" w:hAnsi="Arial"/>
          <w:sz w:val="18"/>
          <w:szCs w:val="18"/>
          <w:color w:val="010000"/>
        </w:rPr>
      </w:pPr>
      <w:r>
        <w:rPr>
          <w:rFonts w:ascii="Arial" w:cs="Arial" w:eastAsia="Arial" w:hAnsi="Arial"/>
          <w:sz w:val="18"/>
          <w:szCs w:val="18"/>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4.02(e)</w:t>
      </w:r>
      <w:r>
        <w:rPr>
          <w:rFonts w:ascii="Arial" w:cs="Arial" w:eastAsia="Arial" w:hAnsi="Arial"/>
          <w:sz w:val="18"/>
          <w:szCs w:val="18"/>
          <w:color w:val="auto"/>
        </w:rPr>
        <w:t xml:space="preserve"> for any Lender, and no assignment shall be effective in connection herewith unless and until such forms are so delivered;</w:t>
      </w:r>
    </w:p>
    <w:p>
      <w:pPr>
        <w:spacing w:after="0" w:line="186" w:lineRule="exact"/>
        <w:rPr>
          <w:rFonts w:ascii="Arial" w:cs="Arial" w:eastAsia="Arial" w:hAnsi="Arial"/>
          <w:sz w:val="18"/>
          <w:szCs w:val="18"/>
          <w:color w:val="010000"/>
        </w:rPr>
      </w:pPr>
    </w:p>
    <w:p>
      <w:pPr>
        <w:ind w:left="640" w:right="20" w:firstLine="653"/>
        <w:spacing w:after="0" w:line="308" w:lineRule="auto"/>
        <w:tabs>
          <w:tab w:leader="none" w:pos="2341" w:val="left"/>
        </w:tabs>
        <w:numPr>
          <w:ilvl w:val="0"/>
          <w:numId w:val="747"/>
        </w:numPr>
        <w:rPr>
          <w:rFonts w:ascii="Arial" w:cs="Arial" w:eastAsia="Arial" w:hAnsi="Arial"/>
          <w:sz w:val="17"/>
          <w:szCs w:val="17"/>
          <w:color w:val="010000"/>
        </w:rPr>
      </w:pPr>
      <w:r>
        <w:rPr>
          <w:rFonts w:ascii="Arial" w:cs="Arial" w:eastAsia="Arial" w:hAnsi="Arial"/>
          <w:sz w:val="17"/>
          <w:szCs w:val="17"/>
          <w:color w:val="auto"/>
        </w:rPr>
        <w:t>except in the case when no consent of the Borrowers is required because an Event of Default has occurred and is continuing, no assignment shall be made to any such assignee unless such assignee is a U.S. Qualifying Lender;</w:t>
      </w:r>
    </w:p>
    <w:p>
      <w:pPr>
        <w:spacing w:after="0" w:line="146" w:lineRule="exact"/>
        <w:rPr>
          <w:rFonts w:ascii="Arial" w:cs="Arial" w:eastAsia="Arial" w:hAnsi="Arial"/>
          <w:sz w:val="17"/>
          <w:szCs w:val="17"/>
          <w:color w:val="010000"/>
        </w:rPr>
      </w:pPr>
    </w:p>
    <w:p>
      <w:pPr>
        <w:ind w:left="2120" w:hanging="827"/>
        <w:spacing w:after="0"/>
        <w:tabs>
          <w:tab w:leader="none" w:pos="2120" w:val="left"/>
        </w:tabs>
        <w:numPr>
          <w:ilvl w:val="0"/>
          <w:numId w:val="747"/>
        </w:numPr>
        <w:rPr>
          <w:rFonts w:ascii="Arial" w:cs="Arial" w:eastAsia="Arial" w:hAnsi="Arial"/>
          <w:sz w:val="18"/>
          <w:szCs w:val="18"/>
          <w:color w:val="010000"/>
        </w:rPr>
      </w:pPr>
      <w:r>
        <w:rPr>
          <w:rFonts w:ascii="Arial" w:cs="Arial" w:eastAsia="Arial" w:hAnsi="Arial"/>
          <w:sz w:val="18"/>
          <w:szCs w:val="18"/>
          <w:color w:val="auto"/>
        </w:rPr>
        <w:t>no assignment shall be made to an Ineligible Institution; and</w:t>
      </w:r>
    </w:p>
    <w:p>
      <w:pPr>
        <w:spacing w:after="0" w:line="225" w:lineRule="exact"/>
        <w:rPr>
          <w:rFonts w:ascii="Arial" w:cs="Arial" w:eastAsia="Arial" w:hAnsi="Arial"/>
          <w:sz w:val="18"/>
          <w:szCs w:val="18"/>
          <w:color w:val="010000"/>
        </w:rPr>
      </w:pPr>
    </w:p>
    <w:p>
      <w:pPr>
        <w:ind w:left="2120" w:hanging="827"/>
        <w:spacing w:after="0"/>
        <w:tabs>
          <w:tab w:leader="none" w:pos="2120" w:val="left"/>
        </w:tabs>
        <w:numPr>
          <w:ilvl w:val="0"/>
          <w:numId w:val="747"/>
        </w:numPr>
        <w:rPr>
          <w:rFonts w:ascii="Arial" w:cs="Arial" w:eastAsia="Arial" w:hAnsi="Arial"/>
          <w:sz w:val="16"/>
          <w:szCs w:val="16"/>
          <w:color w:val="010000"/>
        </w:rPr>
      </w:pPr>
      <w:r>
        <w:rPr>
          <w:rFonts w:ascii="Arial" w:cs="Arial" w:eastAsia="Arial" w:hAnsi="Arial"/>
          <w:sz w:val="16"/>
          <w:szCs w:val="16"/>
          <w:color w:val="auto"/>
        </w:rPr>
        <w:t>the assignee, if it shall not be a Lender, shall deliver to Parent and the Administrative Agent an Assignee Certificate.</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Arial" w:cs="Arial" w:eastAsia="Arial" w:hAnsi="Arial"/>
          <w:sz w:val="16"/>
          <w:szCs w:val="16"/>
          <w:u w:val="single" w:color="auto"/>
          <w:color w:val="auto"/>
        </w:rPr>
        <w:t>Section 11.05(b)(ii)(E)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Barclays Bank PLC may assign its Commitments hereunder to Barclays Bank Ireland PLC.</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11.05</w:t>
      </w:r>
      <w:r>
        <w:rPr>
          <w:rFonts w:ascii="Arial" w:cs="Arial" w:eastAsia="Arial" w:hAnsi="Arial"/>
          <w:sz w:val="18"/>
          <w:szCs w:val="18"/>
          <w:color w:val="auto"/>
        </w:rPr>
        <w:t>,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Institution</w:t>
      </w:r>
      <w:r>
        <w:rPr>
          <w:rFonts w:ascii="Arial" w:cs="Arial" w:eastAsia="Arial" w:hAnsi="Arial"/>
          <w:sz w:val="17"/>
          <w:szCs w:val="17"/>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spacing w:after="0" w:line="182" w:lineRule="exact"/>
        <w:rPr>
          <w:sz w:val="20"/>
          <w:szCs w:val="20"/>
          <w:color w:val="auto"/>
        </w:rPr>
      </w:pPr>
    </w:p>
    <w:p>
      <w:pPr>
        <w:jc w:val="both"/>
        <w:ind w:firstLine="1293"/>
        <w:spacing w:after="0" w:line="290" w:lineRule="auto"/>
        <w:tabs>
          <w:tab w:leader="none" w:pos="2377" w:val="left"/>
        </w:tabs>
        <w:numPr>
          <w:ilvl w:val="0"/>
          <w:numId w:val="748"/>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subparagraph (b)(iv)</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w:t>
      </w:r>
    </w:p>
    <w:p>
      <w:pPr>
        <w:spacing w:after="0" w:line="166" w:lineRule="exact"/>
        <w:rPr>
          <w:rFonts w:ascii="Arial" w:cs="Arial" w:eastAsia="Arial" w:hAnsi="Arial"/>
          <w:sz w:val="16"/>
          <w:szCs w:val="16"/>
          <w:color w:val="auto"/>
        </w:rPr>
      </w:pPr>
    </w:p>
    <w:p>
      <w:pPr>
        <w:jc w:val="both"/>
        <w:ind w:firstLine="1293"/>
        <w:spacing w:after="0" w:line="254" w:lineRule="auto"/>
        <w:tabs>
          <w:tab w:leader="none" w:pos="2249"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LC Disbursements owing by each Borrower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618" w:name="page619"/>
    <w:bookmarkEnd w:id="618"/>
    <w:p>
      <w:pPr>
        <w:jc w:val="both"/>
        <w:ind w:left="660" w:firstLine="1293"/>
        <w:spacing w:after="0" w:line="253" w:lineRule="auto"/>
        <w:tabs>
          <w:tab w:leader="none" w:pos="2949" w:val="left"/>
        </w:tabs>
        <w:numPr>
          <w:ilvl w:val="2"/>
          <w:numId w:val="749"/>
        </w:numPr>
        <w:rPr>
          <w:rFonts w:ascii="Arial" w:cs="Arial" w:eastAsia="Arial" w:hAnsi="Arial"/>
          <w:sz w:val="18"/>
          <w:szCs w:val="18"/>
          <w:color w:val="auto"/>
        </w:rPr>
      </w:pPr>
      <w:r>
        <w:rPr>
          <w:rFonts w:ascii="Arial" w:cs="Arial" w:eastAsia="Arial" w:hAnsi="Arial"/>
          <w:sz w:val="18"/>
          <w:szCs w:val="18"/>
          <w:color w:val="auto"/>
        </w:rPr>
        <w:t xml:space="preserve">Upon its receipt of a duly completed Assignment and Assumption executed by an assigning Lender and an assignee permitted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such assignee’s completed Administrative Questionnaire (unless such assignee shall already be a Lender hereunder), the processing and recordation fee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any written consent to such assignment required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such assignee shall have failed to make any payment required to be made by it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11.04(a)</w:t>
      </w:r>
      <w:r>
        <w:rPr>
          <w:rFonts w:ascii="Arial" w:cs="Arial" w:eastAsia="Arial" w:hAnsi="Arial"/>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7" w:lineRule="exact"/>
        <w:rPr>
          <w:rFonts w:ascii="Arial" w:cs="Arial" w:eastAsia="Arial" w:hAnsi="Arial"/>
          <w:sz w:val="18"/>
          <w:szCs w:val="18"/>
          <w:color w:val="auto"/>
        </w:rPr>
      </w:pPr>
    </w:p>
    <w:p>
      <w:pPr>
        <w:jc w:val="both"/>
        <w:ind w:firstLine="1305"/>
        <w:spacing w:after="0" w:line="271" w:lineRule="auto"/>
        <w:tabs>
          <w:tab w:leader="none" w:pos="2252" w:val="left"/>
        </w:tabs>
        <w:numPr>
          <w:ilvl w:val="1"/>
          <w:numId w:val="750"/>
        </w:numPr>
        <w:rPr>
          <w:rFonts w:ascii="Arial" w:cs="Arial" w:eastAsia="Arial" w:hAnsi="Arial"/>
          <w:sz w:val="17"/>
          <w:szCs w:val="17"/>
          <w:color w:val="auto"/>
        </w:rPr>
      </w:pPr>
      <w:r>
        <w:rPr>
          <w:rFonts w:ascii="Arial" w:cs="Arial" w:eastAsia="Arial" w:hAnsi="Arial"/>
          <w:sz w:val="17"/>
          <w:szCs w:val="17"/>
          <w:color w:val="auto"/>
        </w:rPr>
        <w:t>(i)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jc w:val="both"/>
        <w:ind w:firstLine="8"/>
        <w:spacing w:after="0" w:line="283" w:lineRule="auto"/>
        <w:tabs>
          <w:tab w:leader="none" w:pos="305" w:val="left"/>
        </w:tabs>
        <w:numPr>
          <w:ilvl w:val="0"/>
          <w:numId w:val="751"/>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subparagraph (c)(ii)</w:t>
      </w:r>
      <w:r>
        <w:rPr>
          <w:rFonts w:ascii="Arial" w:cs="Arial" w:eastAsia="Arial" w:hAnsi="Arial"/>
          <w:sz w:val="16"/>
          <w:szCs w:val="16"/>
          <w:color w:val="auto"/>
        </w:rPr>
        <w:t xml:space="preserve"> of this Section, each Borrower agrees that each Participant shall be entitled to the benefits of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and to deliver the forms required by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4.02(h)</w:t>
      </w:r>
      <w:r>
        <w:rPr>
          <w:rFonts w:ascii="Arial" w:cs="Arial" w:eastAsia="Arial" w:hAnsi="Arial"/>
          <w:sz w:val="16"/>
          <w:szCs w:val="16"/>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but not limited to, </w:t>
      </w:r>
      <w:r>
        <w:rPr>
          <w:rFonts w:ascii="Arial" w:cs="Arial" w:eastAsia="Arial" w:hAnsi="Arial"/>
          <w:sz w:val="16"/>
          <w:szCs w:val="16"/>
          <w:u w:val="single" w:color="auto"/>
          <w:color w:val="auto"/>
        </w:rPr>
        <w:t>Section 11.05(c)(ii)</w:t>
      </w:r>
      <w:r>
        <w:rPr>
          <w:rFonts w:ascii="Arial" w:cs="Arial" w:eastAsia="Arial" w:hAnsi="Arial"/>
          <w:sz w:val="16"/>
          <w:szCs w:val="16"/>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9" w:name="page620"/>
    <w:bookmarkEnd w:id="619"/>
    <w:p>
      <w:pPr>
        <w:jc w:val="both"/>
        <w:ind w:left="660" w:firstLine="1293"/>
        <w:spacing w:after="0" w:line="273" w:lineRule="auto"/>
        <w:tabs>
          <w:tab w:leader="none" w:pos="2968" w:val="left"/>
        </w:tabs>
        <w:numPr>
          <w:ilvl w:val="1"/>
          <w:numId w:val="752"/>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Arial" w:cs="Arial" w:eastAsia="Arial" w:hAnsi="Arial"/>
          <w:sz w:val="17"/>
          <w:szCs w:val="17"/>
          <w:u w:val="single" w:color="auto"/>
          <w:color w:val="auto"/>
        </w:rPr>
        <w:t>Sections 4.02(c)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4.02(e)</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4.03</w:t>
      </w:r>
      <w:r>
        <w:rPr>
          <w:rFonts w:ascii="Arial" w:cs="Arial" w:eastAsia="Arial" w:hAnsi="Arial"/>
          <w:sz w:val="17"/>
          <w:szCs w:val="17"/>
          <w:color w:val="auto"/>
        </w:rPr>
        <w:t xml:space="preserve"> as though it were a Lender. A Participant that fails to comply with the preceding sentence shall not be entitled to any of the benefits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5"/>
        <w:spacing w:after="0" w:line="279" w:lineRule="auto"/>
        <w:tabs>
          <w:tab w:leader="none" w:pos="2181" w:val="left"/>
        </w:tabs>
        <w:numPr>
          <w:ilvl w:val="0"/>
          <w:numId w:val="753"/>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rFonts w:ascii="Arial" w:cs="Arial" w:eastAsia="Arial" w:hAnsi="Arial"/>
          <w:sz w:val="17"/>
          <w:szCs w:val="17"/>
          <w:color w:val="auto"/>
        </w:rPr>
      </w:pPr>
    </w:p>
    <w:p>
      <w:pPr>
        <w:jc w:val="both"/>
        <w:ind w:firstLine="1305"/>
        <w:spacing w:after="0" w:line="286" w:lineRule="auto"/>
        <w:tabs>
          <w:tab w:leader="none" w:pos="2225" w:val="left"/>
        </w:tabs>
        <w:numPr>
          <w:ilvl w:val="0"/>
          <w:numId w:val="753"/>
        </w:numPr>
        <w:rPr>
          <w:rFonts w:ascii="Arial" w:cs="Arial" w:eastAsia="Arial" w:hAnsi="Arial"/>
          <w:sz w:val="17"/>
          <w:szCs w:val="17"/>
          <w:color w:val="auto"/>
        </w:rPr>
      </w:pPr>
      <w:r>
        <w:rPr>
          <w:rFonts w:ascii="Arial" w:cs="Arial" w:eastAsia="Arial" w:hAnsi="Arial"/>
          <w:sz w:val="17"/>
          <w:szCs w:val="17"/>
          <w:color w:val="auto"/>
        </w:rPr>
        <w:t>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facilities provided for herein or (ii) the CUSIP Service Bureau or any similar agency in connection with the issuance and monitoring of CUSIP numbers with respect to the credit facilities provided for herein.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0" w:name="page621"/>
    <w:bookmarkEnd w:id="620"/>
    <w:p>
      <w:pPr>
        <w:jc w:val="both"/>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BORROWERS AND ITS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21" w:name="page622"/>
    <w:bookmarkEnd w:id="621"/>
    <w:p>
      <w:pPr>
        <w:jc w:val="both"/>
        <w:ind w:firstLine="648"/>
        <w:spacing w:after="0" w:line="25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and remain in full force and in effect regardless of the consummation of the transactions contemplated hereby, the repayment of the Obligations, the expiration or termination of the Letters of Credit and the Commitments or the termination of this Agreement or any provision hereof.</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Counterparts; Integration; Effectiveness; Electronic Execution</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22" w:name="page623"/>
    <w:bookmarkEnd w:id="622"/>
    <w:p>
      <w:pPr>
        <w:jc w:val="both"/>
        <w:ind w:firstLine="648"/>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ind w:left="660"/>
              <w:spacing w:after="0"/>
              <w:rPr>
                <w:sz w:val="20"/>
                <w:szCs w:val="20"/>
                <w:color w:val="auto"/>
              </w:rPr>
            </w:pPr>
            <w:r>
              <w:rPr>
                <w:rFonts w:ascii="Arial" w:cs="Arial" w:eastAsia="Arial" w:hAnsi="Arial"/>
                <w:sz w:val="18"/>
                <w:szCs w:val="18"/>
                <w:color w:val="auto"/>
              </w:rPr>
              <w:t>SECTION 11.12</w:t>
            </w:r>
          </w:p>
        </w:tc>
        <w:tc>
          <w:tcPr>
            <w:tcW w:w="440" w:type="dxa"/>
            <w:vAlign w:val="bottom"/>
          </w:tcPr>
          <w:p>
            <w:pPr>
              <w:spacing w:after="0"/>
              <w:rPr>
                <w:sz w:val="17"/>
                <w:szCs w:val="17"/>
                <w:color w:val="auto"/>
              </w:rPr>
            </w:pPr>
          </w:p>
        </w:tc>
        <w:tc>
          <w:tcPr>
            <w:tcW w:w="822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Conflicts Between This Agreement and the Other Loan Documents. In the event of any conflict between, or</w:t>
            </w:r>
          </w:p>
        </w:tc>
      </w:tr>
      <w:tr>
        <w:trPr>
          <w:trHeight w:val="20"/>
        </w:trPr>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inconsistency with, the terms of this Agreement and the terms of any of the other Loan Documents, the terms of this Agreement shall control.</w:t>
            </w:r>
          </w:p>
        </w:tc>
      </w:tr>
      <w:tr>
        <w:trPr>
          <w:trHeight w:val="392"/>
        </w:trPr>
        <w:tc>
          <w:tcPr>
            <w:tcW w:w="2760" w:type="dxa"/>
            <w:vAlign w:val="bottom"/>
          </w:tcPr>
          <w:p>
            <w:pPr>
              <w:ind w:left="660"/>
              <w:spacing w:after="0"/>
              <w:rPr>
                <w:sz w:val="20"/>
                <w:szCs w:val="20"/>
                <w:color w:val="auto"/>
              </w:rPr>
            </w:pPr>
            <w:r>
              <w:rPr>
                <w:rFonts w:ascii="Arial" w:cs="Arial" w:eastAsia="Arial" w:hAnsi="Arial"/>
                <w:sz w:val="18"/>
                <w:szCs w:val="18"/>
                <w:color w:val="auto"/>
              </w:rPr>
              <w:t>SECTION 11.13</w:t>
            </w:r>
          </w:p>
        </w:tc>
        <w:tc>
          <w:tcPr>
            <w:tcW w:w="8660" w:type="dxa"/>
            <w:vAlign w:val="bottom"/>
            <w:gridSpan w:val="5"/>
          </w:tcPr>
          <w:p>
            <w:pPr>
              <w:jc w:val="right"/>
              <w:spacing w:after="0"/>
              <w:rPr>
                <w:sz w:val="20"/>
                <w:szCs w:val="20"/>
                <w:color w:val="auto"/>
              </w:rPr>
            </w:pPr>
            <w:r>
              <w:rPr>
                <w:rFonts w:ascii="Arial" w:cs="Arial" w:eastAsia="Arial" w:hAnsi="Arial"/>
                <w:sz w:val="18"/>
                <w:szCs w:val="18"/>
                <w:color w:val="auto"/>
                <w:w w:val="89"/>
              </w:rPr>
              <w:t>Headings. Article and Section headings and the Table of Contents used herein are for convenience of reference only, are</w:t>
            </w:r>
          </w:p>
        </w:tc>
      </w:tr>
      <w:tr>
        <w:trPr>
          <w:trHeight w:val="20"/>
        </w:trPr>
        <w:tc>
          <w:tcPr>
            <w:tcW w:w="276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not part of this Agreement and shall not affect the construction of, or be taken into consideration in interpreting, this Agreement.</w:t>
            </w:r>
          </w:p>
        </w:tc>
      </w:tr>
      <w:tr>
        <w:trPr>
          <w:trHeight w:val="392"/>
        </w:trPr>
        <w:tc>
          <w:tcPr>
            <w:tcW w:w="2760" w:type="dxa"/>
            <w:vAlign w:val="bottom"/>
          </w:tcPr>
          <w:p>
            <w:pPr>
              <w:ind w:left="660"/>
              <w:spacing w:after="0"/>
              <w:rPr>
                <w:sz w:val="20"/>
                <w:szCs w:val="20"/>
                <w:color w:val="auto"/>
              </w:rPr>
            </w:pPr>
            <w:r>
              <w:rPr>
                <w:rFonts w:ascii="Arial" w:cs="Arial" w:eastAsia="Arial" w:hAnsi="Arial"/>
                <w:sz w:val="18"/>
                <w:szCs w:val="18"/>
                <w:color w:val="auto"/>
              </w:rPr>
              <w:t>SECTION 11.14</w:t>
            </w:r>
          </w:p>
        </w:tc>
        <w:tc>
          <w:tcPr>
            <w:tcW w:w="8660" w:type="dxa"/>
            <w:vAlign w:val="bottom"/>
            <w:gridSpan w:val="5"/>
          </w:tcPr>
          <w:p>
            <w:pPr>
              <w:jc w:val="right"/>
              <w:spacing w:after="0"/>
              <w:rPr>
                <w:sz w:val="20"/>
                <w:szCs w:val="20"/>
                <w:color w:val="auto"/>
              </w:rPr>
            </w:pPr>
            <w:r>
              <w:rPr>
                <w:rFonts w:ascii="Arial" w:cs="Arial" w:eastAsia="Arial" w:hAnsi="Arial"/>
                <w:sz w:val="18"/>
                <w:szCs w:val="18"/>
                <w:color w:val="auto"/>
                <w:w w:val="92"/>
              </w:rPr>
              <w:t>Limitation of Interest. Notwithstanding anything herein to the contrary, if at any time the interest rate applicable to any</w:t>
            </w:r>
          </w:p>
        </w:tc>
      </w:tr>
      <w:tr>
        <w:trPr>
          <w:trHeight w:val="20"/>
        </w:trPr>
        <w:tc>
          <w:tcPr>
            <w:tcW w:w="2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amount due hereunder, together with all fees, charges and other amounts which are treated as interest on such amount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Federal Funds Effective Rate to the date of repayment, shall have been received by such Lender.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23" w:name="page624"/>
    <w:bookmarkEnd w:id="623"/>
    <w:p>
      <w:pPr>
        <w:ind w:left="660"/>
        <w:spacing w:after="0"/>
        <w:tabs>
          <w:tab w:leader="none" w:pos="2640" w:val="left"/>
        </w:tabs>
        <w:rPr>
          <w:sz w:val="20"/>
          <w:szCs w:val="20"/>
          <w:color w:val="auto"/>
        </w:rPr>
      </w:pPr>
      <w:r>
        <w:rPr>
          <w:rFonts w:ascii="Arial" w:cs="Arial" w:eastAsia="Arial" w:hAnsi="Arial"/>
          <w:sz w:val="18"/>
          <w:szCs w:val="18"/>
          <w:color w:val="auto"/>
        </w:rPr>
        <w:t>SECTION 11.15</w:t>
      </w:r>
      <w:r>
        <w:rPr>
          <w:sz w:val="20"/>
          <w:szCs w:val="20"/>
          <w:color w:val="auto"/>
        </w:rPr>
        <w:tab/>
      </w:r>
      <w:r>
        <w:rPr>
          <w:rFonts w:ascii="Arial" w:cs="Arial" w:eastAsia="Arial" w:hAnsi="Arial"/>
          <w:sz w:val="16"/>
          <w:szCs w:val="16"/>
          <w:u w:val="single" w:color="auto"/>
          <w:color w:val="auto"/>
        </w:rPr>
        <w:t>Submission to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347" w:val="left"/>
        </w:tabs>
        <w:numPr>
          <w:ilvl w:val="0"/>
          <w:numId w:val="754"/>
        </w:numPr>
        <w:rPr>
          <w:rFonts w:ascii="Arial" w:cs="Arial" w:eastAsia="Arial" w:hAnsi="Arial"/>
          <w:sz w:val="17"/>
          <w:szCs w:val="17"/>
          <w:color w:val="auto"/>
        </w:rPr>
      </w:pPr>
      <w:r>
        <w:rPr>
          <w:rFonts w:ascii="Arial" w:cs="Arial" w:eastAsia="Arial" w:hAnsi="Arial"/>
          <w:sz w:val="17"/>
          <w:szCs w:val="17"/>
          <w:color w:val="auto"/>
        </w:rPr>
        <w:t xml:space="preserve">Each Obligor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7"/>
          <w:szCs w:val="17"/>
          <w:u w:val="single" w:color="auto"/>
          <w:color w:val="auto"/>
        </w:rPr>
        <w:t>Section 11.15</w:t>
      </w:r>
      <w:r>
        <w:rPr>
          <w:rFonts w:ascii="Arial" w:cs="Arial" w:eastAsia="Arial" w:hAnsi="Arial"/>
          <w:sz w:val="17"/>
          <w:szCs w:val="17"/>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237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 xml:space="preserve">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 Each Obligor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23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111 8th Avenue, New York, New York 10011, as the designee, appointee and agent of such Obligor to receive, for and on behalf of such Obligor, service of process in the State of New York in any suit, action or proceeding arising out of or relating to this Agreement or any other Loan Document.</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23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Each Obligor agrees that any suit, action or proceeding brought by any Obligor Party or any of their respective Subsidiaries relating to this Agreement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4" w:name="page625"/>
    <w:bookmarkEnd w:id="624"/>
    <w:p>
      <w:pPr>
        <w:jc w:val="both"/>
        <w:ind w:firstLine="1305"/>
        <w:spacing w:after="0" w:line="291" w:lineRule="auto"/>
        <w:tabs>
          <w:tab w:leader="none" w:pos="2266" w:val="left"/>
        </w:tabs>
        <w:numPr>
          <w:ilvl w:val="0"/>
          <w:numId w:val="755"/>
        </w:numPr>
        <w:rPr>
          <w:rFonts w:ascii="Arial" w:cs="Arial" w:eastAsia="Arial" w:hAnsi="Arial"/>
          <w:sz w:val="16"/>
          <w:szCs w:val="16"/>
          <w:color w:val="auto"/>
        </w:rPr>
      </w:pPr>
      <w:r>
        <w:rPr>
          <w:rFonts w:ascii="Arial" w:cs="Arial" w:eastAsia="Arial" w:hAnsi="Arial"/>
          <w:sz w:val="16"/>
          <w:szCs w:val="16"/>
          <w:color w:val="auto"/>
        </w:rPr>
        <w:t>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67" w:lineRule="exact"/>
        <w:rPr>
          <w:rFonts w:ascii="Arial" w:cs="Arial" w:eastAsia="Arial" w:hAnsi="Arial"/>
          <w:sz w:val="16"/>
          <w:szCs w:val="16"/>
          <w:color w:val="auto"/>
        </w:rPr>
      </w:pPr>
    </w:p>
    <w:p>
      <w:pPr>
        <w:jc w:val="both"/>
        <w:ind w:firstLine="1305"/>
        <w:spacing w:after="0" w:line="257" w:lineRule="auto"/>
        <w:tabs>
          <w:tab w:leader="none" w:pos="2318" w:val="left"/>
        </w:tabs>
        <w:numPr>
          <w:ilvl w:val="0"/>
          <w:numId w:val="755"/>
        </w:numPr>
        <w:rPr>
          <w:rFonts w:ascii="Arial" w:cs="Arial" w:eastAsia="Arial" w:hAnsi="Arial"/>
          <w:sz w:val="18"/>
          <w:szCs w:val="18"/>
          <w:color w:val="auto"/>
        </w:rPr>
      </w:pPr>
      <w:r>
        <w:rPr>
          <w:rFonts w:ascii="Arial" w:cs="Arial" w:eastAsia="Arial" w:hAnsi="Arial"/>
          <w:sz w:val="18"/>
          <w:szCs w:val="18"/>
          <w:color w:val="auto"/>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2235" w:val="left"/>
        </w:tabs>
        <w:numPr>
          <w:ilvl w:val="0"/>
          <w:numId w:val="755"/>
        </w:numPr>
        <w:rPr>
          <w:rFonts w:ascii="Arial" w:cs="Arial" w:eastAsia="Arial" w:hAnsi="Arial"/>
          <w:sz w:val="17"/>
          <w:szCs w:val="17"/>
          <w:color w:val="auto"/>
        </w:rPr>
      </w:pPr>
      <w:r>
        <w:rPr>
          <w:rFonts w:ascii="Arial" w:cs="Arial" w:eastAsia="Arial" w:hAnsi="Arial"/>
          <w:sz w:val="17"/>
          <w:szCs w:val="17"/>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Judgment Currency</w:t>
      </w:r>
      <w:r>
        <w:rPr>
          <w:rFonts w:ascii="Arial" w:cs="Arial" w:eastAsia="Arial" w:hAnsi="Arial"/>
          <w:sz w:val="18"/>
          <w:szCs w:val="18"/>
          <w:color w:val="auto"/>
        </w:rPr>
        <w:t>. The obligation of each Obligor to make payments on any Obligation to the Lenders, to any Issuing Bank or to the Administrative Agent hereunder in any currency (the “</w:t>
      </w:r>
      <w:r>
        <w:rPr>
          <w:rFonts w:ascii="Arial" w:cs="Arial" w:eastAsia="Arial" w:hAnsi="Arial"/>
          <w:sz w:val="18"/>
          <w:szCs w:val="18"/>
          <w:u w:val="single" w:color="auto"/>
          <w:color w:val="auto"/>
        </w:rPr>
        <w:t>first currency</w:t>
      </w:r>
      <w:r>
        <w:rPr>
          <w:rFonts w:ascii="Arial" w:cs="Arial" w:eastAsia="Arial" w:hAnsi="Arial"/>
          <w:sz w:val="18"/>
          <w:szCs w:val="18"/>
          <w:color w:val="auto"/>
        </w:rPr>
        <w:t>”), shall not be discharged or satisfied by any tender or recovery pursuant to any judgment expressed in or converted into any other currency (the “</w:t>
      </w:r>
      <w:r>
        <w:rPr>
          <w:rFonts w:ascii="Arial" w:cs="Arial" w:eastAsia="Arial" w:hAnsi="Arial"/>
          <w:sz w:val="18"/>
          <w:szCs w:val="18"/>
          <w:u w:val="single" w:color="auto"/>
          <w:color w:val="auto"/>
        </w:rPr>
        <w:t>second currency</w:t>
      </w:r>
      <w:r>
        <w:rPr>
          <w:rFonts w:ascii="Arial" w:cs="Arial" w:eastAsia="Arial" w:hAnsi="Arial"/>
          <w:sz w:val="18"/>
          <w:szCs w:val="18"/>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5" w:name="page626"/>
    <w:bookmarkEnd w:id="625"/>
    <w:p>
      <w:pPr>
        <w:jc w:val="both"/>
        <w:ind w:firstLine="648"/>
        <w:spacing w:after="0" w:line="253" w:lineRule="auto"/>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No Fiduciary Duty, etc.</w:t>
      </w:r>
      <w:r>
        <w:rPr>
          <w:rFonts w:ascii="Arial" w:cs="Arial" w:eastAsia="Arial" w:hAnsi="Arial"/>
          <w:sz w:val="18"/>
          <w:szCs w:val="18"/>
          <w:color w:val="auto"/>
        </w:rPr>
        <w:t xml:space="preserve">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 or in the other Loan Documents, and the Credit Parties shall have no responsibility or liability to the Borrowers or Parent with respect thereto.</w:t>
      </w:r>
    </w:p>
    <w:p>
      <w:pPr>
        <w:spacing w:after="0" w:line="195" w:lineRule="exact"/>
        <w:rPr>
          <w:sz w:val="20"/>
          <w:szCs w:val="20"/>
          <w:color w:val="auto"/>
        </w:rPr>
      </w:pPr>
    </w:p>
    <w:p>
      <w:pPr>
        <w:jc w:val="both"/>
        <w:ind w:firstLine="1305"/>
        <w:spacing w:after="0" w:line="291" w:lineRule="auto"/>
        <w:tabs>
          <w:tab w:leader="none" w:pos="2208" w:val="left"/>
        </w:tabs>
        <w:numPr>
          <w:ilvl w:val="0"/>
          <w:numId w:val="756"/>
        </w:numPr>
        <w:rPr>
          <w:rFonts w:ascii="Arial" w:cs="Arial" w:eastAsia="Arial" w:hAnsi="Arial"/>
          <w:sz w:val="16"/>
          <w:szCs w:val="16"/>
          <w:color w:val="auto"/>
        </w:rPr>
      </w:pPr>
      <w:r>
        <w:rPr>
          <w:rFonts w:ascii="Arial" w:cs="Arial" w:eastAsia="Arial" w:hAnsi="Arial"/>
          <w:sz w:val="16"/>
          <w:szCs w:val="16"/>
          <w:color w:val="auto"/>
        </w:rPr>
        <w:t>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7" w:lineRule="exact"/>
        <w:rPr>
          <w:rFonts w:ascii="Arial" w:cs="Arial" w:eastAsia="Arial" w:hAnsi="Arial"/>
          <w:sz w:val="16"/>
          <w:szCs w:val="16"/>
          <w:color w:val="auto"/>
        </w:rPr>
      </w:pPr>
    </w:p>
    <w:p>
      <w:pPr>
        <w:jc w:val="both"/>
        <w:ind w:firstLine="1305"/>
        <w:spacing w:after="0" w:line="291" w:lineRule="auto"/>
        <w:tabs>
          <w:tab w:leader="none" w:pos="2306" w:val="left"/>
        </w:tabs>
        <w:numPr>
          <w:ilvl w:val="0"/>
          <w:numId w:val="756"/>
        </w:numPr>
        <w:rPr>
          <w:rFonts w:ascii="Arial" w:cs="Arial" w:eastAsia="Arial" w:hAnsi="Arial"/>
          <w:sz w:val="16"/>
          <w:szCs w:val="16"/>
          <w:color w:val="auto"/>
        </w:rPr>
      </w:pPr>
      <w:r>
        <w:rPr>
          <w:rFonts w:ascii="Arial" w:cs="Arial" w:eastAsia="Arial" w:hAnsi="Arial"/>
          <w:sz w:val="16"/>
          <w:szCs w:val="16"/>
          <w:color w:val="auto"/>
        </w:rPr>
        <w:t>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6" w:name="page627"/>
    <w:bookmarkEnd w:id="626"/>
    <w:p>
      <w:pPr>
        <w:jc w:val="both"/>
        <w:ind w:firstLine="648"/>
        <w:spacing w:after="0" w:line="259"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USA Patriot Act</w:t>
      </w:r>
      <w:r>
        <w:rPr>
          <w:rFonts w:ascii="Arial" w:cs="Arial" w:eastAsia="Arial" w:hAnsi="Arial"/>
          <w:sz w:val="18"/>
          <w:szCs w:val="18"/>
          <w:color w:val="auto"/>
        </w:rPr>
        <w:t>. (a)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7" w:lineRule="exact"/>
        <w:rPr>
          <w:sz w:val="20"/>
          <w:szCs w:val="20"/>
          <w:color w:val="auto"/>
        </w:rPr>
      </w:pPr>
    </w:p>
    <w:p>
      <w:pPr>
        <w:jc w:val="both"/>
        <w:ind w:firstLine="1305"/>
        <w:spacing w:after="0" w:line="255" w:lineRule="auto"/>
        <w:tabs>
          <w:tab w:leader="none" w:pos="2384" w:val="left"/>
        </w:tabs>
        <w:numPr>
          <w:ilvl w:val="0"/>
          <w:numId w:val="757"/>
        </w:numPr>
        <w:rPr>
          <w:rFonts w:ascii="Arial" w:cs="Arial" w:eastAsia="Arial" w:hAnsi="Arial"/>
          <w:sz w:val="18"/>
          <w:szCs w:val="18"/>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8"/>
          <w:szCs w:val="18"/>
          <w:u w:val="single" w:color="auto"/>
          <w:color w:val="auto"/>
        </w:rPr>
        <w:t>Applicable Law</w:t>
      </w:r>
      <w:r>
        <w:rPr>
          <w:rFonts w:ascii="Arial" w:cs="Arial" w:eastAsia="Arial" w:hAnsi="Arial"/>
          <w:sz w:val="18"/>
          <w:szCs w:val="18"/>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11.20 </w:t>
      </w:r>
      <w:r>
        <w:rPr>
          <w:rFonts w:ascii="Arial" w:cs="Arial" w:eastAsia="Arial" w:hAnsi="Arial"/>
          <w:sz w:val="16"/>
          <w:szCs w:val="16"/>
          <w:u w:val="single" w:color="auto"/>
          <w:color w:val="auto"/>
        </w:rPr>
        <w:t>Appointment for Perfection</w:t>
      </w:r>
      <w:r>
        <w:rPr>
          <w:rFonts w:ascii="Arial" w:cs="Arial" w:eastAsia="Arial" w:hAnsi="Arial"/>
          <w:sz w:val="16"/>
          <w:szCs w:val="16"/>
          <w:color w:val="auto"/>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11.21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Effective Rate from time to time in effect. The obligations of the Lenders and the Issuing Banks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w:t>
      </w:r>
    </w:p>
    <w:p>
      <w:pPr>
        <w:spacing w:after="0" w:line="18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11.22 </w:t>
      </w:r>
      <w:r>
        <w:rPr>
          <w:rFonts w:ascii="Arial" w:cs="Arial" w:eastAsia="Arial" w:hAnsi="Arial"/>
          <w:sz w:val="16"/>
          <w:szCs w:val="16"/>
          <w:u w:val="single" w:color="auto"/>
          <w:color w:val="auto"/>
        </w:rPr>
        <w:t>No Fiduciary Duty</w:t>
      </w:r>
      <w:r>
        <w:rPr>
          <w:rFonts w:ascii="Arial" w:cs="Arial" w:eastAsia="Arial" w:hAnsi="Arial"/>
          <w:sz w:val="16"/>
          <w:szCs w:val="16"/>
          <w:color w:val="auto"/>
        </w:rPr>
        <w:t xml:space="preserve">. The Credit Parties and their respective Affiliates (collectively, solely for purposes of this </w:t>
      </w:r>
      <w:r>
        <w:rPr>
          <w:rFonts w:ascii="Arial" w:cs="Arial" w:eastAsia="Arial" w:hAnsi="Arial"/>
          <w:sz w:val="16"/>
          <w:szCs w:val="16"/>
          <w:u w:val="single" w:color="auto"/>
          <w:color w:val="auto"/>
        </w:rPr>
        <w:t>Section 11.22</w:t>
      </w:r>
      <w:r>
        <w:rPr>
          <w:rFonts w:ascii="Arial" w:cs="Arial" w:eastAsia="Arial" w:hAnsi="Arial"/>
          <w:sz w:val="16"/>
          <w:szCs w:val="16"/>
          <w:color w:val="auto"/>
        </w:rPr>
        <w:t>, the “</w:t>
      </w:r>
      <w:r>
        <w:rPr>
          <w:rFonts w:ascii="Arial" w:cs="Arial" w:eastAsia="Arial" w:hAnsi="Arial"/>
          <w:sz w:val="16"/>
          <w:szCs w:val="16"/>
          <w:u w:val="single" w:color="auto"/>
          <w:color w:val="auto"/>
        </w:rPr>
        <w:t>Credit Parties</w:t>
      </w:r>
      <w:r>
        <w:rPr>
          <w:rFonts w:ascii="Arial" w:cs="Arial" w:eastAsia="Arial" w:hAnsi="Arial"/>
          <w:sz w:val="16"/>
          <w:szCs w:val="16"/>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w:t>
      </w:r>
    </w:p>
    <w:p>
      <w:pPr>
        <w:spacing w:after="0" w:line="6" w:lineRule="exact"/>
        <w:rPr>
          <w:sz w:val="20"/>
          <w:szCs w:val="20"/>
          <w:color w:val="auto"/>
        </w:rPr>
      </w:pPr>
    </w:p>
    <w:p>
      <w:pPr>
        <w:jc w:val="both"/>
        <w:ind w:firstLine="8"/>
        <w:spacing w:after="0" w:line="254" w:lineRule="auto"/>
        <w:tabs>
          <w:tab w:leader="none" w:pos="261" w:val="left"/>
        </w:tabs>
        <w:numPr>
          <w:ilvl w:val="0"/>
          <w:numId w:val="758"/>
        </w:numPr>
        <w:rPr>
          <w:rFonts w:ascii="Arial" w:cs="Arial" w:eastAsia="Arial" w:hAnsi="Arial"/>
          <w:sz w:val="18"/>
          <w:szCs w:val="18"/>
          <w:color w:val="auto"/>
        </w:rPr>
      </w:pPr>
      <w:r>
        <w:rPr>
          <w:rFonts w:ascii="Arial" w:cs="Arial" w:eastAsia="Arial" w:hAnsi="Arial"/>
          <w:sz w:val="18"/>
          <w:szCs w:val="18"/>
          <w:color w:val="auto"/>
        </w:rPr>
        <w:t>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7" w:name="page628"/>
    <w:bookmarkEnd w:id="627"/>
    <w:p>
      <w:pPr>
        <w:ind w:left="660"/>
        <w:spacing w:after="0"/>
        <w:tabs>
          <w:tab w:leader="none" w:pos="2640" w:val="left"/>
        </w:tabs>
        <w:rPr>
          <w:sz w:val="20"/>
          <w:szCs w:val="20"/>
          <w:color w:val="auto"/>
        </w:rPr>
      </w:pPr>
      <w:r>
        <w:rPr>
          <w:rFonts w:ascii="Arial" w:cs="Arial" w:eastAsia="Arial" w:hAnsi="Arial"/>
          <w:sz w:val="18"/>
          <w:szCs w:val="18"/>
          <w:color w:val="auto"/>
        </w:rPr>
        <w:t>SECTION 11.23</w:t>
      </w:r>
      <w:r>
        <w:rPr>
          <w:sz w:val="20"/>
          <w:szCs w:val="20"/>
          <w:color w:val="auto"/>
        </w:rPr>
        <w:tab/>
      </w:r>
      <w:r>
        <w:rPr>
          <w:rFonts w:ascii="Arial" w:cs="Arial" w:eastAsia="Arial" w:hAnsi="Arial"/>
          <w:sz w:val="16"/>
          <w:szCs w:val="16"/>
          <w:u w:val="single" w:color="auto"/>
          <w:color w:val="auto"/>
        </w:rPr>
        <w:t>Release of Guarantors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2252" w:val="left"/>
        </w:tabs>
        <w:numPr>
          <w:ilvl w:val="0"/>
          <w:numId w:val="759"/>
        </w:numPr>
        <w:rPr>
          <w:rFonts w:ascii="Arial" w:cs="Arial" w:eastAsia="Arial" w:hAnsi="Arial"/>
          <w:sz w:val="17"/>
          <w:szCs w:val="17"/>
          <w:color w:val="auto"/>
        </w:rPr>
      </w:pPr>
      <w:r>
        <w:rPr>
          <w:rFonts w:ascii="Arial" w:cs="Arial" w:eastAsia="Arial" w:hAnsi="Arial"/>
          <w:sz w:val="17"/>
          <w:szCs w:val="17"/>
          <w:color w:val="auto"/>
        </w:rPr>
        <w:t>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 (iii) upon such Person becoming an Unrestricted Subsidiary, or (iv) 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ABL Credit Facility), and in any case set forth above, promptly upon receipt of a written request therefor from the Borrowers, the Administrative Agent will execute and deliver all documents as may reasonably be requested to evidence such release.</w:t>
      </w:r>
    </w:p>
    <w:p>
      <w:pPr>
        <w:spacing w:after="0" w:line="177" w:lineRule="exact"/>
        <w:rPr>
          <w:rFonts w:ascii="Arial" w:cs="Arial" w:eastAsia="Arial" w:hAnsi="Arial"/>
          <w:sz w:val="17"/>
          <w:szCs w:val="17"/>
          <w:color w:val="auto"/>
        </w:rPr>
      </w:pPr>
    </w:p>
    <w:p>
      <w:pPr>
        <w:jc w:val="both"/>
        <w:ind w:firstLine="1305"/>
        <w:spacing w:after="0" w:line="276" w:lineRule="auto"/>
        <w:tabs>
          <w:tab w:leader="none" w:pos="2343" w:val="left"/>
        </w:tabs>
        <w:numPr>
          <w:ilvl w:val="0"/>
          <w:numId w:val="759"/>
        </w:numPr>
        <w:rPr>
          <w:rFonts w:ascii="Arial" w:cs="Arial" w:eastAsia="Arial" w:hAnsi="Arial"/>
          <w:sz w:val="17"/>
          <w:szCs w:val="17"/>
          <w:color w:val="auto"/>
        </w:rPr>
      </w:pPr>
      <w:r>
        <w:rPr>
          <w:rFonts w:ascii="Arial" w:cs="Arial" w:eastAsia="Arial" w:hAnsi="Arial"/>
          <w:sz w:val="17"/>
          <w:szCs w:val="17"/>
          <w:color w:val="auto"/>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173"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color w:val="auto"/>
        </w:rPr>
        <w:t>SECTION 11.24</w:t>
      </w:r>
      <w:r>
        <w:rPr>
          <w:sz w:val="20"/>
          <w:szCs w:val="20"/>
          <w:color w:val="auto"/>
        </w:rPr>
        <w:tab/>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 other term of any Loan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8" w:name="page629"/>
    <w:bookmarkEnd w:id="628"/>
    <w:p>
      <w:pPr>
        <w:ind w:left="2180" w:hanging="875"/>
        <w:spacing w:after="0"/>
        <w:tabs>
          <w:tab w:leader="none" w:pos="218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25" w:lineRule="exact"/>
        <w:rPr>
          <w:rFonts w:ascii="Arial" w:cs="Arial" w:eastAsia="Arial" w:hAnsi="Arial"/>
          <w:sz w:val="18"/>
          <w:szCs w:val="18"/>
          <w:color w:val="auto"/>
        </w:rPr>
      </w:pPr>
    </w:p>
    <w:p>
      <w:pPr>
        <w:ind w:left="660" w:right="20" w:firstLine="1293"/>
        <w:spacing w:after="0" w:line="277" w:lineRule="auto"/>
        <w:tabs>
          <w:tab w:leader="none" w:pos="2986" w:val="left"/>
        </w:tabs>
        <w:numPr>
          <w:ilvl w:val="1"/>
          <w:numId w:val="760"/>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1"/>
          <w:numId w:val="760"/>
        </w:numPr>
        <w:rPr>
          <w:rFonts w:ascii="Arial" w:cs="Arial" w:eastAsia="Arial" w:hAnsi="Arial"/>
          <w:sz w:val="16"/>
          <w:szCs w:val="16"/>
          <w:color w:val="auto"/>
        </w:rPr>
      </w:pPr>
      <w:r>
        <w:rPr>
          <w:rFonts w:ascii="Arial" w:cs="Arial" w:eastAsia="Arial" w:hAnsi="Arial"/>
          <w:sz w:val="16"/>
          <w:szCs w:val="16"/>
          <w:color w:val="auto"/>
        </w:rPr>
        <w:t>a conversion of all, or part of, any such liability into shares or other instruments of ownership that may be issued to,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conferred on, it; and</w:t>
      </w:r>
    </w:p>
    <w:p>
      <w:pPr>
        <w:spacing w:after="0" w:line="210" w:lineRule="exact"/>
        <w:rPr>
          <w:rFonts w:ascii="Arial" w:cs="Arial" w:eastAsia="Arial" w:hAnsi="Arial"/>
          <w:sz w:val="16"/>
          <w:szCs w:val="16"/>
          <w:color w:val="auto"/>
        </w:rPr>
      </w:pPr>
    </w:p>
    <w:p>
      <w:pPr>
        <w:ind w:left="2760" w:hanging="807"/>
        <w:spacing w:after="0"/>
        <w:tabs>
          <w:tab w:leader="none" w:pos="276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2320" w:hanging="1015"/>
        <w:spacing w:after="0"/>
        <w:tabs>
          <w:tab w:leader="none" w:pos="2320" w:val="left"/>
        </w:tabs>
        <w:numPr>
          <w:ilvl w:val="0"/>
          <w:numId w:val="760"/>
        </w:numPr>
        <w:rPr>
          <w:rFonts w:ascii="Arial" w:cs="Arial" w:eastAsia="Arial" w:hAnsi="Arial"/>
          <w:sz w:val="16"/>
          <w:szCs w:val="16"/>
          <w:color w:val="auto"/>
        </w:rPr>
      </w:pPr>
      <w:r>
        <w:rPr>
          <w:rFonts w:ascii="Arial" w:cs="Arial" w:eastAsia="Arial" w:hAnsi="Arial"/>
          <w:sz w:val="16"/>
          <w:szCs w:val="16"/>
          <w:color w:val="auto"/>
        </w:rPr>
        <w:t>a variation of any term of any Loan Document to the extent necessary to give effect to any Bail-In Action in relation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liability.</w:t>
      </w:r>
    </w:p>
    <w:p>
      <w:pPr>
        <w:spacing w:after="0" w:line="211"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8"/>
          <w:szCs w:val="18"/>
          <w:color w:val="auto"/>
        </w:rPr>
        <w:t>SECTION 11.25</w:t>
      </w:r>
      <w:r>
        <w:rPr>
          <w:sz w:val="20"/>
          <w:szCs w:val="20"/>
          <w:color w:val="auto"/>
        </w:rPr>
        <w:tab/>
      </w:r>
      <w:r>
        <w:rPr>
          <w:rFonts w:ascii="Arial" w:cs="Arial" w:eastAsia="Arial" w:hAnsi="Arial"/>
          <w:sz w:val="16"/>
          <w:szCs w:val="16"/>
          <w:u w:val="single" w:color="auto"/>
          <w:color w:val="auto"/>
        </w:rPr>
        <w:t>Confirmation of Lender’s Status as a Swiss Qualifying Lender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252"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Each Lender confirms that, as of the Effective Date, unless notified in writing to Parent and the Administrative Agent prior to the Effective Date, such Lender is a Swiss Qualifying Lender and has not entered into a participation arrangement with respect to this Agreement with any Person that is a Swiss Non-Qualifying Lender.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81" w:val="left"/>
        </w:tabs>
        <w:numPr>
          <w:ilvl w:val="0"/>
          <w:numId w:val="761"/>
        </w:numPr>
        <w:rPr>
          <w:rFonts w:ascii="Arial" w:cs="Arial" w:eastAsia="Arial" w:hAnsi="Arial"/>
          <w:sz w:val="18"/>
          <w:szCs w:val="18"/>
          <w:color w:val="auto"/>
        </w:rPr>
      </w:pPr>
      <w:r>
        <w:rPr>
          <w:rFonts w:ascii="Arial" w:cs="Arial" w:eastAsia="Arial" w:hAnsi="Arial"/>
          <w:sz w:val="18"/>
          <w:szCs w:val="18"/>
          <w:color w:val="auto"/>
        </w:rPr>
        <w:t xml:space="preserve">Without limitation to any consent or other rights provided for in this Agreement (including </w:t>
      </w:r>
      <w:r>
        <w:rPr>
          <w:rFonts w:ascii="Arial" w:cs="Arial" w:eastAsia="Arial" w:hAnsi="Arial"/>
          <w:sz w:val="18"/>
          <w:szCs w:val="18"/>
          <w:u w:val="single" w:color="auto"/>
          <w:color w:val="auto"/>
        </w:rPr>
        <w:t>Section 11.05</w:t>
      </w:r>
      <w:r>
        <w:rPr>
          <w:rFonts w:ascii="Arial" w:cs="Arial" w:eastAsia="Arial" w:hAnsi="Arial"/>
          <w:sz w:val="18"/>
          <w:szCs w:val="18"/>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181" w:lineRule="exact"/>
        <w:rPr>
          <w:rFonts w:ascii="Arial" w:cs="Arial" w:eastAsia="Arial" w:hAnsi="Arial"/>
          <w:sz w:val="18"/>
          <w:szCs w:val="18"/>
          <w:color w:val="auto"/>
        </w:rPr>
      </w:pPr>
    </w:p>
    <w:p>
      <w:pPr>
        <w:ind w:left="660" w:firstLine="1293"/>
        <w:spacing w:after="0" w:line="277" w:lineRule="auto"/>
        <w:tabs>
          <w:tab w:leader="none" w:pos="2905" w:val="left"/>
        </w:tabs>
        <w:numPr>
          <w:ilvl w:val="1"/>
          <w:numId w:val="761"/>
        </w:numPr>
        <w:rPr>
          <w:rFonts w:ascii="Arial" w:cs="Arial" w:eastAsia="Arial" w:hAnsi="Arial"/>
          <w:sz w:val="18"/>
          <w:szCs w:val="18"/>
          <w:color w:val="auto"/>
        </w:rPr>
      </w:pPr>
      <w:r>
        <w:rPr>
          <w:rFonts w:ascii="Arial" w:cs="Arial" w:eastAsia="Arial" w:hAnsi="Arial"/>
          <w:sz w:val="18"/>
          <w:szCs w:val="18"/>
          <w:color w:val="auto"/>
        </w:rPr>
        <w:t>it is a Swiss Qualifying Lender and has not entered into a participation (including sub-participation) arrangement with respect to this Agreement with any Person that is a Swiss Non-Qualifying Lender; or</w:t>
      </w:r>
    </w:p>
    <w:p>
      <w:pPr>
        <w:spacing w:after="0" w:line="170" w:lineRule="exact"/>
        <w:rPr>
          <w:rFonts w:ascii="Arial" w:cs="Arial" w:eastAsia="Arial" w:hAnsi="Arial"/>
          <w:sz w:val="18"/>
          <w:szCs w:val="18"/>
          <w:color w:val="auto"/>
        </w:rPr>
      </w:pPr>
    </w:p>
    <w:p>
      <w:pPr>
        <w:ind w:left="660" w:firstLine="1293"/>
        <w:spacing w:after="0" w:line="277" w:lineRule="auto"/>
        <w:tabs>
          <w:tab w:leader="none" w:pos="2995" w:val="left"/>
        </w:tabs>
        <w:numPr>
          <w:ilvl w:val="1"/>
          <w:numId w:val="761"/>
        </w:numPr>
        <w:rPr>
          <w:rFonts w:ascii="Arial" w:cs="Arial" w:eastAsia="Arial" w:hAnsi="Arial"/>
          <w:sz w:val="18"/>
          <w:szCs w:val="18"/>
          <w:color w:val="auto"/>
        </w:rPr>
      </w:pPr>
      <w:r>
        <w:rPr>
          <w:rFonts w:ascii="Arial" w:cs="Arial" w:eastAsia="Arial" w:hAnsi="Arial"/>
          <w:sz w:val="18"/>
          <w:szCs w:val="18"/>
          <w:color w:val="auto"/>
        </w:rPr>
        <w:t>if it is a Swiss Non-Qualifying Lender, it counts as one single creditor for purposes of the Swiss Non-Bank Rules (taking into account any participations and sub-participations).</w:t>
      </w:r>
    </w:p>
    <w:p>
      <w:pPr>
        <w:spacing w:after="0" w:line="170" w:lineRule="exact"/>
        <w:rPr>
          <w:rFonts w:ascii="Arial" w:cs="Arial" w:eastAsia="Arial" w:hAnsi="Arial"/>
          <w:sz w:val="18"/>
          <w:szCs w:val="18"/>
          <w:color w:val="auto"/>
        </w:rPr>
      </w:pPr>
    </w:p>
    <w:p>
      <w:pPr>
        <w:ind w:firstLine="1305"/>
        <w:spacing w:after="0" w:line="277" w:lineRule="auto"/>
        <w:tabs>
          <w:tab w:leader="none" w:pos="2306" w:val="left"/>
        </w:tabs>
        <w:numPr>
          <w:ilvl w:val="0"/>
          <w:numId w:val="761"/>
        </w:numPr>
        <w:rPr>
          <w:rFonts w:ascii="Arial" w:cs="Arial" w:eastAsia="Arial" w:hAnsi="Arial"/>
          <w:sz w:val="18"/>
          <w:szCs w:val="18"/>
          <w:color w:val="auto"/>
        </w:rPr>
      </w:pPr>
      <w:r>
        <w:rPr>
          <w:rFonts w:ascii="Arial" w:cs="Arial" w:eastAsia="Arial" w:hAnsi="Arial"/>
          <w:sz w:val="18"/>
          <w:szCs w:val="18"/>
          <w:color w:val="auto"/>
        </w:rPr>
        <w:t>Each Lender or Participant (including sub-participants) shall promptly notify Parent and the Administrative Agent if for any reason it ceases to be a Swiss Qualifying Lender.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11.26 </w:t>
      </w:r>
      <w:r>
        <w:rPr>
          <w:rFonts w:ascii="Arial" w:cs="Arial" w:eastAsia="Arial" w:hAnsi="Arial"/>
          <w:sz w:val="17"/>
          <w:szCs w:val="17"/>
          <w:u w:val="single" w:color="auto"/>
          <w:color w:val="auto"/>
        </w:rPr>
        <w:t>Joint Lead Arrangers and Joint Book Runners</w:t>
      </w:r>
      <w:r>
        <w:rPr>
          <w:rFonts w:ascii="Arial" w:cs="Arial" w:eastAsia="Arial" w:hAnsi="Arial"/>
          <w:sz w:val="17"/>
          <w:szCs w:val="17"/>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29" w:name="page630"/>
    <w:bookmarkEnd w:id="629"/>
    <w:p>
      <w:pPr>
        <w:jc w:val="both"/>
        <w:ind w:firstLine="648"/>
        <w:spacing w:after="0" w:line="255" w:lineRule="auto"/>
        <w:rPr>
          <w:sz w:val="20"/>
          <w:szCs w:val="20"/>
          <w:color w:val="auto"/>
        </w:rPr>
      </w:pPr>
      <w:r>
        <w:rPr>
          <w:rFonts w:ascii="Arial" w:cs="Arial" w:eastAsia="Arial" w:hAnsi="Arial"/>
          <w:sz w:val="18"/>
          <w:szCs w:val="18"/>
          <w:color w:val="auto"/>
        </w:rPr>
        <w:t xml:space="preserve">SECTION 11.27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305"/>
        <w:spacing w:after="0" w:line="269" w:lineRule="auto"/>
        <w:tabs>
          <w:tab w:leader="none" w:pos="2360" w:val="left"/>
        </w:tabs>
        <w:numPr>
          <w:ilvl w:val="1"/>
          <w:numId w:val="762"/>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rFonts w:ascii="Arial" w:cs="Arial" w:eastAsia="Arial" w:hAnsi="Arial"/>
          <w:sz w:val="17"/>
          <w:szCs w:val="17"/>
          <w:color w:val="auto"/>
        </w:rPr>
      </w:pPr>
    </w:p>
    <w:p>
      <w:pPr>
        <w:ind w:left="2180" w:hanging="875"/>
        <w:spacing w:after="0"/>
        <w:tabs>
          <w:tab w:leader="none" w:pos="2180" w:val="left"/>
        </w:tabs>
        <w:numPr>
          <w:ilvl w:val="1"/>
          <w:numId w:val="762"/>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11.27</w:t>
      </w:r>
      <w:r>
        <w:rPr>
          <w:rFonts w:ascii="Arial" w:cs="Arial" w:eastAsia="Arial" w:hAnsi="Arial"/>
          <w:sz w:val="18"/>
          <w:szCs w:val="18"/>
          <w:color w:val="auto"/>
        </w:rPr>
        <w:t>, the following terms have the following meanings:</w:t>
      </w:r>
    </w:p>
    <w:p>
      <w:pPr>
        <w:spacing w:after="0" w:line="225" w:lineRule="exact"/>
        <w:rPr>
          <w:rFonts w:ascii="Arial" w:cs="Arial" w:eastAsia="Arial" w:hAnsi="Arial"/>
          <w:sz w:val="18"/>
          <w:szCs w:val="18"/>
          <w:color w:val="auto"/>
        </w:rPr>
      </w:pPr>
    </w:p>
    <w:p>
      <w:pPr>
        <w:ind w:left="660" w:firstLine="1293"/>
        <w:spacing w:after="0" w:line="277" w:lineRule="auto"/>
        <w:tabs>
          <w:tab w:leader="none" w:pos="2891" w:val="left"/>
        </w:tabs>
        <w:numPr>
          <w:ilvl w:val="2"/>
          <w:numId w:val="7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rFonts w:ascii="Arial" w:cs="Arial" w:eastAsia="Arial" w:hAnsi="Arial"/>
          <w:sz w:val="18"/>
          <w:szCs w:val="18"/>
          <w:color w:val="auto"/>
        </w:rPr>
      </w:pPr>
    </w:p>
    <w:p>
      <w:pPr>
        <w:jc w:val="both"/>
        <w:ind w:left="660" w:firstLine="1293"/>
        <w:spacing w:after="0" w:line="291" w:lineRule="auto"/>
        <w:tabs>
          <w:tab w:leader="none" w:pos="3036" w:val="left"/>
        </w:tabs>
        <w:numPr>
          <w:ilvl w:val="2"/>
          <w:numId w:val="7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§252.82(b); (ii) a “covered bank” as that term is defined in, and interpreted in accordance with, 12 C.F.R. §47.3(b); or</w:t>
      </w:r>
    </w:p>
    <w:p>
      <w:pPr>
        <w:ind w:left="980" w:hanging="324"/>
        <w:spacing w:after="0"/>
        <w:tabs>
          <w:tab w:leader="none" w:pos="98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§382.2(b).</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30" w:name="page631"/>
    <w:bookmarkEnd w:id="630"/>
    <w:p>
      <w:pPr>
        <w:ind w:left="660" w:firstLine="1293"/>
        <w:spacing w:after="0" w:line="277" w:lineRule="auto"/>
        <w:tabs>
          <w:tab w:leader="none" w:pos="2915" w:val="left"/>
        </w:tabs>
        <w:numPr>
          <w:ilvl w:val="0"/>
          <w:numId w:val="7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rFonts w:ascii="Arial" w:cs="Arial" w:eastAsia="Arial" w:hAnsi="Arial"/>
          <w:sz w:val="18"/>
          <w:szCs w:val="18"/>
          <w:color w:val="auto"/>
        </w:rPr>
      </w:pPr>
    </w:p>
    <w:p>
      <w:pPr>
        <w:ind w:left="2900" w:hanging="947"/>
        <w:spacing w:after="0"/>
        <w:tabs>
          <w:tab w:leader="none" w:pos="2900" w:val="left"/>
        </w:tabs>
        <w:numPr>
          <w:ilvl w:val="0"/>
          <w:numId w:val="7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with, 12 U.S.C. 5390(c)(8)(D).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11.28 </w:t>
      </w:r>
      <w:r>
        <w:rPr>
          <w:rFonts w:ascii="Arial" w:cs="Arial" w:eastAsia="Arial" w:hAnsi="Arial"/>
          <w:sz w:val="17"/>
          <w:szCs w:val="17"/>
          <w:u w:val="single" w:color="auto"/>
          <w:color w:val="auto"/>
        </w:rPr>
        <w:t>Credit Reporting Act Notice</w:t>
      </w:r>
      <w:r>
        <w:rPr>
          <w:rFonts w:ascii="Arial" w:cs="Arial" w:eastAsia="Arial" w:hAnsi="Arial"/>
          <w:sz w:val="17"/>
          <w:szCs w:val="17"/>
          <w:color w:val="auto"/>
        </w:rPr>
        <w:t>. Under the Credit Reporting Act 2013 of Ireland,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Central Credit Register is maintained and operated by the Central Bank of Ireland. For information on your rights and duties under the Credit Reporting Act 2013 please refer to the factsheet prepared by the Central Bank of Ireland. This factsheet is available on www.centralcreditregister.ie.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 pages intentionally omitted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1" w:name="page632"/>
    <w:bookmarkEnd w:id="63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 AND ASSUMPTION</w:t>
      </w:r>
    </w:p>
    <w:p>
      <w:pPr>
        <w:spacing w:after="0" w:line="22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and is entered into by and between [</w:t>
      </w:r>
      <w:r>
        <w:rPr>
          <w:rFonts w:ascii="Arial" w:cs="Arial" w:eastAsia="Arial" w:hAnsi="Arial"/>
          <w:sz w:val="17"/>
          <w:szCs w:val="17"/>
          <w:i w:val="1"/>
          <w:iCs w:val="1"/>
          <w:color w:val="auto"/>
        </w:rPr>
        <w:t>Insert name of Assignor</w:t>
      </w:r>
      <w:r>
        <w:rPr>
          <w:rFonts w:ascii="Arial" w:cs="Arial" w:eastAsia="Arial" w:hAnsi="Arial"/>
          <w:sz w:val="17"/>
          <w:szCs w:val="17"/>
          <w:color w:val="auto"/>
        </w:rPr>
        <w:t>] ([the] [each an]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Assignor</w:t>
      </w:r>
      <w:r>
        <w:rPr>
          <w:rFonts w:ascii="Arial" w:cs="Arial" w:eastAsia="Arial" w:hAnsi="Arial"/>
          <w:sz w:val="17"/>
          <w:szCs w:val="17"/>
          <w:color w:val="auto"/>
        </w:rPr>
        <w:t>”) and [</w:t>
      </w:r>
      <w:r>
        <w:rPr>
          <w:rFonts w:ascii="Arial" w:cs="Arial" w:eastAsia="Arial" w:hAnsi="Arial"/>
          <w:sz w:val="17"/>
          <w:szCs w:val="17"/>
          <w:i w:val="1"/>
          <w:iCs w:val="1"/>
          <w:color w:val="auto"/>
        </w:rPr>
        <w:t>Insert name of Assignee</w:t>
      </w:r>
      <w:r>
        <w:rPr>
          <w:rFonts w:ascii="Arial" w:cs="Arial" w:eastAsia="Arial" w:hAnsi="Arial"/>
          <w:sz w:val="17"/>
          <w:szCs w:val="17"/>
          <w:color w:val="auto"/>
        </w:rPr>
        <w:t>]</w:t>
      </w:r>
      <w:r>
        <w:rPr>
          <w:rFonts w:ascii="Arial" w:cs="Arial" w:eastAsia="Arial" w:hAnsi="Arial"/>
          <w:sz w:val="28"/>
          <w:szCs w:val="28"/>
          <w:color w:val="auto"/>
          <w:vertAlign w:val="superscript"/>
        </w:rPr>
        <w:t>2</w:t>
      </w:r>
      <w:r>
        <w:rPr>
          <w:rFonts w:ascii="Arial" w:cs="Arial" w:eastAsia="Arial" w:hAnsi="Arial"/>
          <w:sz w:val="17"/>
          <w:szCs w:val="17"/>
          <w:color w:val="auto"/>
        </w:rPr>
        <w:t>, ([the] [each an] “</w:t>
      </w:r>
      <w:r>
        <w:rPr>
          <w:rFonts w:ascii="Arial" w:cs="Arial" w:eastAsia="Arial" w:hAnsi="Arial"/>
          <w:sz w:val="17"/>
          <w:szCs w:val="17"/>
          <w:u w:val="single" w:color="auto"/>
          <w:color w:val="auto"/>
        </w:rPr>
        <w:t>Assignee</w:t>
      </w:r>
      <w:r>
        <w:rPr>
          <w:rFonts w:ascii="Arial" w:cs="Arial" w:eastAsia="Arial" w:hAnsi="Arial"/>
          <w:sz w:val="17"/>
          <w:szCs w:val="17"/>
          <w:color w:val="auto"/>
        </w:rPr>
        <w:t>”). Capitalized terms used but not defined herein shall have the respective meanings given to them in the Credit Agreement identified below (as amended, restated,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receipt of a copy of which is hereby acknowledged by the Assignee. The Standard Terms and Conditions set forth in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Standard Terms and Conditions</w:t>
      </w:r>
      <w:r>
        <w:rPr>
          <w:rFonts w:ascii="Arial" w:cs="Arial" w:eastAsia="Arial" w:hAnsi="Arial"/>
          <w:sz w:val="17"/>
          <w:szCs w:val="17"/>
          <w:color w:val="auto"/>
        </w:rPr>
        <w:t>”) are hereby agreed to and incorporated herein by reference and made a part of this Assignment and Assumption as if set forth herein in full.</w:t>
      </w:r>
    </w:p>
    <w:p>
      <w:pPr>
        <w:spacing w:after="0" w:line="19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For an agreed consideration, [the] [each] Assignor hereby irrevocably sells and assigns to [the] [each] Assignee, and [the] [each] Assignee hereby irrevocably purchases and assumes from [the] [each] Assignor, subject to and in accordance with the Standard Terms and Conditions and the Credit Agreement, as of the Effective Date inserted by the Administrative Agent, as contemplated below, (i) all of [the] [each] Assignor’s rights and obligations in its capacity as a Lender under the Credit Agreement and the other Loan Documents to the extent related to the amount and percentage interest identified below of all of such outstanding rights and obligations of the [the] [each] Assignor under the Credit Agreement and the other Loan Documents and (ii) to the extent permitted to be assigned under applicable law, all claims, suits, causes of action and any other right of [the] [each]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by [the] [each] Assignor to [the] [each] Assignee pursuant to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(the rights and obligations sold and assigned pursuant to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[each] Assignor.</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provisions set out in clause 10.01 (c) and (d) of the Credit Agreement shall apply to each Assignee as if it were an initial party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3" w:lineRule="exact"/>
        <w:rPr>
          <w:sz w:val="20"/>
          <w:szCs w:val="20"/>
          <w:color w:val="auto"/>
        </w:rPr>
      </w:pPr>
    </w:p>
    <w:p>
      <w:pPr>
        <w:ind w:firstLine="8"/>
        <w:spacing w:after="0" w:line="207" w:lineRule="auto"/>
        <w:tabs>
          <w:tab w:leader="none" w:pos="113" w:val="left"/>
        </w:tabs>
        <w:numPr>
          <w:ilvl w:val="0"/>
          <w:numId w:val="765"/>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to multiple Assignors, choose the second bracketed language.</w:t>
      </w:r>
    </w:p>
    <w:p>
      <w:pPr>
        <w:spacing w:after="0" w:line="26" w:lineRule="exact"/>
        <w:rPr>
          <w:sz w:val="20"/>
          <w:szCs w:val="20"/>
          <w:color w:val="auto"/>
        </w:rPr>
      </w:pPr>
    </w:p>
    <w:p>
      <w:pPr>
        <w:ind w:firstLine="8"/>
        <w:spacing w:after="0" w:line="207" w:lineRule="auto"/>
        <w:tabs>
          <w:tab w:leader="none" w:pos="113" w:val="left"/>
        </w:tabs>
        <w:numPr>
          <w:ilvl w:val="0"/>
          <w:numId w:val="766"/>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Assignee(s), if the assignment is from a single Assignee, choose the first bracketed language. If the assignment is to multiple Assignees, choose the second bracketed language.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2" w:name="page633"/>
    <w:bookmarkEnd w:id="632"/>
    <w:p>
      <w:pPr>
        <w:ind w:left="960" w:hanging="952"/>
        <w:spacing w:after="0"/>
        <w:tabs>
          <w:tab w:leader="none" w:pos="96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Assignor[s]: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14605</wp:posOffset>
            </wp:positionV>
            <wp:extent cx="441642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2.</w:t>
            </w:r>
          </w:p>
        </w:tc>
        <w:tc>
          <w:tcPr>
            <w:tcW w:w="3920" w:type="dxa"/>
            <w:vAlign w:val="bottom"/>
          </w:tcPr>
          <w:p>
            <w:pPr>
              <w:ind w:left="420"/>
              <w:spacing w:after="0"/>
              <w:rPr>
                <w:sz w:val="20"/>
                <w:szCs w:val="20"/>
                <w:color w:val="auto"/>
              </w:rPr>
            </w:pPr>
            <w:r>
              <w:rPr>
                <w:rFonts w:ascii="Arial" w:cs="Arial" w:eastAsia="Arial" w:hAnsi="Arial"/>
                <w:sz w:val="18"/>
                <w:szCs w:val="18"/>
                <w:color w:val="auto"/>
              </w:rPr>
              <w:t>Assignee[s]:</w:t>
            </w:r>
          </w:p>
        </w:tc>
        <w:tc>
          <w:tcPr>
            <w:tcW w:w="69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and is [a][an] [Lender][Affiliate or Approved Fund of [identify Lender]][other assignee]</w:t>
            </w:r>
            <w:r>
              <w:rPr>
                <w:rFonts w:ascii="Arial" w:cs="Arial" w:eastAsia="Arial" w:hAnsi="Arial"/>
                <w:sz w:val="30"/>
                <w:szCs w:val="30"/>
                <w:color w:val="auto"/>
                <w:vertAlign w:val="superscript"/>
              </w:rPr>
              <w:t>3</w:t>
            </w:r>
          </w:p>
        </w:tc>
        <w:tc>
          <w:tcPr>
            <w:tcW w:w="20" w:type="dxa"/>
            <w:vAlign w:val="bottom"/>
          </w:tcPr>
          <w:p>
            <w:pPr>
              <w:spacing w:after="0"/>
              <w:rPr>
                <w:sz w:val="24"/>
                <w:szCs w:val="24"/>
                <w:color w:val="auto"/>
              </w:rPr>
            </w:pPr>
          </w:p>
        </w:tc>
      </w:tr>
      <w:tr>
        <w:trPr>
          <w:trHeight w:val="258"/>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3.</w:t>
            </w:r>
          </w:p>
        </w:tc>
        <w:tc>
          <w:tcPr>
            <w:tcW w:w="3920" w:type="dxa"/>
            <w:vAlign w:val="bottom"/>
          </w:tcPr>
          <w:p>
            <w:pPr>
              <w:ind w:left="420"/>
              <w:spacing w:after="0"/>
              <w:rPr>
                <w:sz w:val="20"/>
                <w:szCs w:val="20"/>
                <w:color w:val="auto"/>
              </w:rPr>
            </w:pPr>
            <w:r>
              <w:rPr>
                <w:rFonts w:ascii="Arial" w:cs="Arial" w:eastAsia="Arial" w:hAnsi="Arial"/>
                <w:sz w:val="18"/>
                <w:szCs w:val="18"/>
                <w:color w:val="auto"/>
              </w:rPr>
              <w:t>Borrowers:</w:t>
            </w:r>
          </w:p>
        </w:tc>
        <w:tc>
          <w:tcPr>
            <w:tcW w:w="6980" w:type="dxa"/>
            <w:vAlign w:val="bottom"/>
            <w:gridSpan w:val="14"/>
          </w:tcPr>
          <w:p>
            <w:pPr>
              <w:spacing w:after="0"/>
              <w:rPr>
                <w:sz w:val="20"/>
                <w:szCs w:val="20"/>
                <w:color w:val="auto"/>
              </w:rPr>
            </w:pPr>
            <w:r>
              <w:rPr>
                <w:rFonts w:ascii="Arial" w:cs="Arial" w:eastAsia="Arial" w:hAnsi="Arial"/>
                <w:sz w:val="18"/>
                <w:szCs w:val="18"/>
                <w:color w:val="auto"/>
                <w:w w:val="97"/>
              </w:rPr>
              <w:t>Weatherford  International  Ltd.,  a  Bermuda  exempted  company  (“WIL-Bermuda”)  and</w:t>
            </w:r>
          </w:p>
        </w:tc>
      </w:tr>
      <w:tr>
        <w:trPr>
          <w:trHeight w:val="20"/>
        </w:trPr>
        <w:tc>
          <w:tcPr>
            <w:tcW w:w="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980" w:type="dxa"/>
            <w:vAlign w:val="bottom"/>
            <w:gridSpan w:val="14"/>
          </w:tcPr>
          <w:p>
            <w:pPr>
              <w:spacing w:after="0" w:line="196" w:lineRule="exact"/>
              <w:rPr>
                <w:sz w:val="20"/>
                <w:szCs w:val="20"/>
                <w:color w:val="auto"/>
              </w:rPr>
            </w:pPr>
            <w:r>
              <w:rPr>
                <w:rFonts w:ascii="Arial" w:cs="Arial" w:eastAsia="Arial" w:hAnsi="Arial"/>
                <w:sz w:val="18"/>
                <w:szCs w:val="18"/>
                <w:color w:val="auto"/>
              </w:rPr>
              <w:t>Weatherford International, LLC, a Delaware limited liability company (“WIL-Delaware”</w:t>
            </w:r>
          </w:p>
        </w:tc>
      </w:tr>
      <w:tr>
        <w:trPr>
          <w:trHeight w:val="196"/>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780" w:type="dxa"/>
            <w:vAlign w:val="bottom"/>
            <w:gridSpan w:val="10"/>
          </w:tcPr>
          <w:p>
            <w:pPr>
              <w:spacing w:after="0" w:line="196" w:lineRule="exact"/>
              <w:rPr>
                <w:sz w:val="20"/>
                <w:szCs w:val="20"/>
                <w:color w:val="auto"/>
              </w:rPr>
            </w:pPr>
            <w:r>
              <w:rPr>
                <w:rFonts w:ascii="Arial" w:cs="Arial" w:eastAsia="Arial" w:hAnsi="Arial"/>
                <w:sz w:val="18"/>
                <w:szCs w:val="18"/>
                <w:color w:val="auto"/>
              </w:rPr>
              <w:t>and together with WIL-Bermuda, the “Borrowers”)</w:t>
            </w:r>
          </w:p>
        </w:tc>
        <w:tc>
          <w:tcPr>
            <w:tcW w:w="1100" w:type="dxa"/>
            <w:vAlign w:val="bottom"/>
            <w:tcBorders>
              <w:top w:val="single" w:sz="8" w:color="auto"/>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r>
      <w:tr>
        <w:trPr>
          <w:trHeight w:val="412"/>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4.</w:t>
            </w:r>
          </w:p>
        </w:tc>
        <w:tc>
          <w:tcPr>
            <w:tcW w:w="3920" w:type="dxa"/>
            <w:vAlign w:val="bottom"/>
          </w:tcPr>
          <w:p>
            <w:pPr>
              <w:ind w:left="420"/>
              <w:spacing w:after="0"/>
              <w:rPr>
                <w:sz w:val="20"/>
                <w:szCs w:val="20"/>
                <w:color w:val="auto"/>
              </w:rPr>
            </w:pPr>
            <w:r>
              <w:rPr>
                <w:rFonts w:ascii="Arial" w:cs="Arial" w:eastAsia="Arial" w:hAnsi="Arial"/>
                <w:sz w:val="18"/>
                <w:szCs w:val="18"/>
                <w:color w:val="auto"/>
              </w:rPr>
              <w:t>Administrative Agent:</w:t>
            </w:r>
          </w:p>
        </w:tc>
        <w:tc>
          <w:tcPr>
            <w:tcW w:w="6980" w:type="dxa"/>
            <w:vAlign w:val="bottom"/>
            <w:gridSpan w:val="14"/>
          </w:tcPr>
          <w:p>
            <w:pPr>
              <w:spacing w:after="0"/>
              <w:rPr>
                <w:sz w:val="20"/>
                <w:szCs w:val="20"/>
                <w:color w:val="auto"/>
              </w:rPr>
            </w:pPr>
            <w:r>
              <w:rPr>
                <w:rFonts w:ascii="Arial" w:cs="Arial" w:eastAsia="Arial" w:hAnsi="Arial"/>
                <w:sz w:val="18"/>
                <w:szCs w:val="18"/>
                <w:color w:val="auto"/>
                <w:w w:val="95"/>
              </w:rPr>
              <w:t>Deutsche Bank Trust Company Americas (“DBTCA”), as the Administrative Agent under the</w:t>
            </w:r>
          </w:p>
        </w:tc>
      </w:tr>
      <w:tr>
        <w:trPr>
          <w:trHeight w:val="237"/>
        </w:trPr>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60" w:type="dxa"/>
            <w:vAlign w:val="bottom"/>
            <w:gridSpan w:val="6"/>
          </w:tcPr>
          <w:p>
            <w:pPr>
              <w:spacing w:after="0"/>
              <w:rPr>
                <w:sz w:val="20"/>
                <w:szCs w:val="20"/>
                <w:color w:val="auto"/>
              </w:rPr>
            </w:pPr>
            <w:r>
              <w:rPr>
                <w:rFonts w:ascii="Arial" w:cs="Arial" w:eastAsia="Arial" w:hAnsi="Arial"/>
                <w:sz w:val="18"/>
                <w:szCs w:val="18"/>
                <w:color w:val="auto"/>
              </w:rPr>
              <w:t>Credit Agreement</w:t>
            </w:r>
          </w:p>
        </w:tc>
        <w:tc>
          <w:tcPr>
            <w:tcW w:w="620" w:type="dxa"/>
            <w:vAlign w:val="bottom"/>
            <w:tcBorders>
              <w:top w:val="single" w:sz="8" w:color="auto"/>
            </w:tcBorders>
            <w:gridSpan w:val="2"/>
          </w:tcPr>
          <w:p>
            <w:pPr>
              <w:spacing w:after="0"/>
              <w:rPr>
                <w:sz w:val="20"/>
                <w:szCs w:val="20"/>
                <w:color w:val="auto"/>
              </w:rPr>
            </w:pPr>
          </w:p>
        </w:tc>
        <w:tc>
          <w:tcPr>
            <w:tcW w:w="3100" w:type="dxa"/>
            <w:vAlign w:val="bottom"/>
            <w:gridSpan w:val="6"/>
          </w:tcPr>
          <w:p>
            <w:pPr>
              <w:spacing w:after="0"/>
              <w:rPr>
                <w:sz w:val="20"/>
                <w:szCs w:val="20"/>
                <w:color w:val="auto"/>
              </w:rPr>
            </w:pPr>
          </w:p>
        </w:tc>
      </w:tr>
      <w:tr>
        <w:trPr>
          <w:trHeight w:val="418"/>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5.</w:t>
            </w:r>
          </w:p>
        </w:tc>
        <w:tc>
          <w:tcPr>
            <w:tcW w:w="3920" w:type="dxa"/>
            <w:vAlign w:val="bottom"/>
          </w:tcPr>
          <w:p>
            <w:pPr>
              <w:ind w:left="420"/>
              <w:spacing w:after="0"/>
              <w:rPr>
                <w:sz w:val="20"/>
                <w:szCs w:val="20"/>
                <w:color w:val="auto"/>
              </w:rPr>
            </w:pPr>
            <w:r>
              <w:rPr>
                <w:rFonts w:ascii="Arial" w:cs="Arial" w:eastAsia="Arial" w:hAnsi="Arial"/>
                <w:sz w:val="18"/>
                <w:szCs w:val="18"/>
                <w:color w:val="auto"/>
              </w:rPr>
              <w:t>Credit Agreement:</w:t>
            </w:r>
          </w:p>
        </w:tc>
        <w:tc>
          <w:tcPr>
            <w:tcW w:w="6980" w:type="dxa"/>
            <w:vAlign w:val="bottom"/>
            <w:gridSpan w:val="14"/>
          </w:tcPr>
          <w:p>
            <w:pPr>
              <w:spacing w:after="0"/>
              <w:rPr>
                <w:sz w:val="20"/>
                <w:szCs w:val="20"/>
                <w:color w:val="auto"/>
              </w:rPr>
            </w:pPr>
            <w:r>
              <w:rPr>
                <w:rFonts w:ascii="Arial" w:cs="Arial" w:eastAsia="Arial" w:hAnsi="Arial"/>
                <w:sz w:val="18"/>
                <w:szCs w:val="18"/>
                <w:color w:val="auto"/>
                <w:w w:val="93"/>
              </w:rPr>
              <w:t>LC Credit Agreement, dated as of December [5], 2019, among WIL-Bermuda, WIL-Delaware,</w:t>
            </w:r>
          </w:p>
        </w:tc>
      </w:tr>
      <w:tr>
        <w:trPr>
          <w:trHeight w:val="190"/>
        </w:trPr>
        <w:tc>
          <w:tcPr>
            <w:tcW w:w="5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6980" w:type="dxa"/>
            <w:vAlign w:val="bottom"/>
            <w:gridSpan w:val="14"/>
          </w:tcPr>
          <w:p>
            <w:pPr>
              <w:spacing w:after="0" w:line="190" w:lineRule="exact"/>
              <w:rPr>
                <w:sz w:val="20"/>
                <w:szCs w:val="20"/>
                <w:color w:val="auto"/>
              </w:rPr>
            </w:pPr>
            <w:r>
              <w:rPr>
                <w:rFonts w:ascii="Arial" w:cs="Arial" w:eastAsia="Arial" w:hAnsi="Arial"/>
                <w:sz w:val="18"/>
                <w:szCs w:val="18"/>
                <w:color w:val="auto"/>
                <w:w w:val="94"/>
              </w:rPr>
              <w:t>Weatherford International plc (“Parent”), the Lenders from time to time party thereto, DBTCA,</w:t>
            </w:r>
          </w:p>
        </w:tc>
      </w:tr>
      <w:tr>
        <w:trPr>
          <w:trHeight w:val="20"/>
        </w:trPr>
        <w:tc>
          <w:tcPr>
            <w:tcW w:w="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0" w:type="dxa"/>
            <w:vAlign w:val="bottom"/>
            <w:gridSpan w:val="10"/>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6980" w:type="dxa"/>
            <w:vAlign w:val="bottom"/>
            <w:gridSpan w:val="14"/>
          </w:tcPr>
          <w:p>
            <w:pPr>
              <w:spacing w:after="0"/>
              <w:rPr>
                <w:sz w:val="20"/>
                <w:szCs w:val="20"/>
                <w:color w:val="auto"/>
              </w:rPr>
            </w:pPr>
            <w:r>
              <w:rPr>
                <w:rFonts w:ascii="Arial" w:cs="Arial" w:eastAsia="Arial" w:hAnsi="Arial"/>
                <w:sz w:val="18"/>
                <w:szCs w:val="18"/>
                <w:color w:val="auto"/>
                <w:w w:val="92"/>
              </w:rPr>
              <w:t>as administrative agent for the Lenders, and the Issuing Banks from time to time party thereto,</w:t>
            </w:r>
          </w:p>
        </w:tc>
      </w:tr>
      <w:tr>
        <w:trPr>
          <w:trHeight w:val="216"/>
        </w:trPr>
        <w:tc>
          <w:tcPr>
            <w:tcW w:w="5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980" w:type="dxa"/>
            <w:vAlign w:val="bottom"/>
            <w:gridSpan w:val="14"/>
          </w:tcPr>
          <w:p>
            <w:pPr>
              <w:spacing w:after="0"/>
              <w:rPr>
                <w:sz w:val="20"/>
                <w:szCs w:val="20"/>
                <w:color w:val="auto"/>
              </w:rPr>
            </w:pPr>
            <w:r>
              <w:rPr>
                <w:rFonts w:ascii="Arial" w:cs="Arial" w:eastAsia="Arial" w:hAnsi="Arial"/>
                <w:sz w:val="18"/>
                <w:szCs w:val="18"/>
                <w:color w:val="auto"/>
                <w:w w:val="91"/>
              </w:rPr>
              <w:t>as amended, restated, amended and restated, supplemented or otherwise modified from time to</w:t>
            </w:r>
          </w:p>
        </w:tc>
      </w:tr>
      <w:tr>
        <w:trPr>
          <w:trHeight w:val="230"/>
        </w:trPr>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980" w:type="dxa"/>
            <w:vAlign w:val="bottom"/>
            <w:gridSpan w:val="14"/>
          </w:tcPr>
          <w:p>
            <w:pPr>
              <w:spacing w:after="0"/>
              <w:rPr>
                <w:sz w:val="20"/>
                <w:szCs w:val="20"/>
                <w:color w:val="auto"/>
              </w:rPr>
            </w:pPr>
            <w:r>
              <w:rPr>
                <w:rFonts w:ascii="Arial" w:cs="Arial" w:eastAsia="Arial" w:hAnsi="Arial"/>
                <w:sz w:val="18"/>
                <w:szCs w:val="18"/>
                <w:color w:val="auto"/>
              </w:rPr>
              <w:t>time</w:t>
            </w:r>
          </w:p>
        </w:tc>
      </w:tr>
      <w:tr>
        <w:trPr>
          <w:trHeight w:val="392"/>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6.</w:t>
            </w:r>
          </w:p>
        </w:tc>
        <w:tc>
          <w:tcPr>
            <w:tcW w:w="3920" w:type="dxa"/>
            <w:vAlign w:val="bottom"/>
          </w:tcPr>
          <w:p>
            <w:pPr>
              <w:ind w:left="420"/>
              <w:spacing w:after="0"/>
              <w:rPr>
                <w:sz w:val="20"/>
                <w:szCs w:val="20"/>
                <w:color w:val="auto"/>
              </w:rPr>
            </w:pPr>
            <w:r>
              <w:rPr>
                <w:rFonts w:ascii="Arial" w:cs="Arial" w:eastAsia="Arial" w:hAnsi="Arial"/>
                <w:sz w:val="18"/>
                <w:szCs w:val="18"/>
                <w:color w:val="auto"/>
              </w:rPr>
              <w:t>Assigned Interest:</w:t>
            </w:r>
          </w:p>
        </w:tc>
        <w:tc>
          <w:tcPr>
            <w:tcW w:w="6980" w:type="dxa"/>
            <w:vAlign w:val="bottom"/>
            <w:gridSpan w:val="14"/>
          </w:tcPr>
          <w:p>
            <w:pPr>
              <w:spacing w:after="0"/>
              <w:rPr>
                <w:sz w:val="20"/>
                <w:szCs w:val="20"/>
                <w:color w:val="auto"/>
              </w:rPr>
            </w:pPr>
            <w:r>
              <w:rPr>
                <w:rFonts w:ascii="Arial" w:cs="Arial" w:eastAsia="Arial" w:hAnsi="Arial"/>
                <w:sz w:val="18"/>
                <w:szCs w:val="18"/>
                <w:color w:val="auto"/>
              </w:rPr>
              <w:t>As set forth on Annex 2 attached hereto.</w:t>
            </w:r>
          </w:p>
        </w:tc>
      </w:tr>
      <w:tr>
        <w:trPr>
          <w:trHeight w:val="20"/>
        </w:trPr>
        <w:tc>
          <w:tcPr>
            <w:tcW w:w="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r>
      <w:tr>
        <w:trPr>
          <w:trHeight w:val="438"/>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7.</w:t>
            </w:r>
          </w:p>
        </w:tc>
        <w:tc>
          <w:tcPr>
            <w:tcW w:w="3920" w:type="dxa"/>
            <w:vAlign w:val="bottom"/>
          </w:tcPr>
          <w:p>
            <w:pPr>
              <w:ind w:left="420"/>
              <w:spacing w:after="0"/>
              <w:rPr>
                <w:sz w:val="20"/>
                <w:szCs w:val="20"/>
                <w:color w:val="auto"/>
              </w:rPr>
            </w:pPr>
            <w:r>
              <w:rPr>
                <w:rFonts w:ascii="Arial" w:cs="Arial" w:eastAsia="Arial" w:hAnsi="Arial"/>
                <w:sz w:val="18"/>
                <w:szCs w:val="18"/>
                <w:color w:val="auto"/>
              </w:rPr>
              <w:t>Effective Date:</w:t>
            </w:r>
          </w:p>
        </w:tc>
        <w:tc>
          <w:tcPr>
            <w:tcW w:w="6980" w:type="dxa"/>
            <w:vAlign w:val="bottom"/>
            <w:gridSpan w:val="14"/>
          </w:tcPr>
          <w:p>
            <w:pPr>
              <w:spacing w:after="0"/>
              <w:rPr>
                <w:sz w:val="20"/>
                <w:szCs w:val="20"/>
                <w:color w:val="auto"/>
              </w:rPr>
            </w:pPr>
            <w:r>
              <w:rPr>
                <w:rFonts w:ascii="Arial" w:cs="Arial" w:eastAsia="Arial" w:hAnsi="Arial"/>
                <w:sz w:val="18"/>
                <w:szCs w:val="18"/>
                <w:color w:val="auto"/>
                <w:w w:val="97"/>
              </w:rPr>
              <w:t>_____________, 20___ [TO BE INSERTED BY ADMINISTRATIVE AGENT AND WHICH</w:t>
            </w:r>
          </w:p>
        </w:tc>
      </w:tr>
      <w:tr>
        <w:trPr>
          <w:trHeight w:val="216"/>
        </w:trPr>
        <w:tc>
          <w:tcPr>
            <w:tcW w:w="5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980" w:type="dxa"/>
            <w:vAlign w:val="bottom"/>
            <w:gridSpan w:val="14"/>
          </w:tcPr>
          <w:p>
            <w:pPr>
              <w:spacing w:after="0"/>
              <w:rPr>
                <w:sz w:val="20"/>
                <w:szCs w:val="20"/>
                <w:color w:val="auto"/>
              </w:rPr>
            </w:pPr>
            <w:r>
              <w:rPr>
                <w:rFonts w:ascii="Arial" w:cs="Arial" w:eastAsia="Arial" w:hAnsi="Arial"/>
                <w:sz w:val="18"/>
                <w:szCs w:val="18"/>
                <w:color w:val="auto"/>
                <w:w w:val="99"/>
              </w:rPr>
              <w:t>SHALL  BE  THE  EFFECTIVE  DATE  OF  RECORDATION  OF  TRANSFER  IN  THE</w:t>
            </w:r>
          </w:p>
        </w:tc>
      </w:tr>
      <w:tr>
        <w:trPr>
          <w:trHeight w:val="230"/>
        </w:trPr>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980" w:type="dxa"/>
            <w:vAlign w:val="bottom"/>
            <w:gridSpan w:val="14"/>
          </w:tcPr>
          <w:p>
            <w:pPr>
              <w:spacing w:after="0"/>
              <w:rPr>
                <w:sz w:val="20"/>
                <w:szCs w:val="20"/>
                <w:color w:val="auto"/>
              </w:rPr>
            </w:pPr>
            <w:r>
              <w:rPr>
                <w:rFonts w:ascii="Arial" w:cs="Arial" w:eastAsia="Arial" w:hAnsi="Arial"/>
                <w:sz w:val="18"/>
                <w:szCs w:val="18"/>
                <w:color w:val="auto"/>
              </w:rPr>
              <w:t>REGISTER THEREFOR.]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0975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ind w:left="120" w:hanging="112"/>
        <w:spacing w:after="0"/>
        <w:tabs>
          <w:tab w:leader="none" w:pos="120" w:val="left"/>
        </w:tabs>
        <w:numPr>
          <w:ilvl w:val="0"/>
          <w:numId w:val="768"/>
        </w:numPr>
        <w:rPr>
          <w:rFonts w:ascii="Arial" w:cs="Arial" w:eastAsia="Arial" w:hAnsi="Arial"/>
          <w:sz w:val="30"/>
          <w:szCs w:val="30"/>
          <w:color w:val="auto"/>
          <w:vertAlign w:val="superscript"/>
        </w:rPr>
      </w:pPr>
      <w:r>
        <w:rPr>
          <w:rFonts w:ascii="Arial" w:cs="Arial" w:eastAsia="Arial" w:hAnsi="Arial"/>
          <w:sz w:val="18"/>
          <w:szCs w:val="18"/>
          <w:color w:val="auto"/>
        </w:rPr>
        <w:t>Select as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ASSIGNOR</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ASSIGNOR]</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 OF ASSIGNEE]</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Accepted: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325882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Bermuda exempted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w:t>
      </w:r>
      <w:r>
        <w:rPr>
          <w:rFonts w:ascii="Arial" w:cs="Arial" w:eastAsia="Arial" w:hAnsi="Arial"/>
          <w:sz w:val="30"/>
          <w:szCs w:val="30"/>
          <w:color w:val="auto"/>
          <w:vertAlign w:val="superscript"/>
        </w:rPr>
        <w:t>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w:t>
      </w:r>
      <w:r>
        <w:rPr>
          <w:rFonts w:ascii="Arial" w:cs="Arial" w:eastAsia="Arial" w:hAnsi="Arial"/>
          <w:sz w:val="30"/>
          <w:szCs w:val="30"/>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80975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7" w:lineRule="exact"/>
        <w:rPr>
          <w:sz w:val="20"/>
          <w:szCs w:val="20"/>
          <w:color w:val="auto"/>
        </w:rPr>
      </w:pPr>
    </w:p>
    <w:p>
      <w:pPr>
        <w:ind w:left="120" w:hanging="112"/>
        <w:spacing w:after="0"/>
        <w:tabs>
          <w:tab w:leader="none" w:pos="120" w:val="left"/>
        </w:tabs>
        <w:numPr>
          <w:ilvl w:val="0"/>
          <w:numId w:val="769"/>
        </w:numPr>
        <w:rPr>
          <w:rFonts w:ascii="Arial" w:cs="Arial" w:eastAsia="Arial" w:hAnsi="Arial"/>
          <w:sz w:val="26"/>
          <w:szCs w:val="26"/>
          <w:color w:val="auto"/>
          <w:vertAlign w:val="superscript"/>
        </w:rPr>
      </w:pPr>
      <w:r>
        <w:rPr>
          <w:rFonts w:ascii="Arial" w:cs="Arial" w:eastAsia="Arial" w:hAnsi="Arial"/>
          <w:sz w:val="16"/>
          <w:szCs w:val="16"/>
          <w:color w:val="auto"/>
        </w:rPr>
        <w:t>To be added only if the consent of the Administrative Agent is required by the terms of the Credit Agreement.</w:t>
      </w:r>
    </w:p>
    <w:p>
      <w:pPr>
        <w:spacing w:after="0" w:line="42" w:lineRule="exact"/>
        <w:rPr>
          <w:rFonts w:ascii="Arial" w:cs="Arial" w:eastAsia="Arial" w:hAnsi="Arial"/>
          <w:sz w:val="26"/>
          <w:szCs w:val="26"/>
          <w:color w:val="auto"/>
          <w:vertAlign w:val="superscript"/>
        </w:rPr>
      </w:pPr>
    </w:p>
    <w:p>
      <w:pPr>
        <w:jc w:val="both"/>
        <w:ind w:right="2919"/>
        <w:spacing w:after="0" w:line="384"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To be added only if the consent of WIL-Bermuda is required by the terms of the Credit Agreement. </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To be added only if the consent of WIL-Delaware is required by the terms of the Credit Agreement.</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2" w:right="1440"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8719"/>
        <w:spacing w:after="0"/>
        <w:rPr>
          <w:sz w:val="20"/>
          <w:szCs w:val="20"/>
          <w:color w:val="auto"/>
        </w:rPr>
      </w:pPr>
      <w:r>
        <w:rPr>
          <w:rFonts w:ascii="Arial" w:cs="Arial" w:eastAsia="Arial" w:hAnsi="Arial"/>
          <w:sz w:val="18"/>
          <w:szCs w:val="18"/>
          <w:color w:val="auto"/>
        </w:rPr>
        <w:t>[[ISSUING BANK],</w:t>
      </w:r>
    </w:p>
    <w:p>
      <w:pPr>
        <w:spacing w:after="0" w:line="23" w:lineRule="exact"/>
        <w:rPr>
          <w:sz w:val="20"/>
          <w:szCs w:val="20"/>
          <w:color w:val="auto"/>
        </w:rPr>
      </w:pPr>
    </w:p>
    <w:p>
      <w:pPr>
        <w:jc w:val="right"/>
        <w:ind w:right="8699"/>
        <w:spacing w:after="0"/>
        <w:rPr>
          <w:sz w:val="20"/>
          <w:szCs w:val="20"/>
          <w:color w:val="auto"/>
        </w:rPr>
      </w:pPr>
      <w:r>
        <w:rPr>
          <w:rFonts w:ascii="Arial" w:cs="Arial" w:eastAsia="Arial" w:hAnsi="Arial"/>
          <w:sz w:val="18"/>
          <w:szCs w:val="18"/>
          <w:color w:val="auto"/>
        </w:rPr>
        <w:t>as 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r>
        <w:rPr>
          <w:rFonts w:ascii="Arial" w:cs="Arial" w:eastAsia="Arial" w:hAnsi="Arial"/>
          <w:sz w:val="30"/>
          <w:szCs w:val="30"/>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80975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1" w:lineRule="exact"/>
        <w:rPr>
          <w:sz w:val="20"/>
          <w:szCs w:val="20"/>
          <w:color w:val="auto"/>
        </w:rPr>
      </w:pPr>
    </w:p>
    <w:p>
      <w:pPr>
        <w:ind w:left="120" w:hanging="112"/>
        <w:spacing w:after="0"/>
        <w:tabs>
          <w:tab w:leader="none" w:pos="120" w:val="left"/>
        </w:tabs>
        <w:numPr>
          <w:ilvl w:val="0"/>
          <w:numId w:val="770"/>
        </w:numPr>
        <w:rPr>
          <w:rFonts w:ascii="Arial" w:cs="Arial" w:eastAsia="Arial" w:hAnsi="Arial"/>
          <w:sz w:val="30"/>
          <w:szCs w:val="30"/>
          <w:color w:val="auto"/>
          <w:vertAlign w:val="superscript"/>
        </w:rPr>
      </w:pPr>
      <w:r>
        <w:rPr>
          <w:rFonts w:ascii="Arial" w:cs="Arial" w:eastAsia="Arial" w:hAnsi="Arial"/>
          <w:sz w:val="18"/>
          <w:szCs w:val="18"/>
          <w:color w:val="auto"/>
        </w:rPr>
        <w:t>To be added for any additional Issuing Banks.</w:t>
      </w:r>
    </w:p>
    <w:p>
      <w:pPr>
        <w:spacing w:after="0" w:line="200" w:lineRule="exact"/>
        <w:rPr>
          <w:sz w:val="20"/>
          <w:szCs w:val="20"/>
          <w:color w:val="auto"/>
        </w:rPr>
      </w:pPr>
    </w:p>
    <w:p>
      <w:pPr>
        <w:spacing w:after="0" w:line="21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636" w:name="page637"/>
    <w:bookmarkEnd w:id="636"/>
    <w:p>
      <w:pPr>
        <w:jc w:val="right"/>
        <w:spacing w:after="0"/>
        <w:rPr>
          <w:sz w:val="20"/>
          <w:szCs w:val="20"/>
          <w:color w:val="auto"/>
        </w:rPr>
      </w:pPr>
      <w:r>
        <w:rPr>
          <w:rFonts w:ascii="Arial" w:cs="Arial" w:eastAsia="Arial" w:hAnsi="Arial"/>
          <w:sz w:val="18"/>
          <w:szCs w:val="18"/>
          <w:u w:val="single" w:color="auto"/>
          <w:color w:val="auto"/>
        </w:rPr>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100" w:hanging="444"/>
        <w:spacing w:after="0"/>
        <w:tabs>
          <w:tab w:leader="none" w:pos="1100" w:val="left"/>
        </w:tabs>
        <w:numPr>
          <w:ilvl w:val="0"/>
          <w:numId w:val="77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Obligor, any of its Subsidiaries or Affiliates or any other Person obligated in respect of any Loan Document or (iv) the performance or observance by any Obligor, any of its Subsidiaries or Affiliates or any other Person of any of their respective obligations under any Loan Document.</w:t>
      </w:r>
    </w:p>
    <w:p>
      <w:pPr>
        <w:spacing w:after="0" w:line="17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Collateral Agent or any other Lender, (vi) it is not an Ineligible Institution, [[and] (vii) it has delivered to the Administrative Agent an Administrative Questionnaire in which the Assignee designates one or more credit contacts to whom all syndicate-level information (which may contain material non-public information about the Borrowers and their respective Affiliates and their Related Parties or their respective securities) will be made available and who may receive such information in accordance with the Assignee’s compliance procedures and applicable</w:t>
      </w:r>
    </w:p>
    <w:p>
      <w:pPr>
        <w:spacing w:after="0" w:line="3"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laws, including Federal and state securities laws]</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and] [(viii) attached to the Assignment and Assumption are the forms required under </w:t>
      </w:r>
      <w:r>
        <w:rPr>
          <w:rFonts w:ascii="Arial" w:cs="Arial" w:eastAsia="Arial" w:hAnsi="Arial"/>
          <w:sz w:val="16"/>
          <w:szCs w:val="16"/>
          <w:u w:val="single" w:color="auto"/>
          <w:color w:val="auto"/>
        </w:rPr>
        <w:t>Sections 4.02(c)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4.02(e)</w:t>
      </w:r>
      <w:r>
        <w:rPr>
          <w:rFonts w:ascii="Arial" w:cs="Arial" w:eastAsia="Arial" w:hAnsi="Arial"/>
          <w:sz w:val="16"/>
          <w:szCs w:val="16"/>
          <w:color w:val="auto"/>
        </w:rPr>
        <w:t xml:space="preserve"> of the Credit Agreement, duly completed and executed by the Assignee]</w:t>
      </w:r>
      <w:r>
        <w:rPr>
          <w:rFonts w:ascii="Arial" w:cs="Arial" w:eastAsia="Arial" w:hAnsi="Arial"/>
          <w:sz w:val="26"/>
          <w:szCs w:val="26"/>
          <w:color w:val="auto"/>
          <w:vertAlign w:val="superscript"/>
        </w:rPr>
        <w:t>9</w:t>
      </w:r>
      <w:r>
        <w:rPr>
          <w:rFonts w:ascii="Arial" w:cs="Arial" w:eastAsia="Arial" w:hAnsi="Arial"/>
          <w:sz w:val="16"/>
          <w:szCs w:val="16"/>
          <w:color w:val="auto"/>
        </w:rPr>
        <w:t>[,][ and] [(ix) it has delivered to Parent and the Administrative Agent an Assignee Certificate]</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[and (x) it is not subject under current law to any U.S. withholding tax on amounts payable to it under the Credit Agreement]</w:t>
      </w:r>
      <w:r>
        <w:rPr>
          <w:rFonts w:ascii="Arial" w:cs="Arial" w:eastAsia="Arial" w:hAnsi="Arial"/>
          <w:sz w:val="26"/>
          <w:szCs w:val="26"/>
          <w:color w:val="auto"/>
          <w:vertAlign w:val="superscript"/>
        </w:rPr>
        <w:t>11</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53" w:lineRule="auto"/>
        <w:tabs>
          <w:tab w:leader="none" w:pos="266" w:val="left"/>
        </w:tabs>
        <w:numPr>
          <w:ilvl w:val="0"/>
          <w:numId w:val="772"/>
        </w:numPr>
        <w:rPr>
          <w:rFonts w:ascii="Arial" w:cs="Arial" w:eastAsia="Arial" w:hAnsi="Arial"/>
          <w:sz w:val="18"/>
          <w:szCs w:val="18"/>
          <w:color w:val="auto"/>
        </w:rPr>
      </w:pPr>
      <w:r>
        <w:rPr>
          <w:rFonts w:ascii="Arial" w:cs="Arial" w:eastAsia="Arial" w:hAnsi="Arial"/>
          <w:sz w:val="18"/>
          <w:szCs w:val="18"/>
          <w:color w:val="auto"/>
        </w:rPr>
        <w:t>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0975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0" w:lineRule="exact"/>
        <w:rPr>
          <w:sz w:val="20"/>
          <w:szCs w:val="20"/>
          <w:color w:val="auto"/>
        </w:rPr>
      </w:pPr>
    </w:p>
    <w:p>
      <w:pPr>
        <w:ind w:left="120" w:hanging="112"/>
        <w:spacing w:after="0"/>
        <w:tabs>
          <w:tab w:leader="none" w:pos="120" w:val="left"/>
        </w:tabs>
        <w:numPr>
          <w:ilvl w:val="0"/>
          <w:numId w:val="773"/>
        </w:numPr>
        <w:rPr>
          <w:rFonts w:ascii="Arial" w:cs="Arial" w:eastAsia="Arial" w:hAnsi="Arial"/>
          <w:sz w:val="30"/>
          <w:szCs w:val="30"/>
          <w:color w:val="auto"/>
          <w:vertAlign w:val="superscript"/>
        </w:rPr>
      </w:pPr>
      <w:r>
        <w:rPr>
          <w:rFonts w:ascii="Arial" w:cs="Arial" w:eastAsia="Arial" w:hAnsi="Arial"/>
          <w:sz w:val="18"/>
          <w:szCs w:val="18"/>
          <w:color w:val="auto"/>
        </w:rPr>
        <w:t>Required to be delivered if Assignee is not a Lender.</w:t>
      </w:r>
    </w:p>
    <w:p>
      <w:pPr>
        <w:ind w:left="120" w:hanging="112"/>
        <w:spacing w:after="0" w:line="184" w:lineRule="auto"/>
        <w:tabs>
          <w:tab w:leader="none" w:pos="120" w:val="left"/>
        </w:tabs>
        <w:numPr>
          <w:ilvl w:val="0"/>
          <w:numId w:val="774"/>
        </w:numPr>
        <w:rPr>
          <w:rFonts w:ascii="Arial" w:cs="Arial" w:eastAsia="Arial" w:hAnsi="Arial"/>
          <w:sz w:val="29"/>
          <w:szCs w:val="29"/>
          <w:color w:val="auto"/>
          <w:vertAlign w:val="superscript"/>
        </w:rPr>
      </w:pPr>
      <w:r>
        <w:rPr>
          <w:rFonts w:ascii="Arial" w:cs="Arial" w:eastAsia="Arial" w:hAnsi="Arial"/>
          <w:sz w:val="18"/>
          <w:szCs w:val="18"/>
          <w:color w:val="auto"/>
        </w:rPr>
        <w:t>Not required when an Event of Default has occurred and is continuing.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37" w:name="page638"/>
    <w:bookmarkEnd w:id="637"/>
    <w:p>
      <w:pPr>
        <w:jc w:val="both"/>
        <w:ind w:firstLine="656"/>
        <w:spacing w:after="0" w:line="264" w:lineRule="auto"/>
        <w:tabs>
          <w:tab w:leader="none" w:pos="1125" w:val="left"/>
        </w:tabs>
        <w:numPr>
          <w:ilvl w:val="0"/>
          <w:numId w:val="77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firstLine="656"/>
        <w:spacing w:after="0" w:line="285" w:lineRule="auto"/>
        <w:tabs>
          <w:tab w:leader="none" w:pos="1125" w:val="left"/>
        </w:tabs>
        <w:numPr>
          <w:ilvl w:val="0"/>
          <w:numId w:val="775"/>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xml:space="preserve">. This Assignment and Assumption shall (a) be binding upon the parties hereto and their respective successors and assigns and (b) inure to the benefit of the parties hereto and their respective successors and assigns. This Assignment and Assumption may be executed in any number of counterparts, which together shall constitute one instrument. Delivery of an executed counterpart of a signature page to this Assignment and Assumption by facsimile (or by electronic communication, if arrangements for doing so have been approved by the Administrative Agent) shall be effective as a delivery of a manually executed counterpart of this Assignment and Assumption. </w:t>
      </w:r>
      <w:r>
        <w:rPr>
          <w:rFonts w:ascii="Arial" w:cs="Arial" w:eastAsia="Arial" w:hAnsi="Arial"/>
          <w:sz w:val="16"/>
          <w:szCs w:val="16"/>
          <w:b w:val="1"/>
          <w:bCs w:val="1"/>
          <w:color w:val="auto"/>
        </w:rPr>
        <w:t>THIS ASSIGNMENT AND ASSUMPTION SHALL BE GOVERNED BY,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9" w:lineRule="exact"/>
        <w:rPr>
          <w:sz w:val="20"/>
          <w:szCs w:val="20"/>
          <w:color w:val="auto"/>
        </w:rPr>
      </w:pPr>
    </w:p>
    <w:p>
      <w:pPr>
        <w:ind w:left="200" w:hanging="192"/>
        <w:spacing w:after="0"/>
        <w:tabs>
          <w:tab w:leader="none" w:pos="200" w:val="left"/>
        </w:tabs>
        <w:numPr>
          <w:ilvl w:val="0"/>
          <w:numId w:val="776"/>
        </w:numPr>
        <w:rPr>
          <w:rFonts w:ascii="Arial" w:cs="Arial" w:eastAsia="Arial" w:hAnsi="Arial"/>
          <w:sz w:val="25"/>
          <w:szCs w:val="25"/>
          <w:color w:val="auto"/>
          <w:vertAlign w:val="superscript"/>
        </w:rPr>
      </w:pPr>
      <w:r>
        <w:rPr>
          <w:rFonts w:ascii="Arial" w:cs="Arial" w:eastAsia="Arial" w:hAnsi="Arial"/>
          <w:sz w:val="16"/>
          <w:szCs w:val="16"/>
          <w:color w:val="auto"/>
        </w:rPr>
        <w:t>Required to be delivered if Assignee is not a Lender.</w:t>
      </w:r>
    </w:p>
    <w:p>
      <w:pPr>
        <w:spacing w:after="0" w:line="4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776"/>
        </w:numPr>
        <w:rPr>
          <w:rFonts w:ascii="Arial" w:cs="Arial" w:eastAsia="Arial" w:hAnsi="Arial"/>
          <w:sz w:val="24"/>
          <w:szCs w:val="24"/>
          <w:color w:val="auto"/>
          <w:vertAlign w:val="superscript"/>
        </w:rPr>
      </w:pPr>
      <w:r>
        <w:rPr>
          <w:rFonts w:ascii="Arial" w:cs="Arial" w:eastAsia="Arial" w:hAnsi="Arial"/>
          <w:sz w:val="15"/>
          <w:szCs w:val="15"/>
          <w:color w:val="auto"/>
        </w:rPr>
        <w:t>Not required when an Event of Default has occurred and is continuing.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38" w:name="page639"/>
    <w:bookmarkEnd w:id="638"/>
    <w:tbl>
      <w:tblPr>
        <w:tblLayout w:type="fixed"/>
        <w:tblInd w:w="1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760" w:type="dxa"/>
            <w:vAlign w:val="bottom"/>
            <w:gridSpan w:val="3"/>
          </w:tcPr>
          <w:p>
            <w:pPr>
              <w:ind w:left="2980"/>
              <w:spacing w:after="0"/>
              <w:rPr>
                <w:sz w:val="20"/>
                <w:szCs w:val="20"/>
                <w:color w:val="auto"/>
              </w:rPr>
            </w:pPr>
            <w:r>
              <w:rPr>
                <w:rFonts w:ascii="Arial" w:cs="Arial" w:eastAsia="Arial" w:hAnsi="Arial"/>
                <w:sz w:val="18"/>
                <w:szCs w:val="18"/>
                <w:color w:val="auto"/>
                <w:w w:val="98"/>
              </w:rPr>
              <w:t>ANNEX 2</w:t>
            </w:r>
          </w:p>
        </w:tc>
        <w:tc>
          <w:tcPr>
            <w:tcW w:w="0" w:type="dxa"/>
            <w:vAlign w:val="bottom"/>
          </w:tcPr>
          <w:p>
            <w:pPr>
              <w:spacing w:after="0"/>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0" w:type="dxa"/>
            <w:vAlign w:val="bottom"/>
            <w:tcBorders>
              <w:left w:val="single" w:sz="8" w:color="auto"/>
            </w:tcBorders>
          </w:tcPr>
          <w:p>
            <w:pPr>
              <w:spacing w:after="0"/>
              <w:rPr>
                <w:sz w:val="16"/>
                <w:szCs w:val="16"/>
                <w:color w:val="auto"/>
              </w:rPr>
            </w:pPr>
          </w:p>
        </w:tc>
        <w:tc>
          <w:tcPr>
            <w:tcW w:w="368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2"/>
              </w:rPr>
              <w:t>Amount of Aggregate</w:t>
            </w:r>
          </w:p>
        </w:tc>
        <w:tc>
          <w:tcPr>
            <w:tcW w:w="240" w:type="dxa"/>
            <w:vAlign w:val="bottom"/>
          </w:tcPr>
          <w:p>
            <w:pPr>
              <w:spacing w:after="0"/>
              <w:rPr>
                <w:sz w:val="16"/>
                <w:szCs w:val="16"/>
                <w:color w:val="auto"/>
              </w:rPr>
            </w:pPr>
          </w:p>
        </w:tc>
        <w:tc>
          <w:tcPr>
            <w:tcW w:w="354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4"/>
              </w:rPr>
              <w:t>Amount of Commitment / Letter of Credit</w:t>
            </w:r>
          </w:p>
        </w:tc>
        <w:tc>
          <w:tcPr>
            <w:tcW w:w="3740" w:type="dxa"/>
            <w:vAlign w:val="bottom"/>
            <w:tcBorders>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0"/>
              </w:rPr>
              <w:t>Percentage Assigned of Commitments / Letter of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Commitment / Total Letter of Credit Exposure</w:t>
            </w:r>
          </w:p>
        </w:tc>
        <w:tc>
          <w:tcPr>
            <w:tcW w:w="240" w:type="dxa"/>
            <w:vAlign w:val="bottom"/>
            <w:tcBorders>
              <w:bottom w:val="single" w:sz="8" w:color="auto"/>
            </w:tcBorders>
          </w:tcPr>
          <w:p>
            <w:pPr>
              <w:spacing w:after="0"/>
              <w:rPr>
                <w:sz w:val="20"/>
                <w:szCs w:val="20"/>
                <w:color w:val="auto"/>
              </w:rPr>
            </w:pPr>
          </w:p>
        </w:tc>
        <w:tc>
          <w:tcPr>
            <w:tcW w:w="35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Exposure Assigned</w:t>
            </w:r>
          </w:p>
        </w:tc>
        <w:tc>
          <w:tcPr>
            <w:tcW w:w="37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1"/>
              </w:rPr>
              <w:t>Credit Exposure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5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Applicable Percentage: _____________________</w:t>
      </w:r>
      <w:r>
        <w:rPr>
          <w:rFonts w:ascii="Arial" w:cs="Arial" w:eastAsia="Arial" w:hAnsi="Arial"/>
          <w:sz w:val="36"/>
          <w:szCs w:val="36"/>
          <w:color w:val="auto"/>
          <w:vertAlign w:val="subscript"/>
        </w:rPr>
        <w:t>%</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80975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580" w:right="5420" w:hanging="5572"/>
        <w:spacing w:after="0" w:line="756" w:lineRule="auto"/>
        <w:tabs>
          <w:tab w:leader="none" w:pos="134" w:val="left"/>
        </w:tabs>
        <w:numPr>
          <w:ilvl w:val="0"/>
          <w:numId w:val="777"/>
        </w:numPr>
        <w:rPr>
          <w:rFonts w:ascii="Arial" w:cs="Arial" w:eastAsia="Arial" w:hAnsi="Arial"/>
          <w:sz w:val="26"/>
          <w:szCs w:val="26"/>
          <w:color w:val="auto"/>
          <w:vertAlign w:val="superscript"/>
        </w:rPr>
      </w:pPr>
      <w:r>
        <w:rPr>
          <w:rFonts w:ascii="Arial" w:cs="Arial" w:eastAsia="Arial" w:hAnsi="Arial"/>
          <w:sz w:val="16"/>
          <w:szCs w:val="16"/>
          <w:color w:val="auto"/>
        </w:rPr>
        <w:t>Set forth, to at least 12 decimals, as a percentage of the Aggregate Commitments.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39" w:name="page640"/>
    <w:bookmarkEnd w:id="639"/>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 REQUEST</w:t>
      </w:r>
    </w:p>
    <w:p>
      <w:pPr>
        <w:spacing w:after="0" w:line="229"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_______________, 20__</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[________]</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r>
        <w:rPr>
          <w:rFonts w:ascii="Arial" w:cs="Arial" w:eastAsia="Arial" w:hAnsi="Arial"/>
          <w:sz w:val="30"/>
          <w:szCs w:val="30"/>
          <w:color w:val="auto"/>
          <w:vertAlign w:val="superscript"/>
        </w:rPr>
        <w:t>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This notice shall constitute a “Letter of Credit Request” for a Letter of Credit pursuant to </w:t>
      </w:r>
      <w:r>
        <w:rPr>
          <w:rFonts w:ascii="Arial" w:cs="Arial" w:eastAsia="Arial" w:hAnsi="Arial"/>
          <w:sz w:val="17"/>
          <w:szCs w:val="17"/>
          <w:u w:val="single" w:color="auto"/>
          <w:color w:val="auto"/>
        </w:rPr>
        <w:t>Section 3.01(b)</w:t>
      </w:r>
      <w:r>
        <w:rPr>
          <w:rFonts w:ascii="Arial" w:cs="Arial" w:eastAsia="Arial" w:hAnsi="Arial"/>
          <w:sz w:val="17"/>
          <w:szCs w:val="17"/>
          <w:color w:val="auto"/>
        </w:rPr>
        <w:t xml:space="preserve"> of the LC Credit Agreement, dated as of December [5], 2019 (as amended, restated,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LLC, a Delaware limited liability company (“</w:t>
      </w:r>
      <w:r>
        <w:rPr>
          <w:rFonts w:ascii="Arial" w:cs="Arial" w:eastAsia="Arial" w:hAnsi="Arial"/>
          <w:sz w:val="17"/>
          <w:szCs w:val="17"/>
          <w:u w:val="single" w:color="auto"/>
          <w:color w:val="auto"/>
        </w:rPr>
        <w:t>WIL-Delaware</w:t>
      </w:r>
      <w:r>
        <w:rPr>
          <w:rFonts w:ascii="Arial" w:cs="Arial" w:eastAsia="Arial" w:hAnsi="Arial"/>
          <w:sz w:val="17"/>
          <w:szCs w:val="17"/>
          <w:color w:val="auto"/>
        </w:rPr>
        <w:t>”), Weatherford International plc, an Irish public limited company (“</w:t>
      </w:r>
      <w:r>
        <w:rPr>
          <w:rFonts w:ascii="Arial" w:cs="Arial" w:eastAsia="Arial" w:hAnsi="Arial"/>
          <w:sz w:val="17"/>
          <w:szCs w:val="17"/>
          <w:u w:val="single" w:color="auto"/>
          <w:color w:val="auto"/>
        </w:rPr>
        <w:t>Parent</w:t>
      </w:r>
      <w:r>
        <w:rPr>
          <w:rFonts w:ascii="Arial" w:cs="Arial" w:eastAsia="Arial" w:hAnsi="Arial"/>
          <w:sz w:val="17"/>
          <w:szCs w:val="17"/>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requests that [________]</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Issuing Bank</w:t>
      </w:r>
      <w:r>
        <w:rPr>
          <w:rFonts w:ascii="Arial" w:cs="Arial" w:eastAsia="Arial" w:hAnsi="Arial"/>
          <w:sz w:val="16"/>
          <w:szCs w:val="16"/>
          <w:color w:val="auto"/>
        </w:rPr>
        <w:t>”) issue a Letter of Credit on [________]</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in the aggregate</w:t>
      </w:r>
    </w:p>
    <w:p>
      <w:pPr>
        <w:spacing w:after="0" w:line="205" w:lineRule="auto"/>
        <w:rPr>
          <w:sz w:val="20"/>
          <w:szCs w:val="20"/>
          <w:color w:val="auto"/>
        </w:rPr>
      </w:pPr>
      <w:r>
        <w:rPr>
          <w:rFonts w:ascii="Arial" w:cs="Arial" w:eastAsia="Arial" w:hAnsi="Arial"/>
          <w:sz w:val="16"/>
          <w:szCs w:val="16"/>
          <w:color w:val="auto"/>
        </w:rPr>
        <w:t>amount of [_______]</w:t>
      </w:r>
      <w:r>
        <w:rPr>
          <w:rFonts w:ascii="Arial" w:cs="Arial" w:eastAsia="Arial" w:hAnsi="Arial"/>
          <w:sz w:val="26"/>
          <w:szCs w:val="26"/>
          <w:color w:val="auto"/>
          <w:vertAlign w:val="superscript"/>
        </w:rPr>
        <w:t>5</w:t>
      </w:r>
      <w:r>
        <w:rPr>
          <w:rFonts w:ascii="Arial" w:cs="Arial" w:eastAsia="Arial" w:hAnsi="Arial"/>
          <w:sz w:val="16"/>
          <w:szCs w:val="16"/>
          <w:color w:val="auto"/>
        </w:rPr>
        <w:t>. The beneficiary of the requested Letter of Credit will be [_______]</w:t>
      </w:r>
      <w:r>
        <w:rPr>
          <w:rFonts w:ascii="Arial" w:cs="Arial" w:eastAsia="Arial" w:hAnsi="Arial"/>
          <w:sz w:val="26"/>
          <w:szCs w:val="26"/>
          <w:color w:val="auto"/>
          <w:vertAlign w:val="superscript"/>
        </w:rPr>
        <w:t>6</w:t>
      </w:r>
      <w:r>
        <w:rPr>
          <w:rFonts w:ascii="Arial" w:cs="Arial" w:eastAsia="Arial" w:hAnsi="Arial"/>
          <w:sz w:val="16"/>
          <w:szCs w:val="16"/>
          <w:color w:val="auto"/>
        </w:rPr>
        <w:t>, and such Letter of Credit will be in support of [_______]</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will have a stated expiration date of [_______]</w:t>
      </w:r>
      <w:r>
        <w:rPr>
          <w:rFonts w:ascii="Arial" w:cs="Arial" w:eastAsia="Arial" w:hAnsi="Arial"/>
          <w:sz w:val="30"/>
          <w:szCs w:val="30"/>
          <w:color w:val="auto"/>
          <w:vertAlign w:val="superscript"/>
        </w:rPr>
        <w:t>8</w:t>
      </w:r>
      <w:r>
        <w:rPr>
          <w:rFonts w:ascii="Arial" w:cs="Arial" w:eastAsia="Arial" w:hAnsi="Arial"/>
          <w:sz w:val="18"/>
          <w:szCs w:val="18"/>
          <w:color w:val="auto"/>
        </w:rPr>
        <w:t>.]</w:t>
      </w:r>
      <w:r>
        <w:rPr>
          <w:rFonts w:ascii="Arial" w:cs="Arial" w:eastAsia="Arial" w:hAnsi="Arial"/>
          <w:sz w:val="30"/>
          <w:szCs w:val="30"/>
          <w:color w:val="auto"/>
          <w:vertAlign w:val="superscript"/>
        </w:rPr>
        <w:t>9</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requests that [______]</w:t>
      </w:r>
      <w:r>
        <w:rPr>
          <w:rFonts w:ascii="Arial" w:cs="Arial" w:eastAsia="Arial" w:hAnsi="Arial"/>
          <w:sz w:val="28"/>
          <w:szCs w:val="28"/>
          <w:color w:val="auto"/>
          <w:vertAlign w:val="superscript"/>
        </w:rPr>
        <w:t>10</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Issuing Bank</w:t>
      </w:r>
      <w:r>
        <w:rPr>
          <w:rFonts w:ascii="Arial" w:cs="Arial" w:eastAsia="Arial" w:hAnsi="Arial"/>
          <w:sz w:val="17"/>
          <w:szCs w:val="17"/>
          <w:color w:val="auto"/>
        </w:rPr>
        <w:t>”) [amend] [renew] [extend] on [______]</w:t>
      </w:r>
      <w:r>
        <w:rPr>
          <w:rFonts w:ascii="Arial" w:cs="Arial" w:eastAsia="Arial" w:hAnsi="Arial"/>
          <w:sz w:val="28"/>
          <w:szCs w:val="28"/>
          <w:color w:val="auto"/>
          <w:vertAlign w:val="superscript"/>
        </w:rPr>
        <w:t>11</w:t>
      </w:r>
      <w:r>
        <w:rPr>
          <w:rFonts w:ascii="Arial" w:cs="Arial" w:eastAsia="Arial" w:hAnsi="Arial"/>
          <w:sz w:val="17"/>
          <w:szCs w:val="17"/>
          <w:color w:val="auto"/>
        </w:rPr>
        <w:t xml:space="preserve"> the following</w:t>
      </w:r>
    </w:p>
    <w:p>
      <w:pPr>
        <w:spacing w:after="0"/>
        <w:rPr>
          <w:sz w:val="20"/>
          <w:szCs w:val="20"/>
          <w:color w:val="auto"/>
        </w:rPr>
      </w:pPr>
      <w:r>
        <w:rPr>
          <w:rFonts w:ascii="Arial" w:cs="Arial" w:eastAsia="Arial" w:hAnsi="Arial"/>
          <w:sz w:val="16"/>
          <w:szCs w:val="16"/>
          <w:color w:val="auto"/>
        </w:rPr>
        <w:t>Letter of Credit, which was previously issued by the Issuing Bank: [</w:t>
      </w:r>
      <w:r>
        <w:rPr>
          <w:rFonts w:ascii="Arial" w:cs="Arial" w:eastAsia="Arial" w:hAnsi="Arial"/>
          <w:sz w:val="16"/>
          <w:szCs w:val="16"/>
          <w:i w:val="1"/>
          <w:iCs w:val="1"/>
          <w:color w:val="auto"/>
        </w:rPr>
        <w:t>insert title of Letter of Credit</w:t>
      </w:r>
      <w:r>
        <w:rPr>
          <w:rFonts w:ascii="Arial" w:cs="Arial" w:eastAsia="Arial" w:hAnsi="Arial"/>
          <w:sz w:val="16"/>
          <w:szCs w:val="16"/>
          <w:color w:val="auto"/>
        </w:rPr>
        <w:t>], Number [_________</w:t>
      </w:r>
      <w:r>
        <w:rPr>
          <w:rFonts w:ascii="Arial" w:cs="Arial" w:eastAsia="Arial" w:hAnsi="Arial"/>
          <w:sz w:val="16"/>
          <w:szCs w:val="16"/>
          <w:u w:val="single" w:color="auto"/>
          <w:color w:val="auto"/>
        </w:rPr>
        <w:t>]</w:t>
      </w:r>
      <w:r>
        <w:rPr>
          <w:rFonts w:ascii="Arial" w:cs="Arial" w:eastAsia="Arial" w:hAnsi="Arial"/>
          <w:sz w:val="16"/>
          <w:szCs w:val="16"/>
          <w:color w:val="auto"/>
        </w:rPr>
        <w:t>, dated as of [________</w:t>
      </w:r>
      <w:r>
        <w:rPr>
          <w:rFonts w:ascii="Arial" w:cs="Arial" w:eastAsia="Arial" w:hAnsi="Arial"/>
          <w:sz w:val="16"/>
          <w:szCs w:val="16"/>
          <w:u w:val="single" w:color="auto"/>
          <w:color w:val="auto"/>
        </w:rPr>
        <w:t>]</w:t>
      </w:r>
      <w:r>
        <w:rPr>
          <w:rFonts w:ascii="Arial" w:cs="Arial" w:eastAsia="Arial" w:hAnsi="Arial"/>
          <w:sz w:val="16"/>
          <w:szCs w:val="16"/>
          <w:color w:val="auto"/>
        </w:rPr>
        <w:t>, and in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aggregate amount of </w:t>
      </w:r>
      <w:r>
        <w:rPr>
          <w:rFonts w:ascii="Arial" w:cs="Arial" w:eastAsia="Arial" w:hAnsi="Arial"/>
          <w:sz w:val="16"/>
          <w:szCs w:val="16"/>
          <w:u w:val="single" w:color="auto"/>
          <w:color w:val="auto"/>
        </w:rPr>
        <w:t>[________]</w:t>
      </w:r>
      <w:r>
        <w:rPr>
          <w:rFonts w:ascii="Arial" w:cs="Arial" w:eastAsia="Arial" w:hAnsi="Arial"/>
          <w:sz w:val="26"/>
          <w:szCs w:val="26"/>
          <w:u w:val="single" w:color="auto"/>
          <w:color w:val="auto"/>
          <w:vertAlign w:val="superscript"/>
        </w:rPr>
        <w:t>12</w:t>
      </w:r>
      <w:r>
        <w:rPr>
          <w:rFonts w:ascii="Arial" w:cs="Arial" w:eastAsia="Arial" w:hAnsi="Arial"/>
          <w:sz w:val="16"/>
          <w:szCs w:val="16"/>
          <w:color w:val="auto"/>
        </w:rPr>
        <w:t>. [</w:t>
      </w:r>
      <w:r>
        <w:rPr>
          <w:rFonts w:ascii="Arial" w:cs="Arial" w:eastAsia="Arial" w:hAnsi="Arial"/>
          <w:sz w:val="16"/>
          <w:szCs w:val="16"/>
          <w:i w:val="1"/>
          <w:iCs w:val="1"/>
          <w:color w:val="auto"/>
        </w:rPr>
        <w:t>Insert description of requested amendment or details of proposed terms of renewal or extension, as applicable</w:t>
      </w:r>
      <w:r>
        <w:rPr>
          <w:rFonts w:ascii="Arial" w:cs="Arial" w:eastAsia="Arial" w:hAnsi="Arial"/>
          <w:sz w:val="16"/>
          <w:szCs w:val="16"/>
          <w:color w:val="auto"/>
        </w:rPr>
        <w:t>].]</w:t>
      </w:r>
      <w:r>
        <w:rPr>
          <w:rFonts w:ascii="Arial" w:cs="Arial" w:eastAsia="Arial" w:hAnsi="Arial"/>
          <w:sz w:val="26"/>
          <w:szCs w:val="26"/>
          <w:color w:val="auto"/>
          <w:vertAlign w:val="superscript"/>
        </w:rPr>
        <w:t>13</w:t>
      </w:r>
    </w:p>
    <w:p>
      <w:pPr>
        <w:spacing w:after="0" w:line="1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any other information as shall be necessary in order for the Issuing Bank to prepare the requested Letter of Credit or amend, renew or extend</w:t>
      </w:r>
      <w:r>
        <w:rPr>
          <w:rFonts w:ascii="Arial" w:cs="Arial" w:eastAsia="Arial" w:hAnsi="Arial"/>
          <w:sz w:val="18"/>
          <w:szCs w:val="18"/>
          <w:color w:val="auto"/>
        </w:rPr>
        <w:t xml:space="preserve"> </w:t>
      </w:r>
      <w:r>
        <w:rPr>
          <w:rFonts w:ascii="Arial" w:cs="Arial" w:eastAsia="Arial" w:hAnsi="Arial"/>
          <w:sz w:val="18"/>
          <w:szCs w:val="18"/>
          <w:i w:val="1"/>
          <w:iCs w:val="1"/>
          <w:color w:val="auto"/>
        </w:rPr>
        <w:t>the existing Letter of Credit, as applicable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0975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3" w:lineRule="exact"/>
        <w:rPr>
          <w:sz w:val="20"/>
          <w:szCs w:val="20"/>
          <w:color w:val="auto"/>
        </w:rPr>
      </w:pPr>
    </w:p>
    <w:p>
      <w:pPr>
        <w:ind w:left="120" w:hanging="112"/>
        <w:spacing w:after="0"/>
        <w:tabs>
          <w:tab w:leader="none" w:pos="120" w:val="left"/>
        </w:tabs>
        <w:numPr>
          <w:ilvl w:val="0"/>
          <w:numId w:val="778"/>
        </w:numPr>
        <w:rPr>
          <w:rFonts w:ascii="Arial" w:cs="Arial" w:eastAsia="Arial" w:hAnsi="Arial"/>
          <w:sz w:val="30"/>
          <w:szCs w:val="30"/>
          <w:color w:val="auto"/>
          <w:vertAlign w:val="superscript"/>
        </w:rPr>
      </w:pPr>
      <w:r>
        <w:rPr>
          <w:rFonts w:ascii="Arial" w:cs="Arial" w:eastAsia="Arial" w:hAnsi="Arial"/>
          <w:sz w:val="18"/>
          <w:szCs w:val="18"/>
          <w:color w:val="auto"/>
        </w:rPr>
        <w:t>Insert name of Issuing Bank</w:t>
      </w:r>
    </w:p>
    <w:p>
      <w:pPr>
        <w:ind w:left="120" w:hanging="112"/>
        <w:spacing w:after="0" w:line="184" w:lineRule="auto"/>
        <w:tabs>
          <w:tab w:leader="none" w:pos="120" w:val="left"/>
        </w:tabs>
        <w:numPr>
          <w:ilvl w:val="0"/>
          <w:numId w:val="779"/>
        </w:numPr>
        <w:rPr>
          <w:rFonts w:ascii="Arial" w:cs="Arial" w:eastAsia="Arial" w:hAnsi="Arial"/>
          <w:sz w:val="29"/>
          <w:szCs w:val="29"/>
          <w:color w:val="auto"/>
          <w:vertAlign w:val="superscript"/>
        </w:rPr>
      </w:pPr>
      <w:r>
        <w:rPr>
          <w:rFonts w:ascii="Arial" w:cs="Arial" w:eastAsia="Arial" w:hAnsi="Arial"/>
          <w:sz w:val="18"/>
          <w:szCs w:val="18"/>
          <w:color w:val="auto"/>
        </w:rPr>
        <w:t>Insert address of Issuing Bank</w:t>
      </w:r>
    </w:p>
    <w:p>
      <w:pPr>
        <w:spacing w:after="0" w:line="43"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Insert name of Issuing Bank</w:t>
      </w:r>
    </w:p>
    <w:p>
      <w:pPr>
        <w:ind w:right="120"/>
        <w:spacing w:after="0" w:line="191" w:lineRule="auto"/>
        <w:rPr>
          <w:rFonts w:ascii="Arial" w:cs="Arial" w:eastAsia="Arial" w:hAnsi="Arial"/>
          <w:sz w:val="29"/>
          <w:szCs w:val="29"/>
          <w:color w:val="auto"/>
          <w:vertAlign w:val="superscript"/>
        </w:rPr>
      </w:pPr>
      <w:r>
        <w:rPr>
          <w:rFonts w:ascii="Arial" w:cs="Arial" w:eastAsia="Arial" w:hAnsi="Arial"/>
          <w:sz w:val="28"/>
          <w:szCs w:val="28"/>
          <w:color w:val="auto"/>
          <w:vertAlign w:val="superscript"/>
        </w:rPr>
        <w:t>4</w:t>
      </w:r>
      <w:r>
        <w:rPr>
          <w:rFonts w:ascii="Arial" w:cs="Arial" w:eastAsia="Arial" w:hAnsi="Arial"/>
          <w:sz w:val="17"/>
          <w:szCs w:val="17"/>
          <w:color w:val="auto"/>
        </w:rPr>
        <w:t xml:space="preserve"> Insert proposed date of issuance of the requested Letter of Credit, which must be at least three Business Days after the date of this Letter of Credit Request. </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Insert initial amount of the requested Letter of Credit and whether such amount is denominated in Dollars or an Alternative Currency.</w:t>
      </w: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Insert full name and address of the beneficiary of this Letter of Credit Request.</w:t>
      </w: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Insert brief description of obligation to be supported by the Letter of Credit.</w:t>
      </w:r>
    </w:p>
    <w:p>
      <w:pPr>
        <w:ind w:right="3300"/>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Insert expiration date of the Letter of Credit, which shall comply with Section 3.01(c) of the Credit Agreement. </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Insert this paragraph for any issuance of a Letter of Credit.</w:t>
      </w:r>
    </w:p>
    <w:p>
      <w:pPr>
        <w:spacing w:after="0" w:line="1" w:lineRule="exact"/>
        <w:rPr>
          <w:rFonts w:ascii="Arial" w:cs="Arial" w:eastAsia="Arial" w:hAnsi="Arial"/>
          <w:sz w:val="29"/>
          <w:szCs w:val="29"/>
          <w:color w:val="auto"/>
          <w:vertAlign w:val="superscript"/>
        </w:rPr>
      </w:pPr>
    </w:p>
    <w:p>
      <w:pPr>
        <w:spacing w:after="0" w:line="180" w:lineRule="auto"/>
        <w:rPr>
          <w:rFonts w:ascii="Arial" w:cs="Arial" w:eastAsia="Arial" w:hAnsi="Arial"/>
          <w:sz w:val="29"/>
          <w:szCs w:val="29"/>
          <w:color w:val="auto"/>
          <w:vertAlign w:val="superscript"/>
        </w:rPr>
      </w:pPr>
      <w:r>
        <w:rPr>
          <w:rFonts w:ascii="Arial" w:cs="Arial" w:eastAsia="Arial" w:hAnsi="Arial"/>
          <w:sz w:val="25"/>
          <w:szCs w:val="25"/>
          <w:color w:val="auto"/>
          <w:vertAlign w:val="superscript"/>
        </w:rPr>
        <w:t>10</w:t>
      </w:r>
      <w:r>
        <w:rPr>
          <w:rFonts w:ascii="Arial" w:cs="Arial" w:eastAsia="Arial" w:hAnsi="Arial"/>
          <w:sz w:val="16"/>
          <w:szCs w:val="16"/>
          <w:color w:val="auto"/>
        </w:rPr>
        <w:t xml:space="preserve"> Insert name of Issuing Bank.</w:t>
      </w:r>
    </w:p>
    <w:p>
      <w:pPr>
        <w:spacing w:after="0" w:line="66" w:lineRule="exact"/>
        <w:rPr>
          <w:sz w:val="20"/>
          <w:szCs w:val="20"/>
          <w:color w:val="auto"/>
        </w:rPr>
      </w:pPr>
    </w:p>
    <w:p>
      <w:pPr>
        <w:ind w:firstLine="8"/>
        <w:spacing w:after="0" w:line="207" w:lineRule="auto"/>
        <w:tabs>
          <w:tab w:leader="none" w:pos="227" w:val="left"/>
        </w:tabs>
        <w:numPr>
          <w:ilvl w:val="0"/>
          <w:numId w:val="780"/>
        </w:numPr>
        <w:rPr>
          <w:rFonts w:ascii="Arial" w:cs="Arial" w:eastAsia="Arial" w:hAnsi="Arial"/>
          <w:sz w:val="29"/>
          <w:szCs w:val="29"/>
          <w:color w:val="auto"/>
          <w:vertAlign w:val="superscript"/>
        </w:rPr>
      </w:pPr>
      <w:r>
        <w:rPr>
          <w:rFonts w:ascii="Arial" w:cs="Arial" w:eastAsia="Arial" w:hAnsi="Arial"/>
          <w:sz w:val="16"/>
          <w:szCs w:val="16"/>
          <w:color w:val="auto"/>
        </w:rPr>
        <w:t>Insert proposed date of amendment, renewal or extension of the applicable Letter of Credit, which must be at least one Business Day after the date of this Letter of Credit Request.</w:t>
      </w:r>
    </w:p>
    <w:p>
      <w:pPr>
        <w:spacing w:after="0" w:line="26" w:lineRule="exact"/>
        <w:rPr>
          <w:rFonts w:ascii="Arial" w:cs="Arial" w:eastAsia="Arial" w:hAnsi="Arial"/>
          <w:sz w:val="29"/>
          <w:szCs w:val="29"/>
          <w:color w:val="auto"/>
          <w:vertAlign w:val="superscript"/>
        </w:rPr>
      </w:pPr>
    </w:p>
    <w:p>
      <w:pPr>
        <w:ind w:firstLine="8"/>
        <w:spacing w:after="0" w:line="227" w:lineRule="auto"/>
        <w:tabs>
          <w:tab w:leader="none" w:pos="198" w:val="left"/>
        </w:tabs>
        <w:numPr>
          <w:ilvl w:val="0"/>
          <w:numId w:val="780"/>
        </w:numPr>
        <w:rPr>
          <w:rFonts w:ascii="Arial" w:cs="Arial" w:eastAsia="Arial" w:hAnsi="Arial"/>
          <w:sz w:val="25"/>
          <w:szCs w:val="25"/>
          <w:color w:val="auto"/>
          <w:vertAlign w:val="superscript"/>
        </w:rPr>
      </w:pPr>
      <w:r>
        <w:rPr>
          <w:rFonts w:ascii="Arial" w:cs="Arial" w:eastAsia="Arial" w:hAnsi="Arial"/>
          <w:sz w:val="16"/>
          <w:szCs w:val="16"/>
          <w:color w:val="auto"/>
        </w:rPr>
        <w:t>Insert the aggregate amount of the existing Letter of Credit to be amended, renewed or extended and whether such amount is denominated in Dollars or an Alternative Currency.</w:t>
      </w:r>
    </w:p>
    <w:p>
      <w:pPr>
        <w:ind w:left="240" w:hanging="232"/>
        <w:spacing w:after="0" w:line="200" w:lineRule="auto"/>
        <w:tabs>
          <w:tab w:leader="none" w:pos="240" w:val="left"/>
        </w:tabs>
        <w:numPr>
          <w:ilvl w:val="0"/>
          <w:numId w:val="780"/>
        </w:numPr>
        <w:rPr>
          <w:rFonts w:ascii="Arial" w:cs="Arial" w:eastAsia="Arial" w:hAnsi="Arial"/>
          <w:sz w:val="31"/>
          <w:szCs w:val="31"/>
          <w:color w:val="auto"/>
          <w:vertAlign w:val="superscript"/>
        </w:rPr>
      </w:pPr>
      <w:r>
        <w:rPr>
          <w:rFonts w:ascii="Arial" w:cs="Arial" w:eastAsia="Arial" w:hAnsi="Arial"/>
          <w:sz w:val="16"/>
          <w:szCs w:val="16"/>
          <w:color w:val="auto"/>
        </w:rPr>
        <w:t>Insert this paragraph for any amendment, renewal or extension of an existing Letter of Credit.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0" w:name="page641"/>
    <w:bookmarkEnd w:id="640"/>
    <w:p>
      <w:pPr>
        <w:ind w:left="652"/>
        <w:spacing w:after="0"/>
        <w:rPr>
          <w:sz w:val="20"/>
          <w:szCs w:val="20"/>
          <w:color w:val="auto"/>
        </w:rPr>
      </w:pPr>
      <w:r>
        <w:rPr>
          <w:rFonts w:ascii="Arial" w:cs="Arial" w:eastAsia="Arial" w:hAnsi="Arial"/>
          <w:sz w:val="16"/>
          <w:szCs w:val="16"/>
          <w:color w:val="auto"/>
        </w:rPr>
        <w:t>IN WITNESS WHEREOF, the undersigned has executed this Letter of Credit Request this ____ day of ______________, 20___.</w:t>
      </w:r>
    </w:p>
    <w:p>
      <w:pPr>
        <w:spacing w:after="0" w:line="248"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92"/>
        <w:spacing w:after="0"/>
        <w:rPr>
          <w:sz w:val="20"/>
          <w:szCs w:val="20"/>
          <w:color w:val="auto"/>
        </w:rPr>
      </w:pPr>
      <w:r>
        <w:rPr>
          <w:rFonts w:ascii="Arial" w:cs="Arial" w:eastAsia="Arial" w:hAnsi="Arial"/>
          <w:sz w:val="18"/>
          <w:szCs w:val="18"/>
          <w:i w:val="1"/>
          <w:iCs w:val="1"/>
          <w:color w:val="auto"/>
        </w:rPr>
        <w:t>[NAME OF REQUESTING</w:t>
      </w:r>
    </w:p>
    <w:p>
      <w:pPr>
        <w:spacing w:after="0" w:line="23" w:lineRule="exact"/>
        <w:rPr>
          <w:sz w:val="20"/>
          <w:szCs w:val="20"/>
          <w:color w:val="auto"/>
        </w:rPr>
      </w:pPr>
    </w:p>
    <w:p>
      <w:pPr>
        <w:ind w:left="5692"/>
        <w:spacing w:after="0"/>
        <w:rPr>
          <w:sz w:val="20"/>
          <w:szCs w:val="20"/>
          <w:color w:val="auto"/>
        </w:rPr>
      </w:pPr>
      <w:r>
        <w:rPr>
          <w:rFonts w:ascii="Arial" w:cs="Arial" w:eastAsia="Arial" w:hAnsi="Arial"/>
          <w:sz w:val="18"/>
          <w:szCs w:val="18"/>
          <w:i w:val="1"/>
          <w:iCs w:val="1"/>
          <w:color w:val="auto"/>
        </w:rPr>
        <w:t>BORROWER] a [_________]</w:t>
      </w:r>
    </w:p>
    <w:p>
      <w:pPr>
        <w:spacing w:after="0" w:line="9"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[______________]</w:t>
      </w:r>
    </w:p>
    <w:p>
      <w:pPr>
        <w:spacing w:after="0" w:line="211"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-130810</wp:posOffset>
            </wp:positionV>
            <wp:extent cx="326707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692"/>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 w:right="6659" w:hanging="572"/>
        <w:spacing w:after="0" w:line="258" w:lineRule="auto"/>
        <w:tabs>
          <w:tab w:leader="none" w:pos="572" w:val="left"/>
        </w:tabs>
        <w:numPr>
          <w:ilvl w:val="0"/>
          <w:numId w:val="781"/>
        </w:numPr>
        <w:rPr>
          <w:rFonts w:ascii="Arial" w:cs="Arial" w:eastAsia="Arial" w:hAnsi="Arial"/>
          <w:sz w:val="18"/>
          <w:szCs w:val="18"/>
          <w:color w:val="auto"/>
        </w:rPr>
      </w:pPr>
      <w:r>
        <w:rPr>
          <w:rFonts w:ascii="Arial" w:cs="Arial" w:eastAsia="Arial" w:hAnsi="Arial"/>
          <w:sz w:val="18"/>
          <w:szCs w:val="18"/>
          <w:color w:val="auto"/>
        </w:rPr>
        <w:t>Deutsche Bank Trust Company Americas 60 Wall Street</w:t>
      </w:r>
    </w:p>
    <w:p>
      <w:pPr>
        <w:spacing w:after="0" w:line="1"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New York, New York 10005</w:t>
      </w:r>
    </w:p>
    <w:p>
      <w:pPr>
        <w:spacing w:after="0" w:line="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Attention: Project Finance Agency Services, Weatherford</w:t>
      </w:r>
    </w:p>
    <w:p>
      <w:pPr>
        <w:spacing w:after="0" w:line="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Fax: (646) 961-3317</w:t>
      </w:r>
    </w:p>
    <w:p>
      <w:pPr>
        <w:spacing w:after="0" w:line="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Electronic Mail Address: Mary.Coseo@db.com</w:t>
      </w:r>
    </w:p>
    <w:p>
      <w:pPr>
        <w:spacing w:after="0" w:line="200" w:lineRule="exact"/>
        <w:rPr>
          <w:sz w:val="20"/>
          <w:szCs w:val="20"/>
          <w:color w:val="auto"/>
        </w:rPr>
      </w:pPr>
    </w:p>
    <w:p>
      <w:pPr>
        <w:spacing w:after="0" w:line="227"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9" w:right="1440"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certifies that such officer is the _______________________</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of Weatherford International plc, an Irish public limited</w:t>
      </w:r>
    </w:p>
    <w:p>
      <w:pPr>
        <w:jc w:val="both"/>
        <w:spacing w:after="0" w:line="252" w:lineRule="auto"/>
        <w:rPr>
          <w:sz w:val="20"/>
          <w:szCs w:val="20"/>
          <w:color w:val="auto"/>
        </w:rPr>
      </w:pPr>
      <w:r>
        <w:rPr>
          <w:rFonts w:ascii="Arial" w:cs="Arial" w:eastAsia="Arial" w:hAnsi="Arial"/>
          <w:sz w:val="18"/>
          <w:szCs w:val="18"/>
          <w:color w:val="auto"/>
        </w:rPr>
        <w:t>company (“</w:t>
      </w:r>
      <w:r>
        <w:rPr>
          <w:rFonts w:ascii="Arial" w:cs="Arial" w:eastAsia="Arial" w:hAnsi="Arial"/>
          <w:sz w:val="18"/>
          <w:szCs w:val="18"/>
          <w:u w:val="single" w:color="auto"/>
          <w:color w:val="auto"/>
        </w:rPr>
        <w:t>Parent</w:t>
      </w:r>
      <w:r>
        <w:rPr>
          <w:rFonts w:ascii="Arial" w:cs="Arial" w:eastAsia="Arial" w:hAnsi="Arial"/>
          <w:sz w:val="18"/>
          <w:szCs w:val="18"/>
          <w:color w:val="auto"/>
        </w:rPr>
        <w:t>”), and that such officer is authorized to execute this certificate on behalf of Parent pursuant to the LC Credit Agreement, dated as of December [5], 2019 (as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Parent,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also hereby certifies that a review of the Obligors has been made under such officer’s supervision with a view to determining whether the Obligors have fulfilled all of their respective obligations under the Credit Agreement and the other Loan Documents; and in his/her capacity as such officer of Parent, and on behalf of Parent further certifies, represents and warrants that, to the knowledge of such officer:</w:t>
      </w:r>
    </w:p>
    <w:p>
      <w:pPr>
        <w:spacing w:after="0" w:line="166" w:lineRule="exact"/>
        <w:rPr>
          <w:sz w:val="20"/>
          <w:szCs w:val="20"/>
          <w:color w:val="auto"/>
        </w:rPr>
      </w:pPr>
    </w:p>
    <w:p>
      <w:pPr>
        <w:jc w:val="both"/>
        <w:ind w:left="1300" w:hanging="319"/>
        <w:spacing w:after="0" w:line="277" w:lineRule="auto"/>
        <w:tabs>
          <w:tab w:leader="none" w:pos="1280" w:val="left"/>
        </w:tabs>
        <w:rPr>
          <w:sz w:val="20"/>
          <w:szCs w:val="20"/>
          <w:color w:val="auto"/>
        </w:rPr>
      </w:pPr>
      <w:r>
        <w:rPr>
          <w:rFonts w:ascii="Arial" w:cs="Arial" w:eastAsia="Arial" w:hAnsi="Arial"/>
          <w:sz w:val="18"/>
          <w:szCs w:val="18"/>
          <w:color w:val="auto"/>
        </w:rPr>
        <w:t>1.</w:t>
        <w:tab/>
        <w:t>No Default has occurred (or if any Default has occurred, attached is a description of such event and any action taken or proposed to be taken with respect thereto).</w:t>
      </w:r>
    </w:p>
    <w:p>
      <w:pPr>
        <w:spacing w:after="0" w:line="170"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2.</w:t>
        <w:tab/>
        <w:t>Liquidity is not less than $200,000,000.</w:t>
      </w:r>
    </w:p>
    <w:p>
      <w:pPr>
        <w:spacing w:after="0" w:line="225" w:lineRule="exact"/>
        <w:rPr>
          <w:sz w:val="20"/>
          <w:szCs w:val="20"/>
          <w:color w:val="auto"/>
        </w:rPr>
      </w:pPr>
    </w:p>
    <w:p>
      <w:pPr>
        <w:jc w:val="both"/>
        <w:ind w:left="1300" w:hanging="319"/>
        <w:spacing w:after="0" w:line="277" w:lineRule="auto"/>
        <w:tabs>
          <w:tab w:leader="none" w:pos="1280" w:val="left"/>
        </w:tabs>
        <w:rPr>
          <w:sz w:val="20"/>
          <w:szCs w:val="20"/>
          <w:color w:val="auto"/>
        </w:rPr>
      </w:pPr>
      <w:r>
        <w:rPr>
          <w:rFonts w:ascii="Arial" w:cs="Arial" w:eastAsia="Arial" w:hAnsi="Arial"/>
          <w:sz w:val="18"/>
          <w:szCs w:val="18"/>
          <w:color w:val="auto"/>
        </w:rPr>
        <w:t>3.</w:t>
        <w:tab/>
        <w:t xml:space="preserve">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 list of all Material Specified Subsidiaries, which specifies whether any Material Specified Subsidiaries are organized in jurisdictions other than Specified Jurisdictions or Excluded Jurisdictions.</w:t>
      </w:r>
    </w:p>
    <w:p>
      <w:pPr>
        <w:spacing w:after="0" w:line="170" w:lineRule="exact"/>
        <w:rPr>
          <w:sz w:val="20"/>
          <w:szCs w:val="20"/>
          <w:color w:val="auto"/>
        </w:rPr>
      </w:pPr>
    </w:p>
    <w:p>
      <w:pPr>
        <w:jc w:val="both"/>
        <w:ind w:left="1300" w:hanging="319"/>
        <w:spacing w:after="0" w:line="264" w:lineRule="auto"/>
        <w:tabs>
          <w:tab w:leader="none" w:pos="1280" w:val="left"/>
        </w:tabs>
        <w:rPr>
          <w:sz w:val="20"/>
          <w:szCs w:val="20"/>
          <w:color w:val="auto"/>
        </w:rPr>
      </w:pPr>
      <w:r>
        <w:rPr>
          <w:rFonts w:ascii="Arial" w:cs="Arial" w:eastAsia="Arial" w:hAnsi="Arial"/>
          <w:sz w:val="18"/>
          <w:szCs w:val="18"/>
          <w:color w:val="auto"/>
        </w:rPr>
        <w:t>4.</w:t>
        <w:tab/>
        <w:t xml:space="preserve">There have been no changes in GAAP or in the application thereof since the date of Parent’s consolidated financial statements most recently delivered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of the Credit Agreement (or if any such change has occurred, attached is a description of the effect of such change on the financial statements accompanying this Compliance Certificate).</w:t>
      </w:r>
    </w:p>
    <w:p>
      <w:pPr>
        <w:spacing w:after="0" w:line="181" w:lineRule="exact"/>
        <w:rPr>
          <w:sz w:val="20"/>
          <w:szCs w:val="20"/>
          <w:color w:val="auto"/>
        </w:rPr>
      </w:pPr>
    </w:p>
    <w:p>
      <w:pPr>
        <w:jc w:val="both"/>
        <w:ind w:left="1300" w:hanging="319"/>
        <w:spacing w:after="0" w:line="264" w:lineRule="auto"/>
        <w:tabs>
          <w:tab w:leader="none" w:pos="1280" w:val="left"/>
        </w:tabs>
        <w:rPr>
          <w:sz w:val="20"/>
          <w:szCs w:val="20"/>
          <w:color w:val="auto"/>
        </w:rPr>
      </w:pPr>
      <w:r>
        <w:rPr>
          <w:rFonts w:ascii="Arial" w:cs="Arial" w:eastAsia="Arial" w:hAnsi="Arial"/>
          <w:sz w:val="18"/>
          <w:szCs w:val="18"/>
          <w:color w:val="auto"/>
        </w:rPr>
        <w:t>5.</w:t>
        <w:tab/>
        <w:t xml:space="preserve">There have been no changes to exhibits or schedules to any Collateral Document since the date of Parent’s Compliance Certificate most recently delivered pursuant to </w:t>
      </w:r>
      <w:r>
        <w:rPr>
          <w:rFonts w:ascii="Arial" w:cs="Arial" w:eastAsia="Arial" w:hAnsi="Arial"/>
          <w:sz w:val="18"/>
          <w:szCs w:val="18"/>
          <w:u w:val="single" w:color="auto"/>
          <w:color w:val="auto"/>
        </w:rPr>
        <w:t>Section 7.01(e)</w:t>
      </w:r>
      <w:r>
        <w:rPr>
          <w:rFonts w:ascii="Arial" w:cs="Arial" w:eastAsia="Arial" w:hAnsi="Arial"/>
          <w:sz w:val="18"/>
          <w:szCs w:val="18"/>
          <w:color w:val="auto"/>
        </w:rPr>
        <w:t xml:space="preserve"> of the Credit Agreement (or if any such change has occurred,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A are amended or amended and restated exhibits or schedules to the applicable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0975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Must be executed by a Principal Financial Officer of Parent.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0" w:right="23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t>DATED as of _____________________.</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WEATHERFORD INTERNATIONAL PLC, an Irish public limited company</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10" w:right="359" w:bottom="1440" w:gutter="0" w:footer="0" w:header="0"/>
        </w:sectPr>
      </w:pPr>
    </w:p>
    <w:bookmarkStart w:id="643" w:name="page644"/>
    <w:bookmarkEnd w:id="643"/>
    <w:p>
      <w:pPr>
        <w:jc w:val="center"/>
        <w:ind w:right="-20"/>
        <w:spacing w:after="0"/>
        <w:rPr>
          <w:sz w:val="20"/>
          <w:szCs w:val="20"/>
          <w:color w:val="auto"/>
        </w:rPr>
      </w:pPr>
      <w:r>
        <w:rPr>
          <w:rFonts w:ascii="Arial" w:cs="Arial" w:eastAsia="Arial" w:hAnsi="Arial"/>
          <w:sz w:val="18"/>
          <w:szCs w:val="18"/>
          <w:u w:val="single" w:color="auto"/>
          <w:color w:val="auto"/>
        </w:rPr>
        <w:t>Schedule 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List of all Material Specified Subsidiaries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644" w:name="page645"/>
    <w:bookmarkEnd w:id="644"/>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[None. / See Attached.]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645" w:name="page646"/>
    <w:bookmarkEnd w:id="645"/>
    <w:p>
      <w:pPr>
        <w:jc w:val="right"/>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ASSIGNEE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LegalWeatherford@weatherford.com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Project Finance Agency Services, Weatherford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(646) 961-3317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Address: Mary.Coseo@db.com</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made to that certain LC Credit Agreement, dated as of December [5], 2019 (as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Parent</w:t>
      </w:r>
      <w:r>
        <w:rPr>
          <w:rFonts w:ascii="Arial" w:cs="Arial" w:eastAsia="Arial" w:hAnsi="Arial"/>
          <w:sz w:val="18"/>
          <w:szCs w:val="18"/>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11.05(b)(ii)(H)</w:t>
      </w:r>
      <w:r>
        <w:rPr>
          <w:rFonts w:ascii="Arial" w:cs="Arial" w:eastAsia="Arial" w:hAnsi="Arial"/>
          <w:sz w:val="18"/>
          <w:szCs w:val="18"/>
          <w:color w:val="auto"/>
        </w:rPr>
        <w:t xml:space="preserve"> of the Credit Agreement, the undersigned is a prospective assignee of rights and obligations of a Lender under the Credit Agreement but is not currently a Lender (the “</w:t>
      </w:r>
      <w:r>
        <w:rPr>
          <w:rFonts w:ascii="Arial" w:cs="Arial" w:eastAsia="Arial" w:hAnsi="Arial"/>
          <w:sz w:val="18"/>
          <w:szCs w:val="18"/>
          <w:u w:val="single" w:color="auto"/>
          <w:color w:val="auto"/>
        </w:rPr>
        <w:t>Assignee</w:t>
      </w:r>
      <w:r>
        <w:rPr>
          <w:rFonts w:ascii="Arial" w:cs="Arial" w:eastAsia="Arial" w:hAnsi="Arial"/>
          <w:sz w:val="18"/>
          <w:szCs w:val="18"/>
          <w:color w:val="auto"/>
        </w:rPr>
        <w:t>”) and is required to deliver this Assignee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Assignee hereby confirms that, as of date set forth below (check one):</w:t>
      </w:r>
    </w:p>
    <w:p>
      <w:pPr>
        <w:spacing w:after="0" w:line="225" w:lineRule="exact"/>
        <w:rPr>
          <w:sz w:val="20"/>
          <w:szCs w:val="20"/>
          <w:color w:val="auto"/>
        </w:rPr>
      </w:pPr>
    </w:p>
    <w:p>
      <w:pPr>
        <w:ind w:left="1620" w:hanging="315"/>
        <w:spacing w:after="0" w:line="277" w:lineRule="auto"/>
        <w:tabs>
          <w:tab w:leader="none" w:pos="1620" w:val="left"/>
        </w:tabs>
        <w:numPr>
          <w:ilvl w:val="0"/>
          <w:numId w:val="782"/>
        </w:numPr>
        <w:rPr>
          <w:rFonts w:ascii="MS PGothic" w:cs="MS PGothic" w:eastAsia="MS PGothic" w:hAnsi="MS PGothic"/>
          <w:sz w:val="18"/>
          <w:szCs w:val="18"/>
          <w:color w:val="auto"/>
        </w:rPr>
      </w:pPr>
      <w:r>
        <w:rPr>
          <w:rFonts w:ascii="Arial" w:cs="Arial" w:eastAsia="Arial" w:hAnsi="Arial"/>
          <w:sz w:val="18"/>
          <w:szCs w:val="18"/>
          <w:color w:val="auto"/>
        </w:rPr>
        <w:t>Assignee is a Swiss Qualifying Lender and has not entered into a participation (including sub-participation) arrangement with respect to the Credit Agreement with any Person that is a Swiss Non-Qualifying Lender.</w:t>
      </w:r>
    </w:p>
    <w:p>
      <w:pPr>
        <w:spacing w:after="0" w:line="170" w:lineRule="exact"/>
        <w:rPr>
          <w:rFonts w:ascii="MS PGothic" w:cs="MS PGothic" w:eastAsia="MS PGothic" w:hAnsi="MS PGothic"/>
          <w:sz w:val="18"/>
          <w:szCs w:val="18"/>
          <w:color w:val="auto"/>
        </w:rPr>
      </w:pPr>
    </w:p>
    <w:p>
      <w:pPr>
        <w:jc w:val="both"/>
        <w:ind w:left="1620" w:hanging="315"/>
        <w:spacing w:after="0" w:line="264" w:lineRule="auto"/>
        <w:tabs>
          <w:tab w:leader="none" w:pos="1620" w:val="left"/>
        </w:tabs>
        <w:numPr>
          <w:ilvl w:val="0"/>
          <w:numId w:val="782"/>
        </w:numPr>
        <w:rPr>
          <w:rFonts w:ascii="MS PGothic" w:cs="MS PGothic" w:eastAsia="MS PGothic" w:hAnsi="MS PGothic"/>
          <w:sz w:val="18"/>
          <w:szCs w:val="18"/>
          <w:color w:val="auto"/>
        </w:rPr>
      </w:pPr>
      <w:r>
        <w:rPr>
          <w:rFonts w:ascii="Arial" w:cs="Arial" w:eastAsia="Arial" w:hAnsi="Arial"/>
          <w:sz w:val="18"/>
          <w:szCs w:val="18"/>
          <w:color w:val="auto"/>
        </w:rPr>
        <w:t>Assignee is a Swiss Non-Qualifying Lender, and counts as one single creditor for purposes of the Swiss Non-Bank Rules and has not entered into a participation (including any sub-participation) arrangement with respect to the Agreement with any Person that is a Swiss Non-Qualifying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646" w:name="page647"/>
    <w:bookmarkEnd w:id="646"/>
    <w:p>
      <w:pPr>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w:t>
      </w:r>
      <w:r>
        <w:rPr>
          <w:rFonts w:ascii="Arial" w:cs="Arial" w:eastAsia="Arial" w:hAnsi="Arial"/>
          <w:sz w:val="17"/>
          <w:szCs w:val="17"/>
          <w:i w:val="1"/>
          <w:iCs w:val="1"/>
          <w:color w:val="auto"/>
        </w:rPr>
        <w:t>Merkblatt “Verrechnungssteuer auf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Zinsen von Bankguthaben, deren Gläubiger Banken sind (Interbankguthaben)” vom 22. September 1986), </w:t>
      </w:r>
      <w:r>
        <w:rPr>
          <w:rFonts w:ascii="Arial" w:cs="Arial" w:eastAsia="Arial" w:hAnsi="Arial"/>
          <w:sz w:val="17"/>
          <w:szCs w:val="17"/>
          <w:color w:val="auto"/>
        </w:rPr>
        <w:t>circular letter No. 47 in relation to bonds of 25 July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(1-047-V-2019) </w:t>
      </w:r>
      <w:r>
        <w:rPr>
          <w:rFonts w:ascii="Arial" w:cs="Arial" w:eastAsia="Arial" w:hAnsi="Arial"/>
          <w:sz w:val="17"/>
          <w:szCs w:val="17"/>
          <w:i w:val="1"/>
          <w:iCs w:val="1"/>
          <w:color w:val="auto"/>
        </w:rPr>
        <w:t>(Kreisschreiben Nr. 47 “Obligationen” vom 25. Juli 2019),</w:t>
      </w:r>
      <w:r>
        <w:rPr>
          <w:rFonts w:ascii="Arial" w:cs="Arial" w:eastAsia="Arial" w:hAnsi="Arial"/>
          <w:sz w:val="17"/>
          <w:szCs w:val="17"/>
          <w:color w:val="auto"/>
        </w:rPr>
        <w:t xml:space="preserve"> guideline S-02.130.1 in relation to money market instruments and book claims of April 1999 </w:t>
      </w:r>
      <w:r>
        <w:rPr>
          <w:rFonts w:ascii="Arial" w:cs="Arial" w:eastAsia="Arial" w:hAnsi="Arial"/>
          <w:sz w:val="17"/>
          <w:szCs w:val="17"/>
          <w:i w:val="1"/>
          <w:iCs w:val="1"/>
          <w:color w:val="auto"/>
        </w:rPr>
        <w:t>(Merkblatt vom April 1999 betreffend Geldmarktpapiere und Buchforderungen inländischer Schuldner)</w:t>
      </w:r>
      <w:r>
        <w:rPr>
          <w:rFonts w:ascii="Arial" w:cs="Arial" w:eastAsia="Arial" w:hAnsi="Arial"/>
          <w:sz w:val="17"/>
          <w:szCs w:val="17"/>
          <w:color w:val="auto"/>
        </w:rPr>
        <w:t xml:space="preserve">, circular letter No. 46 of 24 July 2019 (1-046-VS-2019) in relation to syndicated credit facilities </w:t>
      </w:r>
      <w:r>
        <w:rPr>
          <w:rFonts w:ascii="Arial" w:cs="Arial" w:eastAsia="Arial" w:hAnsi="Arial"/>
          <w:sz w:val="17"/>
          <w:szCs w:val="17"/>
          <w:i w:val="1"/>
          <w:iCs w:val="1"/>
          <w:color w:val="auto"/>
        </w:rPr>
        <w:t>(Kreisschreiben Nr. 46 “Steuerliche Behandlung von Konsortialdarlehen,</w:t>
      </w:r>
      <w:r>
        <w:rPr>
          <w:rFonts w:ascii="Arial" w:cs="Arial" w:eastAsia="Arial" w:hAnsi="Arial"/>
          <w:sz w:val="17"/>
          <w:szCs w:val="17"/>
          <w:color w:val="auto"/>
        </w:rPr>
        <w:t xml:space="preserve"> </w:t>
      </w:r>
      <w:r>
        <w:rPr>
          <w:rFonts w:ascii="Arial" w:cs="Arial" w:eastAsia="Arial" w:hAnsi="Arial"/>
          <w:sz w:val="17"/>
          <w:szCs w:val="17"/>
          <w:i w:val="1"/>
          <w:iCs w:val="1"/>
          <w:color w:val="auto"/>
        </w:rPr>
        <w:t>Schuldscheindarlehen, Wechseln und Unterbeteiligungen” vom 24. Juli 2019)</w:t>
      </w:r>
      <w:r>
        <w:rPr>
          <w:rFonts w:ascii="Arial" w:cs="Arial" w:eastAsia="Arial" w:hAnsi="Arial"/>
          <w:sz w:val="17"/>
          <w:szCs w:val="17"/>
          <w:color w:val="auto"/>
        </w:rPr>
        <w:t>, circular letter No. 34 of 26 July 2011 (1-034-V-2011) in relation to deposits</w:t>
      </w:r>
      <w:r>
        <w:rPr>
          <w:rFonts w:ascii="Arial" w:cs="Arial" w:eastAsia="Arial" w:hAnsi="Arial"/>
          <w:sz w:val="17"/>
          <w:szCs w:val="17"/>
          <w:i w:val="1"/>
          <w:iCs w:val="1"/>
          <w:color w:val="auto"/>
        </w:rPr>
        <w:t xml:space="preserve"> (Kreisschreiben Nr. 34 “Kundenguthaben” vom 26. Juli 2011)</w:t>
      </w:r>
      <w:r>
        <w:rPr>
          <w:rFonts w:ascii="Arial" w:cs="Arial" w:eastAsia="Arial" w:hAnsi="Arial"/>
          <w:sz w:val="17"/>
          <w:szCs w:val="17"/>
          <w:color w:val="auto"/>
        </w:rPr>
        <w:t>; the circular letter No. 15 of 3 October 2017 (1-015-DVS-2017) in relation to bonds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derivative financial instruments as subject matter of taxation of Swiss federal income tax, Swiss withholding tax and Swiss stamp taxes </w:t>
      </w:r>
      <w:r>
        <w:rPr>
          <w:rFonts w:ascii="Arial" w:cs="Arial" w:eastAsia="Arial" w:hAnsi="Arial"/>
          <w:sz w:val="17"/>
          <w:szCs w:val="17"/>
          <w:i w:val="1"/>
          <w:iCs w:val="1"/>
          <w:color w:val="auto"/>
        </w:rPr>
        <w:t>(Kreisschreiben Nr.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15 “Obligationen und derivative Finanzinstrumente als Gegenstand der direkten Bundessteuer, der Verrechnungssteuer und der Stempelabgaben” vom 3. Oktober 2017) </w:t>
      </w:r>
      <w:r>
        <w:rPr>
          <w:rFonts w:ascii="Arial" w:cs="Arial" w:eastAsia="Arial" w:hAnsi="Arial"/>
          <w:sz w:val="17"/>
          <w:szCs w:val="17"/>
          <w:color w:val="auto"/>
        </w:rPr>
        <w:t>and the notification regarding credit balances in groups (Mitteilung 010-DVS-2019 of February 2019 betreffend "Verrechnungssteuer:</w:t>
      </w:r>
      <w:r>
        <w:rPr>
          <w:rFonts w:ascii="Arial" w:cs="Arial" w:eastAsia="Arial" w:hAnsi="Arial"/>
          <w:sz w:val="17"/>
          <w:szCs w:val="17"/>
          <w:i w:val="1"/>
          <w:iCs w:val="1"/>
          <w:color w:val="auto"/>
        </w:rPr>
        <w:t xml:space="preserve"> </w:t>
      </w:r>
      <w:r>
        <w:rPr>
          <w:rFonts w:ascii="Arial" w:cs="Arial" w:eastAsia="Arial" w:hAnsi="Arial"/>
          <w:sz w:val="17"/>
          <w:szCs w:val="17"/>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Person that (i) is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7" w:name="page648"/>
    <w:bookmarkEnd w:id="647"/>
    <w:p>
      <w:pPr>
        <w:spacing w:after="0"/>
        <w:rPr>
          <w:sz w:val="20"/>
          <w:szCs w:val="20"/>
          <w:color w:val="auto"/>
        </w:rPr>
      </w:pPr>
      <w:r>
        <w:rPr>
          <w:rFonts w:ascii="Arial" w:cs="Arial" w:eastAsia="Arial" w:hAnsi="Arial"/>
          <w:sz w:val="16"/>
          <w:szCs w:val="16"/>
          <w:color w:val="auto"/>
        </w:rPr>
        <w:t>IN WITNESS WHEREOF, the undersigned has executed this Assignee Certificate this _____ day of ______________, 20___.</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ASSIGNEE</w:t>
      </w:r>
      <w:r>
        <w:rPr>
          <w:rFonts w:ascii="Arial" w:cs="Arial" w:eastAsia="Arial" w:hAnsi="Arial"/>
          <w:sz w:val="18"/>
          <w:szCs w:val="18"/>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648" w:name="page649"/>
    <w:bookmarkEnd w:id="648"/>
    <w:p>
      <w:pPr>
        <w:jc w:val="right"/>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INCREASING LENDER SUPPLEMENT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INCREASING LENDER SUPPLEMENT, dated as of ____________, 20___ (this “</w:t>
      </w:r>
      <w:r>
        <w:rPr>
          <w:rFonts w:ascii="Arial" w:cs="Arial" w:eastAsia="Arial" w:hAnsi="Arial"/>
          <w:sz w:val="16"/>
          <w:szCs w:val="16"/>
          <w:u w:val="single" w:color="auto"/>
          <w:color w:val="auto"/>
        </w:rPr>
        <w:t>Supplement</w:t>
      </w:r>
      <w:r>
        <w:rPr>
          <w:rFonts w:ascii="Arial" w:cs="Arial" w:eastAsia="Arial" w:hAnsi="Arial"/>
          <w:sz w:val="16"/>
          <w:szCs w:val="16"/>
          <w:color w:val="auto"/>
        </w:rPr>
        <w:t>”), by and among each of the signatories hereto, to</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LC Credit Agreement, dated as of December [5], 2019 (as amended, restated, amended and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Weatherford International Ltd., a Bermuda exempted company (“</w:t>
      </w:r>
      <w:r>
        <w:rPr>
          <w:rFonts w:ascii="Arial" w:cs="Arial" w:eastAsia="Arial" w:hAnsi="Arial"/>
          <w:sz w:val="16"/>
          <w:szCs w:val="16"/>
          <w:u w:val="single" w:color="auto"/>
          <w:color w:val="auto"/>
        </w:rPr>
        <w:t>WIL-Bermuda</w:t>
      </w:r>
      <w:r>
        <w:rPr>
          <w:rFonts w:ascii="Arial" w:cs="Arial" w:eastAsia="Arial" w:hAnsi="Arial"/>
          <w:sz w:val="16"/>
          <w:szCs w:val="16"/>
          <w:color w:val="auto"/>
        </w:rPr>
        <w:t>”), Weatherford International, LLC, a Delaware limited liability company (“</w:t>
      </w:r>
      <w:r>
        <w:rPr>
          <w:rFonts w:ascii="Arial" w:cs="Arial" w:eastAsia="Arial" w:hAnsi="Arial"/>
          <w:sz w:val="16"/>
          <w:szCs w:val="16"/>
          <w:u w:val="single" w:color="auto"/>
          <w:color w:val="auto"/>
        </w:rPr>
        <w:t>WIL-Delaware</w:t>
      </w:r>
      <w:r>
        <w:rPr>
          <w:rFonts w:ascii="Arial" w:cs="Arial" w:eastAsia="Arial" w:hAnsi="Arial"/>
          <w:sz w:val="16"/>
          <w:szCs w:val="16"/>
          <w:color w:val="auto"/>
        </w:rPr>
        <w:t>”), Weatherford International plc, an Irish public limited company (“</w:t>
      </w:r>
      <w:r>
        <w:rPr>
          <w:rFonts w:ascii="Arial" w:cs="Arial" w:eastAsia="Arial" w:hAnsi="Arial"/>
          <w:sz w:val="16"/>
          <w:szCs w:val="16"/>
          <w:u w:val="single" w:color="auto"/>
          <w:color w:val="auto"/>
        </w:rPr>
        <w:t>Parent</w:t>
      </w:r>
      <w:r>
        <w:rPr>
          <w:rFonts w:ascii="Arial" w:cs="Arial" w:eastAsia="Arial" w:hAnsi="Arial"/>
          <w:sz w:val="16"/>
          <w:szCs w:val="16"/>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Credit Agreement, the Borrowers have the right, subject to the terms and conditions thereof, to effectuate from time to time an increase in the aggregate Commitments under the Credit Agreement by requesting one or more Lenders to increase the amount of their Commitments;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Borrowers have given notice to the Administrative Agent of their intention to increase the aggregate Commitments pursuant to such </w:t>
      </w:r>
      <w:r>
        <w:rPr>
          <w:rFonts w:ascii="Arial" w:cs="Arial" w:eastAsia="Arial" w:hAnsi="Arial"/>
          <w:sz w:val="18"/>
          <w:szCs w:val="18"/>
          <w:u w:val="single" w:color="auto"/>
          <w:color w:val="auto"/>
        </w:rPr>
        <w:t>Section 2.11</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Credit Agreement, the undersigned Increasing Lender now desires to increase the amount of its Commitment under the Credit Agreement by executing and delivering to the Borrowers and the Administrative Agent this Supplement;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ind w:firstLine="656"/>
        <w:spacing w:after="0" w:line="342" w:lineRule="auto"/>
        <w:tabs>
          <w:tab w:leader="none" w:pos="1823" w:val="left"/>
        </w:tabs>
        <w:numPr>
          <w:ilvl w:val="0"/>
          <w:numId w:val="783"/>
        </w:numPr>
        <w:rPr>
          <w:rFonts w:ascii="Arial" w:cs="Arial" w:eastAsia="Arial" w:hAnsi="Arial"/>
          <w:sz w:val="16"/>
          <w:szCs w:val="16"/>
          <w:color w:val="auto"/>
        </w:rPr>
      </w:pPr>
      <w:r>
        <w:rPr>
          <w:rFonts w:ascii="Arial" w:cs="Arial" w:eastAsia="Arial" w:hAnsi="Arial"/>
          <w:sz w:val="16"/>
          <w:szCs w:val="16"/>
          <w:color w:val="auto"/>
        </w:rPr>
        <w:t>The undersigned Increasing Lender agrees, subject to the terms and conditions of the Credit Agreement, that as of the date of this Supplement it shall have its Commitment increased by $[______________], thereby making the total amount of its Commitment equal to $[___________</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700" w:hanging="1044"/>
        <w:spacing w:after="0"/>
        <w:tabs>
          <w:tab w:leader="none" w:pos="1700" w:val="left"/>
        </w:tabs>
        <w:numPr>
          <w:ilvl w:val="0"/>
          <w:numId w:val="783"/>
        </w:numPr>
        <w:rPr>
          <w:rFonts w:ascii="Arial" w:cs="Arial" w:eastAsia="Arial" w:hAnsi="Arial"/>
          <w:sz w:val="16"/>
          <w:szCs w:val="16"/>
          <w:color w:val="auto"/>
        </w:rPr>
      </w:pPr>
      <w:r>
        <w:rPr>
          <w:rFonts w:ascii="Arial" w:cs="Arial" w:eastAsia="Arial" w:hAnsi="Arial"/>
          <w:sz w:val="16"/>
          <w:szCs w:val="16"/>
          <w:color w:val="auto"/>
        </w:rPr>
        <w:t>The Borrowers hereby represent and warrant that no Default or Event of Default has occurred and is continuing on and as of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left="1600" w:hanging="944"/>
        <w:spacing w:after="0"/>
        <w:tabs>
          <w:tab w:leader="none" w:pos="16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respective defined meanings when used herein.</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656"/>
        <w:spacing w:after="0" w:line="277" w:lineRule="auto"/>
        <w:tabs>
          <w:tab w:leader="none" w:pos="162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9" w:name="page650"/>
    <w:bookmarkEnd w:id="649"/>
    <w:p>
      <w:pPr>
        <w:ind w:firstLine="648"/>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INCREASING LENDER</w:t>
      </w:r>
      <w:r>
        <w:rPr>
          <w:rFonts w:ascii="Arial" w:cs="Arial" w:eastAsia="Arial" w:hAnsi="Arial"/>
          <w:sz w:val="18"/>
          <w:szCs w:val="18"/>
          <w:color w:val="auto"/>
        </w:rPr>
        <w:t>:</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[INSERT NAME OF INCREASING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WIL-BERMUDA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325882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WIL-DELAWARE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325882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325882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0" w:name="page651"/>
    <w:bookmarkEnd w:id="650"/>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325882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5882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325882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651" w:name="page652"/>
    <w:bookmarkEnd w:id="651"/>
    <w:p>
      <w:pPr>
        <w:jc w:val="right"/>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ADDITIONAL LENDER SUPPLEMENT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LENDER SUPPLEMENT, dated as of ____________, 20___ (this “</w:t>
      </w:r>
      <w:r>
        <w:rPr>
          <w:rFonts w:ascii="Arial" w:cs="Arial" w:eastAsia="Arial" w:hAnsi="Arial"/>
          <w:sz w:val="16"/>
          <w:szCs w:val="16"/>
          <w:u w:val="single" w:color="auto"/>
          <w:color w:val="auto"/>
        </w:rPr>
        <w:t>Supplement</w:t>
      </w:r>
      <w:r>
        <w:rPr>
          <w:rFonts w:ascii="Arial" w:cs="Arial" w:eastAsia="Arial" w:hAnsi="Arial"/>
          <w:sz w:val="16"/>
          <w:szCs w:val="16"/>
          <w:color w:val="auto"/>
        </w:rPr>
        <w:t>”), by and among each of the signatories hereto, to</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LC Credit Agreement, dated as of December [5], 2019 (as amended, restated, amended and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Weatherford International Ltd., a Bermuda exempted company (“</w:t>
      </w:r>
      <w:r>
        <w:rPr>
          <w:rFonts w:ascii="Arial" w:cs="Arial" w:eastAsia="Arial" w:hAnsi="Arial"/>
          <w:sz w:val="16"/>
          <w:szCs w:val="16"/>
          <w:u w:val="single" w:color="auto"/>
          <w:color w:val="auto"/>
        </w:rPr>
        <w:t>WIL-Bermuda</w:t>
      </w:r>
      <w:r>
        <w:rPr>
          <w:rFonts w:ascii="Arial" w:cs="Arial" w:eastAsia="Arial" w:hAnsi="Arial"/>
          <w:sz w:val="16"/>
          <w:szCs w:val="16"/>
          <w:color w:val="auto"/>
        </w:rPr>
        <w:t>”), Weatherford International, LLC, a Delaware limited liability company (“</w:t>
      </w:r>
      <w:r>
        <w:rPr>
          <w:rFonts w:ascii="Arial" w:cs="Arial" w:eastAsia="Arial" w:hAnsi="Arial"/>
          <w:sz w:val="16"/>
          <w:szCs w:val="16"/>
          <w:u w:val="single" w:color="auto"/>
          <w:color w:val="auto"/>
        </w:rPr>
        <w:t>WIL-Delaware</w:t>
      </w:r>
      <w:r>
        <w:rPr>
          <w:rFonts w:ascii="Arial" w:cs="Arial" w:eastAsia="Arial" w:hAnsi="Arial"/>
          <w:sz w:val="16"/>
          <w:szCs w:val="16"/>
          <w:color w:val="auto"/>
        </w:rPr>
        <w:t>”), Weatherford International plc, an Irish public limited company (“</w:t>
      </w:r>
      <w:r>
        <w:rPr>
          <w:rFonts w:ascii="Arial" w:cs="Arial" w:eastAsia="Arial" w:hAnsi="Arial"/>
          <w:sz w:val="16"/>
          <w:szCs w:val="16"/>
          <w:u w:val="single" w:color="auto"/>
          <w:color w:val="auto"/>
        </w:rPr>
        <w:t>Parent</w:t>
      </w:r>
      <w:r>
        <w:rPr>
          <w:rFonts w:ascii="Arial" w:cs="Arial" w:eastAsia="Arial" w:hAnsi="Arial"/>
          <w:sz w:val="16"/>
          <w:szCs w:val="16"/>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Credit Agreement, the Borrowers have the right, subject to the terms and conditions thereof, to effectuate from time to time an increase in the aggregate Commitments under the Credit Agreement by requesting one or more Persons meeting the qualifications set forth in such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to provide an Incremental Commitment;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Credit Agreement provides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thereof that any Person providing an Incremental Commitment that is not already a Lender must meet the requirements to be an assignee under </w:t>
      </w:r>
      <w:r>
        <w:rPr>
          <w:rFonts w:ascii="Arial" w:cs="Arial" w:eastAsia="Arial" w:hAnsi="Arial"/>
          <w:sz w:val="18"/>
          <w:szCs w:val="18"/>
          <w:u w:val="single" w:color="auto"/>
          <w:color w:val="auto"/>
        </w:rPr>
        <w:t>Section 11.05(b)</w:t>
      </w:r>
      <w:r>
        <w:rPr>
          <w:rFonts w:ascii="Arial" w:cs="Arial" w:eastAsia="Arial" w:hAnsi="Arial"/>
          <w:sz w:val="18"/>
          <w:szCs w:val="18"/>
          <w:color w:val="auto"/>
        </w:rPr>
        <w:t xml:space="preserve"> of the Credit Agreement (subject to such consents, if any, as may be required under </w:t>
      </w:r>
      <w:r>
        <w:rPr>
          <w:rFonts w:ascii="Arial" w:cs="Arial" w:eastAsia="Arial" w:hAnsi="Arial"/>
          <w:sz w:val="18"/>
          <w:szCs w:val="18"/>
          <w:u w:val="single" w:color="auto"/>
          <w:color w:val="auto"/>
        </w:rPr>
        <w:t>Section 11.05(b)</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immediately prior to giving effect to this Supplement, the undersigned Additional Lender was not a Lender under the Credit Agreement, but now desires to become a party thereto as a Lender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jc w:val="both"/>
        <w:ind w:left="980" w:firstLine="649"/>
        <w:spacing w:after="0" w:line="264" w:lineRule="auto"/>
        <w:tabs>
          <w:tab w:leader="none" w:pos="2101" w:val="left"/>
        </w:tabs>
        <w:numPr>
          <w:ilvl w:val="0"/>
          <w:numId w:val="784"/>
        </w:numPr>
        <w:rPr>
          <w:rFonts w:ascii="Arial" w:cs="Arial" w:eastAsia="Arial" w:hAnsi="Arial"/>
          <w:sz w:val="18"/>
          <w:szCs w:val="18"/>
          <w:color w:val="auto"/>
        </w:rPr>
      </w:pPr>
      <w:r>
        <w:rPr>
          <w:rFonts w:ascii="Arial" w:cs="Arial" w:eastAsia="Arial" w:hAnsi="Arial"/>
          <w:sz w:val="18"/>
          <w:szCs w:val="18"/>
          <w:color w:val="auto"/>
        </w:rPr>
        <w:t>The undersigned Additional Lender agrees to be bound by the provisions of the Credit Agreement as a Lender thereunder and agrees that it shall, as of the date of this Supplement, become a Lender for all purposes of the Credit Agreement to the same extent as if originally a party thereto, with a Commitment equal to $[__________].</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52" w:name="page653"/>
    <w:bookmarkEnd w:id="652"/>
    <w:p>
      <w:pPr>
        <w:jc w:val="both"/>
        <w:ind w:firstLine="656"/>
        <w:spacing w:after="0" w:line="286" w:lineRule="auto"/>
        <w:tabs>
          <w:tab w:leader="none" w:pos="1931" w:val="left"/>
        </w:tabs>
        <w:numPr>
          <w:ilvl w:val="0"/>
          <w:numId w:val="785"/>
        </w:numPr>
        <w:rPr>
          <w:rFonts w:ascii="Arial" w:cs="Arial" w:eastAsia="Arial" w:hAnsi="Arial"/>
          <w:sz w:val="16"/>
          <w:szCs w:val="16"/>
          <w:color w:val="auto"/>
        </w:rPr>
      </w:pPr>
      <w:r>
        <w:rPr>
          <w:rFonts w:ascii="Arial" w:cs="Arial" w:eastAsia="Arial" w:hAnsi="Arial"/>
          <w:sz w:val="16"/>
          <w:szCs w:val="16"/>
          <w:color w:val="auto"/>
        </w:rPr>
        <w:t xml:space="preserve">The undersigned Additional Lender (a) represents and warrants that (i) it has full power and authority, and has taken all action necessary, to execute and deliver this Supplement and to consummate the transactions contemplated hereby and to become a Lender under the Credit Agreement, (ii) it has delivered to Parent and the Administrative Agent the forms required under </w:t>
      </w:r>
      <w:r>
        <w:rPr>
          <w:rFonts w:ascii="Arial" w:cs="Arial" w:eastAsia="Arial" w:hAnsi="Arial"/>
          <w:sz w:val="16"/>
          <w:szCs w:val="16"/>
          <w:u w:val="single" w:color="auto"/>
          <w:color w:val="auto"/>
        </w:rPr>
        <w:t>Sections 4.02(c)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4.02(e)</w:t>
      </w:r>
      <w:r>
        <w:rPr>
          <w:rFonts w:ascii="Arial" w:cs="Arial" w:eastAsia="Arial" w:hAnsi="Arial"/>
          <w:sz w:val="16"/>
          <w:szCs w:val="16"/>
          <w:color w:val="auto"/>
        </w:rPr>
        <w:t xml:space="preserve"> of the Credit Agreement and an Assignee Certificate, in each case duly completed and executed by the undersigned Additional Lender, and (iii) it is not subject under current law to any withholding tax on amounts payable to it under the Credit Agreement; (b) confirms that it has received a copy of the Credit Agreement, together with copies of the most recent financial statements delivered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thereof,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irrevocably designates, appoints and authorizes the Administrative Agent as the agent of such Lender under the Credit Agreement and the other Loan Documents; (e) irrevocably authorizes the Administrative Agent to take such actions on its behalf under the provisions of the Credit Agreement and the other Loan Documents, including execution of the other Loan Documents, and to exercise such powers and perform such duties as are expressly delegated to the Administrative Agent by the terms of the Credit Agreement and of the other Loan Documents, together with such actions and powers as are reasonably incidental thereto; and (f) agrees that it will be bound by the provisions of the Credit Agreement and will perform in accordance with its terms all the obligations which by the terms of the Credit Agreement are required to be performed by it as a Lender.</w:t>
      </w:r>
    </w:p>
    <w:p>
      <w:pPr>
        <w:spacing w:after="0" w:line="168" w:lineRule="exact"/>
        <w:rPr>
          <w:rFonts w:ascii="Arial" w:cs="Arial" w:eastAsia="Arial" w:hAnsi="Arial"/>
          <w:sz w:val="16"/>
          <w:szCs w:val="16"/>
          <w:color w:val="auto"/>
        </w:rPr>
      </w:pPr>
    </w:p>
    <w:p>
      <w:pPr>
        <w:ind w:left="1600" w:hanging="944"/>
        <w:spacing w:after="0"/>
        <w:tabs>
          <w:tab w:leader="none" w:pos="16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The undersigned’s address for notices for the purposes of the Credit Agreement is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w:t>
      </w:r>
    </w:p>
    <w:p>
      <w:pPr>
        <w:spacing w:after="0" w:line="225" w:lineRule="exact"/>
        <w:rPr>
          <w:sz w:val="20"/>
          <w:szCs w:val="20"/>
          <w:color w:val="auto"/>
        </w:rPr>
      </w:pPr>
    </w:p>
    <w:p>
      <w:pPr>
        <w:ind w:left="1700" w:hanging="1044"/>
        <w:spacing w:after="0"/>
        <w:tabs>
          <w:tab w:leader="none" w:pos="1700" w:val="left"/>
        </w:tabs>
        <w:numPr>
          <w:ilvl w:val="0"/>
          <w:numId w:val="786"/>
        </w:numPr>
        <w:rPr>
          <w:rFonts w:ascii="Arial" w:cs="Arial" w:eastAsia="Arial" w:hAnsi="Arial"/>
          <w:sz w:val="16"/>
          <w:szCs w:val="16"/>
          <w:color w:val="auto"/>
        </w:rPr>
      </w:pPr>
      <w:r>
        <w:rPr>
          <w:rFonts w:ascii="Arial" w:cs="Arial" w:eastAsia="Arial" w:hAnsi="Arial"/>
          <w:sz w:val="16"/>
          <w:szCs w:val="16"/>
          <w:color w:val="auto"/>
        </w:rPr>
        <w:t>The Borrowers hereby represent and warrant that no Default or Event of Default has occurred and is continuing on and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600" w:hanging="944"/>
        <w:spacing w:after="0"/>
        <w:tabs>
          <w:tab w:leader="none" w:pos="160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respective defined meanings when used herein.</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656"/>
        <w:spacing w:after="0" w:line="277" w:lineRule="auto"/>
        <w:tabs>
          <w:tab w:leader="none" w:pos="162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3" w:name="page654"/>
    <w:bookmarkEnd w:id="653"/>
    <w:p>
      <w:pPr>
        <w:ind w:firstLine="648"/>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ADDITIONAL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WIL-BERMUDA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WIL-DELAWARE</w:t>
      </w:r>
      <w:r>
        <w:rPr>
          <w:rFonts w:ascii="Arial" w:cs="Arial" w:eastAsia="Arial" w:hAnsi="Arial"/>
          <w:sz w:val="18"/>
          <w:szCs w:val="18"/>
          <w:color w:val="auto"/>
        </w:rPr>
        <w:t>:</w:t>
      </w:r>
    </w:p>
    <w:p>
      <w:pPr>
        <w:spacing w:after="0" w:line="225" w:lineRule="exact"/>
        <w:rPr>
          <w:sz w:val="20"/>
          <w:szCs w:val="20"/>
          <w:color w:val="auto"/>
        </w:rPr>
      </w:pPr>
    </w:p>
    <w:p>
      <w:pPr>
        <w:jc w:val="center"/>
        <w:ind w:right="8120"/>
        <w:spacing w:after="0"/>
        <w:rPr>
          <w:sz w:val="20"/>
          <w:szCs w:val="20"/>
          <w:color w:val="auto"/>
        </w:rPr>
      </w:pPr>
      <w:r>
        <w:rPr>
          <w:rFonts w:ascii="Arial" w:cs="Arial" w:eastAsia="Arial" w:hAnsi="Arial"/>
          <w:sz w:val="17"/>
          <w:szCs w:val="17"/>
          <w:color w:val="auto"/>
        </w:rPr>
        <w:t>WEATHERFORD INTERNATIONAL, LLC,</w:t>
      </w:r>
    </w:p>
    <w:p>
      <w:pPr>
        <w:spacing w:after="0" w:line="35" w:lineRule="exact"/>
        <w:rPr>
          <w:sz w:val="20"/>
          <w:szCs w:val="20"/>
          <w:color w:val="auto"/>
        </w:rPr>
      </w:pPr>
    </w:p>
    <w:p>
      <w:pPr>
        <w:jc w:val="center"/>
        <w:ind w:right="80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54" w:name="page655"/>
    <w:bookmarkEnd w:id="654"/>
    <w:p>
      <w:pPr>
        <w:spacing w:after="0"/>
        <w:rPr>
          <w:sz w:val="20"/>
          <w:szCs w:val="20"/>
          <w:color w:val="auto"/>
        </w:rPr>
      </w:pPr>
      <w:r>
        <w:rPr>
          <w:rFonts w:ascii="Arial" w:cs="Arial" w:eastAsia="Arial" w:hAnsi="Arial"/>
          <w:sz w:val="18"/>
          <w:szCs w:val="18"/>
          <w:color w:val="auto"/>
        </w:rPr>
        <w:t>Consented to and 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FORM OF INTERCREDITOR AGREEMENT</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6" w:right="239" w:bottom="1440" w:gutter="0" w:footer="0" w:header="0"/>
        </w:sectPr>
      </w:pPr>
    </w:p>
    <w:bookmarkStart w:id="656" w:name="page657"/>
    <w:bookmarkEnd w:id="656"/>
    <w:p>
      <w:pPr>
        <w:jc w:val="center"/>
        <w:spacing w:after="0"/>
        <w:rPr>
          <w:sz w:val="20"/>
          <w:szCs w:val="20"/>
          <w:color w:val="auto"/>
        </w:rPr>
      </w:pPr>
      <w:r>
        <w:rPr>
          <w:rFonts w:ascii="Arial" w:cs="Arial" w:eastAsia="Arial" w:hAnsi="Arial"/>
          <w:sz w:val="18"/>
          <w:szCs w:val="18"/>
          <w:color w:val="auto"/>
        </w:rPr>
        <w:t>FORM OF INTERCREDITOR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79" w:lineRule="exact"/>
        <w:rPr>
          <w:sz w:val="20"/>
          <w:szCs w:val="20"/>
          <w:color w:val="auto"/>
        </w:rPr>
      </w:pPr>
    </w:p>
    <w:p>
      <w:pPr>
        <w:ind w:left="4760" w:hanging="1003"/>
        <w:spacing w:after="0"/>
        <w:tabs>
          <w:tab w:leader="none" w:pos="476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-10160</wp:posOffset>
            </wp:positionV>
            <wp:extent cx="60007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as ABL Collateral Agent and Foreign Collateral Agent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LC Collateral Agent,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BTA INSTITUTIONAL SERVICES AUSTRALIA LIMITED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when joined hereto, as LC Australian Collateral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Grantors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657" w:name="page658"/>
    <w:bookmarkEnd w:id="657"/>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770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240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18"/>
        </w:trPr>
        <w:tc>
          <w:tcPr>
            <w:tcW w:w="90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1.01</w:t>
            </w:r>
          </w:p>
        </w:tc>
        <w:tc>
          <w:tcPr>
            <w:tcW w:w="7700" w:type="dxa"/>
            <w:vAlign w:val="bottom"/>
          </w:tcPr>
          <w:p>
            <w:pPr>
              <w:ind w:left="180"/>
              <w:spacing w:after="0"/>
              <w:rPr>
                <w:sz w:val="20"/>
                <w:szCs w:val="20"/>
                <w:color w:val="auto"/>
              </w:rPr>
            </w:pPr>
            <w:r>
              <w:rPr>
                <w:rFonts w:ascii="Arial" w:cs="Arial" w:eastAsia="Arial" w:hAnsi="Arial"/>
                <w:sz w:val="18"/>
                <w:szCs w:val="18"/>
                <w:color w:val="auto"/>
              </w:rPr>
              <w:t>Construction; Certain Defined Terms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1.02</w:t>
            </w:r>
          </w:p>
        </w:tc>
        <w:tc>
          <w:tcPr>
            <w:tcW w:w="7700" w:type="dxa"/>
            <w:vAlign w:val="bottom"/>
          </w:tcPr>
          <w:p>
            <w:pPr>
              <w:ind w:left="180"/>
              <w:spacing w:after="0"/>
              <w:rPr>
                <w:sz w:val="20"/>
                <w:szCs w:val="20"/>
                <w:color w:val="auto"/>
              </w:rPr>
            </w:pPr>
            <w:r>
              <w:rPr>
                <w:rFonts w:ascii="Arial" w:cs="Arial" w:eastAsia="Arial" w:hAnsi="Arial"/>
                <w:sz w:val="18"/>
                <w:szCs w:val="18"/>
                <w:color w:val="auto"/>
              </w:rPr>
              <w:t>Luxembourg Terms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1.03</w:t>
            </w:r>
          </w:p>
        </w:tc>
        <w:tc>
          <w:tcPr>
            <w:tcW w:w="7700" w:type="dxa"/>
            <w:vAlign w:val="bottom"/>
          </w:tcPr>
          <w:p>
            <w:pPr>
              <w:ind w:left="180"/>
              <w:spacing w:after="0"/>
              <w:rPr>
                <w:sz w:val="20"/>
                <w:szCs w:val="20"/>
                <w:color w:val="auto"/>
              </w:rPr>
            </w:pPr>
            <w:r>
              <w:rPr>
                <w:rFonts w:ascii="Arial" w:cs="Arial" w:eastAsia="Arial" w:hAnsi="Arial"/>
                <w:sz w:val="18"/>
                <w:szCs w:val="18"/>
                <w:color w:val="auto"/>
              </w:rPr>
              <w:t>Designation of Swap and Banking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9020" w:type="dxa"/>
            <w:vAlign w:val="bottom"/>
            <w:gridSpan w:val="2"/>
          </w:tcPr>
          <w:p>
            <w:pPr>
              <w:spacing w:after="0"/>
              <w:rPr>
                <w:sz w:val="20"/>
                <w:szCs w:val="20"/>
                <w:color w:val="auto"/>
              </w:rPr>
            </w:pPr>
            <w:r>
              <w:rPr>
                <w:rFonts w:ascii="Arial" w:cs="Arial" w:eastAsia="Arial" w:hAnsi="Arial"/>
                <w:sz w:val="18"/>
                <w:szCs w:val="18"/>
                <w:color w:val="auto"/>
              </w:rPr>
              <w:t>ARTICLE II Priorities and Agreements with Respect to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2.01</w:t>
            </w:r>
          </w:p>
        </w:tc>
        <w:tc>
          <w:tcPr>
            <w:tcW w:w="7700" w:type="dxa"/>
            <w:vAlign w:val="bottom"/>
          </w:tcPr>
          <w:p>
            <w:pPr>
              <w:ind w:left="180"/>
              <w:spacing w:after="0"/>
              <w:rPr>
                <w:sz w:val="20"/>
                <w:szCs w:val="20"/>
                <w:color w:val="auto"/>
              </w:rPr>
            </w:pPr>
            <w:r>
              <w:rPr>
                <w:rFonts w:ascii="Arial" w:cs="Arial" w:eastAsia="Arial" w:hAnsi="Arial"/>
                <w:sz w:val="18"/>
                <w:szCs w:val="18"/>
                <w:color w:val="auto"/>
              </w:rPr>
              <w:t>Priority of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2.02</w:t>
            </w:r>
          </w:p>
        </w:tc>
        <w:tc>
          <w:tcPr>
            <w:tcW w:w="7700" w:type="dxa"/>
            <w:vAlign w:val="bottom"/>
          </w:tcPr>
          <w:p>
            <w:pPr>
              <w:ind w:left="180"/>
              <w:spacing w:after="0"/>
              <w:rPr>
                <w:sz w:val="20"/>
                <w:szCs w:val="20"/>
                <w:color w:val="auto"/>
              </w:rPr>
            </w:pPr>
            <w:r>
              <w:rPr>
                <w:rFonts w:ascii="Arial" w:cs="Arial" w:eastAsia="Arial" w:hAnsi="Arial"/>
                <w:sz w:val="18"/>
                <w:szCs w:val="18"/>
                <w:color w:val="auto"/>
              </w:rPr>
              <w:t>Actions With Respect to Collateral; Prohibition on Contesting Liens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2.03</w:t>
            </w:r>
          </w:p>
        </w:tc>
        <w:tc>
          <w:tcPr>
            <w:tcW w:w="7700" w:type="dxa"/>
            <w:vAlign w:val="bottom"/>
          </w:tcPr>
          <w:p>
            <w:pPr>
              <w:ind w:left="180"/>
              <w:spacing w:after="0"/>
              <w:rPr>
                <w:sz w:val="20"/>
                <w:szCs w:val="20"/>
                <w:color w:val="auto"/>
              </w:rPr>
            </w:pPr>
            <w:r>
              <w:rPr>
                <w:rFonts w:ascii="Arial" w:cs="Arial" w:eastAsia="Arial" w:hAnsi="Arial"/>
                <w:sz w:val="18"/>
                <w:szCs w:val="18"/>
                <w:color w:val="auto"/>
              </w:rPr>
              <w:t>No Duties of Senior Representative; Provision of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2.04</w:t>
            </w:r>
          </w:p>
        </w:tc>
        <w:tc>
          <w:tcPr>
            <w:tcW w:w="7700" w:type="dxa"/>
            <w:vAlign w:val="bottom"/>
          </w:tcPr>
          <w:p>
            <w:pPr>
              <w:ind w:left="180"/>
              <w:spacing w:after="0"/>
              <w:rPr>
                <w:sz w:val="20"/>
                <w:szCs w:val="20"/>
                <w:color w:val="auto"/>
              </w:rPr>
            </w:pPr>
            <w:r>
              <w:rPr>
                <w:rFonts w:ascii="Arial" w:cs="Arial" w:eastAsia="Arial" w:hAnsi="Arial"/>
                <w:sz w:val="18"/>
                <w:szCs w:val="18"/>
                <w:color w:val="auto"/>
              </w:rPr>
              <w:t>No Interference; Payment Over; Reinstatement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2.05</w:t>
            </w:r>
          </w:p>
        </w:tc>
        <w:tc>
          <w:tcPr>
            <w:tcW w:w="7700" w:type="dxa"/>
            <w:vAlign w:val="bottom"/>
          </w:tcPr>
          <w:p>
            <w:pPr>
              <w:ind w:left="180"/>
              <w:spacing w:after="0"/>
              <w:rPr>
                <w:sz w:val="20"/>
                <w:szCs w:val="20"/>
                <w:color w:val="auto"/>
              </w:rPr>
            </w:pPr>
            <w:r>
              <w:rPr>
                <w:rFonts w:ascii="Arial" w:cs="Arial" w:eastAsia="Arial" w:hAnsi="Arial"/>
                <w:sz w:val="18"/>
                <w:szCs w:val="18"/>
                <w:color w:val="auto"/>
              </w:rPr>
              <w:t>Automatic Release of Junior Liens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2.06</w:t>
            </w:r>
          </w:p>
        </w:tc>
        <w:tc>
          <w:tcPr>
            <w:tcW w:w="7700" w:type="dxa"/>
            <w:vAlign w:val="bottom"/>
          </w:tcPr>
          <w:p>
            <w:pPr>
              <w:ind w:left="180"/>
              <w:spacing w:after="0"/>
              <w:rPr>
                <w:sz w:val="20"/>
                <w:szCs w:val="20"/>
                <w:color w:val="auto"/>
              </w:rPr>
            </w:pPr>
            <w:r>
              <w:rPr>
                <w:rFonts w:ascii="Arial" w:cs="Arial" w:eastAsia="Arial" w:hAnsi="Arial"/>
                <w:sz w:val="18"/>
                <w:szCs w:val="18"/>
                <w:color w:val="auto"/>
              </w:rPr>
              <w:t>Certain Agreements With Respect to Insolvency or Liquidation Proceedings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2.07</w:t>
            </w:r>
          </w:p>
        </w:tc>
        <w:tc>
          <w:tcPr>
            <w:tcW w:w="770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2.08</w:t>
            </w:r>
          </w:p>
        </w:tc>
        <w:tc>
          <w:tcPr>
            <w:tcW w:w="7700" w:type="dxa"/>
            <w:vAlign w:val="bottom"/>
          </w:tcPr>
          <w:p>
            <w:pPr>
              <w:ind w:left="180"/>
              <w:spacing w:after="0"/>
              <w:rPr>
                <w:sz w:val="20"/>
                <w:szCs w:val="20"/>
                <w:color w:val="auto"/>
              </w:rPr>
            </w:pPr>
            <w:r>
              <w:rPr>
                <w:rFonts w:ascii="Arial" w:cs="Arial" w:eastAsia="Arial" w:hAnsi="Arial"/>
                <w:sz w:val="18"/>
                <w:szCs w:val="18"/>
                <w:color w:val="auto"/>
              </w:rPr>
              <w:t>Entry Upon Premises by the ABL Collateral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2.09</w:t>
            </w:r>
          </w:p>
        </w:tc>
        <w:tc>
          <w:tcPr>
            <w:tcW w:w="77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2.10</w:t>
            </w:r>
          </w:p>
        </w:tc>
        <w:tc>
          <w:tcPr>
            <w:tcW w:w="7700" w:type="dxa"/>
            <w:vAlign w:val="bottom"/>
          </w:tcPr>
          <w:p>
            <w:pPr>
              <w:ind w:left="180"/>
              <w:spacing w:after="0"/>
              <w:rPr>
                <w:sz w:val="20"/>
                <w:szCs w:val="20"/>
                <w:color w:val="auto"/>
              </w:rPr>
            </w:pPr>
            <w:r>
              <w:rPr>
                <w:rFonts w:ascii="Arial" w:cs="Arial" w:eastAsia="Arial" w:hAnsi="Arial"/>
                <w:sz w:val="18"/>
                <w:szCs w:val="18"/>
                <w:color w:val="auto"/>
              </w:rPr>
              <w:t>Refinancings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2.11</w:t>
            </w:r>
          </w:p>
        </w:tc>
        <w:tc>
          <w:tcPr>
            <w:tcW w:w="7700" w:type="dxa"/>
            <w:vAlign w:val="bottom"/>
          </w:tcPr>
          <w:p>
            <w:pPr>
              <w:ind w:left="180"/>
              <w:spacing w:after="0"/>
              <w:rPr>
                <w:sz w:val="20"/>
                <w:szCs w:val="20"/>
                <w:color w:val="auto"/>
              </w:rPr>
            </w:pPr>
            <w:r>
              <w:rPr>
                <w:rFonts w:ascii="Arial" w:cs="Arial" w:eastAsia="Arial" w:hAnsi="Arial"/>
                <w:sz w:val="18"/>
                <w:szCs w:val="18"/>
                <w:color w:val="auto"/>
              </w:rPr>
              <w:t>Amendments to Security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2.12</w:t>
            </w:r>
          </w:p>
        </w:tc>
        <w:tc>
          <w:tcPr>
            <w:tcW w:w="7700" w:type="dxa"/>
            <w:vAlign w:val="bottom"/>
          </w:tcPr>
          <w:p>
            <w:pPr>
              <w:ind w:left="180"/>
              <w:spacing w:after="0"/>
              <w:rPr>
                <w:sz w:val="20"/>
                <w:szCs w:val="20"/>
                <w:color w:val="auto"/>
              </w:rPr>
            </w:pPr>
            <w:r>
              <w:rPr>
                <w:rFonts w:ascii="Arial" w:cs="Arial" w:eastAsia="Arial" w:hAnsi="Arial"/>
                <w:sz w:val="18"/>
                <w:szCs w:val="18"/>
                <w:color w:val="auto"/>
              </w:rPr>
              <w:t>Possessory Collateral Agent as Gratuitous Bailee for Perfection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2.13</w:t>
            </w:r>
          </w:p>
        </w:tc>
        <w:tc>
          <w:tcPr>
            <w:tcW w:w="7700" w:type="dxa"/>
            <w:vAlign w:val="bottom"/>
          </w:tcPr>
          <w:p>
            <w:pPr>
              <w:ind w:left="180"/>
              <w:spacing w:after="0"/>
              <w:rPr>
                <w:sz w:val="20"/>
                <w:szCs w:val="20"/>
                <w:color w:val="auto"/>
              </w:rPr>
            </w:pPr>
            <w:r>
              <w:rPr>
                <w:rFonts w:ascii="Arial" w:cs="Arial" w:eastAsia="Arial" w:hAnsi="Arial"/>
                <w:sz w:val="18"/>
                <w:szCs w:val="18"/>
                <w:color w:val="auto"/>
              </w:rPr>
              <w:t>Control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2.14</w:t>
            </w:r>
          </w:p>
        </w:tc>
        <w:tc>
          <w:tcPr>
            <w:tcW w:w="7700" w:type="dxa"/>
            <w:vAlign w:val="bottom"/>
          </w:tcPr>
          <w:p>
            <w:pPr>
              <w:ind w:left="180"/>
              <w:spacing w:after="0"/>
              <w:rPr>
                <w:sz w:val="20"/>
                <w:szCs w:val="20"/>
                <w:color w:val="auto"/>
              </w:rPr>
            </w:pPr>
            <w:r>
              <w:rPr>
                <w:rFonts w:ascii="Arial" w:cs="Arial" w:eastAsia="Arial" w:hAnsi="Arial"/>
                <w:sz w:val="18"/>
                <w:szCs w:val="18"/>
                <w:color w:val="auto"/>
              </w:rPr>
              <w:t>Rights under Permits and Licenses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ARTICLE III Existence and Amounts of Liens and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ARTICLE IV Consent of Grantors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5.01</w:t>
            </w:r>
          </w:p>
        </w:tc>
        <w:tc>
          <w:tcPr>
            <w:tcW w:w="7700" w:type="dxa"/>
            <w:vAlign w:val="bottom"/>
          </w:tcPr>
          <w:p>
            <w:pPr>
              <w:ind w:left="180"/>
              <w:spacing w:after="0"/>
              <w:rPr>
                <w:sz w:val="20"/>
                <w:szCs w:val="20"/>
                <w:color w:val="auto"/>
              </w:rPr>
            </w:pPr>
            <w:r>
              <w:rPr>
                <w:rFonts w:ascii="Arial" w:cs="Arial" w:eastAsia="Arial" w:hAnsi="Arial"/>
                <w:sz w:val="18"/>
                <w:szCs w:val="18"/>
                <w:color w:val="auto"/>
              </w:rPr>
              <w:t>Representations and Warranties of Each Party</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5.02</w:t>
            </w:r>
          </w:p>
        </w:tc>
        <w:tc>
          <w:tcPr>
            <w:tcW w:w="7700" w:type="dxa"/>
            <w:vAlign w:val="bottom"/>
          </w:tcPr>
          <w:p>
            <w:pPr>
              <w:ind w:left="180"/>
              <w:spacing w:after="0"/>
              <w:rPr>
                <w:sz w:val="20"/>
                <w:szCs w:val="20"/>
                <w:color w:val="auto"/>
              </w:rPr>
            </w:pPr>
            <w:r>
              <w:rPr>
                <w:rFonts w:ascii="Arial" w:cs="Arial" w:eastAsia="Arial" w:hAnsi="Arial"/>
                <w:sz w:val="18"/>
                <w:szCs w:val="18"/>
                <w:color w:val="auto"/>
              </w:rPr>
              <w:t>Representations and Warranties of Each Representative</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Collateral Agency for Foreign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6.01</w:t>
            </w:r>
          </w:p>
        </w:tc>
        <w:tc>
          <w:tcPr>
            <w:tcW w:w="7700" w:type="dxa"/>
            <w:vAlign w:val="bottom"/>
          </w:tcPr>
          <w:p>
            <w:pPr>
              <w:ind w:left="180"/>
              <w:spacing w:after="0"/>
              <w:rPr>
                <w:sz w:val="20"/>
                <w:szCs w:val="20"/>
                <w:color w:val="auto"/>
              </w:rPr>
            </w:pPr>
            <w:r>
              <w:rPr>
                <w:rFonts w:ascii="Arial" w:cs="Arial" w:eastAsia="Arial" w:hAnsi="Arial"/>
                <w:sz w:val="18"/>
                <w:szCs w:val="18"/>
                <w:color w:val="auto"/>
              </w:rPr>
              <w:t>Appointment of Foreign Collateral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6.02</w:t>
            </w:r>
          </w:p>
        </w:tc>
        <w:tc>
          <w:tcPr>
            <w:tcW w:w="7700" w:type="dxa"/>
            <w:vAlign w:val="bottom"/>
          </w:tcPr>
          <w:p>
            <w:pPr>
              <w:ind w:left="180"/>
              <w:spacing w:after="0"/>
              <w:rPr>
                <w:sz w:val="20"/>
                <w:szCs w:val="20"/>
                <w:color w:val="auto"/>
              </w:rPr>
            </w:pPr>
            <w:r>
              <w:rPr>
                <w:rFonts w:ascii="Arial" w:cs="Arial" w:eastAsia="Arial" w:hAnsi="Arial"/>
                <w:sz w:val="18"/>
                <w:szCs w:val="18"/>
                <w:color w:val="auto"/>
              </w:rPr>
              <w:t>Rights as a Secured Party</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6.03</w:t>
            </w:r>
          </w:p>
        </w:tc>
        <w:tc>
          <w:tcPr>
            <w:tcW w:w="7700" w:type="dxa"/>
            <w:vAlign w:val="bottom"/>
          </w:tcPr>
          <w:p>
            <w:pPr>
              <w:ind w:left="180"/>
              <w:spacing w:after="0"/>
              <w:rPr>
                <w:sz w:val="20"/>
                <w:szCs w:val="20"/>
                <w:color w:val="auto"/>
              </w:rPr>
            </w:pPr>
            <w:r>
              <w:rPr>
                <w:rFonts w:ascii="Arial" w:cs="Arial" w:eastAsia="Arial" w:hAnsi="Arial"/>
                <w:sz w:val="18"/>
                <w:szCs w:val="18"/>
                <w:color w:val="auto"/>
              </w:rPr>
              <w:t>Exculpatory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6.04</w:t>
            </w:r>
          </w:p>
        </w:tc>
        <w:tc>
          <w:tcPr>
            <w:tcW w:w="7700" w:type="dxa"/>
            <w:vAlign w:val="bottom"/>
          </w:tcPr>
          <w:p>
            <w:pPr>
              <w:ind w:left="180"/>
              <w:spacing w:after="0"/>
              <w:rPr>
                <w:sz w:val="20"/>
                <w:szCs w:val="20"/>
                <w:color w:val="auto"/>
              </w:rPr>
            </w:pPr>
            <w:r>
              <w:rPr>
                <w:rFonts w:ascii="Arial" w:cs="Arial" w:eastAsia="Arial" w:hAnsi="Arial"/>
                <w:sz w:val="18"/>
                <w:szCs w:val="18"/>
                <w:color w:val="auto"/>
              </w:rPr>
              <w:t>Reliance by the Foreign Collateral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6.05</w:t>
            </w:r>
          </w:p>
        </w:tc>
        <w:tc>
          <w:tcPr>
            <w:tcW w:w="770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6.06</w:t>
            </w:r>
          </w:p>
        </w:tc>
        <w:tc>
          <w:tcPr>
            <w:tcW w:w="7700" w:type="dxa"/>
            <w:vAlign w:val="bottom"/>
          </w:tcPr>
          <w:p>
            <w:pPr>
              <w:ind w:left="180"/>
              <w:spacing w:after="0"/>
              <w:rPr>
                <w:sz w:val="20"/>
                <w:szCs w:val="20"/>
                <w:color w:val="auto"/>
              </w:rPr>
            </w:pPr>
            <w:r>
              <w:rPr>
                <w:rFonts w:ascii="Arial" w:cs="Arial" w:eastAsia="Arial" w:hAnsi="Arial"/>
                <w:sz w:val="18"/>
                <w:szCs w:val="18"/>
                <w:color w:val="auto"/>
              </w:rPr>
              <w:t>Resignation of Foreign Collateral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6.07</w:t>
            </w:r>
          </w:p>
        </w:tc>
        <w:tc>
          <w:tcPr>
            <w:tcW w:w="7700" w:type="dxa"/>
            <w:vAlign w:val="bottom"/>
          </w:tcPr>
          <w:p>
            <w:pPr>
              <w:ind w:left="180"/>
              <w:spacing w:after="0"/>
              <w:rPr>
                <w:sz w:val="20"/>
                <w:szCs w:val="20"/>
                <w:color w:val="auto"/>
              </w:rPr>
            </w:pPr>
            <w:r>
              <w:rPr>
                <w:rFonts w:ascii="Arial" w:cs="Arial" w:eastAsia="Arial" w:hAnsi="Arial"/>
                <w:sz w:val="18"/>
                <w:szCs w:val="18"/>
                <w:color w:val="auto"/>
              </w:rPr>
              <w:t>Non-Reliance on Foreign Collateral Agent and Other Secured Parties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6.08</w:t>
            </w:r>
          </w:p>
        </w:tc>
        <w:tc>
          <w:tcPr>
            <w:tcW w:w="7700" w:type="dxa"/>
            <w:vAlign w:val="bottom"/>
          </w:tcPr>
          <w:p>
            <w:pPr>
              <w:ind w:left="180"/>
              <w:spacing w:after="0"/>
              <w:rPr>
                <w:sz w:val="20"/>
                <w:szCs w:val="20"/>
                <w:color w:val="auto"/>
              </w:rPr>
            </w:pPr>
            <w:r>
              <w:rPr>
                <w:rFonts w:ascii="Arial" w:cs="Arial" w:eastAsia="Arial" w:hAnsi="Arial"/>
                <w:sz w:val="18"/>
                <w:szCs w:val="18"/>
                <w:color w:val="auto"/>
              </w:rPr>
              <w:t>Collateral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6.09</w:t>
            </w:r>
          </w:p>
        </w:tc>
        <w:tc>
          <w:tcPr>
            <w:tcW w:w="7700" w:type="dxa"/>
            <w:vAlign w:val="bottom"/>
          </w:tcPr>
          <w:p>
            <w:pPr>
              <w:ind w:left="180"/>
              <w:spacing w:after="0"/>
              <w:rPr>
                <w:sz w:val="20"/>
                <w:szCs w:val="20"/>
                <w:color w:val="auto"/>
              </w:rPr>
            </w:pPr>
            <w:r>
              <w:rPr>
                <w:rFonts w:ascii="Arial" w:cs="Arial" w:eastAsia="Arial" w:hAnsi="Arial"/>
                <w:sz w:val="18"/>
                <w:szCs w:val="18"/>
                <w:color w:val="auto"/>
              </w:rPr>
              <w:t>Discretionary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6.10</w:t>
            </w:r>
          </w:p>
        </w:tc>
        <w:tc>
          <w:tcPr>
            <w:tcW w:w="7700" w:type="dxa"/>
            <w:vAlign w:val="bottom"/>
          </w:tcPr>
          <w:p>
            <w:pPr>
              <w:ind w:left="180"/>
              <w:spacing w:after="0"/>
              <w:rPr>
                <w:sz w:val="20"/>
                <w:szCs w:val="20"/>
                <w:color w:val="auto"/>
              </w:rPr>
            </w:pPr>
            <w:r>
              <w:rPr>
                <w:rFonts w:ascii="Arial" w:cs="Arial" w:eastAsia="Arial" w:hAnsi="Arial"/>
                <w:sz w:val="18"/>
                <w:szCs w:val="18"/>
                <w:color w:val="auto"/>
              </w:rPr>
              <w:t>Indemnification of Foreign Collateral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6.11</w:t>
            </w:r>
          </w:p>
        </w:tc>
        <w:tc>
          <w:tcPr>
            <w:tcW w:w="7700" w:type="dxa"/>
            <w:vAlign w:val="bottom"/>
          </w:tcPr>
          <w:p>
            <w:pPr>
              <w:ind w:left="180"/>
              <w:spacing w:after="0"/>
              <w:rPr>
                <w:sz w:val="20"/>
                <w:szCs w:val="20"/>
                <w:color w:val="auto"/>
              </w:rPr>
            </w:pPr>
            <w:r>
              <w:rPr>
                <w:rFonts w:ascii="Arial" w:cs="Arial" w:eastAsia="Arial" w:hAnsi="Arial"/>
                <w:sz w:val="18"/>
                <w:szCs w:val="18"/>
                <w:color w:val="auto"/>
              </w:rPr>
              <w:t>Treatment of Proceeds of Foreign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6.12</w:t>
            </w:r>
          </w:p>
        </w:tc>
        <w:tc>
          <w:tcPr>
            <w:tcW w:w="7700" w:type="dxa"/>
            <w:vAlign w:val="bottom"/>
          </w:tcPr>
          <w:p>
            <w:pPr>
              <w:ind w:left="180"/>
              <w:spacing w:after="0"/>
              <w:rPr>
                <w:sz w:val="20"/>
                <w:szCs w:val="20"/>
                <w:color w:val="auto"/>
              </w:rPr>
            </w:pPr>
            <w:r>
              <w:rPr>
                <w:rFonts w:ascii="Arial" w:cs="Arial" w:eastAsia="Arial" w:hAnsi="Arial"/>
                <w:sz w:val="18"/>
                <w:szCs w:val="18"/>
                <w:color w:val="auto"/>
              </w:rPr>
              <w:t>Currency Conversion</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6.13</w:t>
            </w:r>
          </w:p>
        </w:tc>
        <w:tc>
          <w:tcPr>
            <w:tcW w:w="7700" w:type="dxa"/>
            <w:vAlign w:val="bottom"/>
          </w:tcPr>
          <w:p>
            <w:pPr>
              <w:ind w:left="180"/>
              <w:spacing w:after="0"/>
              <w:rPr>
                <w:sz w:val="20"/>
                <w:szCs w:val="20"/>
                <w:color w:val="auto"/>
              </w:rPr>
            </w:pPr>
            <w:r>
              <w:rPr>
                <w:rFonts w:ascii="Arial" w:cs="Arial" w:eastAsia="Arial" w:hAnsi="Arial"/>
                <w:sz w:val="18"/>
                <w:szCs w:val="18"/>
                <w:color w:val="auto"/>
              </w:rPr>
              <w:t>Swiss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6.14</w:t>
            </w:r>
          </w:p>
        </w:tc>
        <w:tc>
          <w:tcPr>
            <w:tcW w:w="7700" w:type="dxa"/>
            <w:vAlign w:val="bottom"/>
          </w:tcPr>
          <w:p>
            <w:pPr>
              <w:ind w:left="180"/>
              <w:spacing w:after="0"/>
              <w:rPr>
                <w:sz w:val="20"/>
                <w:szCs w:val="20"/>
                <w:color w:val="auto"/>
              </w:rPr>
            </w:pPr>
            <w:r>
              <w:rPr>
                <w:rFonts w:ascii="Arial" w:cs="Arial" w:eastAsia="Arial" w:hAnsi="Arial"/>
                <w:sz w:val="18"/>
                <w:szCs w:val="18"/>
                <w:color w:val="auto"/>
              </w:rPr>
              <w:t>Scottish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8" w:name="page659"/>
    <w:bookmarkEnd w:id="658"/>
    <w:tbl>
      <w:tblPr>
        <w:tblLayout w:type="fixed"/>
        <w:tblInd w:w="0" w:type="dxa"/>
        <w:tblCellMar>
          <w:top w:w="0" w:type="dxa"/>
          <w:left w:w="0" w:type="dxa"/>
          <w:bottom w:w="0" w:type="dxa"/>
          <w:right w:w="0" w:type="dxa"/>
        </w:tblCellMar>
      </w:tblP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7.01</w:t>
            </w:r>
          </w:p>
        </w:tc>
        <w:tc>
          <w:tcPr>
            <w:tcW w:w="7200" w:type="dxa"/>
            <w:vAlign w:val="bottom"/>
          </w:tcPr>
          <w:p>
            <w:pPr>
              <w:ind w:left="180"/>
              <w:spacing w:after="0"/>
              <w:rPr>
                <w:sz w:val="20"/>
                <w:szCs w:val="20"/>
                <w:color w:val="auto"/>
              </w:rPr>
            </w:pPr>
            <w:r>
              <w:rPr>
                <w:rFonts w:ascii="Arial" w:cs="Arial" w:eastAsia="Arial" w:hAnsi="Arial"/>
                <w:sz w:val="18"/>
                <w:szCs w:val="18"/>
                <w:color w:val="auto"/>
              </w:rPr>
              <w:t>Legends</w:t>
            </w:r>
          </w:p>
        </w:tc>
        <w:tc>
          <w:tcPr>
            <w:tcW w:w="2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7200" w:type="dxa"/>
            <w:vAlign w:val="bottom"/>
          </w:tcPr>
          <w:p>
            <w:pPr>
              <w:ind w:left="18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7.03</w:t>
            </w:r>
          </w:p>
        </w:tc>
        <w:tc>
          <w:tcPr>
            <w:tcW w:w="7200" w:type="dxa"/>
            <w:vAlign w:val="bottom"/>
          </w:tcPr>
          <w:p>
            <w:pPr>
              <w:ind w:left="180"/>
              <w:spacing w:after="0"/>
              <w:rPr>
                <w:sz w:val="20"/>
                <w:szCs w:val="20"/>
                <w:color w:val="auto"/>
              </w:rPr>
            </w:pPr>
            <w:r>
              <w:rPr>
                <w:rFonts w:ascii="Arial" w:cs="Arial" w:eastAsia="Arial" w:hAnsi="Arial"/>
                <w:sz w:val="18"/>
                <w:szCs w:val="18"/>
                <w:color w:val="auto"/>
              </w:rPr>
              <w:t>Waivers; Amendment</w:t>
            </w:r>
          </w:p>
        </w:tc>
        <w:tc>
          <w:tcPr>
            <w:tcW w:w="2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7.04</w:t>
            </w:r>
          </w:p>
        </w:tc>
        <w:tc>
          <w:tcPr>
            <w:tcW w:w="7200" w:type="dxa"/>
            <w:vAlign w:val="bottom"/>
          </w:tcPr>
          <w:p>
            <w:pPr>
              <w:ind w:left="180"/>
              <w:spacing w:after="0"/>
              <w:rPr>
                <w:sz w:val="20"/>
                <w:szCs w:val="20"/>
                <w:color w:val="auto"/>
              </w:rPr>
            </w:pPr>
            <w:r>
              <w:rPr>
                <w:rFonts w:ascii="Arial" w:cs="Arial" w:eastAsia="Arial" w:hAnsi="Arial"/>
                <w:sz w:val="18"/>
                <w:szCs w:val="18"/>
                <w:color w:val="auto"/>
              </w:rPr>
              <w:t>Parties in Interest</w:t>
            </w:r>
          </w:p>
        </w:tc>
        <w:tc>
          <w:tcPr>
            <w:tcW w:w="2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7.05</w:t>
            </w:r>
          </w:p>
        </w:tc>
        <w:tc>
          <w:tcPr>
            <w:tcW w:w="7200" w:type="dxa"/>
            <w:vAlign w:val="bottom"/>
          </w:tcPr>
          <w:p>
            <w:pPr>
              <w:ind w:left="180"/>
              <w:spacing w:after="0"/>
              <w:rPr>
                <w:sz w:val="20"/>
                <w:szCs w:val="20"/>
                <w:color w:val="auto"/>
              </w:rPr>
            </w:pPr>
            <w:r>
              <w:rPr>
                <w:rFonts w:ascii="Arial" w:cs="Arial" w:eastAsia="Arial" w:hAnsi="Arial"/>
                <w:sz w:val="18"/>
                <w:szCs w:val="18"/>
                <w:color w:val="auto"/>
              </w:rPr>
              <w:t>Survival of Agreement</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7.06</w:t>
            </w:r>
          </w:p>
        </w:tc>
        <w:tc>
          <w:tcPr>
            <w:tcW w:w="72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7.07</w:t>
            </w:r>
          </w:p>
        </w:tc>
        <w:tc>
          <w:tcPr>
            <w:tcW w:w="72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7.08</w:t>
            </w:r>
          </w:p>
        </w:tc>
        <w:tc>
          <w:tcPr>
            <w:tcW w:w="7200" w:type="dxa"/>
            <w:vAlign w:val="bottom"/>
          </w:tcPr>
          <w:p>
            <w:pPr>
              <w:ind w:left="180"/>
              <w:spacing w:after="0"/>
              <w:rPr>
                <w:sz w:val="20"/>
                <w:szCs w:val="20"/>
                <w:color w:val="auto"/>
              </w:rPr>
            </w:pPr>
            <w:r>
              <w:rPr>
                <w:rFonts w:ascii="Arial" w:cs="Arial" w:eastAsia="Arial" w:hAnsi="Arial"/>
                <w:sz w:val="18"/>
                <w:szCs w:val="18"/>
                <w:color w:val="auto"/>
              </w:rPr>
              <w:t>Governing Law; Jurisdiction; Consent to Service of Process</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7.09</w:t>
            </w:r>
          </w:p>
        </w:tc>
        <w:tc>
          <w:tcPr>
            <w:tcW w:w="720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7.10</w:t>
            </w:r>
          </w:p>
        </w:tc>
        <w:tc>
          <w:tcPr>
            <w:tcW w:w="720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7.11</w:t>
            </w:r>
          </w:p>
        </w:tc>
        <w:tc>
          <w:tcPr>
            <w:tcW w:w="7200" w:type="dxa"/>
            <w:vAlign w:val="bottom"/>
          </w:tcPr>
          <w:p>
            <w:pPr>
              <w:ind w:left="180"/>
              <w:spacing w:after="0"/>
              <w:rPr>
                <w:sz w:val="20"/>
                <w:szCs w:val="20"/>
                <w:color w:val="auto"/>
              </w:rPr>
            </w:pPr>
            <w:r>
              <w:rPr>
                <w:rFonts w:ascii="Arial" w:cs="Arial" w:eastAsia="Arial" w:hAnsi="Arial"/>
                <w:sz w:val="18"/>
                <w:szCs w:val="18"/>
                <w:color w:val="auto"/>
              </w:rPr>
              <w:t>Conflicts</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7.12</w:t>
            </w:r>
          </w:p>
        </w:tc>
        <w:tc>
          <w:tcPr>
            <w:tcW w:w="7200" w:type="dxa"/>
            <w:vAlign w:val="bottom"/>
          </w:tcPr>
          <w:p>
            <w:pPr>
              <w:ind w:left="180"/>
              <w:spacing w:after="0"/>
              <w:rPr>
                <w:sz w:val="20"/>
                <w:szCs w:val="20"/>
                <w:color w:val="auto"/>
              </w:rPr>
            </w:pPr>
            <w:r>
              <w:rPr>
                <w:rFonts w:ascii="Arial" w:cs="Arial" w:eastAsia="Arial" w:hAnsi="Arial"/>
                <w:sz w:val="18"/>
                <w:szCs w:val="18"/>
                <w:color w:val="auto"/>
              </w:rPr>
              <w:t>Provisions Solely to Define Relative Rights</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7.13</w:t>
            </w:r>
          </w:p>
        </w:tc>
        <w:tc>
          <w:tcPr>
            <w:tcW w:w="7200" w:type="dxa"/>
            <w:vAlign w:val="bottom"/>
          </w:tcPr>
          <w:p>
            <w:pPr>
              <w:ind w:left="180"/>
              <w:spacing w:after="0"/>
              <w:rPr>
                <w:sz w:val="20"/>
                <w:szCs w:val="20"/>
                <w:color w:val="auto"/>
              </w:rPr>
            </w:pPr>
            <w:r>
              <w:rPr>
                <w:rFonts w:ascii="Arial" w:cs="Arial" w:eastAsia="Arial" w:hAnsi="Arial"/>
                <w:sz w:val="18"/>
                <w:szCs w:val="18"/>
                <w:color w:val="auto"/>
              </w:rPr>
              <w:t>Agent Capacities</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7.14</w:t>
            </w:r>
          </w:p>
        </w:tc>
        <w:tc>
          <w:tcPr>
            <w:tcW w:w="7200" w:type="dxa"/>
            <w:vAlign w:val="bottom"/>
          </w:tcPr>
          <w:p>
            <w:pPr>
              <w:ind w:left="180"/>
              <w:spacing w:after="0"/>
              <w:rPr>
                <w:sz w:val="20"/>
                <w:szCs w:val="20"/>
                <w:color w:val="auto"/>
              </w:rPr>
            </w:pPr>
            <w:r>
              <w:rPr>
                <w:rFonts w:ascii="Arial" w:cs="Arial" w:eastAsia="Arial" w:hAnsi="Arial"/>
                <w:sz w:val="18"/>
                <w:szCs w:val="18"/>
                <w:color w:val="auto"/>
              </w:rPr>
              <w:t>Supplements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7.15</w:t>
            </w:r>
          </w:p>
        </w:tc>
        <w:tc>
          <w:tcPr>
            <w:tcW w:w="7200" w:type="dxa"/>
            <w:vAlign w:val="bottom"/>
          </w:tcPr>
          <w:p>
            <w:pPr>
              <w:ind w:left="180"/>
              <w:spacing w:after="0"/>
              <w:rPr>
                <w:sz w:val="20"/>
                <w:szCs w:val="20"/>
                <w:color w:val="auto"/>
              </w:rPr>
            </w:pPr>
            <w:r>
              <w:rPr>
                <w:rFonts w:ascii="Arial" w:cs="Arial" w:eastAsia="Arial" w:hAnsi="Arial"/>
                <w:sz w:val="18"/>
                <w:szCs w:val="18"/>
                <w:color w:val="auto"/>
              </w:rPr>
              <w:t>Collateral Agent Rights, Protections and Immunities</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7.16</w:t>
            </w:r>
          </w:p>
        </w:tc>
        <w:tc>
          <w:tcPr>
            <w:tcW w:w="7200" w:type="dxa"/>
            <w:vAlign w:val="bottom"/>
          </w:tcPr>
          <w:p>
            <w:pPr>
              <w:ind w:left="180"/>
              <w:spacing w:after="0"/>
              <w:rPr>
                <w:sz w:val="20"/>
                <w:szCs w:val="20"/>
                <w:color w:val="auto"/>
              </w:rPr>
            </w:pPr>
            <w:r>
              <w:rPr>
                <w:rFonts w:ascii="Arial" w:cs="Arial" w:eastAsia="Arial" w:hAnsi="Arial"/>
                <w:sz w:val="18"/>
                <w:szCs w:val="18"/>
                <w:color w:val="auto"/>
              </w:rPr>
              <w:t>Other Junior Intercreditor Agreements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7.17</w:t>
            </w:r>
          </w:p>
        </w:tc>
        <w:tc>
          <w:tcPr>
            <w:tcW w:w="7200" w:type="dxa"/>
            <w:vAlign w:val="bottom"/>
          </w:tcPr>
          <w:p>
            <w:pPr>
              <w:ind w:left="180"/>
              <w:spacing w:after="0"/>
              <w:rPr>
                <w:sz w:val="20"/>
                <w:szCs w:val="20"/>
                <w:color w:val="auto"/>
              </w:rPr>
            </w:pPr>
            <w:r>
              <w:rPr>
                <w:rFonts w:ascii="Arial" w:cs="Arial" w:eastAsia="Arial" w:hAnsi="Arial"/>
                <w:sz w:val="18"/>
                <w:szCs w:val="18"/>
                <w:color w:val="auto"/>
              </w:rPr>
              <w:t>Additional Grantors</w:t>
            </w:r>
          </w:p>
        </w:tc>
        <w:tc>
          <w:tcPr>
            <w:tcW w:w="2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7.18</w:t>
            </w:r>
          </w:p>
        </w:tc>
        <w:tc>
          <w:tcPr>
            <w:tcW w:w="7200" w:type="dxa"/>
            <w:vAlign w:val="bottom"/>
          </w:tcPr>
          <w:p>
            <w:pPr>
              <w:ind w:left="180"/>
              <w:spacing w:after="0"/>
              <w:rPr>
                <w:sz w:val="20"/>
                <w:szCs w:val="20"/>
                <w:color w:val="auto"/>
              </w:rPr>
            </w:pPr>
            <w:r>
              <w:rPr>
                <w:rFonts w:ascii="Arial" w:cs="Arial" w:eastAsia="Arial" w:hAnsi="Arial"/>
                <w:sz w:val="18"/>
                <w:szCs w:val="18"/>
                <w:color w:val="auto"/>
              </w:rPr>
              <w:t>Joinder of LC Australian Collateral Agent</w:t>
            </w:r>
          </w:p>
        </w:tc>
        <w:tc>
          <w:tcPr>
            <w:tcW w:w="29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9" w:name="page660"/>
    <w:bookmarkEnd w:id="659"/>
    <w:p>
      <w:pPr>
        <w:ind w:left="1300"/>
        <w:spacing w:after="0"/>
        <w:rPr>
          <w:sz w:val="20"/>
          <w:szCs w:val="20"/>
          <w:color w:val="auto"/>
        </w:rPr>
      </w:pPr>
      <w:r>
        <w:rPr>
          <w:rFonts w:ascii="Arial" w:cs="Arial" w:eastAsia="Arial" w:hAnsi="Arial"/>
          <w:sz w:val="16"/>
          <w:szCs w:val="16"/>
          <w:color w:val="auto"/>
        </w:rPr>
        <w:t>This INTERCREDITOR AGREEMENT (as amended, restated, supplemented or otherwise modified from time to time, this “Agreement”),</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dated as of [ , 20 ], is among Wells Fargo Bank, National Association (“WF”), as administrative agent and collateral agent for the ABL Secured Parties referred to herein (in such capacity, together with its successors or co-agents in substantially the same capacity as may from time to time be appointed, the “ABL Collateral Agent”) and as the initial Foreign Collateral Agent (as defined below), when joined to this Agreement, BTA Institutional Services Australia Limited (ABN 48 002 916 396), in its capacity as trustee of the LC Australian Security Trust referred to herein (when joined to this Agreement, in such capacity, together with its successors in substantially the same capacity as may from time to time be appointed, the “LC Australian Collateral Agent”), Deutsche Bank Trust Company Americas (“DBTCA”), as administrative agent and collateral 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“LC Collateral Agent”), the Parent (as defined below) and the other Subsidiaries of the Parent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-1135380</wp:posOffset>
            </wp:positionV>
            <wp:extent cx="60833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3">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6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Weatherford International plc, a public limited company incorporated in the Republic of Ireland (“Parent”), Weatherford International Ltd., a Bermuda exempted company limited by shares (“WIL-Bermuda”), Weatherford International LLC, a Delaware limited liability company (“WIL-Delaware”), Weatherford Oil Tool GmbH, a German private limited company, Weatherford Products GmbH, a Swiss limited liability company (the “ABL Borrowers”), the lenders and other parties party thereto from time to time and the ABL Collateral Agent are party to the Credit Agreement, dated as of the date hereof (“Existing ABL Credit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WIL-Bermuda and WIL-Delaware (the “LC Borrowers”), the issuing lenders from time to time party thereto (the “Issuing Lenders”), the lenders from time to time party thereto (the “LC Lenders”) and the LC Collateral Agent are party to the Credit Agreement, dated as of the date hereof, pursuant to which the Issuing Lenders have agreed to issue, and the LC Lenders have agreed to purchase participations in, letters of credit (the “Existing LC Credit Agreement”).</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Agreement governs the relationship between the LC Secured Parties as a group, on the one hand, and the ABL Secured Parties, on the other hand, with respect to the Collateral shared by the LC Secured Parties and the ABL Secured Parties.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 under their respective security documents.</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consideration of the mutual agreements herein contained and other good and valuable consideration, the receipt and sufficiency of which are hereby acknowledged,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60" w:name="page661"/>
    <w:bookmarkEnd w:id="660"/>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Construction; Certain Defined Terms.</w:t>
      </w:r>
    </w:p>
    <w:p>
      <w:pPr>
        <w:spacing w:after="0" w:line="225" w:lineRule="exact"/>
        <w:rPr>
          <w:sz w:val="20"/>
          <w:szCs w:val="20"/>
          <w:color w:val="auto"/>
        </w:rPr>
      </w:pPr>
    </w:p>
    <w:p>
      <w:pPr>
        <w:jc w:val="both"/>
        <w:ind w:firstLine="1305"/>
        <w:spacing w:after="0" w:line="269" w:lineRule="auto"/>
        <w:tabs>
          <w:tab w:leader="none" w:pos="2225" w:val="left"/>
        </w:tabs>
        <w:numPr>
          <w:ilvl w:val="0"/>
          <w:numId w:val="789"/>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82" w:lineRule="exact"/>
        <w:rPr>
          <w:rFonts w:ascii="Arial" w:cs="Arial" w:eastAsia="Arial" w:hAnsi="Arial"/>
          <w:sz w:val="17"/>
          <w:szCs w:val="17"/>
          <w:color w:val="auto"/>
        </w:rPr>
      </w:pPr>
    </w:p>
    <w:p>
      <w:pPr>
        <w:ind w:left="2180" w:hanging="875"/>
        <w:spacing w:after="0"/>
        <w:tabs>
          <w:tab w:leader="none" w:pos="218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meanings specified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“ABL Collateral Agent” has the meaning set forth in the recitals.</w:t>
      </w:r>
    </w:p>
    <w:p>
      <w:pPr>
        <w:spacing w:after="0" w:line="225"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“ABL Credit Agreement” means (a) the Existing ABL Credit Agreement, as amended, restated, supplemented, waived, replaced (whether or not upon termination, and whether with the original lenders or otherwise), restructured, repaid, refunded, Refinanced or otherwise modified from time to time after the date hereof, in accordance with the terms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“ABL Credit Agreement”), and (b) whether or not the facility referred to in clause (a) remains outstanding, if designated by the Parent to be included in the definition of “ABL Credit Agreement,” one or more (i) debt facilities or commercial paper facilities, providing for revolving credit loans, term loans, receivables financing (including through the sale of receivables to lenders or to special purpose entities formed to borrow from lenders against such receivables) or letters of credit, (ii) debt securities, indentures or other forms of debt financing (including convertible or exchangeable debt instruments or bank guarantees or bankers’ acceptances) or</w:t>
      </w:r>
    </w:p>
    <w:p>
      <w:pPr>
        <w:spacing w:after="0" w:line="6" w:lineRule="exact"/>
        <w:rPr>
          <w:sz w:val="20"/>
          <w:szCs w:val="20"/>
          <w:color w:val="auto"/>
        </w:rPr>
      </w:pPr>
    </w:p>
    <w:p>
      <w:pPr>
        <w:ind w:firstLine="8"/>
        <w:spacing w:after="0" w:line="290" w:lineRule="auto"/>
        <w:tabs>
          <w:tab w:leader="none" w:pos="316" w:val="left"/>
        </w:tabs>
        <w:numPr>
          <w:ilvl w:val="0"/>
          <w:numId w:val="790"/>
        </w:numPr>
        <w:rPr>
          <w:rFonts w:ascii="Arial" w:cs="Arial" w:eastAsia="Arial" w:hAnsi="Arial"/>
          <w:sz w:val="17"/>
          <w:szCs w:val="17"/>
          <w:color w:val="auto"/>
        </w:rPr>
      </w:pPr>
      <w:r>
        <w:rPr>
          <w:rFonts w:ascii="Arial" w:cs="Arial" w:eastAsia="Arial" w:hAnsi="Arial"/>
          <w:sz w:val="17"/>
          <w:szCs w:val="17"/>
          <w:color w:val="auto"/>
        </w:rPr>
        <w:t>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61" w:name="page662"/>
    <w:bookmarkEnd w:id="661"/>
    <w:p>
      <w:pPr>
        <w:jc w:val="both"/>
        <w:ind w:firstLine="1297"/>
        <w:spacing w:after="0" w:line="277" w:lineRule="auto"/>
        <w:rPr>
          <w:sz w:val="20"/>
          <w:szCs w:val="20"/>
          <w:color w:val="auto"/>
        </w:rPr>
      </w:pPr>
      <w:r>
        <w:rPr>
          <w:rFonts w:ascii="Arial" w:cs="Arial" w:eastAsia="Arial" w:hAnsi="Arial"/>
          <w:sz w:val="18"/>
          <w:szCs w:val="18"/>
          <w:color w:val="auto"/>
        </w:rPr>
        <w:t>“ABL Documents” means the ABL Credit Agreement, the ABL Security Documents and the other “Loan Documents” as defined in the ABL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“ABL Mortgages” means all “Mortgages” as defined in the ABL Credit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“ABL Obligations” means all “Obligations” (as such term is defined in the ABL Credit Agreement) of the ABL Borrowers and all other obligors under the ABL Credit Agreement or any of the other ABL Documents, including obligations to pay principal, premiums, if any, interest, attorneys fees, fees, costs, charges, expenses, Bank Product Obligations (as defined in the ABL Credit Agreement) and Letter of Credit (as defined in the ABL Credit Agreement) commissions, fees and charges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ABL Documents and the performance of all other Obligations of the obligors thereunder to the lenders and agents under the ABL Documents according to the respective terms thereof.</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“ABL Priority Collateral” means all Collateral now owned or at any time hereafter acquired (including, for the avoidance of doubt, any such assets that, but for the application of Section 552 of the Bankruptcy Code (or any provision of any other Debtor Relief Law), would constitute ABL Priority Collateral) by the ABL Borrowers or any other Grantor consisting of the following:</w:t>
      </w:r>
    </w:p>
    <w:p>
      <w:pPr>
        <w:spacing w:after="0" w:line="181" w:lineRule="exact"/>
        <w:rPr>
          <w:sz w:val="20"/>
          <w:szCs w:val="20"/>
          <w:color w:val="auto"/>
        </w:rPr>
      </w:pPr>
    </w:p>
    <w:p>
      <w:pPr>
        <w:jc w:val="both"/>
        <w:ind w:firstLine="1305"/>
        <w:spacing w:after="0" w:line="287" w:lineRule="auto"/>
        <w:tabs>
          <w:tab w:leader="none" w:pos="1555" w:val="left"/>
        </w:tabs>
        <w:numPr>
          <w:ilvl w:val="0"/>
          <w:numId w:val="791"/>
        </w:numPr>
        <w:rPr>
          <w:rFonts w:ascii="Arial" w:cs="Arial" w:eastAsia="Arial" w:hAnsi="Arial"/>
          <w:sz w:val="16"/>
          <w:szCs w:val="16"/>
          <w:color w:val="auto"/>
        </w:rPr>
      </w:pPr>
      <w:r>
        <w:rPr>
          <w:rFonts w:ascii="Arial" w:cs="Arial" w:eastAsia="Arial" w:hAnsi="Arial"/>
          <w:sz w:val="16"/>
          <w:szCs w:val="16"/>
          <w:color w:val="auto"/>
        </w:rPr>
        <w:t xml:space="preserve">all Accounts; (b) all Chattel Paper and rights to payment evidenced thereby; (c) all Inventory; (d) all assets constituting ABL Priority Rental Tool Assets; (e) all cash and cash equivalents, (other than identifiable cash proceeds of the LC Facility Priority Collateral); (f) all deposit accounts and securities accounts (including any funds or other property held in or on deposit therein but specifically excluding identifiable cash proceeds of LC Facility Priority Collateral); (g) all Payment Intangibles in respect of the items referred to in the previous clauses (a)-(f); (h) to the extent related to, substituted or exchanged for, evidencing, supporting or arising from any of the items referred to in the preceding clauses (a)-(g), all Documents, Letter-of-credit rights, Instruments and rights to payment evidenced thereby, Supporting Obligations, all General Intangibles (other than the Capital Stock of each Grantor and its subsidiaries and Intellectual Property) and books and records, including customer lists; (i) to the extent attributed or pertaining to any ABL Priority Collateral, all Commercial Tort Claims; (j) all intercompany payables and other intercompany claims, business interruption insurance proceeds, representation and warranty insurance proceeds, and tax refunds; and (k) all substitutions, replacements, accessions, products, or proceeds of any of the foregoing, in any form, including insurance proceeds and all claims against third parties for loss or damage to, or destruction of, or other involuntary conversion (including claims in respect of condemnation or expropriation) of any kind or nature of any or all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ABL Priority Collateral include any identifiable cash proceeds from a sale, lease, conveyance or disposition of any LC Priority Collateral.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2" w:name="page663"/>
    <w:bookmarkEnd w:id="662"/>
    <w:p>
      <w:pPr>
        <w:ind w:left="1300"/>
        <w:spacing w:after="0"/>
        <w:rPr>
          <w:sz w:val="20"/>
          <w:szCs w:val="20"/>
          <w:color w:val="auto"/>
        </w:rPr>
      </w:pPr>
      <w:r>
        <w:rPr>
          <w:rFonts w:ascii="Arial" w:cs="Arial" w:eastAsia="Arial" w:hAnsi="Arial"/>
          <w:sz w:val="16"/>
          <w:szCs w:val="16"/>
          <w:color w:val="auto"/>
        </w:rPr>
        <w:t>All capitalized terms used in this definition and not defined elsewhere in this Agreement have the meanings assigned to them in the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 UCC.</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“ABL Priority Possessory Collateral” means ABL Priority Collateral that is Possessory Collateral.</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“ABL Priority Rental Tool Assets” means unfinanced drilling, fracking, well maintenance and other similar rental tools, including, without limitation, artificial lift equipment, cementation production, drilling services, drilling tools, intervention services, line hanger, pressure drilling, open and case hole, pressure pumping, production automation, sand control, testing, tubular running services, well services, and wireline, in each case constituting Inventory or Equipment of a Domestic Borrowing Base Loan Party or a Canadian Borrowing Base Loan Party (as each such term is defined in the ABL Credit Agreement), that is held in the ordinary course of business for rental to another Person that is not an affiliate of any Grantor.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“ABL Secured Parties” means the “Secured Parties” as defined in the ABL Security Agreement.</w:t>
      </w:r>
    </w:p>
    <w:p>
      <w:pPr>
        <w:spacing w:after="0" w:line="225" w:lineRule="exact"/>
        <w:rPr>
          <w:sz w:val="20"/>
          <w:szCs w:val="20"/>
          <w:color w:val="auto"/>
        </w:rPr>
      </w:pPr>
    </w:p>
    <w:p>
      <w:pPr>
        <w:jc w:val="both"/>
        <w:ind w:firstLine="1350"/>
        <w:spacing w:after="0" w:line="277" w:lineRule="auto"/>
        <w:rPr>
          <w:sz w:val="20"/>
          <w:szCs w:val="20"/>
          <w:color w:val="auto"/>
        </w:rPr>
      </w:pPr>
      <w:r>
        <w:rPr>
          <w:rFonts w:ascii="Arial" w:cs="Arial" w:eastAsia="Arial" w:hAnsi="Arial"/>
          <w:sz w:val="18"/>
          <w:szCs w:val="18"/>
          <w:color w:val="auto"/>
        </w:rPr>
        <w:t>“ABL Security Agreement” means the U.S. Security Agreement, dated as of the date hereof, among the Parent, each other pledgor party thereto and the ABL Collateral Agent, as amended, amended and restated, supplemented or modified from time to time.</w:t>
      </w:r>
    </w:p>
    <w:p>
      <w:pPr>
        <w:spacing w:after="0" w:line="170"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“ABL Security Documents” means the ABL Security Agreement, the ABL Mortgages and any other documents now existing or entered into after the date hereof that create or purport to create Liens on any assets or properties of any Grantor to secure any ABL Obligations.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has the meaning set forth in the recitals.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“Applicable Junior Collateral Agent” means (a) with respect to the LC Priority Collateral, the ABL Collateral Agent (b) with respect to the ABL Priority Collateral, the LC Collateral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“Applicable Possessory Collateral Agent” means (a) with respect to ABL Priority Possessory Collateral, the ABL Collateral Agent (b) with respect to LC Priority Possessory Collateral, the LC Collateral Agent and (c) notwithstanding the foregoing, with respect to Foreign Collateral, the Foreign Collateral Agent.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“Applicable Senior Collateral Agent” means (a) with respect to the ABL Priority Collateral, the ABL Collateral Agent, and (b) with respect to the LC Priority Collateral, the LC Collateral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“Bank Product Obligations” means all “Bank Product Obligations” as defined in the ABL Credit Agreement (other than “Excluded Swap Obligations” as defined in the ABL Credit Agreement) and all “Banking Services Obligations” and all “Swap Obligations” as defined in the LC Credit Agreement (other than “Excluded Swap Obligations” as defined in the LC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63" w:name="page664"/>
    <w:bookmarkEnd w:id="663"/>
    <w:p>
      <w:pPr>
        <w:ind w:left="1300"/>
        <w:spacing w:after="0"/>
        <w:rPr>
          <w:sz w:val="20"/>
          <w:szCs w:val="20"/>
          <w:color w:val="auto"/>
        </w:rPr>
      </w:pPr>
      <w:r>
        <w:rPr>
          <w:rFonts w:ascii="Arial" w:cs="Arial" w:eastAsia="Arial" w:hAnsi="Arial"/>
          <w:sz w:val="18"/>
          <w:szCs w:val="18"/>
          <w:color w:val="auto"/>
        </w:rPr>
        <w:t>“Bankruptcy Case” has the meaning set forth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“Bankruptcy Code” means Title 11 of the United States Code, as amended.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“Business Day”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“Capital Stock”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has the meaning set forth in the definition of Senior Secured Obligations.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“Collateral” means all assets and properties subject to (or purportedly subject to) Liens in favor of any Secured Party created by any of the Foreign Collateral Documents, ABL Security Documents or the LC Security Documents, as applicable, to secure the ABL Obligations or the LC Obligations, as applicable.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“Collateral Agent” means the Foreign Collateral Agent, ABL Collateral Agent, the LC Collateral Agent, or any of the foregoing, as the context may require.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“Comparable Junior Priority Collateral Document” means, in relation to any Senior Secured Obligations Collateral subject to any Lien created (or purportedly created) under any Senior Secured Obligations Collateral Document, those Junior Secured Obligations Collateral Documents that create (or purport to create) a Lien on the same Collateral, granted by the same Grantor.</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“Controlling Party” means (i) for decisions relating to Foreign Collateral that is ABL Priority Collateral (or only incidentally includes LC Priority Collateral), the ABL Collateral Agent and; (ii) for decisions relating to Foreign Collateral that is LC Priority Collateral (or only incidentally includes ABL Priority Collateral), the LC Collateral Agent (and in the case of the LC Australian Collateral Agent, acting for, and with any decisions relating to LC Australian Collateral made by, the LC Administrative Agent).</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“Debtor Relief Laws” means the Bankruptcy Code, the United Kingdom’s Insolvency Act 1986, the Council Regulation (EU) No. 2015/848 of 20 May 2015 on insolvency proceedings (recast), as amended, the Bankruptcy and Insolvency Act (Canada), the Companies’ Creditors Arrangement Act (Canada), Dutch Bankruptcy Act (faillissementswet), the Winding-Up and Restructuring Act (Canada), the German Insolvency Code (Insolvenzordnung), Swiss Federal Debt Collection and Bankruptcy Act (Bundesgesetz über Schuldbetreibung und Konkurs), Part XIII of the Bermuda Companies Act 1981, the Luxembourg Commercial Code and the Luxembourg Act dated 10 August 1915 on Commercial Companies, the Insolvency Act 2003 of the British Virgin Islands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in each case as amended, including any corporate law of any jurisdiction which may be used by a debtor to obtain a stay or a compromise, settlement, adjustment or arrangement of the claims of its creditors against it and including any rules and regulations pursuant thereto (but, in each case, shall exclude any part of such laws, rules or regulations which relate solely to any solvent reorganization or solvent restructuring process).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64" w:name="page665"/>
    <w:bookmarkEnd w:id="664"/>
    <w:p>
      <w:pPr>
        <w:jc w:val="both"/>
        <w:ind w:firstLine="1297"/>
        <w:spacing w:after="0" w:line="254" w:lineRule="auto"/>
        <w:rPr>
          <w:sz w:val="20"/>
          <w:szCs w:val="20"/>
          <w:color w:val="auto"/>
        </w:rPr>
      </w:pPr>
      <w:r>
        <w:rPr>
          <w:rFonts w:ascii="Arial" w:cs="Arial" w:eastAsia="Arial" w:hAnsi="Arial"/>
          <w:sz w:val="18"/>
          <w:szCs w:val="18"/>
          <w:color w:val="auto"/>
        </w:rPr>
        <w:t>“Default Disposition” means any private or public sale or disposition of all or any material portion of the Senior Secured Obligations Collateral (including Foreign Collateral) by one or more Grantors with the consent of Senior Collateral Agent or Foreign Collateral Agent (as instructed by the Controlling Party), as applicable, after the occurrence and during the continuation of an Event of Default under the Senior Secured Obligations Security Documents or the ABL Credit Agreement or LC Credit Agreement, as applicable (and prior to the Discharge of the Senior Secured Obligations), including any disposition contemplated by Section 9-620 of the UCC, which disposition is conducted by such Grantors with the consent of Senior Collateral Agent or Foreign Collateral Agent (as instructed by the Controlling Party) in connection with good faith efforts by Senior Collateral Agent or Foreign Collateral Agent (as instructed by the Controlling Party) to collect the Senior Secured Obligations through the disposition of Senior Secured Obligations Collateral (including any Foreign Collateral).</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“DIP Financing” has the meaning set forth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“DIP Financing Liens” has the meaning set forth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“DIP Lenders” has the meaning set forth in Section 2.06(b).</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“Discharge” means, with respect to any Obligations, except to the extent otherwise provided herein with respect to the reinstatement or continuation of any such Obligations, the payment in full in cash (except for contingent indemnities and cost and reimbursement obligations to the extent no claim has been threatened (in writing) or asserted) of all such Obligations then outstanding, if any, and, with respect to (x) letters of credit or letter of credit guaranties outstanding under the agreements or instruments governing such Obligations (as related to all or any subset of Obligations, the “Relevant Instruments”); (y) Bank Product Obligations (as defined in the ABL Credit Agreement); and (z) asserted or threatened (in writing) claims, demands, actions, suits, investigations, liabilities, fines, costs, or damages for which a party may be entitled to indemnification or reimbursement by any Grantor, delivery of cash collateral or backstop letters of credit in respect thereof in a manner consistent with such Relevant Instruments, in each case after or concurrently with the termination of all commitments to extend credit thereunder, and the termination of all commitments of “secured parties” under the Relevant Instruments (including, in any event, all such interest, fees, costs, expenses and other charges regardless of whether such amounts are allowed, allowable or reasonable in any Insolvency or Liquidation Proceeding, whether under Section 506 of the Bankruptcy Code of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Discharge of ABL Obligations shall not be deemed to have occurred if such payments are made in connection with the establishment of a replacement ABL Credit Agreement and (ii) the Discharge of LC Obligations shall not be deemed to have occurred if such payments are made with the proceeds of LC Obligations that constitute an exchange or replacement for or a refinancing of such Obligations or LC Obligations. In the event any Obligations are modified and such Obligations are paid over time or otherwise modified, in each case, pursuant to Section 1129 of the Bankruptcy Code or similar Debtor Relief Law, such Obligations shall be deemed to be discharged only when the final payment is made, in cash, in respect of such indebtedness and any obligations pursuant to such new or modified indebtedness shall have been satisfied. The term “Discharged” shall have a corresponding meaning.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5" w:name="page666"/>
    <w:bookmarkEnd w:id="665"/>
    <w:p>
      <w:pPr>
        <w:jc w:val="both"/>
        <w:ind w:firstLine="1297"/>
        <w:spacing w:after="0" w:line="277" w:lineRule="auto"/>
        <w:rPr>
          <w:sz w:val="20"/>
          <w:szCs w:val="20"/>
          <w:color w:val="auto"/>
        </w:rPr>
      </w:pPr>
      <w:r>
        <w:rPr>
          <w:rFonts w:ascii="Arial" w:cs="Arial" w:eastAsia="Arial" w:hAnsi="Arial"/>
          <w:sz w:val="18"/>
          <w:szCs w:val="18"/>
          <w:color w:val="auto"/>
        </w:rPr>
        <w:t>“European Insolvency Regulation” means Regulation (EU) 2015/848 of the European Parliament and of the Council of 20 May 2015 on insolvency proceedings (recast)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“Event of Default” means an “Event of Default” under and as defined in the ABL Credit Agreement or the LC Credit Agreement, as the context may require.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“Foreign Collateral” has the meaning set forth in Section 2.01(d).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“Foreign Collateral Agent” means ABL Collateral Agent and its successors (as appointed in accordance with Article VI hereof) or assigns.</w:t>
      </w:r>
    </w:p>
    <w:p>
      <w:pPr>
        <w:spacing w:after="0" w:line="24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“Foreign Collateral Documents” means the documents listed on Schedule I attached hereto and any other documents creating (or purporting to create) a Lien on any Foreign Collateral in favor of Foreign Collateral Agent and all documents delivered therewith.</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“Grantor” means Parent and each Subsidiary of Parent that shall have granted any Lien in favor of any Collateral Agent on any of its assets or properties to secure any of the Obligations.</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“Insolvency or Liquidation Proceeding” means (a) any case or proceeding commenced by or against the Parent or any other Grantor under the Bankruptcy Code or other Debtor Relief Laws or any other process or proceeding for the reorganization, recapitalization, restructuring, adjustment, arrangement or marshalling of the assets or liabilities of the Parent or any other Grantor or any receivership or assignment for the benefit of creditors relating to the Parent or any other Grantor or relating to all or a substantial part of the property or assets of the Parent or any other Grantor or any similar case or proceeding relative to the Parent or any other Grantor, or their respective property or their respective creditors, as such, in each case whether or not voluntary;</w:t>
      </w:r>
    </w:p>
    <w:p>
      <w:pPr>
        <w:spacing w:after="0" w:line="2" w:lineRule="exact"/>
        <w:rPr>
          <w:sz w:val="20"/>
          <w:szCs w:val="20"/>
          <w:color w:val="auto"/>
        </w:rPr>
      </w:pPr>
    </w:p>
    <w:p>
      <w:pPr>
        <w:jc w:val="both"/>
        <w:ind w:firstLine="8"/>
        <w:spacing w:after="0" w:line="269" w:lineRule="auto"/>
        <w:tabs>
          <w:tab w:leader="none" w:pos="272" w:val="left"/>
        </w:tabs>
        <w:numPr>
          <w:ilvl w:val="0"/>
          <w:numId w:val="792"/>
        </w:numPr>
        <w:rPr>
          <w:rFonts w:ascii="Arial" w:cs="Arial" w:eastAsia="Arial" w:hAnsi="Arial"/>
          <w:sz w:val="17"/>
          <w:szCs w:val="17"/>
          <w:color w:val="auto"/>
        </w:rPr>
      </w:pPr>
      <w:r>
        <w:rPr>
          <w:rFonts w:ascii="Arial" w:cs="Arial" w:eastAsia="Arial" w:hAnsi="Arial"/>
          <w:sz w:val="17"/>
          <w:szCs w:val="17"/>
          <w:color w:val="auto"/>
        </w:rPr>
        <w:t>any process or proceeding for the appointment of any trustee in bankruptcy, receiver, receiver and manager, interim receiver, administrator, liquidator, monitor, custodian, sequestrator, conservator or any similar official appointed for or relating to the Parent or any other Grantor or all or a substantial portion of their respective property and assets, in each case whether or not voluntary; (c) any liquidation, dissolution, marshalling of assets or liabilities or other winding up (or similar process) of or relating to the Parent or any other Grantor, in each case whether or not voluntary and whether or not involving bankruptcy or insolvency; or (d) any other proceeding of any type or nature in which substantially all claims of creditors of the Parent or any other Grantor, or of a class of creditors of the Parent or any other Grantor, are stayed, compromised, restructured or determined and any payment, distribution, restructuring or arrangement is or may be made on account of or in relation to such claims.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“Junior Claims” means (a) with respect to the ABL Priority Collateral, the LC Obligations secured by such Collateral and (b) with respect to the LC Priority Collateral, the ABL Obligations secured by such Collateral.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66" w:name="page667"/>
    <w:bookmarkEnd w:id="666"/>
    <w:p>
      <w:pPr>
        <w:jc w:val="both"/>
        <w:ind w:firstLine="1297"/>
        <w:spacing w:after="0" w:line="277" w:lineRule="auto"/>
        <w:rPr>
          <w:sz w:val="20"/>
          <w:szCs w:val="20"/>
          <w:color w:val="auto"/>
        </w:rPr>
      </w:pPr>
      <w:r>
        <w:rPr>
          <w:rFonts w:ascii="Arial" w:cs="Arial" w:eastAsia="Arial" w:hAnsi="Arial"/>
          <w:sz w:val="18"/>
          <w:szCs w:val="18"/>
          <w:color w:val="auto"/>
        </w:rPr>
        <w:t>“Junior Collateral Agent” means (a) with respect to the LC Priority Collateral, the ABL Collateral Agent and (b) with respect to the ABL Priority Collateral, the LC Collateral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“Junior Representative” means (a) with respect to the LC Priority Collateral, the ABL Collateral Agent and (b) with respect to the ABL Priority Collateral, the LC Collateral Agent.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“Junior Secured Obligations” means (a) with respect to the ABL Obligations (to the extent such Obligations are secured by the ABL Priority Collateral), the LC Obligations (to the extent such Obligations are secured by the ABL Priority Collateral) and (b) with respect to the LC Obligations (to the extent such Obligations are secured by the LC Priority Collateral), the ABL Obligations (to the extent such Obligations are secured by the LC Priority Collateral).</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“Junior Secured Obligations Collateral” means, with respect to any Obligations, the Collateral in respect of which such Obligations constitute Junior Claims.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“Junior Secured Obligations Collateral Documents” means (a) with respect to the LC Obligations, the ABL Security Documents and (b) with respect to the ABL Obligations, the LC Security Documents.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“Junior Secured Obligations Secured Parties” means (a) with respect to the LC Priority Collateral, the ABL Secured Parties (to the extent that the Obligations owing to such ABL Secured Parties are secured by the LC Priority Collateral) and (b) with respect to the ABL Priority Collateral, the LC Secured Parties (to the extent that the Obligations owing to such LC Secured Parties are secured by the ABL Priority Collateral).</w:t>
      </w:r>
    </w:p>
    <w:p>
      <w:pPr>
        <w:spacing w:after="0" w:line="16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“LC Administrative Agent” means the Administrative Agent under, and as defined in, the LC Credit Agreement together with its successors and co-agents in substantially the same capacity as may from time to time be appointed.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Australian Collateral Agent”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Australian Security Trust” means the “Security Trust” under and as defined in the LC Australian Security Trust Deed.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“LC Australian Security Trust Deed” means the Security Trust Deed to be entered into among the Borrowers, the LC Administrative Agent, the LC Lenders and the LC Australian Collateral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“LC Australian Security Documents” means the LC Australian Security Trust Deed and each other Australian law governed document now existing or entered into after the date hereof that create Liens on any assets or properties of any Grantor to secure any LC Obligations in favor of the LC Australian Collateral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Collateral Agent”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7" w:name="page668"/>
    <w:bookmarkEnd w:id="667"/>
    <w:p>
      <w:pPr>
        <w:jc w:val="both"/>
        <w:ind w:firstLine="1297"/>
        <w:spacing w:after="0" w:line="284" w:lineRule="auto"/>
        <w:rPr>
          <w:sz w:val="20"/>
          <w:szCs w:val="20"/>
          <w:color w:val="auto"/>
        </w:rPr>
      </w:pPr>
      <w:r>
        <w:rPr>
          <w:rFonts w:ascii="Arial" w:cs="Arial" w:eastAsia="Arial" w:hAnsi="Arial"/>
          <w:sz w:val="16"/>
          <w:szCs w:val="16"/>
          <w:color w:val="auto"/>
        </w:rPr>
        <w:t>“LC Credit Agreement” means (a) the Existing LC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“LC Credit Agreement”) and (b) whether or not the facility referred to in clause</w:t>
      </w:r>
    </w:p>
    <w:p>
      <w:pPr>
        <w:spacing w:after="0" w:line="5" w:lineRule="exact"/>
        <w:rPr>
          <w:sz w:val="20"/>
          <w:szCs w:val="20"/>
          <w:color w:val="auto"/>
        </w:rPr>
      </w:pPr>
    </w:p>
    <w:p>
      <w:pPr>
        <w:jc w:val="both"/>
        <w:ind w:firstLine="8"/>
        <w:spacing w:after="0" w:line="270" w:lineRule="auto"/>
        <w:tabs>
          <w:tab w:leader="none" w:pos="252" w:val="left"/>
        </w:tabs>
        <w:numPr>
          <w:ilvl w:val="0"/>
          <w:numId w:val="793"/>
        </w:numPr>
        <w:rPr>
          <w:rFonts w:ascii="Arial" w:cs="Arial" w:eastAsia="Arial" w:hAnsi="Arial"/>
          <w:sz w:val="17"/>
          <w:szCs w:val="17"/>
          <w:color w:val="auto"/>
        </w:rPr>
      </w:pPr>
      <w:r>
        <w:rPr>
          <w:rFonts w:ascii="Arial" w:cs="Arial" w:eastAsia="Arial" w:hAnsi="Arial"/>
          <w:sz w:val="17"/>
          <w:szCs w:val="17"/>
          <w:color w:val="auto"/>
        </w:rPr>
        <w:t>remains outstanding, if designated by the Parent to be included in the definition of “LC Credit Agreement,” one or more (i) debt facilities or commercial paper facilities, providing for revolving credit loans, term loans, receivables financing (including through the sale of receivables to lenders or to special purpose entities formed to borrow from lenders against such receivables) or letters of credit, (ii) debt securities, indentures or other forms of debt financing (including convertible or exchangeable debt instruments or bank guarantees or bankers’ acceptances) or (iii)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“LC Documents” means the LC Credit Agreement, the LC Security Agreement, the LC Mortgages, the LC Australian Security Documents and the other “Loan Documents” as defined in the LC Credit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“LC Facility Guarantee” means any guarantee of the Obligations of the Parent under the LC Credit Agreement by any Person in accordance with the provisions of the LC Credit Agreement.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“LC Facility Guarantor” means any Person that incurs a LC Facility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release or discharge of such Person from its LC Facility Guarantee in accordance with the LC Credit Agreement, such Person ceases to be a LC Facility Guarantor.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Facility Secured Parties” means the “Secured Parties” as defined in the LC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Lenders”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Mortgages” means all “Mortgages” as defined in the LC Credit Agreement.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“LC Obligations” means all “Secured Obligations” (as such term is defined in the LC Credit Agreement) of the LC Borrowers and other obligors under the LC Credit Agreement or any of the other LC Documents, including obligations to pay principal, premiums, if any, and interest, attorneys fees, fees, costs, charges, expenses, Letters of Credit (as defined in the LC Credit Agreement) and commissions,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LC Documents and the performance of all other Obligations of the obligors thereunder under the LC Documents, according to the respective terms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68" w:name="page669"/>
    <w:bookmarkEnd w:id="668"/>
    <w:p>
      <w:pPr>
        <w:jc w:val="both"/>
        <w:ind w:firstLine="1297"/>
        <w:spacing w:after="0" w:line="273" w:lineRule="auto"/>
        <w:rPr>
          <w:sz w:val="20"/>
          <w:szCs w:val="20"/>
          <w:color w:val="auto"/>
        </w:rPr>
      </w:pPr>
      <w:r>
        <w:rPr>
          <w:rFonts w:ascii="Arial" w:cs="Arial" w:eastAsia="Arial" w:hAnsi="Arial"/>
          <w:sz w:val="17"/>
          <w:szCs w:val="17"/>
          <w:color w:val="auto"/>
        </w:rPr>
        <w:t>“LC Priority Collateral” means all Collateral (other than ABL Priority Collateral) now owned or at any time hereafter acquired (including, for the avoidance of doubt, any such assets that, but for the application of Section 552 of the Bankruptcy Code (or any provision of any other Debtor Relief Law), would constitute LC Priority Collateral) of any Grantor (including, for the avoidance of doubt, (a) all Real Estate Assets of Grantors; (b) all intellectual property; (c) all Capital Stock in each Grantor’s subsidiaries (as defined in the LC Credit Agreement); (d) all proceeds of insurance policies other than business interruption insurance or representations and warranties insurance policies (excluding any such proceeds that relate to ABL Priority Collateral); and (e) all products and proceeds of any and all of the foregoing (other than any such proceeds that are ABL Priority Collateral)).</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“LC Priority Possessory Collateral” means LC Priority Collateral that is Possessory Collateral.</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“LC Secured Parties” means the (a) the LC Collateral Agent (including for avoidance of doubt the LC Australian Collateral Agent), and (b) the LC Facility Secured Parties.</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“LC Security Agreement” means the U.S. Security Agreement, dated as of the date hereof, by and among the Parent, LC Borrowers, each other pledgor party thereto and the LC Collateral Agent, as amended, amended and restated, supplemented or modified from time to time.</w:t>
      </w:r>
    </w:p>
    <w:p>
      <w:pPr>
        <w:spacing w:after="0" w:line="14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“LC Security Documents” means the LC Security Agreement, the LC Mortgages, the LC Australian Security Documents and any other documents now existing or entered into after the date hereof that create Liens on any assets or properties of any Grantor to secure any LC Obligations.</w:t>
      </w:r>
    </w:p>
    <w:p>
      <w:pPr>
        <w:spacing w:after="0" w:line="14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“Lien” means any lien, mortgage, deed of trust, pledge, hypothecation, security interest, charge or encumbrance of any kind, including any conditional sale or other title retention agreement or any lease in the nature thereof or a ‘security interest’ (as defined in section 12 (1) and (2) of the Personal Property Securities Act 2009 (Cth)) (whether voluntary or involuntary and whether imposed or created by operation of law or otherwise).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“Luxembourg Obligors” means any Grantor organized under the laws of the Grand Duchy of Luxembourg.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“Memorandum” has the meaning set forth in Section 2.02(c).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“Mortgages” means the ABL Mortgages and the LC Mortgages.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UCC” means the Uniform Commercial Code as from time to time in effect in the State of New York.</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 Controlling Party Situation” means any decision relating to Foreign Collateral whereby (a) due to the mixed nature of the Collateral involved, there is no Controlling Party or (b) the instructions from LC Collateral Agent as Controlling Party and ABL Collateral Agent as Controlling Party are in conflict.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“Obligations” means the ABL Obligations and the LC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69" w:name="page670"/>
    <w:bookmarkEnd w:id="669"/>
    <w:p>
      <w:pPr>
        <w:ind w:left="1300"/>
        <w:spacing w:after="0"/>
        <w:rPr>
          <w:sz w:val="20"/>
          <w:szCs w:val="20"/>
          <w:color w:val="auto"/>
        </w:rPr>
      </w:pPr>
      <w:r>
        <w:rPr>
          <w:rFonts w:ascii="Arial" w:cs="Arial" w:eastAsia="Arial" w:hAnsi="Arial"/>
          <w:sz w:val="18"/>
          <w:szCs w:val="18"/>
          <w:color w:val="auto"/>
        </w:rPr>
        <w:t>“Parent” has the meaning set forth in the recitals.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“Permitted Discretion” means a determination made in the exercise of good faith and reasonable credit judgment (from the perspective of a secured lender giving due regard to the nature of both the ABL Priority Collateral and the LC Priority Collateral and the relative proportion of each such collateral type over which such discretion is being exercised).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“Permitted Remedies” means, with respect to any Junior Secured Obligations:</w:t>
      </w:r>
    </w:p>
    <w:p>
      <w:pPr>
        <w:spacing w:after="0" w:line="225" w:lineRule="exact"/>
        <w:rPr>
          <w:sz w:val="20"/>
          <w:szCs w:val="20"/>
          <w:color w:val="auto"/>
        </w:rPr>
      </w:pPr>
    </w:p>
    <w:p>
      <w:pPr>
        <w:ind w:firstLine="1305"/>
        <w:spacing w:after="0" w:line="277" w:lineRule="auto"/>
        <w:tabs>
          <w:tab w:leader="none" w:pos="2347" w:val="left"/>
        </w:tabs>
        <w:numPr>
          <w:ilvl w:val="0"/>
          <w:numId w:val="794"/>
        </w:numPr>
        <w:rPr>
          <w:rFonts w:ascii="Arial" w:cs="Arial" w:eastAsia="Arial" w:hAnsi="Arial"/>
          <w:sz w:val="18"/>
          <w:szCs w:val="18"/>
          <w:color w:val="auto"/>
        </w:rPr>
      </w:pPr>
      <w:r>
        <w:rPr>
          <w:rFonts w:ascii="Arial" w:cs="Arial" w:eastAsia="Arial" w:hAnsi="Arial"/>
          <w:sz w:val="18"/>
          <w:szCs w:val="18"/>
          <w:color w:val="auto"/>
        </w:rPr>
        <w:t xml:space="preserve">filing a proof of claim or statement of interest with respect to such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Insolvency or Liquidation Proceeding has been commenced by or against any Grantor;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249"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taking any action (not adverse to the Liens securing Senior Secured Obligations, the priority status thereof, or the rights of the Applicable Senior Collateral Agent or any of the Senior Secured Obligations Secured Parties to exercise rights, powers and/or remedies in respect thereof) in order to create, perfect, preserve or protect (but not enforce) its Lien on any of the Collateral;</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428" w:val="left"/>
        </w:tabs>
        <w:numPr>
          <w:ilvl w:val="0"/>
          <w:numId w:val="794"/>
        </w:numPr>
        <w:rPr>
          <w:rFonts w:ascii="Arial" w:cs="Arial" w:eastAsia="Arial" w:hAnsi="Arial"/>
          <w:sz w:val="17"/>
          <w:szCs w:val="17"/>
          <w:color w:val="auto"/>
        </w:rPr>
      </w:pPr>
      <w:r>
        <w:rPr>
          <w:rFonts w:ascii="Arial" w:cs="Arial" w:eastAsia="Arial" w:hAnsi="Arial"/>
          <w:sz w:val="17"/>
          <w:szCs w:val="17"/>
          <w:color w:val="auto"/>
        </w:rPr>
        <w:t>filing any necessary responsive or defensive pleadings in opposition to any motion, claim, adversary proceeding or other pleading made by any person objecting to or otherwise seeking the disallowance of the claims of the Junior Secured Obligations Secured Parties, including any claims secured by the Junior Secured Obligations Collateral, in each case in accordance with the terms of this Agreement;</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276" w:val="left"/>
        </w:tabs>
        <w:numPr>
          <w:ilvl w:val="0"/>
          <w:numId w:val="794"/>
        </w:numPr>
        <w:rPr>
          <w:rFonts w:ascii="Arial" w:cs="Arial" w:eastAsia="Arial" w:hAnsi="Arial"/>
          <w:sz w:val="18"/>
          <w:szCs w:val="18"/>
          <w:color w:val="auto"/>
        </w:rPr>
      </w:pPr>
      <w:r>
        <w:rPr>
          <w:rFonts w:ascii="Arial" w:cs="Arial" w:eastAsia="Arial" w:hAnsi="Arial"/>
          <w:sz w:val="18"/>
          <w:szCs w:val="18"/>
          <w:color w:val="auto"/>
        </w:rPr>
        <w:t>filing any pleadings, objections, motions or agreements which assert rights or interests available to unsecured creditors of the Grantors arising under either any Insolvency or Liquidation Proceeding or applicable non-bankruptcy law, in each case in accordance with the terms of this Agreement or applicable law (including the bankruptcy laws of any applicable jurisdiction);</w:t>
      </w:r>
    </w:p>
    <w:p>
      <w:pPr>
        <w:spacing w:after="0" w:line="181" w:lineRule="exact"/>
        <w:rPr>
          <w:rFonts w:ascii="Arial" w:cs="Arial" w:eastAsia="Arial" w:hAnsi="Arial"/>
          <w:sz w:val="18"/>
          <w:szCs w:val="18"/>
          <w:color w:val="auto"/>
        </w:rPr>
      </w:pPr>
    </w:p>
    <w:p>
      <w:pPr>
        <w:jc w:val="both"/>
        <w:ind w:firstLine="1305"/>
        <w:spacing w:after="0" w:line="297" w:lineRule="auto"/>
        <w:tabs>
          <w:tab w:leader="none" w:pos="2468" w:val="left"/>
        </w:tabs>
        <w:numPr>
          <w:ilvl w:val="0"/>
          <w:numId w:val="794"/>
        </w:numPr>
        <w:rPr>
          <w:rFonts w:ascii="Arial" w:cs="Arial" w:eastAsia="Arial" w:hAnsi="Arial"/>
          <w:sz w:val="16"/>
          <w:szCs w:val="16"/>
          <w:color w:val="auto"/>
        </w:rPr>
      </w:pPr>
      <w:r>
        <w:rPr>
          <w:rFonts w:ascii="Arial" w:cs="Arial" w:eastAsia="Arial" w:hAnsi="Arial"/>
          <w:sz w:val="16"/>
          <w:szCs w:val="16"/>
          <w:color w:val="auto"/>
        </w:rPr>
        <w:t>join (but not exercise any control with respect to) any judicial foreclosure proceeding or other judicial lien enforcement proceeding with respect to the Senior Secured Obligations Collateral of the Senior Collateral Agent initiated by such Senior Collateral Agent to the extent that any such action could not reasonably be expected, in any material respect, to restrain, hinder, limit, delay for any material period or otherwise interfere with an enforcement action by such Senior Collateral Agent (it being understood that neither the Junior Collateral Agent nor any Junior Secured Obligations Secured Parties shall be entitled to receive any proceeds from the Senior Secured Obligations Collateral unless otherwise expressly permitted herein);</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2196" w:val="left"/>
        </w:tabs>
        <w:numPr>
          <w:ilvl w:val="0"/>
          <w:numId w:val="79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2.04(a)(iii)</w:t>
      </w:r>
      <w:r>
        <w:rPr>
          <w:rFonts w:ascii="Arial" w:cs="Arial" w:eastAsia="Arial" w:hAnsi="Arial"/>
          <w:sz w:val="18"/>
          <w:szCs w:val="18"/>
          <w:color w:val="auto"/>
        </w:rPr>
        <w:t>, inspect, appraise or value the Collateral (and to engage or retain investment bankers or appraisers for the purposes of appraising or valuing the Collateral) or to receive information or reports concerning the Collateral, in each case pursuant to the terms of the ABL Documents or LC Documents, as applicable, or applicable law;</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2249" w:val="left"/>
        </w:tabs>
        <w:numPr>
          <w:ilvl w:val="0"/>
          <w:numId w:val="79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2.04(a)(iii)</w:t>
      </w:r>
      <w:r>
        <w:rPr>
          <w:rFonts w:ascii="Arial" w:cs="Arial" w:eastAsia="Arial" w:hAnsi="Arial"/>
          <w:sz w:val="18"/>
          <w:szCs w:val="18"/>
          <w:color w:val="auto"/>
        </w:rPr>
        <w:t xml:space="preserve">, take any action to seek and obtain specific performance or injunctive relief to compel a Grantor to comply with (or not to violate or breach) an obligation under the ABL Documents or LC Documents,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does not include any action by a Junior Secured Obligations Secured Party to seek specific performance or injunctive relief against any Senior Secured Obligations Secured Party or the sale or disposition of any such Senior Secured Obligations Secured Party’s Senior Secured Obligations Collateral in contravention of the other provisions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70" w:name="page671"/>
    <w:bookmarkEnd w:id="670"/>
    <w:p>
      <w:pPr>
        <w:jc w:val="both"/>
        <w:ind w:firstLine="1305"/>
        <w:spacing w:after="0" w:line="255" w:lineRule="auto"/>
        <w:tabs>
          <w:tab w:leader="none" w:pos="2303" w:val="left"/>
        </w:tabs>
        <w:numPr>
          <w:ilvl w:val="0"/>
          <w:numId w:val="795"/>
        </w:numPr>
        <w:rPr>
          <w:rFonts w:ascii="Arial" w:cs="Arial" w:eastAsia="Arial" w:hAnsi="Arial"/>
          <w:sz w:val="18"/>
          <w:szCs w:val="18"/>
          <w:color w:val="auto"/>
        </w:rPr>
      </w:pPr>
      <w:r>
        <w:rPr>
          <w:rFonts w:ascii="Arial" w:cs="Arial" w:eastAsia="Arial" w:hAnsi="Arial"/>
          <w:sz w:val="18"/>
          <w:szCs w:val="18"/>
          <w:color w:val="auto"/>
        </w:rPr>
        <w:t xml:space="preserve">make a cash or, if allowed pursuant to applicable law, credit bid for Collateral at any public or private sale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Secured Party does not challenge the bid of any Senior Secured Obligations Secured Party for its Senior Secured Obligations Collateral other than by the submission of a competing bid, (ii) each Senior Secured Obligations Secured Party may, subject to the terms of its Senior Secured Obligations Collateral Documents, offset its Senior Secured Obligations against the purchase price for the Senior Secured Obligations Collateral and (iii) if such sale includes Junior Secured Obligations Collateral and Senior Secured Obligations Collateral, the Junior Secured Obligations Secured Parties may only bid cash with respect to the Senior Secured Obligations Collateral; and</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2326" w:val="left"/>
        </w:tabs>
        <w:numPr>
          <w:ilvl w:val="0"/>
          <w:numId w:val="795"/>
        </w:numPr>
        <w:rPr>
          <w:rFonts w:ascii="Arial" w:cs="Arial" w:eastAsia="Arial" w:hAnsi="Arial"/>
          <w:sz w:val="18"/>
          <w:szCs w:val="18"/>
          <w:color w:val="auto"/>
        </w:rPr>
      </w:pPr>
      <w:r>
        <w:rPr>
          <w:rFonts w:ascii="Arial" w:cs="Arial" w:eastAsia="Arial" w:hAnsi="Arial"/>
          <w:sz w:val="18"/>
          <w:szCs w:val="18"/>
          <w:color w:val="auto"/>
        </w:rPr>
        <w:t>in any Insolvency or Liquidation Proceeding, (i) voting on any Plan of Reorganization, (ii) filing any proof of claim and (iii) making other filings and motions and making any arguments in connection therewith (including in support of or opposition to, as applicable, the confirmation or approval of any Plan of Reorganization) that comply with the terms of this Agreement.</w:t>
      </w:r>
    </w:p>
    <w:p>
      <w:pPr>
        <w:spacing w:after="0" w:line="181" w:lineRule="exact"/>
        <w:rPr>
          <w:sz w:val="20"/>
          <w:szCs w:val="20"/>
          <w:color w:val="auto"/>
        </w:rPr>
      </w:pPr>
    </w:p>
    <w:p>
      <w:pPr>
        <w:jc w:val="both"/>
        <w:ind w:firstLine="1350"/>
        <w:spacing w:after="0" w:line="277" w:lineRule="auto"/>
        <w:rPr>
          <w:sz w:val="20"/>
          <w:szCs w:val="20"/>
          <w:color w:val="auto"/>
        </w:rPr>
      </w:pPr>
      <w:r>
        <w:rPr>
          <w:rFonts w:ascii="Arial" w:cs="Arial" w:eastAsia="Arial" w:hAnsi="Arial"/>
          <w:sz w:val="18"/>
          <w:szCs w:val="18"/>
          <w:color w:val="auto"/>
        </w:rPr>
        <w:t>“Person” means any natural person, corporation, business trust, joint venture, association, company, partnership, limited liability partnership, limited liability company or government, individual or family trusts or any agency or political subdivision thereof.</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“Plan of Reorganization” means any plan of reorganization, scheme of arrangement, plan of arrangement or compromise, proposal, plan of liquidation, agreement for composition or other type of plan, proposal or arrangement proposed in or in connection with any Insolvency or Liquidation Proceeding.</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“Possessory Collateral” means the Collateral in the possession or control of any Collateral Agent (or its agents or bailees), to the extent that possession or control thereof (a) perfects a Lien thereon under the Uniform Commercial Code or (b) provides a substantially similar legal effects as “perfection” under the Uniform Commercial Code under other applicable legislation of any jurisdiction. Possessory Collateral includes, without limitation, any Certificated Securities, Promissory Notes, Instruments and Chattel Paper, in each case, delivered to or in the possession of any Collateral Agent under the terms of the ABL Security Documents or the LC Security Documents. All capitalized terms used in this definition and not defined elsewhere in this Agreement have the meanings assigned to them in the New York UCC.</w:t>
      </w:r>
    </w:p>
    <w:p>
      <w:pPr>
        <w:spacing w:after="0" w:line="19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“Possessory Collateral Agent” means, with respect to any Possessory Collateral, the Collateral Agent having possession or control (including through its agents or bailees) of same.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“Proceeds” has the meaning set forth in Section 2.01(a).</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“Real Estate Asset” means, at any time of determination, any interest (fee, leasehold or otherwise) then owned by any Grantor in any real property that does not constitute Excluded Assets (as defined in the LC Credit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71" w:name="page672"/>
    <w:bookmarkEnd w:id="671"/>
    <w:p>
      <w:pPr>
        <w:jc w:val="both"/>
        <w:ind w:firstLine="1297"/>
        <w:spacing w:after="0" w:line="291" w:lineRule="auto"/>
        <w:rPr>
          <w:sz w:val="20"/>
          <w:szCs w:val="20"/>
          <w:color w:val="auto"/>
        </w:rPr>
      </w:pPr>
      <w:r>
        <w:rPr>
          <w:rFonts w:ascii="Arial" w:cs="Arial" w:eastAsia="Arial" w:hAnsi="Arial"/>
          <w:sz w:val="16"/>
          <w:szCs w:val="16"/>
          <w:color w:val="auto"/>
        </w:rPr>
        <w:t xml:space="preserve">“Refinance” means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indentures or any successor or replacement agreement or agreements or indentures or increasing the amount loaned or issued thereunder or altering the maturity thereof). “Refinanced” and “Refinancing” shall have correlative meanings;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that any of the foregoing that increases the principal amount of Senior Claims with respect to any Collateral shall be effective for purposes hereof only if such increase does not contravene the documents pursuant to which any Junior Claims with respect to such Collateral have been incurred, all as in effect on the date hereof or as may be amended in accordance with the terms hereof.</w:t>
      </w:r>
    </w:p>
    <w:p>
      <w:pPr>
        <w:spacing w:after="0" w:line="16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“Related Parties”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“Representative” means (a) in the case of any ABL Obligations, the ABL Collateral Agent and (b) in the case of any LC Obligations, the LC Collateral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“Secured Parties” means (a) the ABL Secured Parties and (b) the LC Secured Parties.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“Senior Claims” means (a) with respect to the ABL Priority Collateral, the ABL Obligations secured by such Collateral and (b) with respect to the LC Priority Collateral, the LC Obligations secured by such Collateral.</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“Senior Collateral Agent” means (a) with respect to the LC Priority Collateral, the LC Collateral Agent and (b) with respect to the ABL Priority Collateral, the ABL Collateral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“Senior Representative” means (a) with respect to the LC Priority Collateral, the LC Collateral Agent and (b) with respect to the ABL Priority Collateral, the ABL Collateral Agent.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“Senior Secured Obligations” means (a) with respect to the ABL Obligations (to the extent such Obligations are secured by the LC Priority Collateral), the LC Obligations, and (b) with respect to the LC Obligations (to the extent such Obligations are secured by the ABL Priority Collateral), the ABL Obligations; the LC Obligations shall, collectively, constitute one “Class” of Senior Secured Obligations and the ABL Obligations shall constitute a separate “Class” of Senior Secured Obligations.</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“Senior Secured Obligations Collateral” means, with respect to any Obligations, the Collateral in respect of which such Obligations constitute Senior Claims. For the avoidance of doubt, notwithstanding the Foreign Collateral Agent holding any Liens on Foreign Collateral for the benefit of the Secured Parties, subject to Article VI, Foreign Collateral shall not be treated differently from other Collateral when determining whether such Collateral or its proceeds are Senior Secured Obligations Collateral.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2" w:name="page673"/>
    <w:bookmarkEnd w:id="672"/>
    <w:p>
      <w:pPr>
        <w:jc w:val="both"/>
        <w:ind w:firstLine="1297"/>
        <w:spacing w:after="0" w:line="277" w:lineRule="auto"/>
        <w:rPr>
          <w:sz w:val="20"/>
          <w:szCs w:val="20"/>
          <w:color w:val="auto"/>
        </w:rPr>
      </w:pPr>
      <w:r>
        <w:rPr>
          <w:rFonts w:ascii="Arial" w:cs="Arial" w:eastAsia="Arial" w:hAnsi="Arial"/>
          <w:sz w:val="18"/>
          <w:szCs w:val="18"/>
          <w:color w:val="auto"/>
        </w:rPr>
        <w:t>“Senior Secured Obligations Collateral Documents” means (a) with respect to the LC Obligations, the LC Security Documents and (b) with respect to the ABL Obligations, the ABL Security Documents.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“Senior Secured Obligations Secured Parties” means (a) with respect to the LC Priority Collateral, the LC Secured Parties (to the extent that the Obligations owing to such LC Secured Parties are secured by the LC Priority Collateral) and (b) with respect to the ABL Priority Collateral, the ABL Secured Parties (to the extent that the Obligations owing to such ABL Secured Parties are secured by the ABL Priority Collateral).</w:t>
      </w:r>
    </w:p>
    <w:p>
      <w:pPr>
        <w:spacing w:after="0" w:line="16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“Subsidiary”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SECTION 1.02 Luxembourg Terms. In this Agreement, in respect of any Luxembourg Obligor or any other entity which is organized under the laws of the Grand-Duchy of Luxembourg or has its “centre of main interests” (as that term is used in Article 3(1) of the European Insolvency Regulation in Luxembourg, a reference to:</w:t>
      </w:r>
    </w:p>
    <w:p>
      <w:pPr>
        <w:spacing w:after="0" w:line="181" w:lineRule="exact"/>
        <w:rPr>
          <w:sz w:val="20"/>
          <w:szCs w:val="20"/>
          <w:color w:val="auto"/>
        </w:rPr>
      </w:pPr>
    </w:p>
    <w:p>
      <w:pPr>
        <w:ind w:left="2200" w:hanging="895"/>
        <w:spacing w:after="0"/>
        <w:tabs>
          <w:tab w:leader="none" w:pos="2200" w:val="left"/>
        </w:tabs>
        <w:numPr>
          <w:ilvl w:val="0"/>
          <w:numId w:val="796"/>
        </w:numPr>
        <w:rPr>
          <w:rFonts w:ascii="Arial" w:cs="Arial" w:eastAsia="Arial" w:hAnsi="Arial"/>
          <w:sz w:val="17"/>
          <w:szCs w:val="17"/>
          <w:color w:val="auto"/>
        </w:rPr>
      </w:pPr>
      <w:r>
        <w:rPr>
          <w:rFonts w:ascii="Arial" w:cs="Arial" w:eastAsia="Arial" w:hAnsi="Arial"/>
          <w:sz w:val="17"/>
          <w:szCs w:val="17"/>
          <w:color w:val="auto"/>
        </w:rPr>
        <w:t>a “liquidator”, “trustee”, “custodian”, “compulsory manager”, “receiver”, “administrative receiver”, “administrator” or “similar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officer” includes any:</w:t>
      </w:r>
    </w:p>
    <w:p>
      <w:pPr>
        <w:spacing w:after="0" w:line="210" w:lineRule="exact"/>
        <w:rPr>
          <w:rFonts w:ascii="Arial" w:cs="Arial" w:eastAsia="Arial" w:hAnsi="Arial"/>
          <w:sz w:val="17"/>
          <w:szCs w:val="17"/>
          <w:color w:val="auto"/>
        </w:rPr>
      </w:pPr>
    </w:p>
    <w:p>
      <w:pPr>
        <w:ind w:left="3060" w:hanging="939"/>
        <w:spacing w:after="0"/>
        <w:tabs>
          <w:tab w:leader="none" w:pos="306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juge-commissaire or insolvency receiver (curateur) appointed under the Luxembourg Commercial Code;</w:t>
      </w:r>
    </w:p>
    <w:p>
      <w:pPr>
        <w:spacing w:after="0" w:line="225" w:lineRule="exact"/>
        <w:rPr>
          <w:rFonts w:ascii="Arial" w:cs="Arial" w:eastAsia="Arial" w:hAnsi="Arial"/>
          <w:sz w:val="18"/>
          <w:szCs w:val="18"/>
          <w:color w:val="auto"/>
        </w:rPr>
      </w:pPr>
    </w:p>
    <w:p>
      <w:pPr>
        <w:ind w:left="1300" w:firstLine="821"/>
        <w:spacing w:after="0" w:line="277" w:lineRule="auto"/>
        <w:tabs>
          <w:tab w:leader="none" w:pos="3038" w:val="left"/>
        </w:tabs>
        <w:numPr>
          <w:ilvl w:val="1"/>
          <w:numId w:val="796"/>
        </w:numPr>
        <w:rPr>
          <w:rFonts w:ascii="Arial" w:cs="Arial" w:eastAsia="Arial" w:hAnsi="Arial"/>
          <w:sz w:val="18"/>
          <w:szCs w:val="18"/>
          <w:color w:val="auto"/>
        </w:rPr>
      </w:pPr>
      <w:r>
        <w:rPr>
          <w:rFonts w:ascii="Arial" w:cs="Arial" w:eastAsia="Arial" w:hAnsi="Arial"/>
          <w:sz w:val="18"/>
          <w:szCs w:val="18"/>
          <w:color w:val="auto"/>
        </w:rPr>
        <w:t>liquidateur appointed under Articles 1100-1 to 1100-15 (inclusive) of the Luxembourg act dated 10 August 1915 on commercial companies, as amended;</w:t>
      </w:r>
    </w:p>
    <w:p>
      <w:pPr>
        <w:spacing w:after="0" w:line="170" w:lineRule="exact"/>
        <w:rPr>
          <w:rFonts w:ascii="Arial" w:cs="Arial" w:eastAsia="Arial" w:hAnsi="Arial"/>
          <w:sz w:val="18"/>
          <w:szCs w:val="18"/>
          <w:color w:val="auto"/>
        </w:rPr>
      </w:pPr>
    </w:p>
    <w:p>
      <w:pPr>
        <w:ind w:left="1300" w:firstLine="821"/>
        <w:spacing w:after="0" w:line="277" w:lineRule="auto"/>
        <w:tabs>
          <w:tab w:leader="none" w:pos="3075" w:val="left"/>
        </w:tabs>
        <w:numPr>
          <w:ilvl w:val="1"/>
          <w:numId w:val="796"/>
        </w:numPr>
        <w:rPr>
          <w:rFonts w:ascii="Arial" w:cs="Arial" w:eastAsia="Arial" w:hAnsi="Arial"/>
          <w:sz w:val="18"/>
          <w:szCs w:val="18"/>
          <w:color w:val="auto"/>
        </w:rPr>
      </w:pPr>
      <w:r>
        <w:rPr>
          <w:rFonts w:ascii="Arial" w:cs="Arial" w:eastAsia="Arial" w:hAnsi="Arial"/>
          <w:sz w:val="18"/>
          <w:szCs w:val="18"/>
          <w:color w:val="auto"/>
        </w:rPr>
        <w:t>juge-commissaire or liquidateur appointed under Article 1200-1 of the Luxembourg act dated 10 August 1915 on commercial companies, as amended;</w:t>
      </w:r>
    </w:p>
    <w:p>
      <w:pPr>
        <w:spacing w:after="0" w:line="170" w:lineRule="exact"/>
        <w:rPr>
          <w:rFonts w:ascii="Arial" w:cs="Arial" w:eastAsia="Arial" w:hAnsi="Arial"/>
          <w:sz w:val="18"/>
          <w:szCs w:val="18"/>
          <w:color w:val="auto"/>
        </w:rPr>
      </w:pPr>
    </w:p>
    <w:p>
      <w:pPr>
        <w:ind w:left="1300" w:right="20" w:firstLine="821"/>
        <w:spacing w:after="0" w:line="277" w:lineRule="auto"/>
        <w:tabs>
          <w:tab w:leader="none" w:pos="3137" w:val="left"/>
        </w:tabs>
        <w:numPr>
          <w:ilvl w:val="1"/>
          <w:numId w:val="796"/>
        </w:numPr>
        <w:rPr>
          <w:rFonts w:ascii="Arial" w:cs="Arial" w:eastAsia="Arial" w:hAnsi="Arial"/>
          <w:sz w:val="18"/>
          <w:szCs w:val="18"/>
          <w:color w:val="auto"/>
        </w:rPr>
      </w:pPr>
      <w:r>
        <w:rPr>
          <w:rFonts w:ascii="Arial" w:cs="Arial" w:eastAsia="Arial" w:hAnsi="Arial"/>
          <w:sz w:val="18"/>
          <w:szCs w:val="18"/>
          <w:color w:val="auto"/>
        </w:rPr>
        <w:t>commissaire appointed under the Grand-Ducal decree of 24 May 1935 on the controlled management regime or under Articles 593 to 614 (inclusive) of the Luxembourg Commercial Code; and</w:t>
      </w:r>
    </w:p>
    <w:p>
      <w:pPr>
        <w:spacing w:after="0" w:line="170" w:lineRule="exact"/>
        <w:rPr>
          <w:rFonts w:ascii="Arial" w:cs="Arial" w:eastAsia="Arial" w:hAnsi="Arial"/>
          <w:sz w:val="18"/>
          <w:szCs w:val="18"/>
          <w:color w:val="auto"/>
        </w:rPr>
      </w:pPr>
    </w:p>
    <w:p>
      <w:pPr>
        <w:ind w:left="3200" w:hanging="1079"/>
        <w:spacing w:after="0"/>
        <w:tabs>
          <w:tab w:leader="none" w:pos="3200" w:val="left"/>
        </w:tabs>
        <w:numPr>
          <w:ilvl w:val="1"/>
          <w:numId w:val="796"/>
        </w:numPr>
        <w:rPr>
          <w:rFonts w:ascii="Arial" w:cs="Arial" w:eastAsia="Arial" w:hAnsi="Arial"/>
          <w:sz w:val="16"/>
          <w:szCs w:val="16"/>
          <w:color w:val="auto"/>
        </w:rPr>
      </w:pPr>
      <w:r>
        <w:rPr>
          <w:rFonts w:ascii="Arial" w:cs="Arial" w:eastAsia="Arial" w:hAnsi="Arial"/>
          <w:sz w:val="16"/>
          <w:szCs w:val="16"/>
          <w:color w:val="auto"/>
        </w:rPr>
        <w:t>juge délégué appointed under the Luxembourg act of 14 April 1886 on the composition to avoid bankruptcy, as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amended; and</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249" w:val="left"/>
        </w:tabs>
        <w:numPr>
          <w:ilvl w:val="0"/>
          <w:numId w:val="796"/>
        </w:numPr>
        <w:rPr>
          <w:rFonts w:ascii="Arial" w:cs="Arial" w:eastAsia="Arial" w:hAnsi="Arial"/>
          <w:sz w:val="18"/>
          <w:szCs w:val="18"/>
          <w:color w:val="auto"/>
        </w:rPr>
      </w:pPr>
      <w:r>
        <w:rPr>
          <w:rFonts w:ascii="Arial" w:cs="Arial" w:eastAsia="Arial" w:hAnsi="Arial"/>
          <w:sz w:val="18"/>
          <w:szCs w:val="18"/>
          <w:color w:val="auto"/>
        </w:rPr>
        <w:t>a “winding-up”, “administration”, “liquidation” or “dissolution” includes, without limitation, bankruptcy (faillite), liquidation, composition with creditors (concordat préventif de faillite), moratorium or reprieve from payment (sursis de paiement) and controlled management (gestion contrôlée).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73" w:name="page674"/>
    <w:bookmarkEnd w:id="673"/>
    <w:p>
      <w:pPr>
        <w:ind w:left="2180" w:hanging="875"/>
        <w:spacing w:after="0"/>
        <w:tabs>
          <w:tab w:leader="none" w:pos="218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an officer, a manager or a director includes a manager (gérant) and a director (administrateur).</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SECTION 1.03 Designation of Swap and Banking Obligations. With respect to any Bank Product Obligations that would otherwise constitute both ABL Obligations and LC Obligations hereunder, such Bank Product Obligations shall solely constitute ABL Obligations for all purposes of this Agreement unless at the time that Parent or any Subsidiary thereof enters into any agreement giving rise to Bank Product Obligations, or at any time thereafter, the counterparty to such agreement and Parent or such Subsidiary (as applicable) shall designate the related Bank Product Obligations under such agreement as LC Obligations in a writing signed between such parties with a copy to each Representative party hereto, in which case such Bank Product Obligations shall solely constitute LC Obligations for all purposes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Priorities and Agreements with Respect to Collateral</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SECTION 2.01 Priority of Claims. (a) Anything contained herein or in any of the ABL Documents or the LC Documents to 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w:t>
      </w:r>
    </w:p>
    <w:p>
      <w:pPr>
        <w:jc w:val="both"/>
        <w:spacing w:after="0" w:line="255" w:lineRule="auto"/>
        <w:rPr>
          <w:sz w:val="20"/>
          <w:szCs w:val="20"/>
          <w:color w:val="auto"/>
        </w:rPr>
      </w:pPr>
      <w:r>
        <w:rPr>
          <w:rFonts w:ascii="Arial" w:cs="Arial" w:eastAsia="Arial" w:hAnsi="Arial"/>
          <w:sz w:val="18"/>
          <w:szCs w:val="18"/>
          <w:color w:val="auto"/>
        </w:rPr>
        <w:t>Proceeding with respect to any Grantor, the Proceeds (subject, in the case of any such distribution, to Section 2.6 hereof) (all proceeds of any sale, collection or other liquidation of any Collateral and all proceeds of any such distribution, including adequate protection or similar payments under any Debtor Relief Law, being collectively referred to as “Proceeds”) shall be applied as follows:</w:t>
      </w:r>
    </w:p>
    <w:p>
      <w:pPr>
        <w:spacing w:after="0" w:line="190" w:lineRule="exact"/>
        <w:rPr>
          <w:sz w:val="20"/>
          <w:szCs w:val="20"/>
          <w:color w:val="auto"/>
        </w:rPr>
      </w:pPr>
    </w:p>
    <w:p>
      <w:pPr>
        <w:ind w:left="2760" w:hanging="645"/>
        <w:spacing w:after="0"/>
        <w:tabs>
          <w:tab w:leader="none" w:pos="27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In the case of LC Priority Collateral,</w:t>
      </w:r>
    </w:p>
    <w:p>
      <w:pPr>
        <w:spacing w:after="0" w:line="225" w:lineRule="exact"/>
        <w:rPr>
          <w:rFonts w:ascii="Arial" w:cs="Arial" w:eastAsia="Arial" w:hAnsi="Arial"/>
          <w:sz w:val="18"/>
          <w:szCs w:val="18"/>
          <w:color w:val="auto"/>
        </w:rPr>
      </w:pPr>
    </w:p>
    <w:p>
      <w:pPr>
        <w:ind w:left="2760" w:right="20"/>
        <w:spacing w:after="0" w:line="277" w:lineRule="auto"/>
        <w:rPr>
          <w:rFonts w:ascii="Arial" w:cs="Arial" w:eastAsia="Arial" w:hAnsi="Arial"/>
          <w:sz w:val="18"/>
          <w:szCs w:val="18"/>
          <w:color w:val="auto"/>
        </w:rPr>
      </w:pPr>
      <w:r>
        <w:rPr>
          <w:rFonts w:ascii="Arial" w:cs="Arial" w:eastAsia="Arial" w:hAnsi="Arial"/>
          <w:sz w:val="18"/>
          <w:szCs w:val="18"/>
          <w:color w:val="auto"/>
        </w:rPr>
        <w:t>FIRST, to the payment in full of the LC Obligations in accordance with Section 9.04 of the LC Credit Agreement and the other applicable provisions of the LC Documents, and</w:t>
      </w:r>
    </w:p>
    <w:p>
      <w:pPr>
        <w:spacing w:after="0" w:line="170" w:lineRule="exact"/>
        <w:rPr>
          <w:rFonts w:ascii="Arial" w:cs="Arial" w:eastAsia="Arial" w:hAnsi="Arial"/>
          <w:sz w:val="18"/>
          <w:szCs w:val="18"/>
          <w:color w:val="auto"/>
        </w:rPr>
      </w:pPr>
    </w:p>
    <w:p>
      <w:pPr>
        <w:ind w:left="2760"/>
        <w:spacing w:after="0" w:line="277" w:lineRule="auto"/>
        <w:rPr>
          <w:rFonts w:ascii="Arial" w:cs="Arial" w:eastAsia="Arial" w:hAnsi="Arial"/>
          <w:sz w:val="18"/>
          <w:szCs w:val="18"/>
          <w:color w:val="auto"/>
        </w:rPr>
      </w:pPr>
      <w:r>
        <w:rPr>
          <w:rFonts w:ascii="Arial" w:cs="Arial" w:eastAsia="Arial" w:hAnsi="Arial"/>
          <w:sz w:val="18"/>
          <w:szCs w:val="18"/>
          <w:color w:val="auto"/>
        </w:rPr>
        <w:t>SECOND, to the payment in full of the ABL Obligations in accordance with Section 2.4(b) of the ABL Credit Agreement and the other applicable provisions of the ABL Documents.</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any ABL Obligations remain outstanding after the Discharge of the LC Obligations, all proceeds of the LC Priority Collateral will be applied to the repayment of any outstanding ABL Obligations.</w:t>
      </w:r>
    </w:p>
    <w:p>
      <w:pPr>
        <w:spacing w:after="0" w:line="170" w:lineRule="exact"/>
        <w:rPr>
          <w:sz w:val="20"/>
          <w:szCs w:val="20"/>
          <w:color w:val="auto"/>
        </w:rPr>
      </w:pPr>
    </w:p>
    <w:p>
      <w:pPr>
        <w:ind w:left="2760" w:hanging="645"/>
        <w:spacing w:after="0"/>
        <w:tabs>
          <w:tab w:leader="none" w:pos="276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In the case of ABL Priority Collateral,</w:t>
      </w:r>
    </w:p>
    <w:p>
      <w:pPr>
        <w:spacing w:after="0" w:line="225" w:lineRule="exact"/>
        <w:rPr>
          <w:rFonts w:ascii="Arial" w:cs="Arial" w:eastAsia="Arial" w:hAnsi="Arial"/>
          <w:sz w:val="18"/>
          <w:szCs w:val="18"/>
          <w:color w:val="auto"/>
        </w:rPr>
      </w:pPr>
    </w:p>
    <w:p>
      <w:pPr>
        <w:ind w:left="2760"/>
        <w:spacing w:after="0" w:line="277" w:lineRule="auto"/>
        <w:rPr>
          <w:rFonts w:ascii="Arial" w:cs="Arial" w:eastAsia="Arial" w:hAnsi="Arial"/>
          <w:sz w:val="18"/>
          <w:szCs w:val="18"/>
          <w:color w:val="auto"/>
        </w:rPr>
      </w:pPr>
      <w:r>
        <w:rPr>
          <w:rFonts w:ascii="Arial" w:cs="Arial" w:eastAsia="Arial" w:hAnsi="Arial"/>
          <w:sz w:val="18"/>
          <w:szCs w:val="18"/>
          <w:color w:val="auto"/>
        </w:rPr>
        <w:t>FIRST, to the payment in full of the ABL Obligations in accordance with Section 2.4(b) of the ABL Credit Agreement and the other applicable provisions of the ABL Documents,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74" w:name="page675"/>
    <w:bookmarkEnd w:id="674"/>
    <w:p>
      <w:pPr>
        <w:ind w:left="2760"/>
        <w:spacing w:after="0" w:line="277" w:lineRule="auto"/>
        <w:rPr>
          <w:sz w:val="20"/>
          <w:szCs w:val="20"/>
          <w:color w:val="auto"/>
        </w:rPr>
      </w:pPr>
      <w:r>
        <w:rPr>
          <w:rFonts w:ascii="Arial" w:cs="Arial" w:eastAsia="Arial" w:hAnsi="Arial"/>
          <w:sz w:val="18"/>
          <w:szCs w:val="18"/>
          <w:color w:val="auto"/>
        </w:rPr>
        <w:t>SECOND, to the payment in full of the LC Obligations in accordance with Section 9.04 of the LC Credit Agreement and the other applicable provisions of the LC Documents.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any LC Obligations remain outstanding after the Discharge of the ABL Obligations, all proceeds of the ABL Priority Collateral will be applied to the repayment of any outstanding LC Obligations.</w:t>
      </w:r>
    </w:p>
    <w:p>
      <w:pPr>
        <w:spacing w:after="0" w:line="170" w:lineRule="exact"/>
        <w:rPr>
          <w:sz w:val="20"/>
          <w:szCs w:val="20"/>
          <w:color w:val="auto"/>
        </w:rPr>
      </w:pPr>
    </w:p>
    <w:p>
      <w:pPr>
        <w:jc w:val="both"/>
        <w:ind w:firstLine="1305"/>
        <w:spacing w:after="0" w:line="271" w:lineRule="auto"/>
        <w:tabs>
          <w:tab w:leader="none" w:pos="2262" w:val="left"/>
        </w:tabs>
        <w:numPr>
          <w:ilvl w:val="0"/>
          <w:numId w:val="800"/>
        </w:numPr>
        <w:rPr>
          <w:rFonts w:ascii="Arial" w:cs="Arial" w:eastAsia="Arial" w:hAnsi="Arial"/>
          <w:sz w:val="17"/>
          <w:szCs w:val="17"/>
          <w:color w:val="auto"/>
        </w:rPr>
      </w:pPr>
      <w:r>
        <w:rPr>
          <w:rFonts w:ascii="Arial" w:cs="Arial" w:eastAsia="Arial" w:hAnsi="Arial"/>
          <w:sz w:val="17"/>
          <w:szCs w:val="17"/>
          <w:color w:val="auto"/>
        </w:rPr>
        <w:t>It is acknowledged that (i) the aggregate amount of any Senior Secured Obligations may, subject to the limitations set forth in the ABL Credit Agreement and the LC Credit Agreement, both as in effect on the date hereof, may be Refinanced from time to time, all without affecting the priorities set forth in Section 2.01(a) or the provisions of this Agreement defining the relative rights of the ABL Secured Parties and the LC Secured Parties and (ii)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 Obligations (or any part thereof), by the release of any Collateral or of any guarantees for any Junior Secured Obligations or Senior Secured Obligations or by any action that any Representative or Secured Party may take or fail to take in respect of any Collateral.</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2414" w:val="left"/>
        </w:tabs>
        <w:numPr>
          <w:ilvl w:val="0"/>
          <w:numId w:val="800"/>
        </w:numPr>
        <w:rPr>
          <w:rFonts w:ascii="Arial" w:cs="Arial" w:eastAsia="Arial" w:hAnsi="Arial"/>
          <w:sz w:val="17"/>
          <w:szCs w:val="17"/>
          <w:color w:val="auto"/>
        </w:rPr>
      </w:pPr>
      <w:r>
        <w:rPr>
          <w:rFonts w:ascii="Arial" w:cs="Arial" w:eastAsia="Arial" w:hAnsi="Arial"/>
          <w:sz w:val="17"/>
          <w:szCs w:val="17"/>
          <w:color w:val="auto"/>
        </w:rPr>
        <w:t>Notwithstanding the date, time, method, manner or order of grant, attachment or perfection of any Liens securing the LC Obligations granted on the Collateral or of any Liens securing the ABL Obligations granted on the Collateral and notwithstanding any provision of the Uniform Commercial Code or other applicable legislation of any jurisdiction, or any other applicable law or the ABL Documents or the LC Documents, or any defect or deficiencies in or failure to perfect any such Liens or any other circumstance whatsoever (1) the Liens on the LC Priority Collateral securing the LC Obligations will rank senior to any Liens on the LC Priority Collateral securing the ABL Obligations and (2) the Liens on the ABL Priority Collateral securing the ABL Obligations will rank senior to any Liens on the ABL Priority Collateral securing the LC Obligations.</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2262" w:val="left"/>
        </w:tabs>
        <w:numPr>
          <w:ilvl w:val="0"/>
          <w:numId w:val="800"/>
        </w:numPr>
        <w:rPr>
          <w:rFonts w:ascii="Arial" w:cs="Arial" w:eastAsia="Arial" w:hAnsi="Arial"/>
          <w:sz w:val="17"/>
          <w:szCs w:val="17"/>
          <w:color w:val="auto"/>
        </w:rPr>
      </w:pPr>
      <w:r>
        <w:rPr>
          <w:rFonts w:ascii="Arial" w:cs="Arial" w:eastAsia="Arial" w:hAnsi="Arial"/>
          <w:sz w:val="17"/>
          <w:szCs w:val="17"/>
          <w:color w:val="auto"/>
        </w:rPr>
        <w:t>For the avoidance of doubt, notwithstanding that Liens granted to the Foreign Collateral Agent, LC Collateral Agent, or ABL Collateral Agent on the Collateral governed by the laws of a jurisdiction located outside of the United States of America (the “</w:t>
      </w:r>
      <w:r>
        <w:rPr>
          <w:rFonts w:ascii="Arial" w:cs="Arial" w:eastAsia="Arial" w:hAnsi="Arial"/>
          <w:sz w:val="17"/>
          <w:szCs w:val="17"/>
          <w:u w:val="single" w:color="auto"/>
          <w:color w:val="auto"/>
        </w:rPr>
        <w:t>Foreign Collateral</w:t>
      </w:r>
      <w:r>
        <w:rPr>
          <w:rFonts w:ascii="Arial" w:cs="Arial" w:eastAsia="Arial" w:hAnsi="Arial"/>
          <w:sz w:val="17"/>
          <w:szCs w:val="17"/>
          <w:color w:val="auto"/>
        </w:rPr>
        <w:t xml:space="preserve">”) may (A) have legally the same or different ranking due to mandatory legal provisions governing such Foreign Collateral; (B) have been granted or perfected in an order contrary to the contemplated ranking as set forth in this Agreement or (C) not have been granted to ABL Collateral Agent or LC Collateral Agent, the contractual ranking of the Liens on such Foreign Collateral shall be consistent with the ranking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Article VI</w:t>
      </w:r>
      <w:r>
        <w:rPr>
          <w:rFonts w:ascii="Arial" w:cs="Arial" w:eastAsia="Arial" w:hAnsi="Arial"/>
          <w:sz w:val="17"/>
          <w:szCs w:val="17"/>
          <w:color w:val="auto"/>
        </w:rPr>
        <w:t>, all other terms and provisions of this Agreement with respect to Collateral shall be applicable to such Foreign Collateral.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5" w:name="page676"/>
    <w:bookmarkEnd w:id="675"/>
    <w:p>
      <w:pPr>
        <w:ind w:left="1300"/>
        <w:spacing w:after="0"/>
        <w:tabs>
          <w:tab w:leader="none" w:pos="26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Actions With Respect to Collateral; Prohibition on Contesting Liens.</w:t>
      </w:r>
    </w:p>
    <w:p>
      <w:pPr>
        <w:spacing w:after="0" w:line="225" w:lineRule="exact"/>
        <w:rPr>
          <w:sz w:val="20"/>
          <w:szCs w:val="20"/>
          <w:color w:val="auto"/>
        </w:rPr>
      </w:pPr>
    </w:p>
    <w:p>
      <w:pPr>
        <w:jc w:val="both"/>
        <w:ind w:firstLine="1305"/>
        <w:spacing w:after="0" w:line="268" w:lineRule="auto"/>
        <w:tabs>
          <w:tab w:leader="none" w:pos="2360" w:val="left"/>
        </w:tabs>
        <w:numPr>
          <w:ilvl w:val="1"/>
          <w:numId w:val="801"/>
        </w:numPr>
        <w:rPr>
          <w:rFonts w:ascii="Arial" w:cs="Arial" w:eastAsia="Arial" w:hAnsi="Arial"/>
          <w:sz w:val="17"/>
          <w:szCs w:val="17"/>
          <w:color w:val="auto"/>
        </w:rPr>
      </w:pPr>
      <w:r>
        <w:rPr>
          <w:rFonts w:ascii="Arial" w:cs="Arial" w:eastAsia="Arial" w:hAnsi="Arial"/>
          <w:sz w:val="17"/>
          <w:szCs w:val="17"/>
          <w:color w:val="auto"/>
        </w:rPr>
        <w:t>Until the Discharge of all of the Senior Secured Obligations of a particular Class, (i) only the Applicable Senior Collateral Agent shall act or refrain from acting with respect to the Senior Secured Obligations Collateral of such Class, (ii) no Collateral Agent shall follow any instructions with respect to such Senior Secured Obligations Collateral from any Junior Representative or from any Junior Secured Obligations Secured Parties and (iii) each Junior Representative and the Junior Secured Obligations Secured Parties shall not, and shall not instruct any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Junior Secured Obligations Collateral, whether under any ABL Security Document or any LC Security Document, as applicable, applicable law or otherwise, it being agreed that (A) only the Applicable Senior Collateral Agent, acting in accordance with the ABL Security Documents or the LC Security Documents, as applicable, shall be entitled to take any such actions or exercise any such remedies, or to cause any Collateral Agent to do so and (B) notwithstanding the foregoing, each Junior Representative may take Permitted Remedies. Each Senior Collateral Agent may deal with the Senior Secured Obligations Collateral as if they had a senior Lien on such Collateral. No Junior Collateral Agent, Junior Representative or Junior Secured Obligations Secured Party will contest, protest or object to any foreclosure proceeding or action brought by any Senior Collateral Agent, Senior Representative or Senior Secured Obligations Secured Party or any other exercise by such Senior Collateral Agent, Senior Representative or Senior Secured Obligations Secured Party of any rights and remedies relating to the Senior Secured Obligations Collateral.</w:t>
      </w:r>
    </w:p>
    <w:p>
      <w:pPr>
        <w:spacing w:after="0" w:line="183" w:lineRule="exact"/>
        <w:rPr>
          <w:rFonts w:ascii="Arial" w:cs="Arial" w:eastAsia="Arial" w:hAnsi="Arial"/>
          <w:sz w:val="17"/>
          <w:szCs w:val="17"/>
          <w:color w:val="auto"/>
        </w:rPr>
      </w:pPr>
    </w:p>
    <w:p>
      <w:pPr>
        <w:jc w:val="both"/>
        <w:ind w:firstLine="1305"/>
        <w:spacing w:after="0" w:line="297" w:lineRule="auto"/>
        <w:tabs>
          <w:tab w:leader="none" w:pos="2384" w:val="left"/>
        </w:tabs>
        <w:numPr>
          <w:ilvl w:val="1"/>
          <w:numId w:val="801"/>
        </w:numPr>
        <w:rPr>
          <w:rFonts w:ascii="Arial" w:cs="Arial" w:eastAsia="Arial" w:hAnsi="Arial"/>
          <w:sz w:val="16"/>
          <w:szCs w:val="16"/>
          <w:color w:val="auto"/>
        </w:rPr>
      </w:pPr>
      <w:r>
        <w:rPr>
          <w:rFonts w:ascii="Arial" w:cs="Arial" w:eastAsia="Arial" w:hAnsi="Arial"/>
          <w:sz w:val="16"/>
          <w:szCs w:val="16"/>
          <w:color w:val="auto"/>
        </w:rPr>
        <w:t xml:space="preserve">Each of the Junior Collateral Agent and the Junior Secured Obligations Secured Parties agrees that it will not (and hereby waives any right to) directly or indirectly contest or support any other Person in contesting, in any proceeding (including any Insolvency or Liquidation Proceeding), the creation, extent, attachment, perfection, priority, validity or enforceability of a Lien or Senior Secured Obligations held by or on behalf of any of the Senior Secured Obligations Secured Parties in all or any part of the Collateral or the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construed to prevent or impair the rights of any of the Collateral Agents or the Secured Parties to enforce this Agreement.</w:t>
      </w:r>
    </w:p>
    <w:p>
      <w:pPr>
        <w:spacing w:after="0" w:line="158" w:lineRule="exact"/>
        <w:rPr>
          <w:rFonts w:ascii="Arial" w:cs="Arial" w:eastAsia="Arial" w:hAnsi="Arial"/>
          <w:sz w:val="16"/>
          <w:szCs w:val="16"/>
          <w:color w:val="auto"/>
        </w:rPr>
      </w:pPr>
    </w:p>
    <w:p>
      <w:pPr>
        <w:jc w:val="both"/>
        <w:ind w:firstLine="1305"/>
        <w:spacing w:after="0" w:line="274" w:lineRule="auto"/>
        <w:tabs>
          <w:tab w:leader="none" w:pos="2468" w:val="left"/>
        </w:tabs>
        <w:numPr>
          <w:ilvl w:val="1"/>
          <w:numId w:val="801"/>
        </w:numPr>
        <w:rPr>
          <w:rFonts w:ascii="Arial" w:cs="Arial" w:eastAsia="Arial" w:hAnsi="Arial"/>
          <w:sz w:val="17"/>
          <w:szCs w:val="17"/>
          <w:color w:val="auto"/>
        </w:rPr>
      </w:pPr>
      <w:r>
        <w:rPr>
          <w:rFonts w:ascii="Arial" w:cs="Arial" w:eastAsia="Arial" w:hAnsi="Arial"/>
          <w:sz w:val="17"/>
          <w:szCs w:val="17"/>
          <w:color w:val="auto"/>
        </w:rPr>
        <w:t>(i) Only the Foreign Collateral Agent shall act or refrain from acting with respect to the Foreign Collateral, (ii) Foreign Collateral Agent shall not follow any instructions with respect to Foreign Collateral except from the Controlling Party (in accordance with Article VI) and</w:t>
      </w:r>
    </w:p>
    <w:p>
      <w:pPr>
        <w:jc w:val="both"/>
        <w:ind w:firstLine="8"/>
        <w:spacing w:after="0" w:line="281" w:lineRule="auto"/>
        <w:tabs>
          <w:tab w:leader="none" w:pos="324" w:val="left"/>
        </w:tabs>
        <w:numPr>
          <w:ilvl w:val="0"/>
          <w:numId w:val="802"/>
        </w:numPr>
        <w:rPr>
          <w:rFonts w:ascii="Arial" w:cs="Arial" w:eastAsia="Arial" w:hAnsi="Arial"/>
          <w:sz w:val="16"/>
          <w:szCs w:val="16"/>
          <w:color w:val="auto"/>
        </w:rPr>
      </w:pPr>
      <w:r>
        <w:rPr>
          <w:rFonts w:ascii="Arial" w:cs="Arial" w:eastAsia="Arial" w:hAnsi="Arial"/>
          <w:sz w:val="16"/>
          <w:szCs w:val="16"/>
          <w:color w:val="auto"/>
        </w:rPr>
        <w:t>other than the Controlling Parties, no Secured Party will, or will instruct Foreign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Foreign Collateral, whether under any ABL Security Document or any LC Security Document, applicable law or otherwise, it being agreed that (A) only the Foreign Collateral Agent, acting in accordance with the Foreign Collateral Documents and the terms of Article VI, shall be entitled to take any such actions or exercise any such remedies and</w:t>
      </w:r>
    </w:p>
    <w:p>
      <w:pPr>
        <w:spacing w:after="0" w:line="4"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(B) notwithstanding the foregoing, each Representative may take Permitted Remedies with regard to the Foreign Collateral. No Secured Party will contest, protest or object to any foreclosure or other proceeding or action brought by Foreign Collateral Agent acting upon instructions of a Controlling Party, and the Controlling Parties may make such instructions as if they had a senior Lien on such Foreign Collateral.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76" w:name="page677"/>
    <w:bookmarkEnd w:id="676"/>
    <w:p>
      <w:pPr>
        <w:jc w:val="both"/>
        <w:ind w:firstLine="1305"/>
        <w:spacing w:after="0" w:line="271" w:lineRule="auto"/>
        <w:tabs>
          <w:tab w:leader="none" w:pos="2249" w:val="left"/>
        </w:tabs>
        <w:numPr>
          <w:ilvl w:val="0"/>
          <w:numId w:val="803"/>
        </w:numPr>
        <w:rPr>
          <w:rFonts w:ascii="Arial" w:cs="Arial" w:eastAsia="Arial" w:hAnsi="Arial"/>
          <w:sz w:val="17"/>
          <w:szCs w:val="17"/>
          <w:color w:val="auto"/>
        </w:rPr>
      </w:pPr>
      <w:r>
        <w:rPr>
          <w:rFonts w:ascii="Arial" w:cs="Arial" w:eastAsia="Arial" w:hAnsi="Arial"/>
          <w:sz w:val="17"/>
          <w:szCs w:val="17"/>
          <w:color w:val="auto"/>
        </w:rPr>
        <w:t xml:space="preserve">(i) With respect to any payments or distributions in cash, property or other assets that any Junior Secured Obligations Secured Party pays over to any Senior Secured Obligations Secured Party under the terms of this Agreement, such Junior Secured Obligations Secured Party shall be subrogated to the rights of the Senior Secured Party Obligations Secured Party and (ii) any Secured Party may assert its rights of subrogation under applicable law resulting from any draw or other payment under any letter of credit issued under or secured by the ABL Documents or LC Documents,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that (x) the LC Facility Secured Parties shall not assert or enforce any such rights of subrogation they may acquire as described in clauses (i) or (ii) above with respect to the ABL Documents or ABL Priority Collateral until the Discharge of all ABL Obligations has occurred and (y) the ABL Secured Parties shall not assert or enforce any such rights of subrogation they may acquire as described in clauses (i) or (ii) above with respect to the LC Documents or LC Priority Collateral until the Discharge of all LC Obligations has occurred.</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2306" w:val="left"/>
        </w:tabs>
        <w:numPr>
          <w:ilvl w:val="0"/>
          <w:numId w:val="803"/>
        </w:numPr>
        <w:rPr>
          <w:rFonts w:ascii="Arial" w:cs="Arial" w:eastAsia="Arial" w:hAnsi="Arial"/>
          <w:sz w:val="16"/>
          <w:szCs w:val="16"/>
          <w:color w:val="auto"/>
        </w:rPr>
      </w:pPr>
      <w:r>
        <w:rPr>
          <w:rFonts w:ascii="Arial" w:cs="Arial" w:eastAsia="Arial" w:hAnsi="Arial"/>
          <w:sz w:val="16"/>
          <w:szCs w:val="16"/>
          <w:color w:val="auto"/>
        </w:rPr>
        <w:t>The parties hereto agree to execute, acknowledge and deliver a Memorandum of Intercreditor Agreement (“Memorandum”), together with such other documents in furtherance hereof or thereof, in each case, in proper form for recording in connection with any Mortgages and in form and substance reasonably satisfactory to the Collateral Agents, in those jurisdictions where such recording is reasonably recommended or requested by local real estate counsel and/or the title insurance company, or as otherwise deemed reasonably necessary or proper by the parties 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77" w:name="page678"/>
    <w:bookmarkEnd w:id="677"/>
    <w:p>
      <w:pPr>
        <w:ind w:left="1300"/>
        <w:spacing w:after="0"/>
        <w:tabs>
          <w:tab w:leader="none" w:pos="26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No Duties of Senior Representative; Provision of Notice.</w:t>
      </w:r>
    </w:p>
    <w:p>
      <w:pPr>
        <w:spacing w:after="0" w:line="225" w:lineRule="exact"/>
        <w:rPr>
          <w:sz w:val="20"/>
          <w:szCs w:val="20"/>
          <w:color w:val="auto"/>
        </w:rPr>
      </w:pPr>
    </w:p>
    <w:p>
      <w:pPr>
        <w:jc w:val="both"/>
        <w:ind w:firstLine="1305"/>
        <w:spacing w:after="0" w:line="283" w:lineRule="auto"/>
        <w:tabs>
          <w:tab w:leader="none" w:pos="1583" w:val="left"/>
        </w:tabs>
        <w:numPr>
          <w:ilvl w:val="0"/>
          <w:numId w:val="804"/>
        </w:numPr>
        <w:rPr>
          <w:rFonts w:ascii="Arial" w:cs="Arial" w:eastAsia="Arial" w:hAnsi="Arial"/>
          <w:sz w:val="16"/>
          <w:szCs w:val="16"/>
          <w:color w:val="auto"/>
        </w:rPr>
      </w:pPr>
      <w:r>
        <w:rPr>
          <w:rFonts w:ascii="Arial" w:cs="Arial" w:eastAsia="Arial" w:hAnsi="Arial"/>
          <w:sz w:val="16"/>
          <w:szCs w:val="16"/>
          <w:color w:val="auto"/>
        </w:rPr>
        <w:t>Each Junior Secured Obligations Secured Party acknowledges and agrees that none of the Senior Collateral Agents, the Senior Representative nor any other Senior Secured Obligations Secured Party shall have any duties or other obligations to such Junior Secured Obligations Secured Party with respect to any Senior Secured Obligations Collateral, other than to transfer to the Applicable Junior Collateral Agent any proceeds of any such Senior Secured Obligations Collateral remaining in its possession or under its control following any sale, transfer or other disposition of such Collateral (in each case, unless the Junior Secured Obligations have been Discharged prior to or concurrently with such sale, transfer, disposition, payment or satisfaction) and the Discharge of the Senior Secured Obligations secured thereby, or if a Senior Collateral Agent shall be in possession or control of all or any part of such Collateral after such payment and satisfaction in full and termination, such Collateral or any part thereof remaining, in each case without representation or warranty on the part of any Senior Collateral Agent, any Senior Representative or any Senior Secured Obligations Secured Party. In furtherance of the foregoing, each Junior Secured Obligations Secured Party acknowledges and agrees that, until the Senior Secured Obligations secured by any Collateral shall have been Discharged, the Applicable Senior Collateral Agent shall be entitled, for the benefit of the holders of such Senior Secured Obligations, to sell, transfer or otherwise dispose of, or cause the sale, transfer or other disposition of, such Senior Secured Obligations Collateral as provided herein and in the ABL Documents and the LC Documents, as applicable, without regard to any Junior Claims or any rights to which the holders of the Junior Secured Obligations would otherwise be entitled as a result of such Junior Claims. Without limiting the foregoing, each Junior Secured Obligations Secured Party agrees that none of the Senior Collateral Agents, the Senior Representatives nor any other Senior Secured Obligations Secured Party shall have any duty or obligation first to marshal or realize upon any type of Senior Secured Obligations Collateral (or any other collateral securing the Senior Secured Obligations), or to sell, dispose of, realize on or liquidate all or any portion of such Senior Secured Obligations Collateral (or any other collateral securing the Senior Secured Obligations), in any manner that would maximize the return to the Junior Secured Obligations Secured Parties, notwithstanding that the order and timing of any such realization, sale, disposition or liquidation may affect the amount of proceeds actually received by the Junior Secured Obligations Secured Parties from such realization, sale, disposition or liquidation. Each of the Junior Secured Obligations Secured Parties waives any claim such Junior Secured Obligations Secured Party may now or hereafter have against any Senior Collateral Agent, any Senior Representative or any other Senior Secured Obligations Secured Party (or their representatives, including any receiver, receiver and manager, interim receiver, administrator, delegate or agent they may appoint) arising out of (i) any actions which any Senior Collateral Agent, any Senior Representative or the Senior Secured Obligations Secured Parties (or their representatives, including any receiver, receiver and manager, interim receiver, administrator, delegate or agent they may appoint) take or omit to take (including, actions with respect to the creation, attachment, perfection or continuation of Liens on any Senior Secured Obligations Collateral, actions with respect to the preservation, foreclosure upon, realization, sale, release or depreciation of, or failure to realize upon, any of the Senior Secured Obligations Collateral and actions with respect to the collection of any claim for all or any part of the Senior Secured Obligations from any account debtor, guarantor or any other party) in accordance with the ABL Documents and the LC Documents or any other agreement related thereto or to the collection of the Senior Secured Obligations or the valuation, use, protection or release of any security for the Senior Secured Obligations, (ii) any election by any Applicable Senior Collateral Agent, any Senior Representative or any Senior Secured Obligations Secured Parties, in any proceeding instituted under the Bankruptcy Code, of the application of Section 1111(b) of the Bankruptcy Code (or any equivalent proceeding under any other Debtor Relief Law) or (iii) subject to Section 2.06, any borrowing by, or grant of a security interest or administrative expense priority under Section 364 of the Bankruptcy Code by, the Parent or any of its Subsidiaries, as debtor-in-possession (or any equivalent action under any other Debtor Relief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8" w:name="page679"/>
    <w:bookmarkEnd w:id="678"/>
    <w:p>
      <w:pPr>
        <w:ind w:left="1300"/>
        <w:spacing w:after="0"/>
        <w:tabs>
          <w:tab w:leader="none" w:pos="26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No Interference; Payment Over; Reinstatement.</w:t>
      </w:r>
    </w:p>
    <w:p>
      <w:pPr>
        <w:spacing w:after="0" w:line="225" w:lineRule="exact"/>
        <w:rPr>
          <w:sz w:val="20"/>
          <w:szCs w:val="20"/>
          <w:color w:val="auto"/>
        </w:rPr>
      </w:pPr>
    </w:p>
    <w:p>
      <w:pPr>
        <w:jc w:val="both"/>
        <w:ind w:firstLine="1305"/>
        <w:spacing w:after="0" w:line="284" w:lineRule="auto"/>
        <w:tabs>
          <w:tab w:leader="none" w:pos="2266" w:val="left"/>
        </w:tabs>
        <w:numPr>
          <w:ilvl w:val="0"/>
          <w:numId w:val="805"/>
        </w:numPr>
        <w:rPr>
          <w:rFonts w:ascii="Arial" w:cs="Arial" w:eastAsia="Arial" w:hAnsi="Arial"/>
          <w:sz w:val="16"/>
          <w:szCs w:val="16"/>
          <w:color w:val="auto"/>
        </w:rPr>
      </w:pPr>
      <w:r>
        <w:rPr>
          <w:rFonts w:ascii="Arial" w:cs="Arial" w:eastAsia="Arial" w:hAnsi="Arial"/>
          <w:sz w:val="16"/>
          <w:szCs w:val="16"/>
          <w:color w:val="auto"/>
        </w:rPr>
        <w:t xml:space="preserve">Each Junior Secured Obligations Secured Party, each Junior Representative and each Junior Collateral Agent agrees that (i) it will not take or cause to be taken any action the purpose or effect of which is, or could be, to make any Junior Claim pari passu with, or to give such Junior Secured Obligations Secured Party any preference or priority relative to, any Senior Claim with respect to the Senior Secured Obligations Collateral or any part thereof, (ii) it will not challenge or question in any proceeding the validity or enforceability of any Foreign Collateral Document, ABL Security Document, or LC Security Document or the extent, validity, attachment, perfection, priority, or enforceability of any Lien under the Foreign Collateral Documents, ABL Security Documents or the LC Security Documents,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Collateral Agent or any Senior Secured Obligations Secured Parties or any Senior Representative acting on their behalf (or their respective representatives, including any receiver, receiver and manager, interim receiver, administrator, delegate or agent they may appoint), including with respect to the Foreign Collateral by the Foreign Collateral Agent following the instructions of a Controlling Party, (iv) it shall have no right to (A) direct the Applicable Senior Collateral Agent, any Senior Representative or any holder of Senior Secured Obligations (or their respective representatives, including any receiver, receiver and manager, interim receiver, administrator, delegate or agent they may appoint) to exercise any right, remedy or power with respect to any Senior Secured Obligations Collateral or (B) consent to the exercise by the Applicable Senior Collateral Agent, any Senior Representative or any other Senior Secured Obligations Secured Party (or their respective representatives, including any receiver, receiver and manager, interim receiver, administrator, delegate or agent they may appoint) of any right, remedy or power with respect to any Senior Secured Obligations Collateral, (v) it will not institute any suit or assert in any Insolvency or Liquidation Proceeding any claim against the Applicable Senior Collateral Agent, any Senior Representative or other Senior Secured Obligations Secured Party seeking damages from or other relief by way of specific performance, injunction, directions, instructions or otherwise with respect to, and none of the Applicable Senior Collateral Agent, any Senior Representative or any other Senior Secured Obligations Secured Party shall be liable for, any action taken or omitted to be taken by such Senior Collateral Agent, such Senior Representative or other Senior Secured Obligations Secured Party with respect to any Senior Secured Obligations Collateral, (vi) it will not seek, and hereby waives any right, to have any Senior Secured Obligations Collateral, Foreign Collateral or any part thereof marshaled upon any foreclosure or other disposition of such Senior Secured Obligations Collateral or Foreign Collateral and (vii) it will not attempt, directly or indirectly, whether by judicial proceedings or otherwise, to challenge the enforceability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construed to prevent or impair the rights of any of the Collateral Agents, or the Secured Parties to enforce this Agreement.</w:t>
      </w:r>
    </w:p>
    <w:p>
      <w:pPr>
        <w:spacing w:after="0" w:line="392" w:lineRule="exact"/>
        <w:rPr>
          <w:rFonts w:ascii="Arial" w:cs="Arial" w:eastAsia="Arial" w:hAnsi="Arial"/>
          <w:sz w:val="16"/>
          <w:szCs w:val="16"/>
          <w:color w:val="auto"/>
        </w:rPr>
      </w:pPr>
    </w:p>
    <w:p>
      <w:pPr>
        <w:jc w:val="both"/>
        <w:ind w:firstLine="1305"/>
        <w:spacing w:after="0" w:line="286" w:lineRule="auto"/>
        <w:tabs>
          <w:tab w:leader="none" w:pos="2343" w:val="left"/>
        </w:tabs>
        <w:numPr>
          <w:ilvl w:val="0"/>
          <w:numId w:val="805"/>
        </w:numPr>
        <w:rPr>
          <w:rFonts w:ascii="Arial" w:cs="Arial" w:eastAsia="Arial" w:hAnsi="Arial"/>
          <w:sz w:val="16"/>
          <w:szCs w:val="16"/>
          <w:color w:val="auto"/>
        </w:rPr>
      </w:pPr>
      <w:r>
        <w:rPr>
          <w:rFonts w:ascii="Arial" w:cs="Arial" w:eastAsia="Arial" w:hAnsi="Arial"/>
          <w:sz w:val="16"/>
          <w:szCs w:val="16"/>
          <w:color w:val="auto"/>
        </w:rPr>
        <w:t>Each Junior Collateral Agent, each Junior Representative and each Junior Secured Obligations Secured Party hereby agrees that, if it shall obtain possession or control of any Senior Secured Obligations Collateral, or shall receive any Proceeds or payment in respect of any Senior Secured Obligations Collateral, pursuant to any ABL Security Document or LC Security Document or by the exercise of any rights available to it under any applicable law or in any Insolvency or Liquidation Proceeding or through any other exercise of rights or remedies, at any time prior to the Discharge of the Senior Secured Obligations, then it shall hold such Senior Secured Obligations Collateral proceeds or payment in trust for the Senior Secured Obligations Secured Parties and transfer such Senior Secured Obligations Collateral, proceeds or payment, as the case may be, to the Applicable Senior Collateral Agent reasonably promptly after obtaining actual knowledge, or notice from the Applicable Senior Collateral Agent, that it is in possession or control of such Senior Secured Obligations Collateral, proceeds or payment. Each Junior Secured Obligations Secured Party agrees that if, at any time, it receives notice or obtains actual knowledge that all or part of any payment with respect to any Senior Secured Obligations previously made shall be rescinded for any reason whatsoever, such Junior Secured Obligations Secured Party shall promptly pay over to the Applicable Senior Collateral Agent any payment received by it and then in its possession or under its control in respect of any Senior Secured Obligations Collateral and shall promptly turn over any Senior Secured Obligations Collateral then held by it over to the Applicable Senior Collateral Agent, and the provisions set forth in this Agreement shall be reinstated as if such payment had not been made, until the payment and satisfaction in full of the Senior Secured Obligations.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79" w:name="page680"/>
    <w:bookmarkEnd w:id="679"/>
    <w:p>
      <w:pPr>
        <w:jc w:val="both"/>
        <w:ind w:firstLine="1305"/>
        <w:spacing w:after="0" w:line="255" w:lineRule="auto"/>
        <w:tabs>
          <w:tab w:leader="none" w:pos="2266" w:val="left"/>
        </w:tabs>
        <w:numPr>
          <w:ilvl w:val="0"/>
          <w:numId w:val="806"/>
        </w:numPr>
        <w:rPr>
          <w:rFonts w:ascii="Arial" w:cs="Arial" w:eastAsia="Arial" w:hAnsi="Arial"/>
          <w:sz w:val="18"/>
          <w:szCs w:val="18"/>
          <w:color w:val="auto"/>
        </w:rPr>
      </w:pPr>
      <w:r>
        <w:rPr>
          <w:rFonts w:ascii="Arial" w:cs="Arial" w:eastAsia="Arial" w:hAnsi="Arial"/>
          <w:sz w:val="18"/>
          <w:szCs w:val="18"/>
          <w:color w:val="auto"/>
        </w:rPr>
        <w:t>Prior to the Discharge of Senior Secured Obligations, if any Junior Secured Obligations Secured Party holds any Lien on any assets of the Parent or any other Grantor securing any Junior Claims that are intended to secure the Senior Claims pursuant to the Senior Secured Obligations Collateral Documents but are not already subject to a senior Lien in favor of the Senior Secured Obligations Secured Parties, such Junior Secured Obligations Secured Party, upon demand by any Senior Secured Obligations Secured Party, will assign such Lien to the applicable Senior Representative, as security for such Senior Secured Obligations (in which case the Junior Secured Obligations Secured Parties may retain a junior Lien on such assets subject to the terms hereof).</w:t>
      </w:r>
    </w:p>
    <w:p>
      <w:pPr>
        <w:spacing w:after="0" w:line="193"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Automatic Release of Junior Liens.</w:t>
      </w:r>
    </w:p>
    <w:p>
      <w:pPr>
        <w:spacing w:after="0" w:line="225" w:lineRule="exact"/>
        <w:rPr>
          <w:sz w:val="20"/>
          <w:szCs w:val="20"/>
          <w:color w:val="auto"/>
        </w:rPr>
      </w:pPr>
    </w:p>
    <w:p>
      <w:pPr>
        <w:jc w:val="both"/>
        <w:ind w:firstLine="1305"/>
        <w:spacing w:after="0" w:line="293" w:lineRule="auto"/>
        <w:tabs>
          <w:tab w:leader="none" w:pos="2185" w:val="left"/>
        </w:tabs>
        <w:numPr>
          <w:ilvl w:val="0"/>
          <w:numId w:val="807"/>
        </w:numPr>
        <w:rPr>
          <w:rFonts w:ascii="Arial" w:cs="Arial" w:eastAsia="Arial" w:hAnsi="Arial"/>
          <w:sz w:val="16"/>
          <w:szCs w:val="16"/>
          <w:color w:val="auto"/>
        </w:rPr>
      </w:pPr>
      <w:r>
        <w:rPr>
          <w:rFonts w:ascii="Arial" w:cs="Arial" w:eastAsia="Arial" w:hAnsi="Arial"/>
          <w:sz w:val="16"/>
          <w:szCs w:val="16"/>
          <w:color w:val="auto"/>
        </w:rPr>
        <w:t xml:space="preserve">The LC Collateral Agent and each other LC Secured Party agrees that, in the event of a sale, transfer or other disposition of any ABL Priority Collateral in connection with the foreclosure upon or other exercise of rights and remedies with respect to such ABL Priority Collateral that results in the release by the ABL Collateral Agent of the Lien held by the ABL Collateral Agent on such ABL Priority Collateral, the Lien held by the LC Collateral Agent on such ABL Priority Collateral shall be automatically released;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all holders of the LC Obligations shall be entitled to any proceeds of a sale, transfer or other disposition under this clause (a) that remain after Discharge of the ABL Obligations, and the Liens on such remaining proceeds securing the LC Obligations shall not be automatically released pursuant to this Section 2.05(a).</w:t>
      </w:r>
    </w:p>
    <w:p>
      <w:pPr>
        <w:spacing w:after="0" w:line="164" w:lineRule="exact"/>
        <w:rPr>
          <w:rFonts w:ascii="Arial" w:cs="Arial" w:eastAsia="Arial" w:hAnsi="Arial"/>
          <w:sz w:val="16"/>
          <w:szCs w:val="16"/>
          <w:color w:val="auto"/>
        </w:rPr>
      </w:pPr>
    </w:p>
    <w:p>
      <w:pPr>
        <w:jc w:val="both"/>
        <w:ind w:firstLine="1305"/>
        <w:spacing w:after="0" w:line="293" w:lineRule="auto"/>
        <w:tabs>
          <w:tab w:leader="none" w:pos="2208" w:val="left"/>
        </w:tabs>
        <w:numPr>
          <w:ilvl w:val="0"/>
          <w:numId w:val="807"/>
        </w:numPr>
        <w:rPr>
          <w:rFonts w:ascii="Arial" w:cs="Arial" w:eastAsia="Arial" w:hAnsi="Arial"/>
          <w:sz w:val="16"/>
          <w:szCs w:val="16"/>
          <w:color w:val="auto"/>
        </w:rPr>
      </w:pPr>
      <w:r>
        <w:rPr>
          <w:rFonts w:ascii="Arial" w:cs="Arial" w:eastAsia="Arial" w:hAnsi="Arial"/>
          <w:sz w:val="16"/>
          <w:szCs w:val="16"/>
          <w:color w:val="auto"/>
        </w:rPr>
        <w:t xml:space="preserve">The ABL Collateral Agent and each other ABL Secured Party agrees that, in the event of a sale, transfer or other disposition of any LC Priority Collateral in connection with the foreclosure upon or other exercise of rights and remedies with respect to such LC Priority Collateral that results in the release by the LC Collateral Agent of the Lien held by the LC Collateral Agent on such LC Priority Collateral, the Lien held by the ABL Collateral Agent on such LC Priority Collateral shall be automatically released;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all holders of the ABL Obligations shall be entitled to any proceeds of a sale, transfer or other disposition under this clause (a) that remain after Discharge of all LC Obligations, and the Liens on such remaining proceeds securing the ABL Obligations shall not be automatically released pursuant to this Section 2.05(b).</w:t>
      </w:r>
    </w:p>
    <w:p>
      <w:pPr>
        <w:spacing w:after="0" w:line="164" w:lineRule="exact"/>
        <w:rPr>
          <w:rFonts w:ascii="Arial" w:cs="Arial" w:eastAsia="Arial" w:hAnsi="Arial"/>
          <w:sz w:val="16"/>
          <w:szCs w:val="16"/>
          <w:color w:val="auto"/>
        </w:rPr>
      </w:pPr>
    </w:p>
    <w:p>
      <w:pPr>
        <w:jc w:val="both"/>
        <w:ind w:firstLine="1305"/>
        <w:spacing w:after="0" w:line="297" w:lineRule="auto"/>
        <w:tabs>
          <w:tab w:leader="none" w:pos="2293" w:val="left"/>
        </w:tabs>
        <w:numPr>
          <w:ilvl w:val="0"/>
          <w:numId w:val="807"/>
        </w:numPr>
        <w:rPr>
          <w:rFonts w:ascii="Arial" w:cs="Arial" w:eastAsia="Arial" w:hAnsi="Arial"/>
          <w:sz w:val="16"/>
          <w:szCs w:val="16"/>
          <w:color w:val="auto"/>
        </w:rPr>
      </w:pPr>
      <w:r>
        <w:rPr>
          <w:rFonts w:ascii="Arial" w:cs="Arial" w:eastAsia="Arial" w:hAnsi="Arial"/>
          <w:sz w:val="16"/>
          <w:szCs w:val="16"/>
          <w:color w:val="auto"/>
        </w:rPr>
        <w:t xml:space="preserve">In the event of a Default Disposition, the Liens of Junior Collateral Agent shall be automatically released so long as (i) such Default Disposition is conducted by the applicable Grantor(s) in a commercially reasonable manner (as if such Default Disposition were a disposition of collateral by a secured party in accordance with the UCC or similar law under the applicable jurisdiction) and in accordance with applicable law, (ii) Senior Collateral Agent also releases its Liens on such Senior Secured Obligations Collateral and (iii) the net cash proceeds of any such Default Disposition are applied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hereof (as if they were proceeds received in connection with an enforcement action).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0" w:name="page681"/>
    <w:bookmarkEnd w:id="680"/>
    <w:p>
      <w:pPr>
        <w:jc w:val="both"/>
        <w:ind w:firstLine="1305"/>
        <w:spacing w:after="0" w:line="286" w:lineRule="auto"/>
        <w:tabs>
          <w:tab w:leader="none" w:pos="2235" w:val="left"/>
        </w:tabs>
        <w:numPr>
          <w:ilvl w:val="0"/>
          <w:numId w:val="808"/>
        </w:numPr>
        <w:rPr>
          <w:rFonts w:ascii="Arial" w:cs="Arial" w:eastAsia="Arial" w:hAnsi="Arial"/>
          <w:sz w:val="17"/>
          <w:szCs w:val="17"/>
          <w:color w:val="auto"/>
        </w:rPr>
      </w:pPr>
      <w:r>
        <w:rPr>
          <w:rFonts w:ascii="Arial" w:cs="Arial" w:eastAsia="Arial" w:hAnsi="Arial"/>
          <w:sz w:val="17"/>
          <w:szCs w:val="17"/>
          <w:color w:val="auto"/>
        </w:rPr>
        <w:t>Each Junior Representative and each Junior Collateral Agent agrees to execute and deliver (at the sole cost and expense of the applicable Grantors) all such authorizations and other instruments as shall reasonably be requested by the applicable Senior Representative or the Applicable Senior Collateral Agent to evidence and confirm any release of Junior Secured Obligations Collateral provided for in this Section.</w:t>
      </w:r>
    </w:p>
    <w:p>
      <w:pPr>
        <w:spacing w:after="0" w:line="165" w:lineRule="exact"/>
        <w:rPr>
          <w:rFonts w:ascii="Arial" w:cs="Arial" w:eastAsia="Arial" w:hAnsi="Arial"/>
          <w:sz w:val="17"/>
          <w:szCs w:val="17"/>
          <w:color w:val="auto"/>
        </w:rPr>
      </w:pPr>
    </w:p>
    <w:p>
      <w:pPr>
        <w:jc w:val="both"/>
        <w:ind w:firstLine="1305"/>
        <w:spacing w:after="0" w:line="269" w:lineRule="auto"/>
        <w:tabs>
          <w:tab w:leader="none" w:pos="2239" w:val="left"/>
        </w:tabs>
        <w:numPr>
          <w:ilvl w:val="0"/>
          <w:numId w:val="808"/>
        </w:numPr>
        <w:rPr>
          <w:rFonts w:ascii="Arial" w:cs="Arial" w:eastAsia="Arial" w:hAnsi="Arial"/>
          <w:sz w:val="17"/>
          <w:szCs w:val="17"/>
          <w:color w:val="auto"/>
        </w:rPr>
      </w:pPr>
      <w:r>
        <w:rPr>
          <w:rFonts w:ascii="Arial" w:cs="Arial" w:eastAsia="Arial" w:hAnsi="Arial"/>
          <w:sz w:val="17"/>
          <w:szCs w:val="17"/>
          <w:color w:val="auto"/>
        </w:rPr>
        <w:t xml:space="preserve">If at any time any Grantor or the holder of any Senior Secured Obligations delivers notice to each Junior Collateral Agent that any specified Senior Secured Obligations Collateral (including all or substantially all of the Capital Stock of a Grantor or any of its Subsidiaries) is sold, transferred or otherwise disposed of (i) by the owner of such Collateral in a transaction permitted under the LC Documents and the ABL Documents, or (ii) during the existence of any Event of Default under the ABL Documents or the LC Documents, in each case in connection with the foreclosure upon (or exercise of rights and remedies with respect to) such Collateral, to the extent that the Applicable Senior Collateral Agent has consented to such sale, transfer or disposition, then the Liens in favor of the Junior Secured Obligations Secured Parties upon such Collateral will automatically be released and discharged as and when, but only to the extent, such Liens on such Senior Secured Obligations Collateral are released and discharged;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proceeds of such sale, transfer or disposition shall be applied in accordance with </w:t>
      </w:r>
      <w:r>
        <w:rPr>
          <w:rFonts w:ascii="Arial" w:cs="Arial" w:eastAsia="Arial" w:hAnsi="Arial"/>
          <w:sz w:val="17"/>
          <w:szCs w:val="17"/>
          <w:u w:val="single" w:color="auto"/>
          <w:color w:val="auto"/>
        </w:rPr>
        <w:t>Section 2.01(a)</w:t>
      </w:r>
      <w:r>
        <w:rPr>
          <w:rFonts w:ascii="Arial" w:cs="Arial" w:eastAsia="Arial" w:hAnsi="Arial"/>
          <w:sz w:val="17"/>
          <w:szCs w:val="17"/>
          <w:color w:val="auto"/>
        </w:rPr>
        <w:t>. Upon delivery to each Junior Collateral Agent of a notice from the Applicable Senior Collateral Agent stating that any release of Liens securing or supporting the Senior Secured Obligations has become effective (or shall become effective upon each Junior Collateral Agent’s release), each Junior Collateral Agent will promptly execute and deliver such instruments, releases, terminations statements or other documents confirming such release on customary terms.</w:t>
      </w:r>
    </w:p>
    <w:p>
      <w:pPr>
        <w:spacing w:after="0" w:line="183"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Certain Agreements With Respect to Insolvency or Liquidation Proceedings.</w:t>
      </w:r>
    </w:p>
    <w:p>
      <w:pPr>
        <w:spacing w:after="0" w:line="225" w:lineRule="exact"/>
        <w:rPr>
          <w:sz w:val="20"/>
          <w:szCs w:val="20"/>
          <w:color w:val="auto"/>
        </w:rPr>
      </w:pPr>
    </w:p>
    <w:p>
      <w:pPr>
        <w:ind w:left="2180" w:hanging="875"/>
        <w:spacing w:after="0"/>
        <w:tabs>
          <w:tab w:leader="none" w:pos="218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This Agreement shall continue in full force and effect notwithstanding the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commencement of any proceeding under the Bankruptcy Code or any other Debtor Relief Law by or against the Parent or any of its Subsidiaries. Without limiting the generality of the foregoing, the provisions of this Agreement are intended to be and shall be enforceable as a “Subordination Agreement” under Section 510(a) of the Bankruptcy Code. All references to the Parent or any other Grantor shall include such Parent or Grantor as a debtor-in-possession and any receiver, trustee, liquidator (whether provisional or permanent, as the case may be) or court-appointed officer for such person in any Insolvency or Liquidation Proceeding.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1" w:name="page682"/>
    <w:bookmarkEnd w:id="681"/>
    <w:p>
      <w:pPr>
        <w:ind w:left="980" w:hanging="875"/>
        <w:spacing w:after="0"/>
        <w:tabs>
          <w:tab w:leader="none" w:pos="98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If the Parent or any of its Subsidiaries shall become subject to a case (a “Bankruptcy Case”) under any Debtor Relief Law:</w:t>
      </w:r>
    </w:p>
    <w:p>
      <w:pPr>
        <w:spacing w:after="0" w:line="236" w:lineRule="exact"/>
        <w:rPr>
          <w:rFonts w:ascii="Arial" w:cs="Arial" w:eastAsia="Arial" w:hAnsi="Arial"/>
          <w:sz w:val="17"/>
          <w:szCs w:val="17"/>
          <w:color w:val="auto"/>
        </w:rPr>
      </w:pPr>
    </w:p>
    <w:p>
      <w:pPr>
        <w:jc w:val="both"/>
        <w:ind w:left="100" w:firstLine="821"/>
        <w:spacing w:after="0" w:line="284" w:lineRule="auto"/>
        <w:tabs>
          <w:tab w:leader="none" w:pos="1919" w:val="left"/>
        </w:tabs>
        <w:numPr>
          <w:ilvl w:val="1"/>
          <w:numId w:val="810"/>
        </w:numPr>
        <w:rPr>
          <w:rFonts w:ascii="Arial" w:cs="Arial" w:eastAsia="Arial" w:hAnsi="Arial"/>
          <w:sz w:val="16"/>
          <w:szCs w:val="16"/>
          <w:color w:val="auto"/>
        </w:rPr>
      </w:pPr>
      <w:r>
        <w:rPr>
          <w:rFonts w:ascii="Arial" w:cs="Arial" w:eastAsia="Arial" w:hAnsi="Arial"/>
          <w:sz w:val="16"/>
          <w:szCs w:val="16"/>
          <w:color w:val="auto"/>
        </w:rPr>
        <w:t xml:space="preserve">if the ABL Collateral Agent desires to permit debtor-in-possession financing (“DIP Financing”) secured by a Lien on the ABL Priority Collateral, to be provided by one or more lenders (the “DIP Lenders”) under Section 364 of the Bankruptcy Code (or any similar provision of any other Debtor Relief Laws) or the use of cash collateral under Section 363 of the Bankruptcy Code (or any similar provision of any other Debtor Relief Laws), then the LC Collateral Agent and the LC Secured Parties hereby agree to consent to and not to object to any such financing or to the Liens on the ABL Priority Collateral securing the same (“DIP Financing Liens”) or to any use of cash collateral that constitutes ABL Priority Collateral, unless the ABL Collateral Agent shall then oppose or object to such DIP Financing or such DIP Financing Liens or use of cash collateral that constitutes ABL Priority Collateral (and (i) to the extent that such DIP Financing Liens are senior to the Liens on any such ABL Priority Collateral for the benefit of the ABL Secured Parties, each LC Secured Party will subordinate its Liens with respect to such ABL Priority Collateral on the same terms as the Liens of the ABL Secured Parties (other than any Liens of any ABL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pari passu with the Liens on any such ABL Priority Collateral granted to secure the ABL Obligations of the ABL Secured Parties, each LC Secured Party will confirm the priorities with respect to such ABL Priority Collateral as set forth herein, in each case so long as (A) the LC Secured Parties retain the benefit of their Liens on all such ABL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LC Secured Parties are granted junior Liens on any additional collateral pledged to any ABL Secured Party as adequate protection or otherwise in connection with such DIP Financing or use of cash collateral, (C) if any amount of such DIP Financing or cash collateral is applied to repay any of the ABL Obligations, such amount is applied pursuant to Section 2.01(a) of this Agreement, and (D) if any ABL Secured Parties are granted adequate protection, including in the form of periodic payments, in connection with such DIP Financing or use of cash collateral, the proceeds of such adequate protection are applied pursuant to Section 2.01(a)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LC Secured Parties shall have a right to object to the grant of a Lien (i) to secure the DIP Financing over any Collateral that shall not constitute ABL Priority Collateral and (ii) in respect of any additional Collateral that would not constitute ABL Priority Collateral hereunder were it pledged for the benefit of the ABL Secured Parties pursuant to the ABL Security Documents to any ABL Secured Party as adequate protection, for use of cash collateral, or otherwise, as set forth in clause (B) above;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682" w:name="page683"/>
    <w:bookmarkEnd w:id="682"/>
    <w:p>
      <w:pPr>
        <w:jc w:val="both"/>
        <w:ind w:left="100" w:firstLine="821"/>
        <w:spacing w:after="0" w:line="267" w:lineRule="auto"/>
        <w:tabs>
          <w:tab w:leader="none" w:pos="1987" w:val="left"/>
        </w:tabs>
        <w:numPr>
          <w:ilvl w:val="0"/>
          <w:numId w:val="811"/>
        </w:numPr>
        <w:rPr>
          <w:rFonts w:ascii="Arial" w:cs="Arial" w:eastAsia="Arial" w:hAnsi="Arial"/>
          <w:sz w:val="17"/>
          <w:szCs w:val="17"/>
          <w:color w:val="auto"/>
        </w:rPr>
      </w:pPr>
      <w:r>
        <w:rPr>
          <w:rFonts w:ascii="Arial" w:cs="Arial" w:eastAsia="Arial" w:hAnsi="Arial"/>
          <w:sz w:val="17"/>
          <w:szCs w:val="17"/>
          <w:color w:val="auto"/>
        </w:rPr>
        <w:t xml:space="preserve">if the LC Collateral Agent desires to permit a DIP Financing secured by a Lien on LC Priority Collateral, to be provided by DIP Lenders under Section 364 of the Bankruptcy Code (or any similar provision of any other Debtor Relief Laws) or the use of cash collateral under Section 363 of the Bankruptcy Code (or any similar provision of any other Debtor Relief Laws), then the ABL Collateral Agent and the ABL Secured Parties hereby agree not to object to any such financing or to the DIP Financing Liens or to any use of cash collateral that constitutes LC Priority Collateral, unless the LC Collateral Agent shall then oppose or object to such DIP Financing or such DIP Financing Liens or use of cash collateral that constitutes LC Priority Collateral (and (i) to the extent that such DIP Financing Liens are senior to the Liens on any such LC Priority Collateral for the benefit of the LC Secured Parties, each ABL Secured Party will subordinate its Liens with respect to such LC Priority Collateral on the same terms as the Liens of the LC Secured Parties (other than any Liens of any ABL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pari passu with the Liens on any such LC Priority Collateral granted to secure the LC Obligations of the LC Secured Parties, each ABL Secured Party will confirm the priorities with respect to such LC Priority Collateral as set forth herein), in each case so long as (A) the ABL Secured Parties retain the benefit of their Liens on all such LC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ABL Secured Parties are granted Liens on any additional collateral pledged to any LC Secured Party as adequate protection or otherwise in connection with such DIP Financing or use of cash collateral, (C) if any amount of such DIP Financing or cash collateral is applied to repay any of the LC Obligations, such amount is applied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of this Agreement and (D) if any LC Secured Parties are granted adequate protection, including in the form of periodic payments, in connection with such DIP Financing or use of cash collateral, the proceeds of such adequate protection is applied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ABL Secured Parties shall have a right to object to the grant of a Lien (i) to secure the DIP Financing over any Collateral that shall not constitute LC Priority Collateral and (ii) in respect of any additional Collateral that would not constitute LC Priority Collateral hereunder were it pledged for the benefit of the LC Secured Parties pursuant to the First Lien Security Documents to any LC Facility Secured Party as adequate protection, for use of cash collateral, or otherwise, as set forth in clause (B) above).</w:t>
      </w:r>
    </w:p>
    <w:p>
      <w:pPr>
        <w:spacing w:after="0" w:line="181" w:lineRule="exact"/>
        <w:rPr>
          <w:rFonts w:ascii="Arial" w:cs="Arial" w:eastAsia="Arial" w:hAnsi="Arial"/>
          <w:sz w:val="17"/>
          <w:szCs w:val="17"/>
          <w:color w:val="auto"/>
        </w:rPr>
      </w:pPr>
    </w:p>
    <w:p>
      <w:pPr>
        <w:jc w:val="both"/>
        <w:ind w:left="100" w:right="20" w:firstLine="821"/>
        <w:spacing w:after="0" w:line="264" w:lineRule="auto"/>
        <w:tabs>
          <w:tab w:leader="none" w:pos="197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No Junior Secured Obligations Secured Party will directly or indirectly propose or support any DIP Financing secured by a Lien senior or prior to the Liens of the Senior Secured Obligations Secured Parties on the Senior Secured Obligations Collateral.</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683" w:name="page684"/>
    <w:bookmarkEnd w:id="683"/>
    <w:p>
      <w:pPr>
        <w:jc w:val="both"/>
        <w:ind w:firstLine="1305"/>
        <w:spacing w:after="0" w:line="268" w:lineRule="auto"/>
        <w:tabs>
          <w:tab w:leader="none" w:pos="2212" w:val="left"/>
        </w:tabs>
        <w:numPr>
          <w:ilvl w:val="0"/>
          <w:numId w:val="812"/>
        </w:numPr>
        <w:rPr>
          <w:rFonts w:ascii="Arial" w:cs="Arial" w:eastAsia="Arial" w:hAnsi="Arial"/>
          <w:sz w:val="17"/>
          <w:szCs w:val="17"/>
          <w:color w:val="auto"/>
        </w:rPr>
      </w:pPr>
      <w:r>
        <w:rPr>
          <w:rFonts w:ascii="Arial" w:cs="Arial" w:eastAsia="Arial" w:hAnsi="Arial"/>
          <w:sz w:val="17"/>
          <w:szCs w:val="17"/>
          <w:color w:val="auto"/>
        </w:rPr>
        <w:t>The Applicable Junior Collateral Agent and each Junior Secured Obligations Secured Party agrees that it will not object to and will not otherwise contest: (i) any motion for relief from the automatic stay or any other stay in any Insolvency or Liquidation Proceeding (including by way of moratorium) or from any injunction against foreclosure or enforcement in respect of the Senior Secured Obligations made by the Applicable Senior Collateral Agent or any Senior Secured Obligations Secured Party; (ii) any lawful exercise by any holder of Senior Claims of the right to credit bid Senior Claims in any sale of Collateral that is Senior Secured Obligations Collateral with respect to such Senior Claims; (iii) any other request for judicial relief made in any court by the Applicable Senior Collateral Agent or any Senior Secured Obligations Secured Party relating to the lawful enforcement of any Lien on the Senior Secured Obligations Collateral; (iv) and will consent to any sale or other disposition (or related order) of any Senior Secured Obligations Collateral (or any portion thereof) under Section 363 of the Bankruptcy Code or any other provision of the Bankruptcy Code (or any equivalent action under any other Debtor Relief Law) if the Senior Secured Obligations Secured Parties shall have consented to such sale or disposition (or related order) of such Senior Secured Obligations Collateral if such sale or other disposition is not free and clear of the Liens securing the Junior Secured Obligations or (v) any sale or other disposition (or related order) of any Senior Secured Obligations Collateral (or any portion thereof) under Section 363 of the Bankruptcy Code or any other equivalent provision of the Bankruptcy Code (or any other provision under any other Debtor Relief Law) if the Senior Secured Obligations Secured Parties shall have consented, and the related court order provides that, to the extent the sale is to be free and clear of Liens, the Liens securing the Senior Secured Obligations and the Junior Secured Obligations will attach to the proceeds of the sale on the same basis of priority as the Liens securing such Obligations on the assets being sold, in accordance with this Agreement.</w:t>
      </w:r>
    </w:p>
    <w:p>
      <w:pPr>
        <w:spacing w:after="0" w:line="183" w:lineRule="exact"/>
        <w:rPr>
          <w:rFonts w:ascii="Arial" w:cs="Arial" w:eastAsia="Arial" w:hAnsi="Arial"/>
          <w:sz w:val="17"/>
          <w:szCs w:val="17"/>
          <w:color w:val="auto"/>
        </w:rPr>
      </w:pPr>
    </w:p>
    <w:p>
      <w:pPr>
        <w:jc w:val="both"/>
        <w:ind w:firstLine="1305"/>
        <w:spacing w:after="0" w:line="257" w:lineRule="auto"/>
        <w:tabs>
          <w:tab w:leader="none" w:pos="2303"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Applicable Junior Collateral Agent and each Junior Secured Obligations Secured Party agrees that it will not seek relief from the automatic stay or any other stay in any Insolvency or Liquidation Proceeding (including by way of moratorium) with respect to Senior Secured Obligations Collateral without the prior consent of the Applicable Senior Collateral Agent, unless, and solely to the extent that, the Applicable Senior Collateral Agent or Senior Secured Obligations Secured Party shall obtain relief from the automatic stay (or any other stay in any Insolvency or Liquidation Proceeding) with respect to such collateral to commence a lien enforcement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4" w:name="page685"/>
    <w:bookmarkEnd w:id="684"/>
    <w:p>
      <w:pPr>
        <w:jc w:val="both"/>
        <w:ind w:firstLine="1305"/>
        <w:spacing w:after="0" w:line="283" w:lineRule="auto"/>
        <w:tabs>
          <w:tab w:leader="none" w:pos="2212" w:val="left"/>
        </w:tabs>
        <w:numPr>
          <w:ilvl w:val="1"/>
          <w:numId w:val="813"/>
        </w:numPr>
        <w:rPr>
          <w:rFonts w:ascii="Arial" w:cs="Arial" w:eastAsia="Arial" w:hAnsi="Arial"/>
          <w:sz w:val="16"/>
          <w:szCs w:val="16"/>
          <w:color w:val="auto"/>
        </w:rPr>
      </w:pPr>
      <w:r>
        <w:rPr>
          <w:rFonts w:ascii="Arial" w:cs="Arial" w:eastAsia="Arial" w:hAnsi="Arial"/>
          <w:sz w:val="16"/>
          <w:szCs w:val="16"/>
          <w:color w:val="auto"/>
        </w:rPr>
        <w:t xml:space="preserve">The Applicable Junior Collateral Agent and each Junior Secured Obligations Secured Party hereby agrees that it will not, other than as set forth in </w:t>
      </w:r>
      <w:r>
        <w:rPr>
          <w:rFonts w:ascii="Arial" w:cs="Arial" w:eastAsia="Arial" w:hAnsi="Arial"/>
          <w:sz w:val="16"/>
          <w:szCs w:val="16"/>
          <w:u w:val="single" w:color="auto"/>
          <w:color w:val="auto"/>
        </w:rPr>
        <w:t>Section 2.06(b)</w:t>
      </w:r>
      <w:r>
        <w:rPr>
          <w:rFonts w:ascii="Arial" w:cs="Arial" w:eastAsia="Arial" w:hAnsi="Arial"/>
          <w:sz w:val="16"/>
          <w:szCs w:val="16"/>
          <w:color w:val="auto"/>
        </w:rPr>
        <w:t xml:space="preserve">, object to and will not otherwise contest (or support any other Person contesting): (i) any request by the Applicable Senior Collateral Agent or any Senior Secured Obligations Secured Party for adequate protection;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any ABL Secured Party, solely in its capacity as a Senior Secured Obligations Secured Party, may object to adequate protection in the form of cash payments to the extent such payment is sought to be paid from ABL Priority Collateral, any DIP Financing under </w:t>
      </w:r>
      <w:r>
        <w:rPr>
          <w:rFonts w:ascii="Arial" w:cs="Arial" w:eastAsia="Arial" w:hAnsi="Arial"/>
          <w:sz w:val="16"/>
          <w:szCs w:val="16"/>
          <w:u w:val="single" w:color="auto"/>
          <w:color w:val="auto"/>
        </w:rPr>
        <w:t>Section 2.06(b)(i)</w:t>
      </w:r>
      <w:r>
        <w:rPr>
          <w:rFonts w:ascii="Arial" w:cs="Arial" w:eastAsia="Arial" w:hAnsi="Arial"/>
          <w:sz w:val="16"/>
          <w:szCs w:val="16"/>
          <w:color w:val="auto"/>
        </w:rPr>
        <w:t xml:space="preserve"> or the proceeds thereof and (2) any LC Secured Party, solely in its capacity as a Senior Secured Obligations Secured Party, may object to adequate protection in the form of cash payments to the extent such payment is sought to be paid from LC Priority Collateral, any DIP Financing under </w:t>
      </w:r>
      <w:r>
        <w:rPr>
          <w:rFonts w:ascii="Arial" w:cs="Arial" w:eastAsia="Arial" w:hAnsi="Arial"/>
          <w:sz w:val="16"/>
          <w:szCs w:val="16"/>
          <w:u w:val="single" w:color="auto"/>
          <w:color w:val="auto"/>
        </w:rPr>
        <w:t>Section 2.06(b)(ii)</w:t>
      </w:r>
      <w:r>
        <w:rPr>
          <w:rFonts w:ascii="Arial" w:cs="Arial" w:eastAsia="Arial" w:hAnsi="Arial"/>
          <w:sz w:val="16"/>
          <w:szCs w:val="16"/>
          <w:color w:val="auto"/>
        </w:rPr>
        <w:t xml:space="preserve"> or the proceeds thereof or (ii) any objection by the Applicable Senior Collateral Agent or any Senior Secured Obligations Secured Party to any motion, relief, action or proceeding based on the Applicable Senior Collateral Agent or any Senior Secured Obligations Secured Party claiming a lack of adequate protection. Notwithstanding the foregoing, in any Insolvency or Liquidation Proceeding, (x) if the Senior Secured Obligations Secured Parties (or any subset thereof) are granted adequate protection in the form of a replacement lien or additional collateral in connection with any DIP Financing or use of cash collateral under Section 363 or Section 364 of the Bankruptcy Code or any similar law, then the Applicable Junior Collateral Agent may seek or request adequate protection in the form of a replacement Lien on such additional collateral, so long as, with respect to the Senior Secured Obligations Collateral, such Lien is subordinated to the Liens securing the Senior Secured Obligations and such DIP Financing (and all obligations relating thereto), on the same basis as the other Liens securing Junior Secured Obligations on the Senior Secured Obligations Collateral are subordinated to the Liens on Senior Secured Obligations Collateral securing the Senior Secured Obligations under this Agreement;</w:t>
      </w:r>
    </w:p>
    <w:p>
      <w:pPr>
        <w:spacing w:after="0" w:line="1" w:lineRule="exact"/>
        <w:rPr>
          <w:rFonts w:ascii="Arial" w:cs="Arial" w:eastAsia="Arial" w:hAnsi="Arial"/>
          <w:sz w:val="16"/>
          <w:szCs w:val="16"/>
          <w:color w:val="auto"/>
        </w:rPr>
      </w:pPr>
    </w:p>
    <w:p>
      <w:pPr>
        <w:jc w:val="both"/>
        <w:ind w:firstLine="8"/>
        <w:spacing w:after="0" w:line="284" w:lineRule="auto"/>
        <w:tabs>
          <w:tab w:leader="none" w:pos="284" w:val="left"/>
        </w:tabs>
        <w:numPr>
          <w:ilvl w:val="0"/>
          <w:numId w:val="814"/>
        </w:numPr>
        <w:rPr>
          <w:rFonts w:ascii="Arial" w:cs="Arial" w:eastAsia="Arial" w:hAnsi="Arial"/>
          <w:sz w:val="16"/>
          <w:szCs w:val="16"/>
          <w:color w:val="auto"/>
        </w:rPr>
      </w:pPr>
      <w:r>
        <w:rPr>
          <w:rFonts w:ascii="Arial" w:cs="Arial" w:eastAsia="Arial" w:hAnsi="Arial"/>
          <w:sz w:val="16"/>
          <w:szCs w:val="16"/>
          <w:color w:val="auto"/>
        </w:rPr>
        <w:t>in the event the Applicable Junior Collateral Agent seeks or requests adequate protection and such adequate protection is granted in the form of a replacement lien or additional collateral, then the Applicable Junior Collateral Agent and the Junior Secured Obligations Secured Parties hereby agree that the Senior Secured Obligations Secured Parties shall also be granted a Lien on such additional collateral as security for the Senior Secured Obligations and any such DIP Financing and that any Lien on such additional collateral that constitutes Senior Secured Obligations Collateral securing the Junior Secured Obligations shall be subordinated to the Liens on such collateral securing the Senior Secured Obligations and any such DIP Financing (and all obligations relating thereto) and any other Liens on Senior Secured Obligations Collateral granted to the holders of Senior Secured Obligations as adequate protection on the same basis as the Liens securing Junior Secured Obligations are so subordinated to the Liens securing the Senior Secured Obligations under this Agreement; (z) any adequate protection granted in favor of any Senior Secured Obligations Secured Party in the form of a superpriority or other administrative expense claim and any claim in favor of any Senior Secured Obligations Secured Party arising under Section 507(b) of the Bankruptcy Code (or similar Debtor Relief Laws) (collectively, “</w:t>
      </w:r>
      <w:r>
        <w:rPr>
          <w:rFonts w:ascii="Arial" w:cs="Arial" w:eastAsia="Arial" w:hAnsi="Arial"/>
          <w:sz w:val="16"/>
          <w:szCs w:val="16"/>
          <w:u w:val="single" w:color="auto"/>
          <w:color w:val="auto"/>
        </w:rPr>
        <w:t>Senior 507(b) Claims</w:t>
      </w:r>
      <w:r>
        <w:rPr>
          <w:rFonts w:ascii="Arial" w:cs="Arial" w:eastAsia="Arial" w:hAnsi="Arial"/>
          <w:sz w:val="16"/>
          <w:szCs w:val="16"/>
          <w:color w:val="auto"/>
        </w:rPr>
        <w:t>”) shall be senior to and have priority of payment over any superpriority or other administrative expense claim and any claim arising under Section 507(b) of the Bankruptcy Code (or similar Debtor Relief Laws) in favor of any Junior Secured Obligations Secured Party (collectively, “</w:t>
      </w:r>
      <w:r>
        <w:rPr>
          <w:rFonts w:ascii="Arial" w:cs="Arial" w:eastAsia="Arial" w:hAnsi="Arial"/>
          <w:sz w:val="16"/>
          <w:szCs w:val="16"/>
          <w:u w:val="single" w:color="auto"/>
          <w:color w:val="auto"/>
        </w:rPr>
        <w:t>Junior 507(b) Claims</w:t>
      </w:r>
      <w:r>
        <w:rPr>
          <w:rFonts w:ascii="Arial" w:cs="Arial" w:eastAsia="Arial" w:hAnsi="Arial"/>
          <w:sz w:val="16"/>
          <w:szCs w:val="16"/>
          <w:color w:val="auto"/>
        </w:rPr>
        <w:t>”). The holders of the Junior 507(b) Claims agree that, in connection with any Plan of Reorganization in any Insolvency or Liquidation Proceeding, such Junior 507(b) Claims may be paid in any combination of cash, securities, or other property having a present value equal to the amount of such Junior 507(b) Claims as of the effective date of such plan. For the avoidance of doubt, as between the ABL Secured Parties and LC Secured Parties, all Senior 507(b) Claims shall be pari passu with the Senior 507(b) Claims held by the other Class, and all Junior 507(b) Claims shall be pari passu with the Junior 507(b) Claims held by the other Class.</w:t>
      </w:r>
    </w:p>
    <w:p>
      <w:pPr>
        <w:spacing w:after="0" w:line="175" w:lineRule="exact"/>
        <w:rPr>
          <w:rFonts w:ascii="Arial" w:cs="Arial" w:eastAsia="Arial" w:hAnsi="Arial"/>
          <w:sz w:val="16"/>
          <w:szCs w:val="16"/>
          <w:color w:val="auto"/>
        </w:rPr>
      </w:pPr>
    </w:p>
    <w:p>
      <w:pPr>
        <w:jc w:val="both"/>
        <w:ind w:firstLine="1305"/>
        <w:spacing w:after="0" w:line="254" w:lineRule="auto"/>
        <w:tabs>
          <w:tab w:leader="none" w:pos="2345" w:val="left"/>
        </w:tabs>
        <w:numPr>
          <w:ilvl w:val="1"/>
          <w:numId w:val="814"/>
        </w:numPr>
        <w:rPr>
          <w:rFonts w:ascii="Arial" w:cs="Arial" w:eastAsia="Arial" w:hAnsi="Arial"/>
          <w:sz w:val="18"/>
          <w:szCs w:val="18"/>
          <w:color w:val="auto"/>
        </w:rPr>
      </w:pPr>
      <w:r>
        <w:rPr>
          <w:rFonts w:ascii="Arial" w:cs="Arial" w:eastAsia="Arial" w:hAnsi="Arial"/>
          <w:sz w:val="18"/>
          <w:szCs w:val="18"/>
          <w:color w:val="auto"/>
        </w:rPr>
        <w:t xml:space="preserve">The Applicable Junior Collateral Agent and each Junior Secured Obligations Secured Party hereby agrees that (i) it will not oppose or seek to challenge any claim by the Applicable Senior Collateral Agent or any Senior Secured Obligations Secured Party for allowance of Senior Secured Obligations consisting of post-petition interest, costs, fees, charges, or expenses and (ii) until the Discharge of Senior Secured Obligations has occurred, the Applicable Junior Collateral Agent, on behalf of itself and the Junior Secured Obligations Secured Parties, will not assert or enforce any claim under Section 506(c) of the Bankruptcy Code (or any similar provision of any other Debtor Relief Laws) senior to or on a parity with the Liens on Senior Secured Obligations Collateral securing the Senior Secured Obligations for costs or expenses of preserving or disposing of any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amounts received by the Applicable Senior Collateral Agent pursuant to such a claim shall in all cases be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2.1(a)</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85" w:name="page686"/>
    <w:bookmarkEnd w:id="685"/>
    <w:p>
      <w:pPr>
        <w:jc w:val="both"/>
        <w:ind w:firstLine="1305"/>
        <w:spacing w:after="0" w:line="286" w:lineRule="auto"/>
        <w:tabs>
          <w:tab w:leader="none" w:pos="2289" w:val="left"/>
        </w:tabs>
        <w:numPr>
          <w:ilvl w:val="0"/>
          <w:numId w:val="815"/>
        </w:numPr>
        <w:rPr>
          <w:rFonts w:ascii="Arial" w:cs="Arial" w:eastAsia="Arial" w:hAnsi="Arial"/>
          <w:sz w:val="16"/>
          <w:szCs w:val="16"/>
          <w:color w:val="auto"/>
        </w:rPr>
      </w:pPr>
      <w:r>
        <w:rPr>
          <w:rFonts w:ascii="Arial" w:cs="Arial" w:eastAsia="Arial" w:hAnsi="Arial"/>
          <w:sz w:val="16"/>
          <w:szCs w:val="16"/>
          <w:color w:val="auto"/>
        </w:rPr>
        <w:t>The LC Collateral Agent, on behalf of the LC Secured Parties, and the ABL Collateral Agent, on behalf of the ABL Secured Parties, acknowledge and intend that the grants of Liens pursuant to the LC Security Documents, on the one hand, and the ABL Security Documents, on the other hand, constitute separate and distinct grants of Liens, and because of, among other things, their differing rights in the Collateral, the LC Obligations are fundamentally different from the ABL Obligations and must be separately classified in any Plan of Reorganization proposed or confirmed (or approved) in an Insolvency or Liquidation Proceeding. To further effectuate the intent of the parties as provided in the immediately preceding sentence, if it is held that the claims of the ABL Secured Parties and the LC Secured Parties in respect of any Collateral constitute claims in the same class (rather than separate classes of senior and junior secured claims), then the ABL Secured Parties and the LC Secured Parties hereby acknowledge and agree that all distributions shall be made as if there were separate classes of ABL Obligations and LC Obligations against the Grantors (with the effect being that, to the extent that the aggregate value of the ABL Priority Collateral or the LC Priority Collateral is sufficient (for this purpose ignoring all claims held by the other Secured Parties for whom such Collateral is Junior Secured Obligations Collateral), the ABL Secured Parties or the LC Secured Parties, respectively, shall be entitled to receive, in addition to amounts distributed to them in respect of principal, pre-petition interest and other claims, all amounts owing in respect of post-petition interest, costs, fees, charges, or expenses that are available from the Senior Secured Obligations Collateral for each of the ABL Secured Parties and the LC Secured Parties, respectively, before any distribution is made in respect of the Junior Claims with respect to such Collateral, with the holder of such Junior Claims hereby acknowledging and agreeing to turn over to the Junior Secured Obligations Secured Parties amounts otherwise received or receivable by them to the extent necessary to effectuate the intent of this sentence, even if such turnover has the effect of reducing the aggregate recoveries).</w:t>
      </w:r>
    </w:p>
    <w:p>
      <w:pPr>
        <w:spacing w:after="0" w:line="168" w:lineRule="exact"/>
        <w:rPr>
          <w:rFonts w:ascii="Arial" w:cs="Arial" w:eastAsia="Arial" w:hAnsi="Arial"/>
          <w:sz w:val="16"/>
          <w:szCs w:val="16"/>
          <w:color w:val="auto"/>
        </w:rPr>
      </w:pPr>
    </w:p>
    <w:p>
      <w:pPr>
        <w:jc w:val="both"/>
        <w:ind w:firstLine="1305"/>
        <w:spacing w:after="0" w:line="271" w:lineRule="auto"/>
        <w:tabs>
          <w:tab w:leader="none" w:pos="2208" w:val="left"/>
        </w:tabs>
        <w:numPr>
          <w:ilvl w:val="0"/>
          <w:numId w:val="815"/>
        </w:numPr>
        <w:rPr>
          <w:rFonts w:ascii="Arial" w:cs="Arial" w:eastAsia="Arial" w:hAnsi="Arial"/>
          <w:sz w:val="17"/>
          <w:szCs w:val="17"/>
          <w:color w:val="auto"/>
        </w:rPr>
      </w:pPr>
      <w:r>
        <w:rPr>
          <w:rFonts w:ascii="Arial" w:cs="Arial" w:eastAsia="Arial" w:hAnsi="Arial"/>
          <w:sz w:val="17"/>
          <w:szCs w:val="17"/>
          <w:color w:val="auto"/>
        </w:rPr>
        <w:t>If, in any Insolvency or Liquidation Proceeding, debt obligations of the reorganized debtor secured by Liens upon any property of the reorganized debtor are distributed pursuant to a Plan of Reorganization (or any form of Court-sanctioned restructuring permitted under any applicable law), both on account of the ABL Obligations and on account of the LC Obligations, then, to the extent the debt obligations distributed on account of the ABL Obligations and on account of the LC Obligations are secured by Liens upon the Collateral, the provisions of this Agreement will survive the distribution of such debt obligations pursuant to such plan and will apply with like effect to the debt obligations so distributed, to the Liens securing such debt obligations and the distribution of proceeds thereof. The provisions of section 1129(b)(1) of the Bankruptcy Code notwithstanding, Junior Secured Obligations Secured Parties shall not propose, support or vote in favor of any Plan of Reorganization that would result in a modification of or otherwise be inconsistent with Sections 2.01, 2.02, and 2.06(h) of this Agreement.</w:t>
      </w:r>
    </w:p>
    <w:p>
      <w:pPr>
        <w:spacing w:after="0" w:line="178" w:lineRule="exact"/>
        <w:rPr>
          <w:rFonts w:ascii="Arial" w:cs="Arial" w:eastAsia="Arial" w:hAnsi="Arial"/>
          <w:sz w:val="17"/>
          <w:szCs w:val="17"/>
          <w:color w:val="auto"/>
        </w:rPr>
      </w:pPr>
    </w:p>
    <w:p>
      <w:pPr>
        <w:jc w:val="both"/>
        <w:ind w:firstLine="1305"/>
        <w:spacing w:after="0" w:line="289" w:lineRule="auto"/>
        <w:tabs>
          <w:tab w:leader="none" w:pos="2339" w:val="left"/>
        </w:tabs>
        <w:numPr>
          <w:ilvl w:val="0"/>
          <w:numId w:val="815"/>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Sections 2.02(a) and 2.02(b), 2.04(a) and 2.06(b), (c) (e) and (f) or otherwise, both before and during an Insolvency or Liquidation Proceeding, any of the Junior Secured Obligations Secured Parties may take any actions and exercise any and all rights that would be available to a holder of unsecured claims, including, without limitation, the commencement of an Insolvency or Liquidation Proceeding against any Grantor in accordance with applicable law (including the Debtor Relief Laws of any applicable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Junior Secured Obligations Secured Parties may not take any of the actions that is inconsistent with the terms of this Agreement, including without limitation, such actions prohibited by Sections 2.02(a) and 2.02(b), Section 2.04(a) or Section 2.06(b), (c), (e) and (f);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event that any of the Junior Secured Obligations Secured Parties becomes a judgment lien creditor in respect of any Collateral as a result of its enforcement of its rights as an unsecured creditor with respect to the Junior Secured Obligations, such judgment lien shall be subject to the terms of this Agreement for all purposes (including in relation to the Senior Secured Obligations) as the other Liens securing the Junior Secured Obligations are subject to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6" w:name="page687"/>
    <w:bookmarkEnd w:id="686"/>
    <w:p>
      <w:pPr>
        <w:jc w:val="both"/>
        <w:ind w:firstLine="1297"/>
        <w:spacing w:after="0" w:line="259" w:lineRule="auto"/>
        <w:rPr>
          <w:sz w:val="20"/>
          <w:szCs w:val="20"/>
          <w:color w:val="auto"/>
        </w:rPr>
      </w:pPr>
      <w:r>
        <w:rPr>
          <w:rFonts w:ascii="Arial" w:cs="Arial" w:eastAsia="Arial" w:hAnsi="Arial"/>
          <w:sz w:val="18"/>
          <w:szCs w:val="18"/>
          <w:color w:val="auto"/>
        </w:rPr>
        <w:t>SECTION 2.07 Reinstatement. In the event that any of the Senior Secured Obligations shall be paid in full and such payment or any part thereof shall subsequently, for whatever reason (including an order or judgment for disgorgement of a preference under any Debtor Relief Law, or the settlement of any claim in respect thereof), be required to be returned or repaid, the terms and conditions of this Article II shall be fully applicable thereto until all such Senior Secured Obligations shall again have been irrevocably paid in full in cash.</w:t>
      </w:r>
    </w:p>
    <w:p>
      <w:pPr>
        <w:spacing w:after="0" w:line="18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Entry Upon Premises by the ABL Collateral Agent.</w:t>
      </w:r>
    </w:p>
    <w:p>
      <w:pPr>
        <w:spacing w:after="0" w:line="225" w:lineRule="exact"/>
        <w:rPr>
          <w:sz w:val="20"/>
          <w:szCs w:val="20"/>
          <w:color w:val="auto"/>
        </w:rPr>
      </w:pPr>
    </w:p>
    <w:p>
      <w:pPr>
        <w:ind w:left="2260" w:hanging="955"/>
        <w:spacing w:after="0"/>
        <w:tabs>
          <w:tab w:leader="none" w:pos="2260" w:val="left"/>
        </w:tabs>
        <w:numPr>
          <w:ilvl w:val="1"/>
          <w:numId w:val="816"/>
        </w:numPr>
        <w:rPr>
          <w:rFonts w:ascii="Arial" w:cs="Arial" w:eastAsia="Arial" w:hAnsi="Arial"/>
          <w:sz w:val="16"/>
          <w:szCs w:val="16"/>
          <w:color w:val="auto"/>
        </w:rPr>
      </w:pPr>
      <w:r>
        <w:rPr>
          <w:rFonts w:ascii="Arial" w:cs="Arial" w:eastAsia="Arial" w:hAnsi="Arial"/>
          <w:sz w:val="16"/>
          <w:szCs w:val="16"/>
          <w:color w:val="auto"/>
        </w:rPr>
        <w:t>If the ABL Collateral Agent takes any enforcement action with respect to the ABL Priority Collateral, the LC Secured Parties</w:t>
      </w:r>
    </w:p>
    <w:p>
      <w:pPr>
        <w:spacing w:after="0" w:line="46" w:lineRule="exact"/>
        <w:rPr>
          <w:rFonts w:ascii="Arial" w:cs="Arial" w:eastAsia="Arial" w:hAnsi="Arial"/>
          <w:sz w:val="16"/>
          <w:szCs w:val="16"/>
          <w:color w:val="auto"/>
        </w:rPr>
      </w:pPr>
    </w:p>
    <w:p>
      <w:pPr>
        <w:jc w:val="both"/>
        <w:ind w:firstLine="8"/>
        <w:spacing w:after="0" w:line="281" w:lineRule="auto"/>
        <w:tabs>
          <w:tab w:leader="none" w:pos="222" w:val="left"/>
        </w:tabs>
        <w:numPr>
          <w:ilvl w:val="0"/>
          <w:numId w:val="817"/>
        </w:numPr>
        <w:rPr>
          <w:rFonts w:ascii="Arial" w:cs="Arial" w:eastAsia="Arial" w:hAnsi="Arial"/>
          <w:sz w:val="16"/>
          <w:szCs w:val="16"/>
          <w:color w:val="auto"/>
        </w:rPr>
      </w:pPr>
      <w:r>
        <w:rPr>
          <w:rFonts w:ascii="Arial" w:cs="Arial" w:eastAsia="Arial" w:hAnsi="Arial"/>
          <w:sz w:val="16"/>
          <w:szCs w:val="16"/>
          <w:color w:val="auto"/>
        </w:rPr>
        <w:t>shall cooperate with the ABL Collateral Agent (subject to the condition that the LC Secured Parties shall have no obligation or duty to take any action or refrain from taking any action that could reasonably be expected to result in the incurrence of any unreimbursed liability or damage to the LC Secured Parties) in its efforts to enforce its security interest in the ABL Priority Collateral, including to finish any work-in-process and assemble the ABL Priority Collateral,</w:t>
      </w:r>
    </w:p>
    <w:p>
      <w:pPr>
        <w:spacing w:after="0" w:line="2" w:lineRule="exact"/>
        <w:rPr>
          <w:rFonts w:ascii="Arial" w:cs="Arial" w:eastAsia="Arial" w:hAnsi="Arial"/>
          <w:sz w:val="16"/>
          <w:szCs w:val="16"/>
          <w:color w:val="auto"/>
        </w:rPr>
      </w:pPr>
    </w:p>
    <w:p>
      <w:pPr>
        <w:jc w:val="both"/>
        <w:ind w:firstLine="8"/>
        <w:spacing w:after="0" w:line="266" w:lineRule="auto"/>
        <w:tabs>
          <w:tab w:leader="none" w:pos="267" w:val="left"/>
        </w:tabs>
        <w:numPr>
          <w:ilvl w:val="0"/>
          <w:numId w:val="817"/>
        </w:numPr>
        <w:rPr>
          <w:rFonts w:ascii="Arial" w:cs="Arial" w:eastAsia="Arial" w:hAnsi="Arial"/>
          <w:sz w:val="17"/>
          <w:szCs w:val="17"/>
          <w:color w:val="auto"/>
        </w:rPr>
      </w:pPr>
      <w:r>
        <w:rPr>
          <w:rFonts w:ascii="Arial" w:cs="Arial" w:eastAsia="Arial" w:hAnsi="Arial"/>
          <w:sz w:val="17"/>
          <w:szCs w:val="17"/>
          <w:color w:val="auto"/>
        </w:rPr>
        <w:t xml:space="preserve">shall not take or direct the LC Collateral Agent (including any receiver, receiver and manager, interim receiver or agent appointed by it) to take any action designed or intended to hinder or restrict in any respect the ABL Collateral Agent (including any receiver, receiver and manager, interim receiver or agent appointed by it) from enforcing its security interest in the ABL Priority Collateral, including finishing any work-in- process or assembling the ABL Priority Collateral, and (iii) shall permit and direct the LC Collateral Agent, and each other LC Collateral Agent (including any receiver, receiver and manager, interim receiver delegate or agent they may appoint) to permit the ABL Collateral Agent, and their respective employees, advisers and representatives (and including any receiver, receiver and manager, interim receiver delegate or agent they may appoint), upon reasonable advance notice, to enter upon and use the LC Priority Collateral (including (x) equipment, processors, computers and other machinery related to the storage or processing of records, documents or files and (y) intellectual property) for a period not to exceed 180 days (except with respect to intellectual property, which use shall be permitted in accordance by Section 2.08(c)) after the taking of such enforcement action, for purposes (to the extent permitted under applicable law) of (A) assembling and storing the ABL Priority Collateral and completing the processing of and turning into finished goods of any ABL Priority Collateral consisting of work-in-process, (B) selling any or all of the ABL Priority Collateral located on such LC Priority Collateral, whether in bulk, in lots or to customers in the ordinary course of business or otherwise, (C) removing any or all of the ABL Priority Collateral located on such LC Priority Collateral, or (D) taking reasonable actions to protect, secure, and otherwise enforce the rights and remedies of the ABL Secured Parties and the ABL Collateral Agent in and to and relating to the ABL Priority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in this Agreement shall restrict the rights of a LC Collateral Agent (acting on the instructions of the applicable LC Secured Parties) from selling, assigning or otherwise transferring any LC Priority Collateral prior to the expiration of such 180-day period if the purchaser, assignee or transferee thereof agrees to be bound by the provisions of this Section. If any stay or other order prohibiting the exercise of remedies with respect to the ABL Priority Collateral has been entered by a court of competent jurisdiction, such 180-day period shall be tolled during the pendency of any such stay or other order. If the ABL Collateral Agent (including any receiver, receiver and manager, interim receiver or agent appointed by it) conducts a public auction or private sale of the ABL Priority Collateral at any of the real property included within the LC Priority Collateral, the ABL Collateral Agent shall use reasonable efforts to hold such auction or sale in a manner which would not unduly disrupt any LC Collateral Agent’s use of such real property for the benefit of the LC Secured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87" w:name="page688"/>
    <w:bookmarkEnd w:id="687"/>
    <w:p>
      <w:pPr>
        <w:jc w:val="both"/>
        <w:ind w:firstLine="1305"/>
        <w:spacing w:after="0" w:line="286" w:lineRule="auto"/>
        <w:tabs>
          <w:tab w:leader="none" w:pos="2235" w:val="left"/>
        </w:tabs>
        <w:numPr>
          <w:ilvl w:val="0"/>
          <w:numId w:val="818"/>
        </w:numPr>
        <w:rPr>
          <w:rFonts w:ascii="Arial" w:cs="Arial" w:eastAsia="Arial" w:hAnsi="Arial"/>
          <w:sz w:val="16"/>
          <w:szCs w:val="16"/>
          <w:color w:val="auto"/>
        </w:rPr>
      </w:pPr>
      <w:r>
        <w:rPr>
          <w:rFonts w:ascii="Arial" w:cs="Arial" w:eastAsia="Arial" w:hAnsi="Arial"/>
          <w:sz w:val="16"/>
          <w:szCs w:val="16"/>
          <w:color w:val="auto"/>
        </w:rPr>
        <w:t>During the period of actual occupation, use or control by the ABL Secured Parties or their agents or representatives (including the ABL Collateral Agent to the extent acting on behalf of such parties and including any receiver, receiver and manager, interim receiver, delegate or agent they may appoint) of any LC Priority Collateral, the ABL Secured Parties shall be obligated to (i) pay any rent, utilities or other costs and expenses necessary for LC Collateral Agent to access such LC Priority Collateral and (ii) repair at their expense any physical damage to such LC Priority Collateral or other assets or property resulting from such occupancy, use or control, and to leave such LC Priority Collateral or other assets or property in substantially the same condition as it was at the commencement of such occupancy, use or control, ordinary wear and tear excepted. Notwithstanding the foregoing, in no event shall the ABL Secured Parties have any liability to the LC Secured Parties pursuant to this Section as a result of any condition (including any environmental condition, claim or liability) on or with respect to the LC Priority Collateral existing prior to the date of the exercise by the ABL Secured Parties of their rights under this Section, and the ABL Secured Parties shall have no duty or liability to maintain the LC Priority Collateral in a condition or manner better than that in which it was maintained prior to the use thereof by the ABL Secured Parties, or for any diminution in the value of the LC Priority Collateral that results solely from ordinary wear and tear resulting from the use of the LC Priority Collateral by the ABL Secured Parties in the manner and for the time periods specified under this Section 2.08 or the absence of the ABL Priority Collateral therefrom. Without limiting the rights granted in this paragraph, the ABL Secured Parties shall cooperate with the LC Collateral Agent (subject to the condition that the ABL Secured Parties shall have no obligation or duty to take any action or refrain from taking any action that could reasonably be expected to result in the incurrence of any unreimbursed liability or damage to the ABL Secured Parties) in connection with any efforts made by it to cause the LC Priority Collateral to be sold.</w:t>
      </w:r>
    </w:p>
    <w:p>
      <w:pPr>
        <w:spacing w:after="0" w:line="168" w:lineRule="exact"/>
        <w:rPr>
          <w:rFonts w:ascii="Arial" w:cs="Arial" w:eastAsia="Arial" w:hAnsi="Arial"/>
          <w:sz w:val="16"/>
          <w:szCs w:val="16"/>
          <w:color w:val="auto"/>
        </w:rPr>
      </w:pPr>
    </w:p>
    <w:p>
      <w:pPr>
        <w:jc w:val="both"/>
        <w:ind w:firstLine="1305"/>
        <w:spacing w:after="0" w:line="269" w:lineRule="auto"/>
        <w:tabs>
          <w:tab w:leader="none" w:pos="2266" w:val="left"/>
        </w:tabs>
        <w:numPr>
          <w:ilvl w:val="0"/>
          <w:numId w:val="818"/>
        </w:numPr>
        <w:rPr>
          <w:rFonts w:ascii="Arial" w:cs="Arial" w:eastAsia="Arial" w:hAnsi="Arial"/>
          <w:sz w:val="17"/>
          <w:szCs w:val="17"/>
          <w:color w:val="auto"/>
        </w:rPr>
      </w:pPr>
      <w:r>
        <w:rPr>
          <w:rFonts w:ascii="Arial" w:cs="Arial" w:eastAsia="Arial" w:hAnsi="Arial"/>
          <w:sz w:val="17"/>
          <w:szCs w:val="17"/>
          <w:color w:val="auto"/>
        </w:rPr>
        <w:t xml:space="preserve">In addition, the LC Secured Parties and their respective Senior Representatives hereby grant to the ABL Collateral Agent and the ABL Secured Parties a non- exclusive worldwide license or right to use, to the maximum extent permitted by applicable law and to the extent of their interest therein, exercisable without payment of royalty or other compensation, any of the LC Priority Collateral consisting of intellectual property in connection with the liquidation, collection, disposition or other realization upon the ABL Priority Collateral pursuant to any enforcement action by the ABL Collateral Agent and the ABL Secured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such non-exclusive license shall immediately expire upon the sale, lease, transfer or other disposition of all such ABL Priority Collateral or upon the Discharge of the ABL Obligations and shall not extend or transfer to the purchaser of such ABL Priority Collateral (other than any rights to use such intellectual property as may exist in favor of any bona fide purchaser under applicable law). The ABL Collateral Agent’s use of such intellectual property shall be lawful, and any such license is granted on an “AS IS” basis, without any representation or warranty whatsoever. Furthermore, each LC Collateral Agent agrees that, in connection with any exercise of remedies available to any LC Collateral Agent in respect of LC Priority Collateral, such LC Collateral Agent shall provide written notice to any purchaser, assignee or transferee of intellectual property pursuant to such exercise of remedies, that the applicable intellectual property is subject to such license.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8" w:name="page689"/>
    <w:bookmarkEnd w:id="688"/>
    <w:p>
      <w:pPr>
        <w:jc w:val="both"/>
        <w:ind w:firstLine="1297"/>
        <w:spacing w:after="0" w:line="270" w:lineRule="auto"/>
        <w:rPr>
          <w:sz w:val="20"/>
          <w:szCs w:val="20"/>
          <w:color w:val="auto"/>
        </w:rPr>
      </w:pPr>
      <w:r>
        <w:rPr>
          <w:rFonts w:ascii="Arial" w:cs="Arial" w:eastAsia="Arial" w:hAnsi="Arial"/>
          <w:sz w:val="17"/>
          <w:szCs w:val="17"/>
          <w:color w:val="auto"/>
        </w:rPr>
        <w:t>SECTION 2.09 Insurance. Unless and until the ABL Obligations have been Discharged, as between the ABL Collateral Agent, on the one hand, and the LC Collateral Agent, on the other hand, only the ABL Collateral Agent will have the right (subject to the rights of the Grantors under the ABL Documents and the LC Documents) to adjust or settle any insurance policy or claim covering or constituting ABL Priority Collateral in the event of any loss thereunder and to approve any award granted in any condemnation or similar proceeding affecting the ABL Priority Collateral. Unless and until the LC Obligations have been Discharged, as between the ABL Collateral Agent, on the one hand, and the LC Collateral Agent, on the other hand, only the LC Collateral Agent will have the right (subject to the rights of the Grantors under the ABL Documents and the LC Documents) to adjust or settle any insurance policy covering or constituting LC Priority Collateral in the event of any loss thereunder and to approve any award granted in any condemnation or similar proceeding solely affecting the LC Priority Collateral. To the extent that an insured loss covers or constitutes ABL Priority Collateral and LC Priority Collateral, then the ABL Collateral Agent and the LC Collateral Agent will work jointly and in good faith to collect, adjust or settle (subject to the rights of the Grantors under the ABL Documents and the LC Obligations Documents) under the relevant insurance policy.</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SECTION 2.10 Refinancings. Each of the ABL Obligations and the LC Obligations and the agreements governing them may be Refinanced, in each case without notice to, or the consent (except to the extent a consent is otherwise required to permit the Refinancing transaction under any ABL Document or any LC Obligations Document, as in effect on the date hereof or as may be amended in accordance with the terms hereof) of, any ABL Secured Party or any LC Secured Party, all without affecting the priorities provided for herein or the other provisions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holders of any such Refinancing indebtedness (or an authorized agent or trustee on their behalf) bind themselves in writing (to the extent they are not already so bound) to the terms of this Agreement pursuant to a joinder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such other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at the request and sole expense of the Parent, and without the consent (except to the extent a consent is otherwise required to permit such Refinancing transaction under any ABL Document or any LC Obligations Document, and other than the consent of each Applicable Senior Collateral Agent, whose consent shall still be required to the extent set forth in the proviso of the immediately preceding sentence) of any Representative, (a) to add parties (or any authorized agent or trustee therefor) providing any such Refinancing, (b) to confirm that such Refinancing indebtedness in respect of any LC Obligations shall have the same rights and priorities in respect of any LC Priority Collateral as the indebtedness being Refinanced and (c) to confirm that such Refinancing indebtedness in respect of any ABL Obligations shall have the same rights and priorities in respect of any ABL Priority Collateral as the indebtedness being Refinanced, all on the terms provided for herein immediately prior to such Refinancing. Any such additional party and each Applicable Senior Collateral Agent shall be entitled to rely on the determination of officers of the Parent that such modifications do not violate the ABL Documents or the LC Documents if such determination is set forth in an officers’ certificate delivered to such party and each Applicable Senior Collateral Agent;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such determination will not affect whether or not the Parent and the Grantors have complied with their undertakings in any such document or this Agreement. In connection with the delivery of a joinder as set forth above, the Parent shall deliver an officer’s certificate to each Collateral Agent certifying that the Refinancing, including the incurrence of indebtedness and the incurrence of liens in respect thereof, qualifies as a Refinancing as defined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89" w:name="page690"/>
    <w:bookmarkEnd w:id="689"/>
    <w:p>
      <w:pPr>
        <w:ind w:left="1300"/>
        <w:spacing w:after="0"/>
        <w:tabs>
          <w:tab w:leader="none" w:pos="26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Amendments to Security Documents.</w:t>
      </w:r>
    </w:p>
    <w:p>
      <w:pPr>
        <w:spacing w:after="0" w:line="225" w:lineRule="exact"/>
        <w:rPr>
          <w:sz w:val="20"/>
          <w:szCs w:val="20"/>
          <w:color w:val="auto"/>
        </w:rPr>
      </w:pPr>
    </w:p>
    <w:p>
      <w:pPr>
        <w:jc w:val="both"/>
        <w:ind w:firstLine="1305"/>
        <w:spacing w:after="0" w:line="259" w:lineRule="auto"/>
        <w:tabs>
          <w:tab w:leader="none" w:pos="232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Subject to paragraph (c) below, each of the LC Collateral Agent and other LC Secured Parties agrees that, without the prior written consent of the ABL Collateral Agent, no LC Security Document to which such LC Collateral Agent or LC Secured Party is party may be amended, supplemented or otherwise modified or entered into to the extent such amendment, supplement or modification or the terms of any new LC Security Document would be prohibited by or inconsistent with any of the terms of this Agreement.</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222" w:val="left"/>
        </w:tabs>
        <w:numPr>
          <w:ilvl w:val="0"/>
          <w:numId w:val="819"/>
        </w:numPr>
        <w:rPr>
          <w:rFonts w:ascii="Arial" w:cs="Arial" w:eastAsia="Arial" w:hAnsi="Arial"/>
          <w:sz w:val="17"/>
          <w:szCs w:val="17"/>
          <w:color w:val="auto"/>
        </w:rPr>
      </w:pPr>
      <w:r>
        <w:rPr>
          <w:rFonts w:ascii="Arial" w:cs="Arial" w:eastAsia="Arial" w:hAnsi="Arial"/>
          <w:sz w:val="17"/>
          <w:szCs w:val="17"/>
          <w:color w:val="auto"/>
        </w:rPr>
        <w:t>Subject to paragraph (c) below, each of the ABL Collateral Agent and other ABL Secured Parties agrees that, without the prior written consent of the LC Collateral Agent and each LC Collateral Agent, no ABL Security Document to which the ABL Collateral Agent or ABL Secured Parties are party may be amended, supplemented or otherwise modified or entered into to the extent such amendment, supplement or modification or the terms of any new ABL Security Document would be prohibited by or inconsistent with any of the terms of this Agreement.</w:t>
      </w:r>
    </w:p>
    <w:p>
      <w:pPr>
        <w:spacing w:after="0" w:line="171" w:lineRule="exact"/>
        <w:rPr>
          <w:rFonts w:ascii="Arial" w:cs="Arial" w:eastAsia="Arial" w:hAnsi="Arial"/>
          <w:sz w:val="17"/>
          <w:szCs w:val="17"/>
          <w:color w:val="auto"/>
        </w:rPr>
      </w:pPr>
    </w:p>
    <w:p>
      <w:pPr>
        <w:jc w:val="both"/>
        <w:ind w:firstLine="1305"/>
        <w:spacing w:after="0" w:line="287" w:lineRule="auto"/>
        <w:tabs>
          <w:tab w:leader="none" w:pos="2225" w:val="left"/>
        </w:tabs>
        <w:numPr>
          <w:ilvl w:val="0"/>
          <w:numId w:val="819"/>
        </w:numPr>
        <w:rPr>
          <w:rFonts w:ascii="Arial" w:cs="Arial" w:eastAsia="Arial" w:hAnsi="Arial"/>
          <w:sz w:val="16"/>
          <w:szCs w:val="16"/>
          <w:color w:val="auto"/>
        </w:rPr>
      </w:pPr>
      <w:r>
        <w:rPr>
          <w:rFonts w:ascii="Arial" w:cs="Arial" w:eastAsia="Arial" w:hAnsi="Arial"/>
          <w:sz w:val="16"/>
          <w:szCs w:val="16"/>
          <w:color w:val="auto"/>
        </w:rPr>
        <w:t xml:space="preserve">In the event that any Senior Collateral Agent or Senior Secured Obligations Secured Parties enter into any amendment, waiver or consent in respect of or replace any of the Senior Secured Obligations Collateral Documents for the purpose of adding to, or deleting from, or waiving or consenting to any departures from any provisions of, such Senior Secured Obligations Collateral Document or changing in any manner the rights of such Senior Collateral Agent, such Senior Secured Obligations Secured Parties, the Grantors thereunder (including the release of any Liens in the applicable Senior Secured Obligations Collateral), then such amendment, waiver or consent shall apply automatically to any comparable provision of each Comparable Junior Priority Collateral Document without the consent of any Junior Collateral Agent or any Junior Secured Obligations Secured Party and without any action by any Junior Collateral Agent, any Junior Secured Obligations Secured Party, the Parent or any other Grantor;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such amendment, waiver or consent does not materially adversely affect the rights of the applicable Junior Secured Obligations Secured Parties or the interests of the applicable Junior Secured Obligations Secured Parties in the applicable Junior Secured Obligations Collateral and not the Senior Collateral Agent or the Senior Secured Obligations Secured Parties, as the case may be, that have a security interest in the affected collateral in a like or similar manner, and (B) written notice of such amendment, waiver or consent shall have been given by the Parent to the Applicable Junior Collateral Agent.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0" w:name="page691"/>
    <w:bookmarkEnd w:id="690"/>
    <w:p>
      <w:pPr>
        <w:jc w:val="both"/>
        <w:ind w:firstLine="1305"/>
        <w:spacing w:after="0" w:line="255" w:lineRule="auto"/>
        <w:tabs>
          <w:tab w:leader="none" w:pos="2208" w:val="left"/>
        </w:tabs>
        <w:numPr>
          <w:ilvl w:val="0"/>
          <w:numId w:val="8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LC Collateral Agent and other LC Secured Parties and the ABL Collateral Agent and other ABL Secured Parties hereby agree that they will not amend or otherwise modify the provisions of the LC Documents or the ABL Documents related to the Refinancing or payment of any Obligations (including ordinary course payments) in a manner that makes them more restrictive to Grantors or otherwise prohibits or restricts a Refinancing or payment permitted under the LC Documents or ABL Documents as in effect on the date hereof. The LC Collateral Agent and other LC Secured Parties hereby agree that they will not amend or otherwise modify Section 8.09 of the LC Credit Agreement, the definition of “Liquidity,” any of the terms or definitions used to calculate compliance with Section 8.09 of the LC Credit Agreement, or the effect of any breach of Section 8.9 of the LC Credit Agreement.</w:t>
      </w:r>
    </w:p>
    <w:p>
      <w:pPr>
        <w:spacing w:after="0" w:line="189"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color w:val="auto"/>
        </w:rPr>
        <w:t>Possessory Collateral Agent as Gratuitous Bailee for Perfection.</w:t>
      </w:r>
    </w:p>
    <w:p>
      <w:pPr>
        <w:spacing w:after="0" w:line="225" w:lineRule="exact"/>
        <w:rPr>
          <w:sz w:val="20"/>
          <w:szCs w:val="20"/>
          <w:color w:val="auto"/>
        </w:rPr>
      </w:pPr>
    </w:p>
    <w:p>
      <w:pPr>
        <w:ind w:firstLine="1305"/>
        <w:spacing w:after="0" w:line="269" w:lineRule="auto"/>
        <w:tabs>
          <w:tab w:leader="none" w:pos="2171" w:val="left"/>
        </w:tabs>
        <w:numPr>
          <w:ilvl w:val="0"/>
          <w:numId w:val="821"/>
        </w:numPr>
        <w:rPr>
          <w:rFonts w:ascii="Arial" w:cs="Arial" w:eastAsia="Arial" w:hAnsi="Arial"/>
          <w:sz w:val="17"/>
          <w:szCs w:val="17"/>
          <w:color w:val="auto"/>
        </w:rPr>
      </w:pPr>
      <w:r>
        <w:rPr>
          <w:rFonts w:ascii="Arial" w:cs="Arial" w:eastAsia="Arial" w:hAnsi="Arial"/>
          <w:sz w:val="17"/>
          <w:szCs w:val="17"/>
          <w:color w:val="auto"/>
        </w:rPr>
        <w:t>Each Possessory Collateral Agent agrees to hold the Possessory Collateral that is in its possession or control (or in the possession or control of its agents or bailees) as gratuitous bailee for, or, as applicable, on trust for, the benefit of each Secured Party and any assignee solely for the purpose of perfecting the security interest granted in such Possessory Collateral pursuant to the ABL Security Documents or the LC Security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same. Pending such delivery to the Applicable Possessory Collateral Agent, each other Collateral Agent agrees to hold any Possessory Collateral as gratuitous bailee, or, as applicable, on trust for, for the benefit of each other Secured Party and any assignee, solely for the purpose of perfecting the security interest granted in such Possessory Collateral, if any, pursuant to the applicable ABL Security Documents or LC Security Documents, in each case subject to the terms and conditions of this Section 2.12.</w:t>
      </w:r>
    </w:p>
    <w:p>
      <w:pPr>
        <w:spacing w:after="0" w:line="182" w:lineRule="exact"/>
        <w:rPr>
          <w:rFonts w:ascii="Arial" w:cs="Arial" w:eastAsia="Arial" w:hAnsi="Arial"/>
          <w:sz w:val="17"/>
          <w:szCs w:val="17"/>
          <w:color w:val="auto"/>
        </w:rPr>
      </w:pPr>
    </w:p>
    <w:p>
      <w:pPr>
        <w:jc w:val="both"/>
        <w:ind w:firstLine="1305"/>
        <w:spacing w:after="0" w:line="264" w:lineRule="auto"/>
        <w:tabs>
          <w:tab w:leader="none" w:pos="2208" w:val="left"/>
        </w:tabs>
        <w:numPr>
          <w:ilvl w:val="0"/>
          <w:numId w:val="821"/>
        </w:numPr>
        <w:rPr>
          <w:rFonts w:ascii="Arial" w:cs="Arial" w:eastAsia="Arial" w:hAnsi="Arial"/>
          <w:sz w:val="18"/>
          <w:szCs w:val="18"/>
          <w:color w:val="auto"/>
        </w:rPr>
      </w:pPr>
      <w:r>
        <w:rPr>
          <w:rFonts w:ascii="Arial" w:cs="Arial" w:eastAsia="Arial" w:hAnsi="Arial"/>
          <w:sz w:val="18"/>
          <w:szCs w:val="18"/>
          <w:color w:val="auto"/>
        </w:rPr>
        <w:t>The duties or responsibilities of each Possessory Collateral Agent and each other Collateral Agent under this Section 2.12 shall be limited solely to holding the Possessory Collateral as gratuitous bailee, or, as applicable, on trust for, for the benefit of each Secured Party for purposes of perfecting the security interest held by the Secured Parties therein.</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198" w:val="left"/>
        </w:tabs>
        <w:numPr>
          <w:ilvl w:val="0"/>
          <w:numId w:val="821"/>
        </w:numPr>
        <w:rPr>
          <w:rFonts w:ascii="Arial" w:cs="Arial" w:eastAsia="Arial" w:hAnsi="Arial"/>
          <w:sz w:val="18"/>
          <w:szCs w:val="18"/>
          <w:color w:val="auto"/>
        </w:rPr>
      </w:pPr>
      <w:r>
        <w:rPr>
          <w:rFonts w:ascii="Arial" w:cs="Arial" w:eastAsia="Arial" w:hAnsi="Arial"/>
          <w:sz w:val="18"/>
          <w:szCs w:val="18"/>
          <w:color w:val="auto"/>
        </w:rPr>
        <w:t>Upon the Discharge of all LC Obligations, the LC Collateral Agent shall deliver to the ABL Collateral Agent, to the extent that it is legally permitted to do so, the remaining Possessory Collateral (if any) held by it, together with any necessary endorsements (or otherwise allow the ABL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gross negligence or bad faith. No LC Collateral Agent shall be obligated to follow instructions from the ABL Collateral Agent in contravention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1" w:name="page692"/>
    <w:bookmarkEnd w:id="691"/>
    <w:p>
      <w:pPr>
        <w:jc w:val="both"/>
        <w:ind w:firstLine="1305"/>
        <w:spacing w:after="0" w:line="255" w:lineRule="auto"/>
        <w:tabs>
          <w:tab w:leader="none" w:pos="2289" w:val="left"/>
        </w:tabs>
        <w:numPr>
          <w:ilvl w:val="0"/>
          <w:numId w:val="822"/>
        </w:numPr>
        <w:rPr>
          <w:rFonts w:ascii="Arial" w:cs="Arial" w:eastAsia="Arial" w:hAnsi="Arial"/>
          <w:sz w:val="18"/>
          <w:szCs w:val="18"/>
          <w:color w:val="auto"/>
        </w:rPr>
      </w:pPr>
      <w:r>
        <w:rPr>
          <w:rFonts w:ascii="Arial" w:cs="Arial" w:eastAsia="Arial" w:hAnsi="Arial"/>
          <w:sz w:val="18"/>
          <w:szCs w:val="18"/>
          <w:color w:val="auto"/>
        </w:rPr>
        <w:t>Upon the Discharge of all ABL Obligations, the ABL Collateral Agent shall deliver to the LC Collateral Agent, to the extent that it is legally permitted to do so, the remaining Possessory Collateral (if any) held by it, together with any necessary endorsements (or otherwise allow the LC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gross negligence or bad faith. The ABL Collateral Agent shall not be obligated to follow instructions from any LC Collateral Agent in contravention of this Agreement.</w:t>
      </w:r>
    </w:p>
    <w:p>
      <w:pPr>
        <w:spacing w:after="0" w:line="189"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SECTION 2.13 Control Agreements. The ABL Collateral Agent hereby agrees to act as collateral agent of the LC Secured Parties under each control agreement solely for the purpose of perfecting the Lien of the LC Secured Parties in the deposit accounts and securities accounts subject to such control agreements by control. The LC Collateral Agent, on behalf of the LC Secured Parties, hereby appoints the ABL Collateral Agent to act as its collateral agent under each such control agreement, as applicable. The duties or responsibilities of the ABL Collateral Agent under this Section 2.13 shall be limited solely to acting as agent for the benefit of each LC Secured Party for purposes of perfecting the security interest held by the Secured Parties in the deposit accounts and securities accounts subject to such control agreements by control, in each case prior to the Discharge of all ABL Obligations</w:t>
      </w:r>
    </w:p>
    <w:p>
      <w:pPr>
        <w:spacing w:after="0" w:line="16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SECTION 2.14 Rights under Permits and Licenses. The LC Collateral Agent agrees that if the ABL Collateral Agent shall require rights available under any permit or license controlled by the LC Collateral Agent (as certified to the LC Collateral Agent by the ABL Collateral Agent, upon which the LC Collateral Agent may rely) in order to realize on any ABL Priority Collateral, the LC Collateral Agent shall (subject to the terms of the LC Documents, including the LC Collateral Agent’s rights to indemnification thereunder) take all such actions as shall be available to it (at the sole expense of the Grantors), consistent with applicable law and reasonably requested by the ABL Collateral Agent in writing, to make such rights available to the ABL Collateral Agent, subject to the Liens held by the LC Collateral Agent for the benefit of the LC Secured Parties. The ABL Collateral Agent agrees that if the LC Collateral Agent shall require rights available under any permit or license controlled by the ABL Collateral Agent (as certified to the ABL Collateral Agent by the LC Collateral Agent, upon which the ABL Collateral Agent may rely) in order to realize on any LC Priority Collateral, the ABL Collateral Agent shall (subject to the terms of the ABL Documents, including such ABL Collateral Agent’s rights to indemnification thereunder) take all such actions as shall be available to it (at the sole expense of the Grantors), consistent with applicable law and reasonably requested by the LC Collateral Agent in writing, to make such rights available to the LC Collateral Agent, subject to the Liens held by the ABL Collateral Agent for the benefit of the ABL Secured Parties.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2" w:name="page693"/>
    <w:bookmarkEnd w:id="692"/>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Existence and Amounts of Liens and Obligations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Collateral subject to any such Lien, it may, acting reasonably, request that such information be furnished to it in writing by the other Representatives and shall be entitled to make such determination on the basis of the information so furnished;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Parent. Each Representative may rely conclusively, and shall be fully protected in so relying, on any determination made by it in accordance with the provisions of the preceding sentence (or as otherwise directed by a court of competent jurisdiction) and shall have no liability to the Parent or any of its subsidiaries, any Secured Party or any other Person as a result of such determination.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Grantors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Grantor hereby consents to the provisions of this Agreement and the intercreditor arrangements provided for herein and agrees that the obligations of the Grantors under the ABL Security Documents, the LC Security Documents or the Foreign Collateral Documents will in no way be diminished or otherwise affected by such provisions or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5.01 Representations and Warranties of Each Party. Each party hereto represents and warrants to the other parties hereto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1305"/>
        <w:spacing w:after="0" w:line="264" w:lineRule="auto"/>
        <w:tabs>
          <w:tab w:leader="none" w:pos="2252" w:val="left"/>
        </w:tabs>
        <w:numPr>
          <w:ilvl w:val="1"/>
          <w:numId w:val="823"/>
        </w:numPr>
        <w:rPr>
          <w:rFonts w:ascii="Arial" w:cs="Arial" w:eastAsia="Arial" w:hAnsi="Arial"/>
          <w:sz w:val="18"/>
          <w:szCs w:val="18"/>
          <w:color w:val="auto"/>
        </w:rPr>
      </w:pPr>
      <w:r>
        <w:rPr>
          <w:rFonts w:ascii="Arial" w:cs="Arial" w:eastAsia="Arial" w:hAnsi="Arial"/>
          <w:sz w:val="18"/>
          <w:szCs w:val="18"/>
          <w:color w:val="auto"/>
        </w:rPr>
        <w:t>Such party is duly organized or incorporated (as the case may be), validly existing and, if applicable, in good standing (or the equivalent status under the laws of any foreign jurisdiction) under the laws of the jurisdiction of its organization or incorporation (as the case may be) and has all requisite power and authority to enter into and perform its obligations under this Agreement.</w:t>
      </w:r>
    </w:p>
    <w:p>
      <w:pPr>
        <w:spacing w:after="0" w:line="181" w:lineRule="exact"/>
        <w:rPr>
          <w:rFonts w:ascii="Arial" w:cs="Arial" w:eastAsia="Arial" w:hAnsi="Arial"/>
          <w:sz w:val="18"/>
          <w:szCs w:val="18"/>
          <w:color w:val="auto"/>
        </w:rPr>
      </w:pPr>
    </w:p>
    <w:p>
      <w:pPr>
        <w:ind w:left="2240" w:hanging="935"/>
        <w:spacing w:after="0"/>
        <w:tabs>
          <w:tab w:leader="none" w:pos="224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such party.</w:t>
      </w:r>
    </w:p>
    <w:p>
      <w:pPr>
        <w:spacing w:after="0" w:line="225" w:lineRule="exact"/>
        <w:rPr>
          <w:rFonts w:ascii="Arial" w:cs="Arial" w:eastAsia="Arial" w:hAnsi="Arial"/>
          <w:sz w:val="18"/>
          <w:szCs w:val="18"/>
          <w:color w:val="auto"/>
        </w:rPr>
      </w:pPr>
    </w:p>
    <w:p>
      <w:pPr>
        <w:ind w:left="2220" w:hanging="915"/>
        <w:spacing w:after="0"/>
        <w:tabs>
          <w:tab w:leader="none" w:pos="22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The execution, delivery and performance by such party of this Agreement</w:t>
      </w:r>
    </w:p>
    <w:p>
      <w:pPr>
        <w:spacing w:after="0" w:line="23" w:lineRule="exact"/>
        <w:rPr>
          <w:rFonts w:ascii="Arial" w:cs="Arial" w:eastAsia="Arial" w:hAnsi="Arial"/>
          <w:sz w:val="18"/>
          <w:szCs w:val="18"/>
          <w:color w:val="auto"/>
        </w:rPr>
      </w:pPr>
    </w:p>
    <w:p>
      <w:pPr>
        <w:ind w:right="20" w:firstLine="8"/>
        <w:spacing w:after="0" w:line="323" w:lineRule="auto"/>
        <w:tabs>
          <w:tab w:leader="none" w:pos="260" w:val="left"/>
        </w:tabs>
        <w:numPr>
          <w:ilvl w:val="0"/>
          <w:numId w:val="824"/>
        </w:numPr>
        <w:rPr>
          <w:rFonts w:ascii="Arial" w:cs="Arial" w:eastAsia="Arial" w:hAnsi="Arial"/>
          <w:sz w:val="16"/>
          <w:szCs w:val="16"/>
          <w:color w:val="auto"/>
        </w:rPr>
      </w:pPr>
      <w:r>
        <w:rPr>
          <w:rFonts w:ascii="Arial" w:cs="Arial" w:eastAsia="Arial" w:hAnsi="Arial"/>
          <w:sz w:val="16"/>
          <w:szCs w:val="16"/>
          <w:color w:val="auto"/>
        </w:rPr>
        <w:t>do not require any consent or approval of, registration or filing with or any other action by any governmental authority, (ii) will not violate any applicable law or regulation or any order of any governmental authority and (iii) will not violate the charter, by-laws or other organizational documents of such party.</w:t>
      </w:r>
    </w:p>
    <w:p>
      <w:pPr>
        <w:spacing w:after="0" w:line="13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SECTION 5.02 Representations and Warranties of Each Representative. Each Collateral Agent and Representative represents and warrants to the other parties hereto that it is authorized under the ABL Credit Agreement or the LC Obligations Credit Agreement, as applicable, to enter into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3" w:name="page694"/>
    <w:bookmarkEnd w:id="693"/>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 Agency for Foreign Collateral</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SECTION 6.01 Appointment of Foreign Collateral Agent. It is acknowledged that, in certain jurisdictions outside of the United State of America, applicable law prevents both the ABL Collateral Agent and the LC Collateral Agent from obtaining liens on the Collateral. In such circumstances, solely for Foreign Collateral, the parties hereto agree that (i) WF is hereby appointed as Foreign Collateral Agent and sub-agent for the Collateral Agents and</w:t>
      </w:r>
    </w:p>
    <w:p>
      <w:pPr>
        <w:jc w:val="both"/>
        <w:ind w:firstLine="8"/>
        <w:spacing w:after="0" w:line="285" w:lineRule="auto"/>
        <w:tabs>
          <w:tab w:leader="none" w:pos="310" w:val="left"/>
        </w:tabs>
        <w:numPr>
          <w:ilvl w:val="0"/>
          <w:numId w:val="82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Foreign Collateral Agent is permitted to hold Liens on such Foreign Collateral on trust for the Secured Parties notwithstanding the inability of any other Collateral Agent to hold similar Liens. In recognition of the foregoing, each other Collateral Agent hereby irrevocably appoints WF to act as the “collateral agent” under any Foreign Collateral Documents, and each other Collateral Agent hereby irrevocably appoints and authorizes WF to act as the agent of such Secured Party for purposes of acquiring, holding and enforcing any and all Liens on Foreign Collateral granted by any of the Grantors to secure any of the ABL Obligations or LC Obligations, together with such powers and discretion as are reasonably incidental thereto (including, without limitation, to enter into additional Foreign Collateral Documents or supplements to existing Foreign Collateral Documents on behalf of the Secured Parties). In this connection, the Foreign Collateral Agent, as “collateral agent” and any co-agents, sub-agents and attorneys-in-fact appointed by the Foreign Collateral Agent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for purposes of holding or enforcing any Lien on the Foreign Collateral (or any portion thereof) granted under the Foreign Collateral Documents, or for exercising any rights and remedies thereunder at the direction of the Foreign Collateral Agent, shall be entitled to the benefits of all provisions of this Agreement, as though such co-agents, sub-agents and attorneys-in-fact were the “collateral agent” under this agreement and the Foreign Collateral Documents as if set forth in full herein with respect thereto. It is understood and agreed that the use of the term “agent” herein or in any other Foreign Collateral Documents (or any other similar term) with reference to the Foreign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SECTION 6.02 Rights as a Secured Party. The Person serving as the Foreign Collateral Agent hereunder shall have the same rights and powers in its capacity as a Secured Party as any other Secured Party and may exercise the same as though it were not the Foreign Collateral Agent and the term “Secured Party” or “Secured Parties” (or, as applicable, ABL Secured Party or LC Secured Party) shall, unless otherwise expressly indicated or unless the context otherwise requires, include the Person serving as the Foreign Collateral Agent hereunder in its individual capacity. Such Person and its affiliates may accept deposits from, lend money to, own securities of, act as the financial advisor or in any other advisory capacity for and generally engage in any kind of business with any Grantor or any Grantor’s Subsidiary or other affiliate thereof as if such Person were not the Foreign Collateral Agent hereunder and without any duty to account therefor to the Secured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4" w:name="page695"/>
    <w:bookmarkEnd w:id="694"/>
    <w:p>
      <w:pPr>
        <w:ind w:left="1300"/>
        <w:spacing w:after="0"/>
        <w:tabs>
          <w:tab w:leader="none" w:pos="26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Exculpatory Provisions.</w:t>
      </w:r>
    </w:p>
    <w:p>
      <w:pPr>
        <w:spacing w:after="0" w:line="225" w:lineRule="exact"/>
        <w:rPr>
          <w:sz w:val="20"/>
          <w:szCs w:val="20"/>
          <w:color w:val="auto"/>
        </w:rPr>
      </w:pPr>
    </w:p>
    <w:p>
      <w:pPr>
        <w:jc w:val="both"/>
        <w:ind w:firstLine="1305"/>
        <w:spacing w:after="0" w:line="264" w:lineRule="auto"/>
        <w:tabs>
          <w:tab w:leader="none" w:pos="2279" w:val="left"/>
        </w:tabs>
        <w:numPr>
          <w:ilvl w:val="0"/>
          <w:numId w:val="826"/>
        </w:numPr>
        <w:rPr>
          <w:rFonts w:ascii="Arial" w:cs="Arial" w:eastAsia="Arial" w:hAnsi="Arial"/>
          <w:sz w:val="18"/>
          <w:szCs w:val="18"/>
          <w:color w:val="auto"/>
        </w:rPr>
      </w:pPr>
      <w:r>
        <w:rPr>
          <w:rFonts w:ascii="Arial" w:cs="Arial" w:eastAsia="Arial" w:hAnsi="Arial"/>
          <w:sz w:val="18"/>
          <w:szCs w:val="18"/>
          <w:color w:val="auto"/>
        </w:rPr>
        <w:t>The Foreign Collateral Agent shall not have any duties or obligations except those expressly set forth herein and in the other Foreign Collateral Documents to which Foreign Collateral Agent is a party, and its duties hereunder and thereunder shall be administrative in nature. Without limiting the generality of the foregoing, the Foreign Collateral Agent:</w:t>
      </w:r>
    </w:p>
    <w:p>
      <w:pPr>
        <w:spacing w:after="0" w:line="181" w:lineRule="exact"/>
        <w:rPr>
          <w:rFonts w:ascii="Arial" w:cs="Arial" w:eastAsia="Arial" w:hAnsi="Arial"/>
          <w:sz w:val="18"/>
          <w:szCs w:val="18"/>
          <w:color w:val="auto"/>
        </w:rPr>
      </w:pPr>
    </w:p>
    <w:p>
      <w:pPr>
        <w:ind w:left="1300" w:firstLine="821"/>
        <w:spacing w:after="0" w:line="277" w:lineRule="auto"/>
        <w:tabs>
          <w:tab w:leader="none" w:pos="3213" w:val="left"/>
        </w:tabs>
        <w:numPr>
          <w:ilvl w:val="1"/>
          <w:numId w:val="826"/>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or Event of Default under the ABL Documents or LC Documents has occurred and is continuing;</w:t>
      </w:r>
    </w:p>
    <w:p>
      <w:pPr>
        <w:spacing w:after="0" w:line="170" w:lineRule="exact"/>
        <w:rPr>
          <w:rFonts w:ascii="Arial" w:cs="Arial" w:eastAsia="Arial" w:hAnsi="Arial"/>
          <w:sz w:val="18"/>
          <w:szCs w:val="18"/>
          <w:color w:val="auto"/>
        </w:rPr>
      </w:pPr>
    </w:p>
    <w:p>
      <w:pPr>
        <w:jc w:val="both"/>
        <w:ind w:left="1300" w:firstLine="821"/>
        <w:spacing w:after="0" w:line="291" w:lineRule="auto"/>
        <w:tabs>
          <w:tab w:leader="none" w:pos="3133" w:val="left"/>
        </w:tabs>
        <w:numPr>
          <w:ilvl w:val="1"/>
          <w:numId w:val="826"/>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(though it hereby is authorized to take such actions in its Permitted Discretion), except discretionary rights and powers expressly contemplated hereby or by the Foreign Collateral Documents that the Foreign Collateral Agent is required to exercise as directed in writing by the Controlling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Foreign Collateral Agent shall not be required to take any action that, in its good faith, based upon the advice of counsel or upon the written opinion of its counsel, may expose the Foreign Collateral Agent to liability or that is contrary to any Foreign Collateral Document or applicable law, including, for the avoidance of doubt, any action that may be in violation of the automatic stay under any Debtor Relief Law or that may effect a forfeiture, modification or termination of property in violation of any Debtor Relief Law; and</w:t>
      </w:r>
    </w:p>
    <w:p>
      <w:pPr>
        <w:spacing w:after="0" w:line="167" w:lineRule="exact"/>
        <w:rPr>
          <w:rFonts w:ascii="Arial" w:cs="Arial" w:eastAsia="Arial" w:hAnsi="Arial"/>
          <w:sz w:val="16"/>
          <w:szCs w:val="16"/>
          <w:color w:val="auto"/>
        </w:rPr>
      </w:pPr>
    </w:p>
    <w:p>
      <w:pPr>
        <w:jc w:val="both"/>
        <w:ind w:left="1300" w:firstLine="821"/>
        <w:spacing w:after="0" w:line="312" w:lineRule="auto"/>
        <w:tabs>
          <w:tab w:leader="none" w:pos="2926" w:val="left"/>
        </w:tabs>
        <w:numPr>
          <w:ilvl w:val="1"/>
          <w:numId w:val="826"/>
        </w:numPr>
        <w:rPr>
          <w:rFonts w:ascii="Arial" w:cs="Arial" w:eastAsia="Arial" w:hAnsi="Arial"/>
          <w:sz w:val="16"/>
          <w:szCs w:val="16"/>
          <w:color w:val="auto"/>
        </w:rPr>
      </w:pPr>
      <w:r>
        <w:rPr>
          <w:rFonts w:ascii="Arial" w:cs="Arial" w:eastAsia="Arial" w:hAnsi="Arial"/>
          <w:sz w:val="16"/>
          <w:szCs w:val="16"/>
          <w:color w:val="auto"/>
        </w:rPr>
        <w:t>shall not, except as expressly set forth herein and in the Foreign Collateral Documents, have any duty to disclose, and shall not be liable for the failure to disclose, any information relating to the Grantors or any of their Subsidiaries or affiliates that is communicated to or obtained by the Person serving as the Foreign Collateral Agent or any of its affiliates in any capacity.</w:t>
      </w:r>
    </w:p>
    <w:p>
      <w:pPr>
        <w:spacing w:after="0" w:line="146" w:lineRule="exact"/>
        <w:rPr>
          <w:rFonts w:ascii="Arial" w:cs="Arial" w:eastAsia="Arial" w:hAnsi="Arial"/>
          <w:sz w:val="16"/>
          <w:szCs w:val="16"/>
          <w:color w:val="auto"/>
        </w:rPr>
      </w:pPr>
    </w:p>
    <w:p>
      <w:pPr>
        <w:jc w:val="both"/>
        <w:ind w:firstLine="1305"/>
        <w:spacing w:after="0" w:line="257" w:lineRule="auto"/>
        <w:tabs>
          <w:tab w:leader="none" w:pos="2249" w:val="left"/>
        </w:tabs>
        <w:numPr>
          <w:ilvl w:val="0"/>
          <w:numId w:val="826"/>
        </w:numPr>
        <w:rPr>
          <w:rFonts w:ascii="Arial" w:cs="Arial" w:eastAsia="Arial" w:hAnsi="Arial"/>
          <w:sz w:val="18"/>
          <w:szCs w:val="18"/>
          <w:color w:val="auto"/>
        </w:rPr>
      </w:pPr>
      <w:r>
        <w:rPr>
          <w:rFonts w:ascii="Arial" w:cs="Arial" w:eastAsia="Arial" w:hAnsi="Arial"/>
          <w:sz w:val="18"/>
          <w:szCs w:val="18"/>
          <w:color w:val="auto"/>
        </w:rPr>
        <w:t>The Foreign Collateral Agent shall not be liable for any action taken or not taken by it (i) with the consent or at the request of the Controlling Parties or (ii) in the absence of its own willful misconduct, gross negligence or bad faith as determined by a court of competent jurisdiction by final nonappealable judgment. The Foreign Collateral Agent shall be deemed not to have knowledge of any default or Event of Default under the ABL Documents or LC Documents unless and until notice describing such default or Event of Default is given to the Foreign Collateral Agent by the Grantors, LC Collateral Agent, or ABL Collateral Agent.</w:t>
      </w:r>
    </w:p>
    <w:p>
      <w:pPr>
        <w:spacing w:after="0" w:line="188" w:lineRule="exact"/>
        <w:rPr>
          <w:rFonts w:ascii="Arial" w:cs="Arial" w:eastAsia="Arial" w:hAnsi="Arial"/>
          <w:sz w:val="18"/>
          <w:szCs w:val="18"/>
          <w:color w:val="auto"/>
        </w:rPr>
      </w:pPr>
    </w:p>
    <w:p>
      <w:pPr>
        <w:jc w:val="both"/>
        <w:ind w:firstLine="1305"/>
        <w:spacing w:after="0" w:line="297" w:lineRule="auto"/>
        <w:tabs>
          <w:tab w:leader="none" w:pos="2428" w:val="left"/>
        </w:tabs>
        <w:numPr>
          <w:ilvl w:val="0"/>
          <w:numId w:val="826"/>
        </w:numPr>
        <w:rPr>
          <w:rFonts w:ascii="Arial" w:cs="Arial" w:eastAsia="Arial" w:hAnsi="Arial"/>
          <w:sz w:val="16"/>
          <w:szCs w:val="16"/>
          <w:color w:val="auto"/>
        </w:rPr>
      </w:pPr>
      <w:r>
        <w:rPr>
          <w:rFonts w:ascii="Arial" w:cs="Arial" w:eastAsia="Arial" w:hAnsi="Arial"/>
          <w:sz w:val="16"/>
          <w:szCs w:val="16"/>
          <w:color w:val="auto"/>
        </w:rPr>
        <w:t>The Foreign Collateral Agent shall not be responsible for or have any duty to ascertain or inquire into (i) any statement, warranty or representation made in or in connection with this Agreement or any other Foreign Collateral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or (iv) the validity, enforceability, effectiveness or genuineness of this Agreement, any other Foreign Collateral Document or any other agreement, instrument or document.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95" w:name="page696"/>
    <w:bookmarkEnd w:id="695"/>
    <w:p>
      <w:pPr>
        <w:jc w:val="both"/>
        <w:ind w:firstLine="1297"/>
        <w:spacing w:after="0" w:line="255" w:lineRule="auto"/>
        <w:rPr>
          <w:sz w:val="20"/>
          <w:szCs w:val="20"/>
          <w:color w:val="auto"/>
        </w:rPr>
      </w:pPr>
      <w:r>
        <w:rPr>
          <w:rFonts w:ascii="Arial" w:cs="Arial" w:eastAsia="Arial" w:hAnsi="Arial"/>
          <w:sz w:val="18"/>
          <w:szCs w:val="18"/>
          <w:color w:val="auto"/>
        </w:rPr>
        <w:t>SECTION 6.04 Reliance by the Foreign Collateral Agent. The Foreign Collateral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Foreign Collateral Agent also may rely upon any statement made to it orally or by telephone and reasonably believed by it to have been made by the proper Person, and shall not incur any liability for relying thereon. The Foreign Collateral Agent may consult with legal counsel, independent accountants and other experts selected by it, and shall not be liable for any action taken or not taken by it in accordance with the written advice of any such counsel, accountants or experts.</w:t>
      </w:r>
    </w:p>
    <w:p>
      <w:pPr>
        <w:spacing w:after="0" w:line="189"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Delegation of Duties.</w:t>
      </w:r>
    </w:p>
    <w:p>
      <w:pPr>
        <w:spacing w:after="0" w:line="225" w:lineRule="exact"/>
        <w:rPr>
          <w:sz w:val="20"/>
          <w:szCs w:val="20"/>
          <w:color w:val="auto"/>
        </w:rPr>
      </w:pPr>
    </w:p>
    <w:p>
      <w:pPr>
        <w:jc w:val="both"/>
        <w:ind w:firstLine="1305"/>
        <w:spacing w:after="0" w:line="272" w:lineRule="auto"/>
        <w:tabs>
          <w:tab w:leader="none" w:pos="2252" w:val="left"/>
        </w:tabs>
        <w:numPr>
          <w:ilvl w:val="0"/>
          <w:numId w:val="827"/>
        </w:numPr>
        <w:rPr>
          <w:rFonts w:ascii="Arial" w:cs="Arial" w:eastAsia="Arial" w:hAnsi="Arial"/>
          <w:sz w:val="17"/>
          <w:szCs w:val="17"/>
          <w:color w:val="auto"/>
        </w:rPr>
      </w:pPr>
      <w:r>
        <w:rPr>
          <w:rFonts w:ascii="Arial" w:cs="Arial" w:eastAsia="Arial" w:hAnsi="Arial"/>
          <w:sz w:val="17"/>
          <w:szCs w:val="17"/>
          <w:color w:val="auto"/>
        </w:rPr>
        <w:t>The Foreign Collateral Agent may perform any and all of its duties and exercise its rights and powers hereunder or under any Foreign Collateral Document by or through any one or more sub-agents appointed by the Foreign Collateral Agent. The Foreign Collateral Agent and any such sub-agent may perform any and all of its duties and exercise its rights and powers by or through their respective Related Parties. The exculpatory provisions of this Article VI shall apply to any such sub-agent and to the Related Parties of the Foreign Collateral Agent and any such sub-agent, and shall apply to their respective activities in connection with the Foreign Collateral. The Foreign Collateral Agent shall not be responsible for the negligence or misconduct of any sub-agents except to the extent that a court of competent jurisdiction determines in a final and nonappealable judgment that the Foreign Collateral Agent acted with willful misconduct, gross negligence or bad faith in the selection of such sub agents.</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2208" w:val="left"/>
        </w:tabs>
        <w:numPr>
          <w:ilvl w:val="0"/>
          <w:numId w:val="827"/>
        </w:numPr>
        <w:rPr>
          <w:rFonts w:ascii="Arial" w:cs="Arial" w:eastAsia="Arial" w:hAnsi="Arial"/>
          <w:sz w:val="18"/>
          <w:szCs w:val="18"/>
          <w:color w:val="auto"/>
        </w:rPr>
      </w:pPr>
      <w:r>
        <w:rPr>
          <w:rFonts w:ascii="Arial" w:cs="Arial" w:eastAsia="Arial" w:hAnsi="Arial"/>
          <w:sz w:val="18"/>
          <w:szCs w:val="18"/>
          <w:color w:val="auto"/>
        </w:rPr>
        <w:t>Should any instrument in writing from any Grantor be required by any sub- agent appointed by the Foreign Collateral Agent to more fully or certainly vest in and confirm to such sub-agent such rights, powers, privileges and duties, such Grantor shall execute, acknowledge and deliver any and all such instruments promptly upon request by the Foreign Collateral Agent. If any such sub-agent, or successor thereto, shall resign or be removed, all rights, powers, privileges and duties of such sub-agent, to the extent permitted by law, shall automatically vest in and be exercised by the Foreign Collateral Agent until the appointment of a new sub-agent. All references in this Agreement or in any other Foreign Collateral Document to any Lien or Foreign Collateral Document granted or delivered in favour of the Foreign Collateral Agent shall include any Lien or Foreign Collateral Document granted to any sub-agent of the Foreign Collateral Agent</w:t>
      </w:r>
    </w:p>
    <w:p>
      <w:pPr>
        <w:spacing w:after="0" w:line="189"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Resignation of Foreign Collateral Agent.</w:t>
      </w:r>
    </w:p>
    <w:p>
      <w:pPr>
        <w:spacing w:after="0" w:line="225" w:lineRule="exact"/>
        <w:rPr>
          <w:sz w:val="20"/>
          <w:szCs w:val="20"/>
          <w:color w:val="auto"/>
        </w:rPr>
      </w:pPr>
    </w:p>
    <w:p>
      <w:pPr>
        <w:jc w:val="both"/>
        <w:ind w:firstLine="1305"/>
        <w:spacing w:after="0" w:line="270" w:lineRule="auto"/>
        <w:tabs>
          <w:tab w:leader="none" w:pos="2360" w:val="left"/>
        </w:tabs>
        <w:numPr>
          <w:ilvl w:val="0"/>
          <w:numId w:val="828"/>
        </w:numPr>
        <w:rPr>
          <w:rFonts w:ascii="Arial" w:cs="Arial" w:eastAsia="Arial" w:hAnsi="Arial"/>
          <w:sz w:val="17"/>
          <w:szCs w:val="17"/>
          <w:color w:val="auto"/>
        </w:rPr>
      </w:pPr>
      <w:r>
        <w:rPr>
          <w:rFonts w:ascii="Arial" w:cs="Arial" w:eastAsia="Arial" w:hAnsi="Arial"/>
          <w:sz w:val="17"/>
          <w:szCs w:val="17"/>
          <w:color w:val="auto"/>
        </w:rPr>
        <w:t>The Foreign Collateral Agent may at any time give notice of its resignation to the Representatives and the Grantors. Upon receipt of any such notice of resignation, the Secured Parties, acting through their Collateral Agents, shall have the right (provided no Event of Default has occurred and is continuing under any LC Document or ABL Document at the time of such resignation) to appoint a successor, which shall be the ABL Collateral Agent (unless the ABL Collateral Agent is also WF) or as jointly designated by ABL Collateral Agent and LC Collateral Agent. If no such successor shall have been so appointed in accordance with the preceding sentence and shall have accepted such appointment within 30 days after the retiring Foreign Collateral Agent gives notice of its resignation (or such earlier day as shall be agreed by the Representatives)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Foreign Collateral Agent may (but shall not be obligated to), on behalf of the Secured Parties, appoint a successor Foreign Collateral Agent meeting the qualifications set forth above. Whether or not a successor has been appointed, such resignation shall become effective in accordance with such notice on the Resignation Effective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96" w:name="page697"/>
    <w:bookmarkEnd w:id="696"/>
    <w:p>
      <w:pPr>
        <w:jc w:val="both"/>
        <w:ind w:firstLine="1305"/>
        <w:spacing w:after="0" w:line="286" w:lineRule="auto"/>
        <w:tabs>
          <w:tab w:leader="none" w:pos="2303" w:val="left"/>
        </w:tabs>
        <w:numPr>
          <w:ilvl w:val="0"/>
          <w:numId w:val="829"/>
        </w:numPr>
        <w:rPr>
          <w:rFonts w:ascii="Arial" w:cs="Arial" w:eastAsia="Arial" w:hAnsi="Arial"/>
          <w:sz w:val="16"/>
          <w:szCs w:val="16"/>
          <w:color w:val="auto"/>
        </w:rPr>
      </w:pPr>
      <w:r>
        <w:rPr>
          <w:rFonts w:ascii="Arial" w:cs="Arial" w:eastAsia="Arial" w:hAnsi="Arial"/>
          <w:sz w:val="16"/>
          <w:szCs w:val="16"/>
          <w:color w:val="auto"/>
        </w:rPr>
        <w:t>With effect from the Resignation Effective Date, (1) the retiring Foreign Collateral Agent shall be discharged from its duties and obligations hereunder and under the other Foreign Collateral Documents (except that in the case of any collateral security held by the Foreign Collateral Agent on behalf of the Secured Parties under any of the Foreign Collateral Documents, the retiring Foreign Collateral Agent shall continue to hold such collateral security until such time as a successor Foreign Collateral Agent is appointed but in any event, no more than sixty (60) days following the Resignation Effective Date) and (2) except for any indemnity payments owed to the retiring Foreign Collateral Agent, all payments, communications and determinations provided to be made by, to or through the Foreign Collateral Agent shall instead be made by or to each Representative directly, until such time, if any, the relevant Collateral Agents appoint a successor Foreign Collateral Agent as provided for above. Upon the acceptance of a successor’s appointment as Foreign Collateral Agent hereunder, such successor shall succeed to and become vested with all of the rights, powers, privileges and duties of the retiring Foreign Collateral Agent (other than any rights to indemnity payments owed to the retiring Foreign Collateral Agent), and the retiring Foreign Collateral Agent shall be discharged from all of its duties and obligations hereunder or under the other Foreign Collateral Documents. After the retiring Foreign Collateral Agent’s resignation or removal hereunder and under the other Foreign Collateral Documents, the provisions of this Article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17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SECTION 6.07 Non-Reliance on Foreign Collateral Agent and Other Secured Parties. Each Collateral Agent acknowledges that it has, independently and without reliance upon the Foreign Collateral Agent or any of its related parties and based on such documents and information as it has deemed appropriate, made its own credit analysis and decision to enter into this Agreement, the LC Documents, and the ABL Documents, as applicable. Each Collateral Agent also acknowledges that it will, independently and without reliance upon the Foreign Collateral Agent or its related parties and based on such documents and information as it shall from time to time deem appropriate, continue to make its own decisions in taking or not taking action under or based upon this Agreement, any Foreign Collateral Document or any related agreement or any document furnished hereunder or thereunder.</w:t>
      </w:r>
    </w:p>
    <w:p>
      <w:pPr>
        <w:spacing w:after="0" w:line="16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color w:val="auto"/>
        </w:rPr>
        <w:t>Collateral Matters.</w:t>
      </w:r>
    </w:p>
    <w:p>
      <w:pPr>
        <w:spacing w:after="0" w:line="225" w:lineRule="exact"/>
        <w:rPr>
          <w:sz w:val="20"/>
          <w:szCs w:val="20"/>
          <w:color w:val="auto"/>
        </w:rPr>
      </w:pPr>
    </w:p>
    <w:p>
      <w:pPr>
        <w:ind w:left="2180" w:hanging="875"/>
        <w:spacing w:after="0"/>
        <w:tabs>
          <w:tab w:leader="none" w:pos="2180" w:val="left"/>
        </w:tabs>
        <w:numPr>
          <w:ilvl w:val="0"/>
          <w:numId w:val="830"/>
        </w:numPr>
        <w:rPr>
          <w:rFonts w:ascii="Arial" w:cs="Arial" w:eastAsia="Arial" w:hAnsi="Arial"/>
          <w:sz w:val="16"/>
          <w:szCs w:val="16"/>
          <w:color w:val="auto"/>
        </w:rPr>
      </w:pPr>
      <w:r>
        <w:rPr>
          <w:rFonts w:ascii="Arial" w:cs="Arial" w:eastAsia="Arial" w:hAnsi="Arial"/>
          <w:sz w:val="16"/>
          <w:szCs w:val="16"/>
          <w:color w:val="auto"/>
        </w:rPr>
        <w:t>Each of the Collateral Agents irrevocably authorize the Foreign Collateral Agent, at its option and in its Permitted Discretion:</w:t>
      </w:r>
    </w:p>
    <w:p>
      <w:pPr>
        <w:spacing w:after="0" w:line="248" w:lineRule="exact"/>
        <w:rPr>
          <w:rFonts w:ascii="Arial" w:cs="Arial" w:eastAsia="Arial" w:hAnsi="Arial"/>
          <w:sz w:val="16"/>
          <w:szCs w:val="16"/>
          <w:color w:val="auto"/>
        </w:rPr>
      </w:pPr>
    </w:p>
    <w:p>
      <w:pPr>
        <w:jc w:val="both"/>
        <w:ind w:left="1300" w:firstLine="821"/>
        <w:spacing w:after="0" w:line="255" w:lineRule="auto"/>
        <w:tabs>
          <w:tab w:leader="none" w:pos="3065" w:val="left"/>
        </w:tabs>
        <w:numPr>
          <w:ilvl w:val="1"/>
          <w:numId w:val="830"/>
        </w:numPr>
        <w:rPr>
          <w:rFonts w:ascii="Arial" w:cs="Arial" w:eastAsia="Arial" w:hAnsi="Arial"/>
          <w:sz w:val="18"/>
          <w:szCs w:val="18"/>
          <w:color w:val="auto"/>
        </w:rPr>
      </w:pPr>
      <w:r>
        <w:rPr>
          <w:rFonts w:ascii="Arial" w:cs="Arial" w:eastAsia="Arial" w:hAnsi="Arial"/>
          <w:sz w:val="18"/>
          <w:szCs w:val="18"/>
          <w:color w:val="auto"/>
        </w:rPr>
        <w:t xml:space="preserve">to release any Lien or any other claim on any Foreign Collateral granted to or held by the Foreign Collateral Agent, for the benefit of the Secured Parties, under any Foreign Collateral Document (A) upon the Discharge of the ABL Obligations and the Discharge of the LC Obligations, as applicable, in which case such Lien shall only be released with respect to the Obligations so Discharged; (B) that is sold or otherwise disposed of or to be sold or otherwise disposed of as part of or in connection with any sale or other disposition permitted hereunder or under the Foreign Collateral Documents, ABL Documents and LC Documents or (C) if approved, authorized or ratified in writing in accordance with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7" w:name="page698"/>
    <w:bookmarkEnd w:id="697"/>
    <w:p>
      <w:pPr>
        <w:jc w:val="both"/>
        <w:ind w:firstLine="1305"/>
        <w:spacing w:after="0" w:line="293" w:lineRule="auto"/>
        <w:tabs>
          <w:tab w:leader="none" w:pos="2195" w:val="left"/>
        </w:tabs>
        <w:numPr>
          <w:ilvl w:val="0"/>
          <w:numId w:val="831"/>
        </w:numPr>
        <w:rPr>
          <w:rFonts w:ascii="Arial" w:cs="Arial" w:eastAsia="Arial" w:hAnsi="Arial"/>
          <w:sz w:val="16"/>
          <w:szCs w:val="16"/>
          <w:color w:val="auto"/>
        </w:rPr>
      </w:pPr>
      <w:r>
        <w:rPr>
          <w:rFonts w:ascii="Arial" w:cs="Arial" w:eastAsia="Arial" w:hAnsi="Arial"/>
          <w:sz w:val="16"/>
          <w:szCs w:val="16"/>
          <w:color w:val="auto"/>
        </w:rPr>
        <w:t xml:space="preserve">Upon request by the Foreign Collateral Agent at any time, the Controlling Parties will confirm in writing the Foreign Collateral Agent’s authority to release or subordinate its interest in particular types or items of property or take any other action necessary to administer the Foreign Collateral. In each case, as specified in this </w:t>
      </w:r>
      <w:r>
        <w:rPr>
          <w:rFonts w:ascii="Arial" w:cs="Arial" w:eastAsia="Arial" w:hAnsi="Arial"/>
          <w:sz w:val="16"/>
          <w:szCs w:val="16"/>
          <w:u w:val="single" w:color="auto"/>
          <w:color w:val="auto"/>
        </w:rPr>
        <w:t>Section 6.08</w:t>
      </w:r>
      <w:r>
        <w:rPr>
          <w:rFonts w:ascii="Arial" w:cs="Arial" w:eastAsia="Arial" w:hAnsi="Arial"/>
          <w:sz w:val="16"/>
          <w:szCs w:val="16"/>
          <w:color w:val="auto"/>
        </w:rPr>
        <w:t>, the Foreign Collateral Agent will, at the Grantors’ joint and several expense, execute and deliver to the applicable Grantor such documents as such Grantor may reasonably request to evidence the release of such item of Foreign Collateral from the assignment and security interest granted under the Foreign Collateral Documents or to subordinate its interest in such item, or to release such Grantor from its obligations under the Foreign Collateral Documents, in each case in accordance with the terms hereof and the terms of the Foreign Collateral Documents.</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2401" w:val="left"/>
        </w:tabs>
        <w:numPr>
          <w:ilvl w:val="0"/>
          <w:numId w:val="831"/>
        </w:numPr>
        <w:rPr>
          <w:rFonts w:ascii="Arial" w:cs="Arial" w:eastAsia="Arial" w:hAnsi="Arial"/>
          <w:sz w:val="18"/>
          <w:szCs w:val="18"/>
          <w:color w:val="auto"/>
        </w:rPr>
      </w:pPr>
      <w:r>
        <w:rPr>
          <w:rFonts w:ascii="Arial" w:cs="Arial" w:eastAsia="Arial" w:hAnsi="Arial"/>
          <w:sz w:val="18"/>
          <w:szCs w:val="18"/>
          <w:color w:val="auto"/>
        </w:rPr>
        <w:t>The Foreign Collateral Agent shall not be responsible for or have a duty to ascertain or inquire into any representation or warranty regarding the existence, value or collectability of the Foreign Collateral, the existence, priority or perfection of the Foreign Collateral Agent’s Lien thereon, or any certificate prepared by any Grantor in connection therewith, nor shall the Foreign Collateral Agent be responsible or liable to the Secured Parties for any failure to monitor or maintain any portion of the Foreign Collateral.</w:t>
      </w:r>
    </w:p>
    <w:p>
      <w:pPr>
        <w:spacing w:after="0" w:line="18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color w:val="auto"/>
        </w:rPr>
        <w:t>Discretionary Rights. The Foreign Collateral Agent may:</w:t>
      </w:r>
    </w:p>
    <w:p>
      <w:pPr>
        <w:spacing w:after="0" w:line="225" w:lineRule="exact"/>
        <w:rPr>
          <w:sz w:val="20"/>
          <w:szCs w:val="20"/>
          <w:color w:val="auto"/>
        </w:rPr>
      </w:pPr>
    </w:p>
    <w:p>
      <w:pPr>
        <w:jc w:val="both"/>
        <w:ind w:firstLine="1305"/>
        <w:spacing w:after="0" w:line="259" w:lineRule="auto"/>
        <w:tabs>
          <w:tab w:leader="none" w:pos="2266"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assume (unless it has received actual notice to the contrary from the Collateral Agents) that (i) no default or Event of Default has occurred and no Grantor is in breach of or default under its obligations under any of the Foreign Collateral Documents, ABL Documents, or LC Documents, and (ii) any right, power, authority or discretion vested by any Foreign Collateral Documents, ABL Documents, or LC Documents in any person has not been exercised;</w:t>
      </w:r>
    </w:p>
    <w:p>
      <w:pPr>
        <w:spacing w:after="0" w:line="186" w:lineRule="exact"/>
        <w:rPr>
          <w:rFonts w:ascii="Arial" w:cs="Arial" w:eastAsia="Arial" w:hAnsi="Arial"/>
          <w:sz w:val="18"/>
          <w:szCs w:val="18"/>
          <w:color w:val="auto"/>
        </w:rPr>
      </w:pPr>
    </w:p>
    <w:p>
      <w:pPr>
        <w:ind w:right="20" w:firstLine="1305"/>
        <w:spacing w:after="0" w:line="277" w:lineRule="auto"/>
        <w:tabs>
          <w:tab w:leader="none" w:pos="233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if it receives any instructions or directions to take any action in relation to the Foreign Collateral, assume that all applicable conditions under this Agreement, LC Documents and ABL Documents for taking that action have been satisfied;</w:t>
      </w:r>
    </w:p>
    <w:p>
      <w:pPr>
        <w:spacing w:after="0" w:line="170" w:lineRule="exact"/>
        <w:rPr>
          <w:rFonts w:ascii="Arial" w:cs="Arial" w:eastAsia="Arial" w:hAnsi="Arial"/>
          <w:sz w:val="18"/>
          <w:szCs w:val="18"/>
          <w:color w:val="auto"/>
        </w:rPr>
      </w:pPr>
    </w:p>
    <w:p>
      <w:pPr>
        <w:ind w:firstLine="1305"/>
        <w:spacing w:after="0" w:line="277" w:lineRule="auto"/>
        <w:tabs>
          <w:tab w:leader="none" w:pos="2198" w:val="left"/>
        </w:tabs>
        <w:numPr>
          <w:ilvl w:val="0"/>
          <w:numId w:val="832"/>
        </w:numPr>
        <w:rPr>
          <w:rFonts w:ascii="Arial" w:cs="Arial" w:eastAsia="Arial" w:hAnsi="Arial"/>
          <w:sz w:val="18"/>
          <w:szCs w:val="18"/>
          <w:color w:val="auto"/>
        </w:rPr>
      </w:pPr>
      <w:r>
        <w:rPr>
          <w:rFonts w:ascii="Arial" w:cs="Arial" w:eastAsia="Arial" w:hAnsi="Arial"/>
          <w:sz w:val="18"/>
          <w:szCs w:val="18"/>
          <w:color w:val="auto"/>
        </w:rPr>
        <w:t>engage and pay for the advice or services of accountants, tax advisers, surveyors or other professional advisers or experts and a single legal counsel in each applicable jurisdiction (in addition to the Foreign Collateral Agent’s general outside counsel);</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2276" w:val="left"/>
        </w:tabs>
        <w:numPr>
          <w:ilvl w:val="0"/>
          <w:numId w:val="832"/>
        </w:numPr>
        <w:rPr>
          <w:rFonts w:ascii="Arial" w:cs="Arial" w:eastAsia="Arial" w:hAnsi="Arial"/>
          <w:sz w:val="16"/>
          <w:szCs w:val="16"/>
          <w:color w:val="auto"/>
        </w:rPr>
      </w:pPr>
      <w:r>
        <w:rPr>
          <w:rFonts w:ascii="Arial" w:cs="Arial" w:eastAsia="Arial" w:hAnsi="Arial"/>
          <w:sz w:val="16"/>
          <w:szCs w:val="16"/>
          <w:color w:val="auto"/>
        </w:rPr>
        <w:t>without prejudice for the generality of paragraph (c) above, at any time engage and pay for the services of a single additional counsel in each applicable jurisdiction to act as independent counsel to the Foreign Collateral Agent (in addition to the Foreign Collateral Agent’s general outside counsel) (and so separate from any lawyers instructed by the other Secured Parties) if the Foreign Collateral Agent in its reasonable opinion deems this to be desirable and the Collateral Agent shall not be liable for any damages, costs or losses to any person, any diminution in value or any liability whatsoever arising as a result of its so relying on the advice or services of any professional engaged under this Section 6.09;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698" w:name="page699"/>
    <w:bookmarkEnd w:id="698"/>
    <w:p>
      <w:pPr>
        <w:ind w:left="2180" w:hanging="875"/>
        <w:spacing w:after="0"/>
        <w:tabs>
          <w:tab w:leader="none" w:pos="218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25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refrain from acting in accordance with the instructions of any Secured Party or Controlling Party (including bringing any legal action or proceeding arising out of or in connection with the Foreign Collateral Documents) until it has received any indemnification and/or security that it may in its reasonable discretion require which may be greater in extent than that contained for the benefit of any Representative in the ABL Documents or LC Documents. Notwithstanding any provision of any ABL Documents or LC Documents to the contrary, the Foreign Collateral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and</w:t>
      </w:r>
    </w:p>
    <w:p>
      <w:pPr>
        <w:spacing w:after="0" w:line="189" w:lineRule="exact"/>
        <w:rPr>
          <w:rFonts w:ascii="Arial" w:cs="Arial" w:eastAsia="Arial" w:hAnsi="Arial"/>
          <w:sz w:val="18"/>
          <w:szCs w:val="18"/>
          <w:color w:val="auto"/>
        </w:rPr>
      </w:pPr>
    </w:p>
    <w:p>
      <w:pPr>
        <w:ind w:firstLine="1305"/>
        <w:spacing w:after="0" w:line="277" w:lineRule="auto"/>
        <w:tabs>
          <w:tab w:leader="none" w:pos="2424" w:val="left"/>
        </w:tabs>
        <w:numPr>
          <w:ilvl w:val="0"/>
          <w:numId w:val="833"/>
        </w:numPr>
        <w:rPr>
          <w:rFonts w:ascii="Arial" w:cs="Arial" w:eastAsia="Arial" w:hAnsi="Arial"/>
          <w:sz w:val="18"/>
          <w:szCs w:val="18"/>
          <w:color w:val="auto"/>
        </w:rPr>
      </w:pPr>
      <w:r>
        <w:rPr>
          <w:rFonts w:ascii="Arial" w:cs="Arial" w:eastAsia="Arial" w:hAnsi="Arial"/>
          <w:sz w:val="18"/>
          <w:szCs w:val="18"/>
          <w:color w:val="auto"/>
        </w:rPr>
        <w:t>during a No Controlling Party Situation, make decisions in its Permitted Discretion, and any actions taken based on such decisions shall be deemed to have been taken at the instruction of all Controlling Parties.</w:t>
      </w:r>
    </w:p>
    <w:p>
      <w:pPr>
        <w:spacing w:after="0" w:line="170"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color w:val="auto"/>
        </w:rPr>
        <w:t>Indemnification of Foreign Collateral Agent.</w:t>
      </w:r>
    </w:p>
    <w:p>
      <w:pPr>
        <w:spacing w:after="0" w:line="225" w:lineRule="exact"/>
        <w:rPr>
          <w:sz w:val="20"/>
          <w:szCs w:val="20"/>
          <w:color w:val="auto"/>
        </w:rPr>
      </w:pPr>
    </w:p>
    <w:p>
      <w:pPr>
        <w:jc w:val="both"/>
        <w:ind w:firstLine="1305"/>
        <w:spacing w:after="0" w:line="270" w:lineRule="auto"/>
        <w:tabs>
          <w:tab w:leader="none" w:pos="2171" w:val="left"/>
        </w:tabs>
        <w:numPr>
          <w:ilvl w:val="0"/>
          <w:numId w:val="834"/>
        </w:numPr>
        <w:rPr>
          <w:rFonts w:ascii="Arial" w:cs="Arial" w:eastAsia="Arial" w:hAnsi="Arial"/>
          <w:sz w:val="17"/>
          <w:szCs w:val="17"/>
          <w:color w:val="auto"/>
        </w:rPr>
      </w:pPr>
      <w:r>
        <w:rPr>
          <w:rFonts w:ascii="Arial" w:cs="Arial" w:eastAsia="Arial" w:hAnsi="Arial"/>
          <w:sz w:val="17"/>
          <w:szCs w:val="17"/>
          <w:color w:val="auto"/>
        </w:rPr>
        <w:t>The Secured Parties (other than the LC Australian Collateral Agent) shall jointly and severally indemnify the Foreign Collateral Agent within three Business Days of demand, and keep the Foreign Collateral Agent indemnified against any demands, damages, expenses, costs, losses or liabilities made against or incurred by it in acting as Foreign Collateral Agent on behalf of the Secured Parties under this Agreement, the Foreign Collateral Documents, the LC Documents, or the ABL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indemnification obligations arising solely due to the instructions of a Controlling Party shall be borne solely by the Class represented by such Controlling Party), unless the Foreign Collateral Agent (i) has been reimbursed by a Grantor pursuant to any of the Foreign Collateral Documents or (ii) such liabilities, losses, demands, damages, expenses or costs are incurred by or made against the Foreign Collateral Agent as a result of willful misconduct, gross negligence or bad faith. The Grantors hereby jointly and severally indemnify the Secured Parties against any payment made by them under this Section 6.10(a) and agree that any payments made by or costs attributable to any ABL Secured Party on account of the Foreign Collateral Agent shall be added to the ABL Obligations and any payments made by or costs attributable to any LC Secured Party on account of the Foreign Collateral Agent shall be added to the LC Obligations.</w:t>
      </w:r>
    </w:p>
    <w:p>
      <w:pPr>
        <w:spacing w:after="0" w:line="177" w:lineRule="exact"/>
        <w:rPr>
          <w:rFonts w:ascii="Arial" w:cs="Arial" w:eastAsia="Arial" w:hAnsi="Arial"/>
          <w:sz w:val="17"/>
          <w:szCs w:val="17"/>
          <w:color w:val="auto"/>
        </w:rPr>
      </w:pPr>
    </w:p>
    <w:p>
      <w:pPr>
        <w:jc w:val="both"/>
        <w:ind w:firstLine="1305"/>
        <w:spacing w:after="0" w:line="270" w:lineRule="auto"/>
        <w:tabs>
          <w:tab w:leader="none" w:pos="2384" w:val="left"/>
        </w:tabs>
        <w:numPr>
          <w:ilvl w:val="0"/>
          <w:numId w:val="834"/>
        </w:numPr>
        <w:rPr>
          <w:rFonts w:ascii="Arial" w:cs="Arial" w:eastAsia="Arial" w:hAnsi="Arial"/>
          <w:sz w:val="17"/>
          <w:szCs w:val="17"/>
          <w:color w:val="auto"/>
        </w:rPr>
      </w:pPr>
      <w:r>
        <w:rPr>
          <w:rFonts w:ascii="Arial" w:cs="Arial" w:eastAsia="Arial" w:hAnsi="Arial"/>
          <w:sz w:val="17"/>
          <w:szCs w:val="17"/>
          <w:color w:val="auto"/>
        </w:rPr>
        <w:t>The Grantors covenant and agree that they shall defend and be jointly and severally liable to reimburse and indemnify the Foreign Collateral Agent (and its Affiliates, officers, directors, employees, attorneys and agents (“</w:t>
      </w:r>
      <w:r>
        <w:rPr>
          <w:rFonts w:ascii="Arial" w:cs="Arial" w:eastAsia="Arial" w:hAnsi="Arial"/>
          <w:sz w:val="17"/>
          <w:szCs w:val="17"/>
          <w:u w:val="single" w:color="auto"/>
          <w:color w:val="auto"/>
        </w:rPr>
        <w:t>Foreign Collateral Agent Related Persons</w:t>
      </w:r>
      <w:r>
        <w:rPr>
          <w:rFonts w:ascii="Arial" w:cs="Arial" w:eastAsia="Arial" w:hAnsi="Arial"/>
          <w:sz w:val="17"/>
          <w:szCs w:val="17"/>
          <w:color w:val="auto"/>
        </w:rPr>
        <w:t>”)) for any and all reasonable expenses and other charges actually incurred by the Foreign Collateral Agent on behalf of the Secured Parties in connection with the execution, delivery, administration and enforcement of this Agreement and the Foreign Collateral Documents (or any of them) and from and against any and all liabilities, obligations, losses, damages, penalties, actions, judgments, suits, costs, actual reasonable expenses or disbursements of any kind and nature whatsoever that may be imposed on, incurred by or asserted against the Foreign Collateral Agent, in any way relating to or arising out of this Agreement, any Foreign Collateral Document, or any other document delivered in connection herewith or therewith or the transactions contemplated hereby or thereby, or the enforcement of any of the terms hereof or thereof, in each case, except to the extent caused by the Foreign Collateral Agent’s or the Foreign Collateral Agent Related Person’s willful misconduct, gross negligence or bad faith.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699" w:name="page700"/>
    <w:bookmarkEnd w:id="699"/>
    <w:p>
      <w:pPr>
        <w:ind w:right="20" w:firstLine="1305"/>
        <w:spacing w:after="0" w:line="308" w:lineRule="auto"/>
        <w:tabs>
          <w:tab w:leader="none" w:pos="2549" w:val="left"/>
        </w:tabs>
        <w:numPr>
          <w:ilvl w:val="0"/>
          <w:numId w:val="835"/>
        </w:numPr>
        <w:rPr>
          <w:rFonts w:ascii="Arial" w:cs="Arial" w:eastAsia="Arial" w:hAnsi="Arial"/>
          <w:sz w:val="17"/>
          <w:szCs w:val="17"/>
          <w:color w:val="auto"/>
        </w:rPr>
      </w:pPr>
      <w:r>
        <w:rPr>
          <w:rFonts w:ascii="Arial" w:cs="Arial" w:eastAsia="Arial" w:hAnsi="Arial"/>
          <w:sz w:val="17"/>
          <w:szCs w:val="17"/>
          <w:color w:val="auto"/>
        </w:rPr>
        <w:t>The obligations under this Section 6.10 shall survive the Discharge of the ABL Obligations, the Discharge of the LC Obligations, the resignation of any Foreign Collateral Agent, and termination of this Agreement and all of the Foreign Collateral Documents.</w:t>
      </w:r>
    </w:p>
    <w:p>
      <w:pPr>
        <w:spacing w:after="0" w:line="14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color w:val="auto"/>
        </w:rPr>
        <w:t>Treatment of Proceeds of Foreign Collateral.</w:t>
      </w:r>
    </w:p>
    <w:p>
      <w:pPr>
        <w:spacing w:after="0" w:line="225" w:lineRule="exact"/>
        <w:rPr>
          <w:sz w:val="20"/>
          <w:szCs w:val="20"/>
          <w:color w:val="auto"/>
        </w:rPr>
      </w:pPr>
    </w:p>
    <w:p>
      <w:pPr>
        <w:jc w:val="both"/>
        <w:ind w:firstLine="1305"/>
        <w:spacing w:after="0" w:line="264" w:lineRule="auto"/>
        <w:tabs>
          <w:tab w:leader="none" w:pos="2284" w:val="left"/>
        </w:tabs>
        <w:numPr>
          <w:ilvl w:val="0"/>
          <w:numId w:val="836"/>
        </w:numPr>
        <w:rPr>
          <w:rFonts w:ascii="Arial" w:cs="Arial" w:eastAsia="Arial" w:hAnsi="Arial"/>
          <w:sz w:val="18"/>
          <w:szCs w:val="18"/>
          <w:color w:val="auto"/>
        </w:rPr>
      </w:pPr>
      <w:r>
        <w:rPr>
          <w:rFonts w:ascii="Arial" w:cs="Arial" w:eastAsia="Arial" w:hAnsi="Arial"/>
          <w:sz w:val="18"/>
          <w:szCs w:val="18"/>
          <w:color w:val="auto"/>
        </w:rPr>
        <w:t>All amounts from time to time received or recovered by the Foreign Collateral Agent pursuant to the terms of any Foreign Collateral Document or in connection with the realization or enforcement of all or any part of the Foreign Collateral (the “</w:t>
      </w:r>
      <w:r>
        <w:rPr>
          <w:rFonts w:ascii="Arial" w:cs="Arial" w:eastAsia="Arial" w:hAnsi="Arial"/>
          <w:sz w:val="18"/>
          <w:szCs w:val="18"/>
          <w:u w:val="single" w:color="auto"/>
          <w:color w:val="auto"/>
        </w:rPr>
        <w:t>Foreign Recoveries</w:t>
      </w:r>
      <w:r>
        <w:rPr>
          <w:rFonts w:ascii="Arial" w:cs="Arial" w:eastAsia="Arial" w:hAnsi="Arial"/>
          <w:sz w:val="18"/>
          <w:szCs w:val="18"/>
          <w:color w:val="auto"/>
        </w:rPr>
        <w:t>”) shall be held by the Foreign Collateral Agent in trust and applied, to the extent permitted by applicable law, in the following order:</w:t>
      </w:r>
    </w:p>
    <w:p>
      <w:pPr>
        <w:spacing w:after="0" w:line="181"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in discharging any sums owing to the Foreign Collateral Agent (in its capacity as such), including (i) amounts owing to Foreign Collateral Agent to indemnify Foreign Collateral Agent for claims against it or claims that, in the reasonable discretion of Foreign Collateral Agent, may be asserted against Foreign Collateral Agent and are subject to the indemnification provisions of this Agreement and</w:t>
      </w:r>
    </w:p>
    <w:p>
      <w:pPr>
        <w:jc w:val="both"/>
        <w:ind w:left="1300" w:firstLine="5"/>
        <w:spacing w:after="0" w:line="268" w:lineRule="auto"/>
        <w:tabs>
          <w:tab w:leader="none" w:pos="1591" w:val="left"/>
        </w:tabs>
        <w:numPr>
          <w:ilvl w:val="0"/>
          <w:numId w:val="837"/>
        </w:numPr>
        <w:rPr>
          <w:rFonts w:ascii="Arial" w:cs="Arial" w:eastAsia="Arial" w:hAnsi="Arial"/>
          <w:sz w:val="17"/>
          <w:szCs w:val="17"/>
          <w:color w:val="auto"/>
        </w:rPr>
      </w:pPr>
      <w:r>
        <w:rPr>
          <w:rFonts w:ascii="Arial" w:cs="Arial" w:eastAsia="Arial" w:hAnsi="Arial"/>
          <w:sz w:val="17"/>
          <w:szCs w:val="17"/>
          <w:color w:val="auto"/>
        </w:rPr>
        <w:t xml:space="preserve">any deductions and withholdings (on account of taxes or otherwise) which Foreign Collateral Agent is or may be required by any applicable law to make from any distribution or payment made by it under this Agreement and to pay all taxes which may be assessed against it in respect of any of the Foreign Collateral Documents, or as a consequence of performing its duties, or by virtue of its capacity as Foreign Collateral Agent (other than in connection with its remuneration for performing its duties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Foreign Collateral or proceeds thereof that is LC Priority Collateral may only be applied or retained by Foreign Collateral Agent to secure indemnification obligations or other amounts owing (or potentially owing) by the LC Secured Parties and Foreign Collateral or proceeds thereof that is ABL Priority Collateral may only be applied or retained by Foreign Collateral Agent to secure indemnification obligations or other amounts owing (or potentially owing) by the ABL Secured Parties;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Representatives to be applied in accordance with Section 2.01(a) hereof.</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avoidance of doubt, following acceleration of any of the ABL Obligations or the LC Obligations, Foreign Collateral Agent may, in its Permitted Discretion, hold any amount of the Foreign Recoveries (subject to the proviso set forth in subclause “first” above) in a non-interest bearing account(s) in the name of the Foreign Collateral Agent with such financial institution as it may select (including itself) and for so long as the Foreign Collateral Agent shall think appropriate in its Permitted Discretion for later application as set forth herein in respect of any sum owing to the Foreign Collateral Agent that the Foreign Collateral Agent reasonably considers might become due or owing at any time in the future.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00" w:name="page701"/>
    <w:bookmarkEnd w:id="700"/>
    <w:p>
      <w:pPr>
        <w:jc w:val="both"/>
        <w:ind w:firstLine="1297"/>
        <w:spacing w:after="0" w:line="259" w:lineRule="auto"/>
        <w:rPr>
          <w:sz w:val="20"/>
          <w:szCs w:val="20"/>
          <w:color w:val="auto"/>
        </w:rPr>
      </w:pPr>
      <w:r>
        <w:rPr>
          <w:rFonts w:ascii="Arial" w:cs="Arial" w:eastAsia="Arial" w:hAnsi="Arial"/>
          <w:sz w:val="18"/>
          <w:szCs w:val="18"/>
          <w:color w:val="auto"/>
        </w:rPr>
        <w:t>SECTION 6.12 Currency Conversion. The Foreign Collateral Agent is under no obligation to make the payments to the Secured Parties above in the same currency as that in which the obligations and liabilities owing to the Secured Parties are denominated. To the extent any payment from Foreign Collateral Agent to a Representative causes a currency conversion, the provisions of the ABL Documents or the LC Documents (as applicable, based on the Representative receiving payment) relating to currency conversions shall apply.</w:t>
      </w:r>
    </w:p>
    <w:p>
      <w:pPr>
        <w:spacing w:after="0" w:line="18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color w:val="auto"/>
        </w:rPr>
        <w:t>Swiss Collateral.</w:t>
      </w:r>
    </w:p>
    <w:p>
      <w:pPr>
        <w:spacing w:after="0" w:line="225"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In relation to Foreign Collateral which is subject to a security document governed by Swiss law, the Foreign Collateral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w:t>
      </w:r>
    </w:p>
    <w:p>
      <w:pPr>
        <w:spacing w:after="0" w:line="211" w:lineRule="exact"/>
        <w:rPr>
          <w:sz w:val="20"/>
          <w:szCs w:val="20"/>
          <w:color w:val="auto"/>
        </w:rPr>
      </w:pPr>
    </w:p>
    <w:p>
      <w:pPr>
        <w:ind w:left="1300" w:firstLine="821"/>
        <w:spacing w:after="0" w:line="277" w:lineRule="auto"/>
        <w:tabs>
          <w:tab w:leader="none" w:pos="3335" w:val="left"/>
        </w:tabs>
        <w:numPr>
          <w:ilvl w:val="1"/>
          <w:numId w:val="838"/>
        </w:numPr>
        <w:rPr>
          <w:rFonts w:ascii="Arial" w:cs="Arial" w:eastAsia="Arial" w:hAnsi="Arial"/>
          <w:sz w:val="18"/>
          <w:szCs w:val="18"/>
          <w:color w:val="auto"/>
        </w:rPr>
      </w:pPr>
      <w:r>
        <w:rPr>
          <w:rFonts w:ascii="Arial" w:cs="Arial" w:eastAsia="Arial" w:hAnsi="Arial"/>
          <w:sz w:val="18"/>
          <w:szCs w:val="18"/>
          <w:color w:val="auto"/>
        </w:rPr>
        <w:t>hold and administer any non-accessory Collateral (nicht- akzessorische Sicherheit) governed by Swiss law as fiduciary (treuhänderisch) in its own name but for the benefit of the Secured Parties; and</w:t>
      </w:r>
    </w:p>
    <w:p>
      <w:pPr>
        <w:spacing w:after="0" w:line="170" w:lineRule="exact"/>
        <w:rPr>
          <w:rFonts w:ascii="Arial" w:cs="Arial" w:eastAsia="Arial" w:hAnsi="Arial"/>
          <w:sz w:val="18"/>
          <w:szCs w:val="18"/>
          <w:color w:val="auto"/>
        </w:rPr>
      </w:pPr>
    </w:p>
    <w:p>
      <w:pPr>
        <w:ind w:left="1300" w:firstLine="821"/>
        <w:spacing w:after="0" w:line="277" w:lineRule="auto"/>
        <w:tabs>
          <w:tab w:leader="none" w:pos="347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hold and administer any accessory Collateral (akzessorische Sicherheit) governed by Swiss law as direct representative (direkter Stellvertreter) in the name and on behalf of the Secured Parties.</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The Foreign Collateral Agent shall be empowered to:</w:t>
      </w:r>
    </w:p>
    <w:p>
      <w:pPr>
        <w:spacing w:after="0" w:line="225" w:lineRule="exact"/>
        <w:rPr>
          <w:rFonts w:ascii="Arial" w:cs="Arial" w:eastAsia="Arial" w:hAnsi="Arial"/>
          <w:sz w:val="18"/>
          <w:szCs w:val="18"/>
          <w:color w:val="auto"/>
        </w:rPr>
      </w:pPr>
    </w:p>
    <w:p>
      <w:pPr>
        <w:jc w:val="both"/>
        <w:ind w:left="1300" w:firstLine="821"/>
        <w:spacing w:after="0" w:line="264" w:lineRule="auto"/>
        <w:tabs>
          <w:tab w:leader="none" w:pos="3051" w:val="left"/>
        </w:tabs>
        <w:numPr>
          <w:ilvl w:val="1"/>
          <w:numId w:val="839"/>
        </w:numPr>
        <w:rPr>
          <w:rFonts w:ascii="Arial" w:cs="Arial" w:eastAsia="Arial" w:hAnsi="Arial"/>
          <w:sz w:val="18"/>
          <w:szCs w:val="18"/>
          <w:color w:val="auto"/>
        </w:rPr>
      </w:pPr>
      <w:r>
        <w:rPr>
          <w:rFonts w:ascii="Arial" w:cs="Arial" w:eastAsia="Arial" w:hAnsi="Arial"/>
          <w:sz w:val="18"/>
          <w:szCs w:val="18"/>
          <w:color w:val="auto"/>
        </w:rPr>
        <w:t>exercise such rights, remedies, powers and discretions as are specifically delegated to or conferred upon the Foreign Collateral Agent under the relevant security documents governed by Swiss law together with such powers and discretions as are reasonably incidental thereto;</w:t>
      </w:r>
    </w:p>
    <w:p>
      <w:pPr>
        <w:spacing w:after="0" w:line="181" w:lineRule="exact"/>
        <w:rPr>
          <w:rFonts w:ascii="Arial" w:cs="Arial" w:eastAsia="Arial" w:hAnsi="Arial"/>
          <w:sz w:val="18"/>
          <w:szCs w:val="18"/>
          <w:color w:val="auto"/>
        </w:rPr>
      </w:pPr>
    </w:p>
    <w:p>
      <w:pPr>
        <w:ind w:left="1300" w:firstLine="821"/>
        <w:spacing w:after="0" w:line="277" w:lineRule="auto"/>
        <w:tabs>
          <w:tab w:leader="none" w:pos="3214" w:val="left"/>
        </w:tabs>
        <w:numPr>
          <w:ilvl w:val="1"/>
          <w:numId w:val="839"/>
        </w:numPr>
        <w:rPr>
          <w:rFonts w:ascii="Arial" w:cs="Arial" w:eastAsia="Arial" w:hAnsi="Arial"/>
          <w:sz w:val="18"/>
          <w:szCs w:val="18"/>
          <w:color w:val="auto"/>
        </w:rPr>
      </w:pPr>
      <w:r>
        <w:rPr>
          <w:rFonts w:ascii="Arial" w:cs="Arial" w:eastAsia="Arial" w:hAnsi="Arial"/>
          <w:sz w:val="18"/>
          <w:szCs w:val="18"/>
          <w:color w:val="auto"/>
        </w:rPr>
        <w:t>take such action on its behalf as may from time to time be authorized under or in accordance with the relevant Foreign Collateral Documents governed by Swiss law; and</w:t>
      </w:r>
    </w:p>
    <w:p>
      <w:pPr>
        <w:spacing w:after="0" w:line="170" w:lineRule="exact"/>
        <w:rPr>
          <w:rFonts w:ascii="Arial" w:cs="Arial" w:eastAsia="Arial" w:hAnsi="Arial"/>
          <w:sz w:val="18"/>
          <w:szCs w:val="18"/>
          <w:color w:val="auto"/>
        </w:rPr>
      </w:pPr>
    </w:p>
    <w:p>
      <w:pPr>
        <w:jc w:val="both"/>
        <w:ind w:left="1300" w:firstLine="821"/>
        <w:spacing w:after="0" w:line="255" w:lineRule="auto"/>
        <w:tabs>
          <w:tab w:leader="none" w:pos="2967" w:val="left"/>
        </w:tabs>
        <w:numPr>
          <w:ilvl w:val="1"/>
          <w:numId w:val="839"/>
        </w:numPr>
        <w:rPr>
          <w:rFonts w:ascii="Arial" w:cs="Arial" w:eastAsia="Arial" w:hAnsi="Arial"/>
          <w:sz w:val="18"/>
          <w:szCs w:val="18"/>
          <w:color w:val="auto"/>
        </w:rPr>
      </w:pPr>
      <w:r>
        <w:rPr>
          <w:rFonts w:ascii="Arial" w:cs="Arial" w:eastAsia="Arial" w:hAnsi="Arial"/>
          <w:sz w:val="18"/>
          <w:szCs w:val="18"/>
          <w:color w:val="auto"/>
        </w:rPr>
        <w:t>accept, enter into and execute, as its direct representative (direkter Stellvertreter) any pledge or other creation of any accessory security right granted in favor of any Secured Party under Swiss law in connection with the ABL Documents and/or the LC Documents and to agree to and execute in its name and on its behalf as its direct representative (direkter Stellvertreter) any amendments, confirmations and/or alterations to any security document governed by Swiss law which creates a pledge or any other accessory security right (akzessorische Sicherheit) including the release or confirmation of release of such Collateral, all subject to the provisions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01" w:name="page702"/>
    <w:bookmarkEnd w:id="701"/>
    <w:p>
      <w:pPr>
        <w:ind w:left="1300"/>
        <w:spacing w:after="0"/>
        <w:tabs>
          <w:tab w:leader="none" w:pos="26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color w:val="auto"/>
        </w:rPr>
        <w:t>Scottish Collateral.</w:t>
      </w:r>
    </w:p>
    <w:p>
      <w:pPr>
        <w:spacing w:after="0" w:line="225" w:lineRule="exact"/>
        <w:rPr>
          <w:sz w:val="20"/>
          <w:szCs w:val="20"/>
          <w:color w:val="auto"/>
        </w:rPr>
      </w:pPr>
    </w:p>
    <w:p>
      <w:pPr>
        <w:jc w:val="both"/>
        <w:ind w:firstLine="1305"/>
        <w:spacing w:after="0" w:line="271" w:lineRule="auto"/>
        <w:tabs>
          <w:tab w:leader="none" w:pos="2185" w:val="left"/>
        </w:tabs>
        <w:numPr>
          <w:ilvl w:val="0"/>
          <w:numId w:val="840"/>
        </w:numPr>
        <w:rPr>
          <w:rFonts w:ascii="Arial" w:cs="Arial" w:eastAsia="Arial" w:hAnsi="Arial"/>
          <w:sz w:val="17"/>
          <w:szCs w:val="17"/>
          <w:color w:val="auto"/>
        </w:rPr>
      </w:pPr>
      <w:r>
        <w:rPr>
          <w:rFonts w:ascii="Arial" w:cs="Arial" w:eastAsia="Arial" w:hAnsi="Arial"/>
          <w:sz w:val="17"/>
          <w:szCs w:val="17"/>
          <w:color w:val="auto"/>
        </w:rPr>
        <w:t xml:space="preserve">The Foreign Collateral Agent declares that it holds on trust for the Secured Parties, on the terms contained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(i) the Foreign Collateral expressed to be subject to the Liens created in favor of the Foreign Collateral Agent as trustee for the Secured Parties by or pursuant to each Foreign Collateral Document which is governed by or subject to the laws of Scotland, and all proceeds of that Foreign Collateral; (ii) all obligations expressed to be undertaken by any Grantor to pay amounts in respect of the Obligations to the Foreign Collateral Agent as trustee for the Secured Parties and secured by any Foreign Collateral Document which is governed by or subject to the laws of Scotland together with all representations and warranties expressed to be given by any Grantor or any other person in favour of the Foreign Collateral Agent as trustee for the Secured Parties; and (iii) any other amounts or property, whether rights, entitlements, choses in action or otherwise, actual or contingent, which the Foreign Collateral Agent is required by the terms of the ABL Documents or the LC Documents to hold as trustee on trust for the Secured Parties.</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2397" w:val="left"/>
        </w:tabs>
        <w:numPr>
          <w:ilvl w:val="0"/>
          <w:numId w:val="840"/>
        </w:numPr>
        <w:rPr>
          <w:rFonts w:ascii="Arial" w:cs="Arial" w:eastAsia="Arial" w:hAnsi="Arial"/>
          <w:sz w:val="18"/>
          <w:szCs w:val="18"/>
          <w:color w:val="auto"/>
        </w:rPr>
      </w:pPr>
      <w:r>
        <w:rPr>
          <w:rFonts w:ascii="Arial" w:cs="Arial" w:eastAsia="Arial" w:hAnsi="Arial"/>
          <w:sz w:val="18"/>
          <w:szCs w:val="18"/>
          <w:color w:val="auto"/>
        </w:rPr>
        <w:t xml:space="preserve">Without prejudice to the other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other Collateral Agent hereby irrevocably authorizes the Foreign Collateral Agent to perform the duties, obligations and responsibilities and to exercise the rights, powers, authorities and discretions specifically given to the Foreign Collateral Agent as trustee for the Secured Parties under or in connection with the ABL Documents and the LC Documents together with any other incidental rights, powers, authorities and discretions. For the avoidance of doubt, the Foreign Collateral Agent in its capacity as trustee for the Secured Parties shall have the same rights, powers, immunities, indemnities and exclusions from liability as are prescribed in favor of the Foreign Collateral Agent in this Agreement, which shall apply mutatis mutandis.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SECTION 7.01 Legends. Each Security Document shall (and, to the extent already in existence, shall be amended to) include a legend, substantially similar to the form provided below, describing this Agreement (except in the case of any foreign jurisdiction, where such legend is not customary or where otherwise prohibited by applicable law):</w:t>
      </w:r>
    </w:p>
    <w:p>
      <w:pPr>
        <w:spacing w:after="0" w:line="181" w:lineRule="exact"/>
        <w:rPr>
          <w:sz w:val="20"/>
          <w:szCs w:val="20"/>
          <w:color w:val="auto"/>
        </w:rPr>
      </w:pPr>
    </w:p>
    <w:p>
      <w:pPr>
        <w:jc w:val="both"/>
        <w:ind w:left="1300"/>
        <w:spacing w:after="0" w:line="268" w:lineRule="auto"/>
        <w:rPr>
          <w:sz w:val="20"/>
          <w:szCs w:val="20"/>
          <w:color w:val="auto"/>
        </w:rPr>
      </w:pPr>
      <w:r>
        <w:rPr>
          <w:rFonts w:ascii="Arial" w:cs="Arial" w:eastAsia="Arial" w:hAnsi="Arial"/>
          <w:sz w:val="17"/>
          <w:szCs w:val="17"/>
          <w:color w:val="auto"/>
        </w:rPr>
        <w:t>Reference is made to the Intercreditor Agreement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limited by shares, Weatherford International LLC, a Delaware limited liability company and the other Grantors of Weatherford International plc named therein (the “Intercreditor Agreement”). Each [ABL Secured Party] [LC Secured Party], through its Collateral Agent, by obtaining the benefits of this Agreement, (a) consents to the subordination of Liens provided for in the Intercreditor Agreement, (b) agrees that it will be bound by, and will take no actions contrary to, the provisions of the Intercreditor Agreement and (c) authorizes and instructs the [ABL Collateral Agent] [LC Collateral Agent] to enter into the Intercreditor Agreement as [ABL Collateral Agent ] [LC Collateral Agent] on behalf of such Secured Party. The foregoing provisions are intended as an inducement to the [ABL Secured Parties] [LC Secured Parties] to extend credit to [LC Borrowers] [ABL Borrowers] or to acquire any notes or other evidence of any debt obligation owing from the [LC Borrowers] [ABL Borrowers] and such [ABL Secured Parties] [LC Secured Parties] are intended third party beneficiaries of such provisions and the provisions of the Intercreditor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02" w:name="page703"/>
    <w:bookmarkEnd w:id="702"/>
    <w:p>
      <w:pPr>
        <w:jc w:val="both"/>
        <w:ind w:left="1300"/>
        <w:spacing w:after="0" w:line="257" w:lineRule="auto"/>
        <w:rPr>
          <w:sz w:val="20"/>
          <w:szCs w:val="20"/>
          <w:color w:val="auto"/>
        </w:rPr>
      </w:pPr>
      <w:r>
        <w:rPr>
          <w:rFonts w:ascii="Arial" w:cs="Arial" w:eastAsia="Arial" w:hAnsi="Arial"/>
          <w:sz w:val="18"/>
          <w:szCs w:val="18"/>
          <w:color w:val="auto"/>
        </w:rPr>
        <w:t>Notwithstanding any other provision contained herein, this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ABL Intercreditor Agreement). In the event of any conflict or inconsistency between the provisions of this Agreement and the Intercreditor Agreement, the provisions of the Intercreditor Agreement shall control.</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SECTION 7.02 Notices. All notices and other communications provided for herein shall be in writing and shall be delivered by hand or overnight courier service, mailed by certified or registered mail or sent by telecopy, as follows:</w:t>
      </w:r>
    </w:p>
    <w:p>
      <w:pPr>
        <w:spacing w:after="0" w:line="170" w:lineRule="exact"/>
        <w:rPr>
          <w:sz w:val="20"/>
          <w:szCs w:val="20"/>
          <w:color w:val="auto"/>
        </w:rPr>
      </w:pPr>
    </w:p>
    <w:p>
      <w:pPr>
        <w:ind w:left="1960" w:hanging="655"/>
        <w:spacing w:after="0"/>
        <w:tabs>
          <w:tab w:leader="none" w:pos="196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if to the ABL Collateral Agent, to it at:</w:t>
      </w:r>
    </w:p>
    <w:p>
      <w:pPr>
        <w:spacing w:after="0" w:line="225" w:lineRule="exact"/>
        <w:rPr>
          <w:rFonts w:ascii="Arial" w:cs="Arial" w:eastAsia="Arial" w:hAnsi="Arial"/>
          <w:sz w:val="18"/>
          <w:szCs w:val="18"/>
          <w:color w:val="auto"/>
        </w:rPr>
      </w:pPr>
    </w:p>
    <w:p>
      <w:pPr>
        <w:ind w:left="1960" w:right="6580"/>
        <w:spacing w:after="0" w:line="256" w:lineRule="auto"/>
        <w:rPr>
          <w:rFonts w:ascii="Arial" w:cs="Arial" w:eastAsia="Arial" w:hAnsi="Arial"/>
          <w:sz w:val="18"/>
          <w:szCs w:val="18"/>
          <w:color w:val="auto"/>
        </w:rPr>
      </w:pPr>
      <w:r>
        <w:rPr>
          <w:rFonts w:ascii="Arial" w:cs="Arial" w:eastAsia="Arial" w:hAnsi="Arial"/>
          <w:sz w:val="18"/>
          <w:szCs w:val="18"/>
          <w:color w:val="auto"/>
        </w:rPr>
        <w:t>Wells Fargo Bank, National Association 14241 Dallas Parkway, Suite 1300 Dallas, TX 75254</w:t>
      </w:r>
    </w:p>
    <w:p>
      <w:pPr>
        <w:ind w:left="19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Attention: Loan Portfolio Manager</w:t>
      </w:r>
    </w:p>
    <w:p>
      <w:pPr>
        <w:spacing w:after="0" w:line="9" w:lineRule="exact"/>
        <w:rPr>
          <w:rFonts w:ascii="Arial" w:cs="Arial" w:eastAsia="Arial" w:hAnsi="Arial"/>
          <w:sz w:val="18"/>
          <w:szCs w:val="18"/>
          <w:color w:val="auto"/>
        </w:rPr>
      </w:pPr>
    </w:p>
    <w:p>
      <w:pPr>
        <w:ind w:left="1960" w:right="7980"/>
        <w:spacing w:after="0" w:line="554" w:lineRule="auto"/>
        <w:rPr>
          <w:rFonts w:ascii="Arial" w:cs="Arial" w:eastAsia="Arial" w:hAnsi="Arial"/>
          <w:sz w:val="18"/>
          <w:szCs w:val="18"/>
          <w:color w:val="auto"/>
        </w:rPr>
      </w:pPr>
      <w:r>
        <w:rPr>
          <w:rFonts w:ascii="Arial" w:cs="Arial" w:eastAsia="Arial" w:hAnsi="Arial"/>
          <w:sz w:val="16"/>
          <w:szCs w:val="16"/>
          <w:color w:val="auto"/>
        </w:rPr>
        <w:t>Fax: (866) 551-0750 with a copy to:</w:t>
      </w:r>
    </w:p>
    <w:p>
      <w:pPr>
        <w:ind w:left="1960"/>
        <w:spacing w:after="0"/>
        <w:rPr>
          <w:rFonts w:ascii="Arial" w:cs="Arial" w:eastAsia="Arial" w:hAnsi="Arial"/>
          <w:sz w:val="18"/>
          <w:szCs w:val="18"/>
          <w:color w:val="auto"/>
        </w:rPr>
      </w:pPr>
      <w:r>
        <w:rPr>
          <w:rFonts w:ascii="Arial" w:cs="Arial" w:eastAsia="Arial" w:hAnsi="Arial"/>
          <w:sz w:val="18"/>
          <w:szCs w:val="18"/>
          <w:color w:val="auto"/>
        </w:rPr>
        <w:t>Goldberg Kohn Ltd.</w:t>
      </w:r>
    </w:p>
    <w:p>
      <w:pPr>
        <w:spacing w:after="0" w:line="23" w:lineRule="exact"/>
        <w:rPr>
          <w:rFonts w:ascii="Arial" w:cs="Arial" w:eastAsia="Arial" w:hAnsi="Arial"/>
          <w:sz w:val="18"/>
          <w:szCs w:val="18"/>
          <w:color w:val="auto"/>
        </w:rPr>
      </w:pPr>
    </w:p>
    <w:p>
      <w:pPr>
        <w:ind w:left="1960" w:right="6980"/>
        <w:spacing w:after="0" w:line="250" w:lineRule="auto"/>
        <w:rPr>
          <w:rFonts w:ascii="Arial" w:cs="Arial" w:eastAsia="Arial" w:hAnsi="Arial"/>
          <w:sz w:val="18"/>
          <w:szCs w:val="18"/>
          <w:color w:val="auto"/>
        </w:rPr>
      </w:pPr>
      <w:r>
        <w:rPr>
          <w:rFonts w:ascii="Arial" w:cs="Arial" w:eastAsia="Arial" w:hAnsi="Arial"/>
          <w:sz w:val="18"/>
          <w:szCs w:val="18"/>
          <w:color w:val="auto"/>
        </w:rPr>
        <w:t>55 East Monroe Street, Suite 3300 Chicago, Illinois 60603</w:t>
      </w:r>
    </w:p>
    <w:p>
      <w:pPr>
        <w:ind w:left="19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Attention: Jessica L. DeBruin, Esq.</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(312) 863-7857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03" w:name="page704"/>
    <w:bookmarkEnd w:id="703"/>
    <w:p>
      <w:pPr>
        <w:ind w:left="760" w:hanging="655"/>
        <w:spacing w:after="0"/>
        <w:tabs>
          <w:tab w:leader="none" w:pos="76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if to the Foreign Collateral Agent, to it at:</w:t>
      </w:r>
    </w:p>
    <w:p>
      <w:pPr>
        <w:spacing w:after="0" w:line="225" w:lineRule="exact"/>
        <w:rPr>
          <w:rFonts w:ascii="Arial" w:cs="Arial" w:eastAsia="Arial" w:hAnsi="Arial"/>
          <w:sz w:val="18"/>
          <w:szCs w:val="18"/>
          <w:color w:val="auto"/>
        </w:rPr>
      </w:pPr>
    </w:p>
    <w:p>
      <w:pPr>
        <w:ind w:left="760" w:right="5379"/>
        <w:spacing w:after="0" w:line="256" w:lineRule="auto"/>
        <w:rPr>
          <w:rFonts w:ascii="Arial" w:cs="Arial" w:eastAsia="Arial" w:hAnsi="Arial"/>
          <w:sz w:val="18"/>
          <w:szCs w:val="18"/>
          <w:color w:val="auto"/>
        </w:rPr>
      </w:pPr>
      <w:r>
        <w:rPr>
          <w:rFonts w:ascii="Arial" w:cs="Arial" w:eastAsia="Arial" w:hAnsi="Arial"/>
          <w:sz w:val="18"/>
          <w:szCs w:val="18"/>
          <w:color w:val="auto"/>
        </w:rPr>
        <w:t>Wells Fargo Bank, National Association 14241 Dallas Parkway, Suite 1300 Dallas, TX 75254</w:t>
      </w:r>
    </w:p>
    <w:p>
      <w:pPr>
        <w:ind w:left="7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Attention: Loan Portfolio Manager</w:t>
      </w:r>
    </w:p>
    <w:p>
      <w:pPr>
        <w:spacing w:after="0" w:line="9" w:lineRule="exact"/>
        <w:rPr>
          <w:rFonts w:ascii="Arial" w:cs="Arial" w:eastAsia="Arial" w:hAnsi="Arial"/>
          <w:sz w:val="18"/>
          <w:szCs w:val="18"/>
          <w:color w:val="auto"/>
        </w:rPr>
      </w:pPr>
    </w:p>
    <w:p>
      <w:pPr>
        <w:ind w:left="760" w:right="6779"/>
        <w:spacing w:after="0" w:line="554" w:lineRule="auto"/>
        <w:rPr>
          <w:rFonts w:ascii="Arial" w:cs="Arial" w:eastAsia="Arial" w:hAnsi="Arial"/>
          <w:sz w:val="18"/>
          <w:szCs w:val="18"/>
          <w:color w:val="auto"/>
        </w:rPr>
      </w:pPr>
      <w:r>
        <w:rPr>
          <w:rFonts w:ascii="Arial" w:cs="Arial" w:eastAsia="Arial" w:hAnsi="Arial"/>
          <w:sz w:val="16"/>
          <w:szCs w:val="16"/>
          <w:color w:val="auto"/>
        </w:rPr>
        <w:t>Fax: (866) 551-0750 with a copy to:</w:t>
      </w:r>
    </w:p>
    <w:p>
      <w:pPr>
        <w:ind w:left="760"/>
        <w:spacing w:after="0"/>
        <w:rPr>
          <w:rFonts w:ascii="Arial" w:cs="Arial" w:eastAsia="Arial" w:hAnsi="Arial"/>
          <w:sz w:val="18"/>
          <w:szCs w:val="18"/>
          <w:color w:val="auto"/>
        </w:rPr>
      </w:pPr>
      <w:r>
        <w:rPr>
          <w:rFonts w:ascii="Arial" w:cs="Arial" w:eastAsia="Arial" w:hAnsi="Arial"/>
          <w:sz w:val="18"/>
          <w:szCs w:val="18"/>
          <w:color w:val="auto"/>
        </w:rPr>
        <w:t>Goldberg Kohn Ltd.</w:t>
      </w:r>
    </w:p>
    <w:p>
      <w:pPr>
        <w:spacing w:after="0" w:line="23" w:lineRule="exact"/>
        <w:rPr>
          <w:rFonts w:ascii="Arial" w:cs="Arial" w:eastAsia="Arial" w:hAnsi="Arial"/>
          <w:sz w:val="18"/>
          <w:szCs w:val="18"/>
          <w:color w:val="auto"/>
        </w:rPr>
      </w:pPr>
    </w:p>
    <w:p>
      <w:pPr>
        <w:ind w:left="760" w:right="5779"/>
        <w:spacing w:after="0" w:line="250" w:lineRule="auto"/>
        <w:rPr>
          <w:rFonts w:ascii="Arial" w:cs="Arial" w:eastAsia="Arial" w:hAnsi="Arial"/>
          <w:sz w:val="18"/>
          <w:szCs w:val="18"/>
          <w:color w:val="auto"/>
        </w:rPr>
      </w:pPr>
      <w:r>
        <w:rPr>
          <w:rFonts w:ascii="Arial" w:cs="Arial" w:eastAsia="Arial" w:hAnsi="Arial"/>
          <w:sz w:val="18"/>
          <w:szCs w:val="18"/>
          <w:color w:val="auto"/>
        </w:rPr>
        <w:t>55 East Monroe Street, Suite 3300 Chicago, Illinois 60603</w:t>
      </w:r>
    </w:p>
    <w:p>
      <w:pPr>
        <w:ind w:left="7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Attention: Jessica L. DeBruin, Esq.</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Fax: (312) 863-7857</w:t>
      </w:r>
    </w:p>
    <w:p>
      <w:pPr>
        <w:spacing w:after="0" w:line="210" w:lineRule="exact"/>
        <w:rPr>
          <w:rFonts w:ascii="Arial" w:cs="Arial" w:eastAsia="Arial" w:hAnsi="Arial"/>
          <w:sz w:val="18"/>
          <w:szCs w:val="18"/>
          <w:color w:val="auto"/>
        </w:rPr>
      </w:pPr>
    </w:p>
    <w:p>
      <w:pPr>
        <w:ind w:left="760" w:hanging="655"/>
        <w:spacing w:after="0"/>
        <w:tabs>
          <w:tab w:leader="none" w:pos="76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if to the LC Collateral Agent, to it at:</w:t>
      </w:r>
    </w:p>
    <w:p>
      <w:pPr>
        <w:spacing w:after="0" w:line="225" w:lineRule="exact"/>
        <w:rPr>
          <w:rFonts w:ascii="Arial" w:cs="Arial" w:eastAsia="Arial" w:hAnsi="Arial"/>
          <w:sz w:val="18"/>
          <w:szCs w:val="18"/>
          <w:color w:val="auto"/>
        </w:rPr>
      </w:pPr>
    </w:p>
    <w:p>
      <w:pPr>
        <w:ind w:left="760" w:right="5279"/>
        <w:spacing w:after="0" w:line="258" w:lineRule="auto"/>
        <w:rPr>
          <w:rFonts w:ascii="Arial" w:cs="Arial" w:eastAsia="Arial" w:hAnsi="Arial"/>
          <w:sz w:val="18"/>
          <w:szCs w:val="18"/>
          <w:color w:val="auto"/>
        </w:rPr>
      </w:pPr>
      <w:r>
        <w:rPr>
          <w:rFonts w:ascii="Arial" w:cs="Arial" w:eastAsia="Arial" w:hAnsi="Arial"/>
          <w:sz w:val="18"/>
          <w:szCs w:val="18"/>
          <w:color w:val="auto"/>
        </w:rPr>
        <w:t>Deutsche Bank Trust Company Americas Trust and Agency Services</w:t>
      </w:r>
    </w:p>
    <w:p>
      <w:pPr>
        <w:spacing w:after="0" w:line="1" w:lineRule="exact"/>
        <w:rPr>
          <w:rFonts w:ascii="Arial" w:cs="Arial" w:eastAsia="Arial" w:hAnsi="Arial"/>
          <w:sz w:val="18"/>
          <w:szCs w:val="18"/>
          <w:color w:val="auto"/>
        </w:rPr>
      </w:pPr>
    </w:p>
    <w:p>
      <w:pPr>
        <w:ind w:left="760" w:right="6379"/>
        <w:spacing w:after="0" w:line="250" w:lineRule="auto"/>
        <w:rPr>
          <w:rFonts w:ascii="Arial" w:cs="Arial" w:eastAsia="Arial" w:hAnsi="Arial"/>
          <w:sz w:val="18"/>
          <w:szCs w:val="18"/>
          <w:color w:val="auto"/>
        </w:rPr>
      </w:pPr>
      <w:r>
        <w:rPr>
          <w:rFonts w:ascii="Arial" w:cs="Arial" w:eastAsia="Arial" w:hAnsi="Arial"/>
          <w:sz w:val="18"/>
          <w:szCs w:val="18"/>
          <w:color w:val="auto"/>
        </w:rPr>
        <w:t>60 Wall Street, 24th Floor Mail Stop: NYC60 - 2410 New York, NY 10005 USA</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Attention: Project Finance Agency Services, Weatherford, SF0580</w:t>
      </w:r>
    </w:p>
    <w:p>
      <w:pPr>
        <w:spacing w:after="0" w:line="3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Fax: (646) 961-3317</w:t>
      </w:r>
    </w:p>
    <w:p>
      <w:pPr>
        <w:spacing w:after="0" w:line="210" w:lineRule="exact"/>
        <w:rPr>
          <w:rFonts w:ascii="Arial" w:cs="Arial" w:eastAsia="Arial" w:hAnsi="Arial"/>
          <w:sz w:val="18"/>
          <w:szCs w:val="18"/>
          <w:color w:val="auto"/>
        </w:rPr>
      </w:pPr>
    </w:p>
    <w:p>
      <w:pPr>
        <w:ind w:left="760" w:hanging="655"/>
        <w:spacing w:after="0"/>
        <w:tabs>
          <w:tab w:leader="none" w:pos="76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if to the LC Australian Collateral Agent, to it at:</w:t>
      </w:r>
    </w:p>
    <w:p>
      <w:pPr>
        <w:spacing w:after="0" w:line="225" w:lineRule="exact"/>
        <w:rPr>
          <w:rFonts w:ascii="Arial" w:cs="Arial" w:eastAsia="Arial" w:hAnsi="Arial"/>
          <w:sz w:val="18"/>
          <w:szCs w:val="18"/>
          <w:color w:val="auto"/>
        </w:rPr>
      </w:pPr>
    </w:p>
    <w:p>
      <w:pPr>
        <w:ind w:left="760" w:right="5039"/>
        <w:spacing w:after="0" w:line="258" w:lineRule="auto"/>
        <w:rPr>
          <w:rFonts w:ascii="Arial" w:cs="Arial" w:eastAsia="Arial" w:hAnsi="Arial"/>
          <w:sz w:val="18"/>
          <w:szCs w:val="18"/>
          <w:color w:val="auto"/>
        </w:rPr>
      </w:pPr>
      <w:r>
        <w:rPr>
          <w:rFonts w:ascii="Arial" w:cs="Arial" w:eastAsia="Arial" w:hAnsi="Arial"/>
          <w:sz w:val="18"/>
          <w:szCs w:val="18"/>
          <w:color w:val="auto"/>
        </w:rPr>
        <w:t>BTA Institutional Services Australia Limited Level 2, 1 Bligh Street</w:t>
      </w:r>
    </w:p>
    <w:p>
      <w:pPr>
        <w:spacing w:after="0" w:line="1" w:lineRule="exact"/>
        <w:rPr>
          <w:rFonts w:ascii="Arial" w:cs="Arial" w:eastAsia="Arial" w:hAnsi="Arial"/>
          <w:sz w:val="18"/>
          <w:szCs w:val="18"/>
          <w:color w:val="auto"/>
        </w:rPr>
      </w:pPr>
    </w:p>
    <w:p>
      <w:pPr>
        <w:ind w:left="760" w:right="6879"/>
        <w:spacing w:after="0" w:line="250" w:lineRule="auto"/>
        <w:rPr>
          <w:rFonts w:ascii="Arial" w:cs="Arial" w:eastAsia="Arial" w:hAnsi="Arial"/>
          <w:sz w:val="18"/>
          <w:szCs w:val="18"/>
          <w:color w:val="auto"/>
        </w:rPr>
      </w:pPr>
      <w:r>
        <w:rPr>
          <w:rFonts w:ascii="Arial" w:cs="Arial" w:eastAsia="Arial" w:hAnsi="Arial"/>
          <w:sz w:val="18"/>
          <w:szCs w:val="18"/>
          <w:color w:val="auto"/>
        </w:rPr>
        <w:t>Sydney NSW 2000 Australia</w:t>
      </w:r>
    </w:p>
    <w:p>
      <w:pPr>
        <w:ind w:left="760"/>
        <w:spacing w:after="0"/>
        <w:rPr>
          <w:rFonts w:ascii="Arial" w:cs="Arial" w:eastAsia="Arial" w:hAnsi="Arial"/>
          <w:sz w:val="18"/>
          <w:szCs w:val="18"/>
          <w:color w:val="auto"/>
        </w:rPr>
      </w:pPr>
      <w:r>
        <w:rPr>
          <w:rFonts w:ascii="Arial" w:cs="Arial" w:eastAsia="Arial" w:hAnsi="Arial"/>
          <w:sz w:val="18"/>
          <w:szCs w:val="18"/>
          <w:color w:val="auto"/>
        </w:rPr>
        <w:t>Attention: Global Client Services</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Fax: +61 2 9260 6009</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Email: BNYM_CT_Aus_RMG@bnymellon.com</w:t>
      </w:r>
    </w:p>
    <w:p>
      <w:pPr>
        <w:spacing w:after="0" w:line="210" w:lineRule="exact"/>
        <w:rPr>
          <w:rFonts w:ascii="Arial" w:cs="Arial" w:eastAsia="Arial" w:hAnsi="Arial"/>
          <w:sz w:val="18"/>
          <w:szCs w:val="18"/>
          <w:color w:val="auto"/>
        </w:rPr>
      </w:pPr>
    </w:p>
    <w:p>
      <w:pPr>
        <w:ind w:left="760" w:hanging="655"/>
        <w:spacing w:after="0"/>
        <w:tabs>
          <w:tab w:leader="none" w:pos="76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if to the Grantors, to them at:</w:t>
      </w:r>
    </w:p>
    <w:p>
      <w:pPr>
        <w:spacing w:after="0" w:line="225" w:lineRule="exact"/>
        <w:rPr>
          <w:rFonts w:ascii="Arial" w:cs="Arial" w:eastAsia="Arial" w:hAnsi="Arial"/>
          <w:sz w:val="18"/>
          <w:szCs w:val="18"/>
          <w:color w:val="auto"/>
        </w:rPr>
      </w:pPr>
    </w:p>
    <w:p>
      <w:pPr>
        <w:ind w:left="760" w:right="5719"/>
        <w:spacing w:after="0" w:line="258" w:lineRule="auto"/>
        <w:rPr>
          <w:rFonts w:ascii="Arial" w:cs="Arial" w:eastAsia="Arial" w:hAnsi="Arial"/>
          <w:sz w:val="18"/>
          <w:szCs w:val="18"/>
          <w:color w:val="auto"/>
        </w:rPr>
      </w:pPr>
      <w:r>
        <w:rPr>
          <w:rFonts w:ascii="Arial" w:cs="Arial" w:eastAsia="Arial" w:hAnsi="Arial"/>
          <w:sz w:val="18"/>
          <w:szCs w:val="18"/>
          <w:color w:val="auto"/>
        </w:rPr>
        <w:t>c/o Weatherford International, LLC 2000 St. James Place</w:t>
      </w:r>
    </w:p>
    <w:p>
      <w:pPr>
        <w:spacing w:after="0" w:line="1" w:lineRule="exact"/>
        <w:rPr>
          <w:rFonts w:ascii="Arial" w:cs="Arial" w:eastAsia="Arial" w:hAnsi="Arial"/>
          <w:sz w:val="18"/>
          <w:szCs w:val="18"/>
          <w:color w:val="auto"/>
        </w:rPr>
      </w:pPr>
    </w:p>
    <w:p>
      <w:pPr>
        <w:ind w:left="760" w:right="6839"/>
        <w:spacing w:after="0" w:line="250" w:lineRule="auto"/>
        <w:rPr>
          <w:rFonts w:ascii="Arial" w:cs="Arial" w:eastAsia="Arial" w:hAnsi="Arial"/>
          <w:sz w:val="18"/>
          <w:szCs w:val="18"/>
          <w:color w:val="auto"/>
        </w:rPr>
      </w:pPr>
      <w:r>
        <w:rPr>
          <w:rFonts w:ascii="Arial" w:cs="Arial" w:eastAsia="Arial" w:hAnsi="Arial"/>
          <w:sz w:val="18"/>
          <w:szCs w:val="18"/>
          <w:color w:val="auto"/>
        </w:rPr>
        <w:t>Houston, TX 77056 USA</w:t>
      </w:r>
    </w:p>
    <w:p>
      <w:pPr>
        <w:ind w:left="76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Telephone: (713) 836-4000</w:t>
      </w:r>
    </w:p>
    <w:p>
      <w:pPr>
        <w:spacing w:after="0" w:line="9" w:lineRule="exact"/>
        <w:rPr>
          <w:rFonts w:ascii="Arial" w:cs="Arial" w:eastAsia="Arial" w:hAnsi="Arial"/>
          <w:sz w:val="18"/>
          <w:szCs w:val="18"/>
          <w:color w:val="auto"/>
        </w:rPr>
      </w:pPr>
    </w:p>
    <w:p>
      <w:pPr>
        <w:ind w:left="760" w:right="5039"/>
        <w:spacing w:after="0" w:line="605" w:lineRule="auto"/>
        <w:rPr>
          <w:rFonts w:ascii="Arial" w:cs="Arial" w:eastAsia="Arial" w:hAnsi="Arial"/>
          <w:sz w:val="18"/>
          <w:szCs w:val="18"/>
          <w:color w:val="auto"/>
        </w:rPr>
      </w:pPr>
      <w:r>
        <w:rPr>
          <w:rFonts w:ascii="Arial" w:cs="Arial" w:eastAsia="Arial" w:hAnsi="Arial"/>
          <w:sz w:val="16"/>
          <w:szCs w:val="16"/>
          <w:color w:val="auto"/>
        </w:rPr>
        <w:t>Email: LegalWeatherford@weatherford.com with a copy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704" w:name="page705"/>
    <w:bookmarkEnd w:id="704"/>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836-7460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Mark.Rothleitner@weatherford.com;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Josh.Silverman@weatherford.com</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party hereto may change its address or telecopy number for notices and other communications hereunder by notice to the other parties hereto (and for this purpose a notice to the Parent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 to such party as provided in this Section 7.02 or in accordance with the latest unrevoked direction from such party given in accordance with this Section 7.02. As agreed to in writing among the Parent, the ABL Collateral Agent, the LC Collateral Agent, notices and other communications may also be delivered by e-mail to the e-mail address of a representative of the applicable Person provided from time to time by such Person.</w:t>
      </w:r>
    </w:p>
    <w:p>
      <w:pPr>
        <w:spacing w:after="0" w:line="179"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Waivers; Amendment.</w:t>
      </w:r>
    </w:p>
    <w:p>
      <w:pPr>
        <w:spacing w:after="0" w:line="225" w:lineRule="exact"/>
        <w:rPr>
          <w:sz w:val="20"/>
          <w:szCs w:val="20"/>
          <w:color w:val="auto"/>
        </w:rPr>
      </w:pPr>
    </w:p>
    <w:p>
      <w:pPr>
        <w:jc w:val="both"/>
        <w:ind w:firstLine="1305"/>
        <w:spacing w:after="0" w:line="272" w:lineRule="auto"/>
        <w:tabs>
          <w:tab w:leader="none" w:pos="2212" w:val="left"/>
        </w:tabs>
        <w:numPr>
          <w:ilvl w:val="0"/>
          <w:numId w:val="843"/>
        </w:numPr>
        <w:rPr>
          <w:rFonts w:ascii="Arial" w:cs="Arial" w:eastAsia="Arial" w:hAnsi="Arial"/>
          <w:sz w:val="17"/>
          <w:szCs w:val="17"/>
          <w:color w:val="auto"/>
        </w:rPr>
      </w:pPr>
      <w:r>
        <w:rPr>
          <w:rFonts w:ascii="Arial" w:cs="Arial" w:eastAsia="Arial" w:hAnsi="Arial"/>
          <w:sz w:val="17"/>
          <w:szCs w:val="17"/>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7.03,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2262" w:val="left"/>
        </w:tabs>
        <w:numPr>
          <w:ilvl w:val="0"/>
          <w:numId w:val="843"/>
        </w:numPr>
        <w:rPr>
          <w:rFonts w:ascii="Arial" w:cs="Arial" w:eastAsia="Arial" w:hAnsi="Arial"/>
          <w:sz w:val="18"/>
          <w:szCs w:val="18"/>
          <w:color w:val="auto"/>
        </w:rPr>
      </w:pPr>
      <w:r>
        <w:rPr>
          <w:rFonts w:ascii="Arial" w:cs="Arial" w:eastAsia="Arial" w:hAnsi="Arial"/>
          <w:sz w:val="18"/>
          <w:szCs w:val="18"/>
          <w:color w:val="auto"/>
        </w:rPr>
        <w:t>Subject to Sections 2.03, 2.10, 2.11, Article 6 and 7.15 hereof, and except as set forth in Section 7.18, neither this Agreement nor any provision hereof may be terminated, waived, amended or modified except pursuant to an agreement or agreements in writing entered into by each Representative, each Collateral Agent and the Parent (for and on behalf of each of the other Grantors).</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SECTION 7.04 Parties in Interest. This Agreement shall be binding upon and inure to the benefit of the parties hereto and their respective successors and assigns, all of whom are intended to be bound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5" w:name="page706"/>
    <w:bookmarkEnd w:id="705"/>
    <w:p>
      <w:pPr>
        <w:jc w:val="both"/>
        <w:ind w:firstLine="1297"/>
        <w:spacing w:after="0" w:line="308" w:lineRule="auto"/>
        <w:rPr>
          <w:sz w:val="20"/>
          <w:szCs w:val="20"/>
          <w:color w:val="auto"/>
        </w:rPr>
      </w:pPr>
      <w:r>
        <w:rPr>
          <w:rFonts w:ascii="Arial" w:cs="Arial" w:eastAsia="Arial" w:hAnsi="Arial"/>
          <w:sz w:val="17"/>
          <w:szCs w:val="17"/>
          <w:color w:val="auto"/>
        </w:rPr>
        <w:t>SECTION 7.05 Survival of Agreement. All covenants, agreements, representations and warranties made by any party in this Agreement shall be considered to have been relied upon by the other parties hereto and shall survive the execution and delivery of this Agreement.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SECTION 7.06 Counterparts.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SECTION 7.07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8"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color w:val="auto"/>
        </w:rPr>
        <w:t>Governing Law; Jurisdiction; Consent to Service of Process.</w:t>
      </w:r>
    </w:p>
    <w:p>
      <w:pPr>
        <w:spacing w:after="0" w:line="225" w:lineRule="exact"/>
        <w:rPr>
          <w:sz w:val="20"/>
          <w:szCs w:val="20"/>
          <w:color w:val="auto"/>
        </w:rPr>
      </w:pPr>
    </w:p>
    <w:p>
      <w:pPr>
        <w:jc w:val="both"/>
        <w:ind w:firstLine="1305"/>
        <w:spacing w:after="0" w:line="264" w:lineRule="auto"/>
        <w:tabs>
          <w:tab w:leader="none" w:pos="2306"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This Agreement and any claim, controversy or dispute arising under or related to such Agreement shall be governed by, and construed in accordance with, the law of the State of New York, without giving effect to conflict of law provisions, other than 5-1401 and 5-1402 of the New York General Obligations Law.</w:t>
      </w:r>
    </w:p>
    <w:p>
      <w:pPr>
        <w:spacing w:after="0" w:line="181" w:lineRule="exact"/>
        <w:rPr>
          <w:rFonts w:ascii="Arial" w:cs="Arial" w:eastAsia="Arial" w:hAnsi="Arial"/>
          <w:sz w:val="18"/>
          <w:szCs w:val="18"/>
          <w:color w:val="auto"/>
        </w:rPr>
      </w:pPr>
    </w:p>
    <w:p>
      <w:pPr>
        <w:jc w:val="both"/>
        <w:ind w:firstLine="1305"/>
        <w:spacing w:after="0" w:line="254" w:lineRule="auto"/>
        <w:tabs>
          <w:tab w:leader="none" w:pos="2208" w:val="left"/>
        </w:tabs>
        <w:numPr>
          <w:ilvl w:val="0"/>
          <w:numId w:val="844"/>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92" w:lineRule="exact"/>
        <w:rPr>
          <w:rFonts w:ascii="Arial" w:cs="Arial" w:eastAsia="Arial" w:hAnsi="Arial"/>
          <w:sz w:val="18"/>
          <w:szCs w:val="18"/>
          <w:color w:val="auto"/>
        </w:rPr>
      </w:pPr>
    </w:p>
    <w:p>
      <w:pPr>
        <w:jc w:val="both"/>
        <w:ind w:firstLine="1305"/>
        <w:spacing w:after="0" w:line="259" w:lineRule="auto"/>
        <w:tabs>
          <w:tab w:leader="none" w:pos="2225" w:val="left"/>
        </w:tabs>
        <w:numPr>
          <w:ilvl w:val="0"/>
          <w:numId w:val="844"/>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7.08.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06" w:name="page707"/>
    <w:bookmarkEnd w:id="706"/>
    <w:p>
      <w:pPr>
        <w:ind w:firstLine="1305"/>
        <w:spacing w:after="0" w:line="308" w:lineRule="auto"/>
        <w:tabs>
          <w:tab w:leader="none" w:pos="2343" w:val="left"/>
        </w:tabs>
        <w:numPr>
          <w:ilvl w:val="0"/>
          <w:numId w:val="845"/>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7.02. Nothing in this Agreement will affect the right of any party to this Agreement to serve process in any other manner permitted by law.</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SECTION 7.09 WAIVER OF JURY TRIAL. EACH PARTY HERETO HEREBY WAIVES, TO THE FULLEST EXTENT 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7.10 Headings. Article, Section and Annex headings used herein are for convenience of reference only, are not part of this Agreement and are not to affect the construction of, or to be taken into consideration in interpreting, this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7.11 Conflicts. In the event of any conflict or inconsistency between the provisions of this Agreement and the provisions of any of the ABL Documents and/or any of the LC Documents, the provisions of this Agreement shall control.</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SECTION 7.12 Provisions Solely to Define Relative Rights. The provisions of this Agreement are and are intended solely for the purpose of defining the relative rights of the ABL Secured Parties and the LC Secured Parties in relation to one another. None of the Grantors shall have any rights or obligations hereunder, except as expressly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(other than Sections 2.05, 2.06, 2.10, 2.11, Article V and Article VI) is intended to or will amend, waive or otherwise modify the provisions of the ABL Documents or any LC Documents), and none of the Grantors may rely on the terms hereof. Nothing in this Agreement is intended to or shall impair or relieve the obligations of the Grantors, which are absolute and unconditional, to pay the Obligations as and when the same shall become due and payable in accordance with their terms. Notwithstanding anything to the contrary herein or in any ABL Document or any LC Obligations Document, the Grantors shall not be required to act or refrain from acting (a) pursuant to this Agreement or any LC Obligations Document with respect to any ABL Priority Collateral in any manner that would cause a default under any ABL Document, or (b) pursuant to this Agreement or any ABL Document with respect to any LC Priority Collateral in any manner that would cause a default under any LC Obligations Document.</w:t>
      </w:r>
    </w:p>
    <w:p>
      <w:pPr>
        <w:spacing w:after="0" w:line="17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SECTION 7.13 Agent Capacities. Except as expressly set forth herein, neither the ABL Collateral Agent, nor the LC Collateral Agent (including the LC Australian Collateral Agent), shall have (i) any duties or obligations in respect of any of the Collateral, all of such duties and obligations, if any, being subject to and governed by the ABL Documents and the LC Documents, as the case may be, or (ii) any liability or responsibility for the actions or omissions of any other Secured Party or for any other Secured Party’s compliance with (or failure to comply with) the terms of this Agreement. Neither the ABL Collateral Agent, nor the LC Collateral Agent (including the LC Australian Collateral Agent) shall have individual liability to any Person if it shall mistakenly pay over or distribute to any Secured Party (or Grantor) any amounts in violation of the terms of this Agreement, so long as such Person is acting in good faith and without willful misconduct or bad faith. Furthermore, and notwithstanding anything to the contrary contained herein, the LC Australian Collateral Agent shall act or refrain from acting with respect to the LC Australian Collateral only at the direction of the LC Administrative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707" w:name="page708"/>
    <w:bookmarkEnd w:id="707"/>
    <w:p>
      <w:pPr>
        <w:jc w:val="both"/>
        <w:ind w:firstLine="1297"/>
        <w:spacing w:after="0" w:line="286" w:lineRule="auto"/>
        <w:rPr>
          <w:sz w:val="20"/>
          <w:szCs w:val="20"/>
          <w:color w:val="auto"/>
        </w:rPr>
      </w:pPr>
      <w:r>
        <w:rPr>
          <w:rFonts w:ascii="Arial" w:cs="Arial" w:eastAsia="Arial" w:hAnsi="Arial"/>
          <w:sz w:val="17"/>
          <w:szCs w:val="17"/>
          <w:color w:val="auto"/>
        </w:rPr>
        <w:t>SECTION 7.14 Supplements. Upon the execution by any Subsidiary of Parent of a supplement hereto in form and substance satisfactory to the Collateral Agents, such subsidiary shall be a party to this Agreement and shall be bound by the provisions hereof to the same extent as each Grantor are so bound. The Parent shall cause any Subsidiary that becomes a Grantor to execute and deliver such supplement.</w:t>
      </w:r>
    </w:p>
    <w:p>
      <w:pPr>
        <w:spacing w:after="0" w:line="166"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color w:val="auto"/>
        </w:rPr>
        <w:t>Collateral Agent Rights, Protections and Immunities.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acting under or by virtue of this Agreement, the LC Collateral Agent and the LC Australian Collateral Agent shall have the rights, protections and immunities granted to the “Administrative Agent” and its respective sub-agents under the LC Credit Agreement, all of which are incorporated by reference herein, mutatis mutandis. In acting under or by virtue of this Agreement, the ABL Collateral Agent shall have the rights, protections and immunities granted to the “Agent” under the ABL Credit Agreement, all of which are incorporated by reference herein, mutatis mutandis. In acting under or by virtue of this Agreement, the LC Australian Collateral Agent shall have the rights, protections and immunities granted to the “LC Australian Collateral Agent” under the LC Australian Security Trust Deed.</w:t>
      </w:r>
    </w:p>
    <w:p>
      <w:pPr>
        <w:spacing w:after="0" w:line="193"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7.16</w:t>
      </w:r>
      <w:r>
        <w:rPr>
          <w:sz w:val="20"/>
          <w:szCs w:val="20"/>
          <w:color w:val="auto"/>
        </w:rPr>
        <w:tab/>
      </w:r>
      <w:r>
        <w:rPr>
          <w:rFonts w:ascii="Arial" w:cs="Arial" w:eastAsia="Arial" w:hAnsi="Arial"/>
          <w:sz w:val="16"/>
          <w:szCs w:val="16"/>
          <w:color w:val="auto"/>
        </w:rPr>
        <w:t>Other Junior Intercreditor Agreements.</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In addition, in the event that the Parent or any Subsidiary incurs any obligations secured by a lien on any Collateral that is junior to the LC Obligations or the ABL Obligations, then the ABL Collateral Agent and the LC Collateral Agent shall enter into an intercreditor agreement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application of proceeds of the Collateral, voting rights, control of the Collateral and waivers with respect to the Collateral, in each case so long as such secured obligations are permitted under, and the terms of such intercreditor agreement do not violate or conflict with, the provisions of this Agreement or the other ABL Documents or LC Documents, as the case may be. Each party hereto agrees that the ABL Secured Parties (as among themselves) and the LC Secured Parties (as among themselves) may each enter into intercreditor agreements (or similar arrangements) with the Applicable Senior Collateral Agent governing the rights, benefits and privileges as among the ABL Secured Parties or the LC Secured Parties, as the case may be, in respect of the Collateral, this Agreement and the applicable Senior Secured Obligations Collateral Documents, as the case may be, including as to the application of proceeds of the Collateral, voting rights, control of the Collateral and waivers with respect to the Collateral, in each case so long as the terms thereof do not violate or conflict with the provisions of this Agreement or the other applicable Senior Secured Obligations Collateral Documents, as the case may be. If any such intercreditor agreement (or similar arrangement) is entered into, the provisions thereof shall not be (or be construed to be) an amendment, modification or other change to this Agreement or any other ABL Document or LC Document, and the provisions of this Agreement and the other ABL Documents and LC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8" w:name="page709"/>
    <w:bookmarkEnd w:id="708"/>
    <w:p>
      <w:pPr>
        <w:ind w:left="1300"/>
        <w:spacing w:after="0"/>
        <w:tabs>
          <w:tab w:leader="none" w:pos="262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6"/>
          <w:szCs w:val="16"/>
          <w:color w:val="auto"/>
        </w:rPr>
        <w:t>Additional Grantors.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Promptly upon request by any Collateral Agent, any Person that becomes a Grantor after the date hereof will provide to the Collateral Agents a fully signed acknowledgement,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consenting to the provisions of this Agreement and the intercreditor arrangements provided for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failure on the part of any Collateral Agent to request or obtain such acknowledgement will in any way diminish or impair any of the rights of the Secured Parties hereunder.</w:t>
      </w:r>
    </w:p>
    <w:p>
      <w:pPr>
        <w:spacing w:after="0" w:line="18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7.18</w:t>
      </w:r>
      <w:r>
        <w:rPr>
          <w:sz w:val="20"/>
          <w:szCs w:val="20"/>
          <w:color w:val="auto"/>
        </w:rPr>
        <w:tab/>
      </w:r>
      <w:r>
        <w:rPr>
          <w:rFonts w:ascii="Arial" w:cs="Arial" w:eastAsia="Arial" w:hAnsi="Arial"/>
          <w:sz w:val="16"/>
          <w:szCs w:val="16"/>
          <w:color w:val="auto"/>
        </w:rPr>
        <w:t>Joinder of LC Australian Collateral Agent.</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Substantially concurrently with its entry into the LC Australian Security Trust Deed, BTA Institutional Services Australia Limited shall, without requiring the consent of any other party hereto, join to this Agreement by executing and delivering a joinder agreement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 signatures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709" w:name="page710"/>
    <w:bookmarkEnd w:id="709"/>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blocks omitted]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0" w:name="page711"/>
    <w:bookmarkEnd w:id="71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Exhibit A – Joinder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909" w:right="339" w:bottom="1440" w:gutter="0" w:footer="0" w:header="0"/>
        </w:sectPr>
      </w:pPr>
    </w:p>
    <w:bookmarkStart w:id="711" w:name="page712"/>
    <w:bookmarkEnd w:id="711"/>
    <w:p>
      <w:pPr>
        <w:jc w:val="right"/>
        <w:spacing w:after="0"/>
        <w:rPr>
          <w:sz w:val="20"/>
          <w:szCs w:val="20"/>
          <w:color w:val="auto"/>
        </w:rPr>
      </w:pPr>
      <w:r>
        <w:rPr>
          <w:rFonts w:ascii="Arial" w:cs="Arial" w:eastAsia="Arial" w:hAnsi="Arial"/>
          <w:sz w:val="18"/>
          <w:szCs w:val="18"/>
          <w:u w:val="single" w:color="auto"/>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(LC Obligations)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JOINDER AGREEMENT (as amended, restated, supplemented or otherwise modified from time to time, this “Agreement”), dated as of [ ], is among [ ], as a LC Collateral Agent (the “New Collateral Agent”), WF, as ABL Collateral Agent, DBTCA, as LC Collateral Agent, and Parent (on behalf of itself and its Subsidiaries).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is supplemental to that certain Intercreditor Agreement, dated as of December 13, 2019 (as the same may be amended, restated, supplemented or otherwise modified from time to time, the “Intercreditor Agreement”), by and among the parties (other than the New Collateral Agent) referred to above. This Agreement has been entered into to record the accession of the New Collateral Agent as LC Collateral Agent under the Intercreditor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Capitalized terms used but not defined herein shall have the meanings assigned thereto in the Intercreditor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Accession</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SECTION 2.01 The New Collateral Agent agrees to become, with immediate effect, a party to and agrees to be bound by the terms of, the Intercreditor Agreement as the LC Collateral Agent as if it had originally been party to the Intercreditor Agreement as an LC Collateral Agent.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SECTION</w:t>
            </w:r>
          </w:p>
        </w:tc>
        <w:tc>
          <w:tcPr>
            <w:tcW w:w="9320" w:type="dxa"/>
            <w:vAlign w:val="bottom"/>
          </w:tcPr>
          <w:p>
            <w:pPr>
              <w:ind w:left="40"/>
              <w:spacing w:after="0"/>
              <w:rPr>
                <w:sz w:val="20"/>
                <w:szCs w:val="20"/>
                <w:color w:val="auto"/>
              </w:rPr>
            </w:pPr>
            <w:r>
              <w:rPr>
                <w:rFonts w:ascii="Arial" w:cs="Arial" w:eastAsia="Arial" w:hAnsi="Arial"/>
                <w:sz w:val="18"/>
                <w:szCs w:val="18"/>
                <w:color w:val="auto"/>
                <w:w w:val="96"/>
              </w:rPr>
              <w:t>2.02 The New Collateral Agent confirms that its address details for notices pursuant to the Intercreditor Agreement are as</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w w:val="97"/>
              </w:rPr>
              <w:t>follows: [</w:t>
            </w:r>
          </w:p>
        </w:tc>
        <w:tc>
          <w:tcPr>
            <w:tcW w:w="1260" w:type="dxa"/>
            <w:vAlign w:val="bottom"/>
            <w:tcBorders>
              <w:bottom w:val="single" w:sz="8" w:color="auto"/>
            </w:tcBorders>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79"/>
              </w:rPr>
              <w:t>].</w:t>
            </w:r>
          </w:p>
        </w:tc>
        <w:tc>
          <w:tcPr>
            <w:tcW w:w="9320" w:type="dxa"/>
            <w:vAlign w:val="bottom"/>
          </w:tcPr>
          <w:p>
            <w:pPr>
              <w:spacing w:after="0"/>
              <w:rPr>
                <w:sz w:val="16"/>
                <w:szCs w:val="16"/>
                <w:color w:val="auto"/>
              </w:rPr>
            </w:pPr>
          </w:p>
        </w:tc>
      </w:tr>
    </w:tbl>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2.03 Each party to this Agreement (other than the New Collateral Agent) confirms the acceptance of the New Collateral Agent as the LC Collateral Agent for purposes of the Intercreditor Agreement.</w:t>
      </w:r>
    </w:p>
    <w:p>
      <w:pPr>
        <w:spacing w:after="0" w:line="170" w:lineRule="exact"/>
        <w:rPr>
          <w:sz w:val="20"/>
          <w:szCs w:val="20"/>
          <w:color w:val="auto"/>
        </w:rPr>
      </w:pPr>
    </w:p>
    <w:p>
      <w:pPr>
        <w:ind w:left="1300"/>
        <w:spacing w:after="0"/>
        <w:tabs>
          <w:tab w:leader="none" w:pos="3220" w:val="left"/>
          <w:tab w:leader="none" w:pos="10660" w:val="left"/>
        </w:tabs>
        <w:rPr>
          <w:sz w:val="20"/>
          <w:szCs w:val="20"/>
          <w:color w:val="auto"/>
        </w:rPr>
      </w:pPr>
      <w:r>
        <w:rPr>
          <w:rFonts w:ascii="Arial" w:cs="Arial" w:eastAsia="Arial" w:hAnsi="Arial"/>
          <w:sz w:val="18"/>
          <w:szCs w:val="18"/>
          <w:color w:val="auto"/>
        </w:rPr>
        <w:t>SECTION 2.04 [</w:t>
      </w:r>
      <w:r>
        <w:rPr>
          <w:sz w:val="20"/>
          <w:szCs w:val="20"/>
          <w:color w:val="auto"/>
        </w:rPr>
        <w:tab/>
      </w:r>
      <w:r>
        <w:rPr>
          <w:rFonts w:ascii="Arial" w:cs="Arial" w:eastAsia="Arial" w:hAnsi="Arial"/>
          <w:sz w:val="18"/>
          <w:szCs w:val="18"/>
          <w:color w:val="auto"/>
        </w:rPr>
        <w:t>] is acting in its capacity as LC Collateral Agent solely for the Secured Parties under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-10160</wp:posOffset>
            </wp:positionV>
            <wp:extent cx="4572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6">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-10160</wp:posOffset>
            </wp:positionV>
            <wp:extent cx="8001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3.01 This Agreement and any claim, controversy or dispute arising under or related to such Agreement shall be governed by, and construed in accordance with, the law of the State of New York.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2" w:name="page713"/>
    <w:bookmarkEnd w:id="712"/>
    <w:p>
      <w:pPr>
        <w:jc w:val="both"/>
        <w:ind w:firstLine="1297"/>
        <w:spacing w:after="0" w:line="264" w:lineRule="auto"/>
        <w:rPr>
          <w:sz w:val="20"/>
          <w:szCs w:val="20"/>
          <w:color w:val="auto"/>
        </w:rPr>
      </w:pPr>
      <w:r>
        <w:rPr>
          <w:rFonts w:ascii="Arial" w:cs="Arial" w:eastAsia="Arial" w:hAnsi="Arial"/>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8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SIGNATURE BLOCKS]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3" w:name="page714"/>
    <w:bookmarkEnd w:id="713"/>
    <w:p>
      <w:pPr>
        <w:jc w:val="right"/>
        <w:spacing w:after="0"/>
        <w:rPr>
          <w:sz w:val="20"/>
          <w:szCs w:val="20"/>
          <w:color w:val="auto"/>
        </w:rPr>
      </w:pPr>
      <w:r>
        <w:rPr>
          <w:rFonts w:ascii="Arial" w:cs="Arial" w:eastAsia="Arial" w:hAnsi="Arial"/>
          <w:sz w:val="18"/>
          <w:szCs w:val="18"/>
          <w:u w:val="single" w:color="auto"/>
          <w:color w:val="auto"/>
        </w:rPr>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(ABL Obligations)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JOINDER AGREEMENT (as amended, restated, supplemented or otherwise modified from time to time, this “Agreement”), dated as of [ ], is among [ ], as an ABL Collateral Agent (the “New Collateral Agent”), WF, as ABL Collateral Agent, DBTCA, as LC Collateral Agent, and Parent (on behalf of itself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-175260</wp:posOffset>
            </wp:positionV>
            <wp:extent cx="1231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0">
                      <a:extLst>
                        <a:ext uri="{28A0092B-C50C-407E-A947-70E740481C1C}"/>
                      </a:extLst>
                    </a:blip>
                    <a:srcRect/>
                    <a:stretch>
                      <a:fillRect/>
                    </a:stretch>
                  </pic:blipFill>
                  <pic:spPr bwMode="auto">
                    <a:xfrm>
                      <a:off x="0" y="0"/>
                      <a:ext cx="123190" cy="8890"/>
                    </a:xfrm>
                    <a:prstGeom prst="rect">
                      <a:avLst/>
                    </a:prstGeom>
                    <a:noFill/>
                  </pic:spPr>
                </pic:pic>
              </a:graphicData>
            </a:graphic>
          </wp:anchor>
        </w:drawing>
      </w:r>
    </w:p>
    <w:p>
      <w:pPr>
        <w:spacing w:after="0" w:line="161" w:lineRule="exact"/>
        <w:rPr>
          <w:sz w:val="20"/>
          <w:szCs w:val="20"/>
          <w:color w:val="auto"/>
        </w:rPr>
      </w:pPr>
    </w:p>
    <w:p>
      <w:pPr>
        <w:ind w:left="1300"/>
        <w:spacing w:after="0"/>
        <w:tabs>
          <w:tab w:leader="none" w:pos="8520" w:val="left"/>
        </w:tabs>
        <w:rPr>
          <w:sz w:val="20"/>
          <w:szCs w:val="20"/>
          <w:color w:val="auto"/>
        </w:rPr>
      </w:pPr>
      <w:r>
        <w:rPr>
          <w:rFonts w:ascii="Arial" w:cs="Arial" w:eastAsia="Arial" w:hAnsi="Arial"/>
          <w:sz w:val="18"/>
          <w:szCs w:val="18"/>
          <w:color w:val="auto"/>
        </w:rPr>
        <w:t>This Agreement is supplemental to that certain Intercreditor Agreement, dated as of [</w:t>
      </w:r>
      <w:r>
        <w:rPr>
          <w:sz w:val="20"/>
          <w:szCs w:val="20"/>
          <w:color w:val="auto"/>
        </w:rPr>
        <w:tab/>
      </w:r>
      <w:r>
        <w:rPr>
          <w:rFonts w:ascii="Arial" w:cs="Arial" w:eastAsia="Arial" w:hAnsi="Arial"/>
          <w:sz w:val="16"/>
          <w:szCs w:val="16"/>
          <w:color w:val="auto"/>
        </w:rPr>
        <w:t>], 20[ ] (as the same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-10160</wp:posOffset>
            </wp:positionV>
            <wp:extent cx="62547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1">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restated, supplemented or otherwise modified from time to time, the “Intercreditor Agreement”), by and among the parties (other than the New Collateral Agent) referred to above. This Agreement has been entered into to record the accession of the New Collateral Agent as ABL Collateral Agent under the Intercreditor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Capitalized terms used but not defined herein shall have the meanings assigned thereto in the Intercreditor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Accession</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SECTION 2.01 The New Collateral Agent agrees to become, with immediate effect, a party to and agrees to be bound by the terms of, the Intercreditor Agreement as the ABL Collateral Agent as if it had originally been party to the Intercreditor Agreement as an ABL Collateral Agent.</w:t>
      </w:r>
    </w:p>
    <w:p>
      <w:pPr>
        <w:sectPr>
          <w:pgSz w:w="11900" w:h="16838" w:orient="portrait"/>
          <w:cols w:equalWidth="0" w:num="1">
            <w:col w:w="11420"/>
          </w:cols>
          <w:pgMar w:left="240" w:top="909"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follows: [</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hanging="612"/>
        <w:spacing w:after="0" w:line="277" w:lineRule="auto"/>
        <w:rPr>
          <w:sz w:val="20"/>
          <w:szCs w:val="20"/>
          <w:color w:val="auto"/>
        </w:rPr>
      </w:pPr>
      <w:r>
        <w:rPr>
          <w:rFonts w:ascii="Arial" w:cs="Arial" w:eastAsia="Arial" w:hAnsi="Arial"/>
          <w:sz w:val="18"/>
          <w:szCs w:val="18"/>
          <w:color w:val="auto"/>
        </w:rPr>
        <w:t>SECTION 2.02 The New Collateral Agent confirms that its address details for notices pursuant to the Intercreditor Agreement are 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-45085</wp:posOffset>
            </wp:positionV>
            <wp:extent cx="77152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1200" w:space="720"/>
            <w:col w:w="9500"/>
          </w:cols>
          <w:pgMar w:left="240" w:top="909" w:right="239" w:bottom="1440" w:gutter="0" w:footer="0" w:header="0"/>
          <w:type w:val="continuous"/>
        </w:sectPr>
      </w:pPr>
    </w:p>
    <w:p>
      <w:pPr>
        <w:ind w:firstLine="1297"/>
        <w:spacing w:after="0" w:line="277" w:lineRule="auto"/>
        <w:rPr>
          <w:sz w:val="20"/>
          <w:szCs w:val="20"/>
          <w:color w:val="auto"/>
        </w:rPr>
      </w:pPr>
      <w:r>
        <w:rPr>
          <w:rFonts w:ascii="Arial" w:cs="Arial" w:eastAsia="Arial" w:hAnsi="Arial"/>
          <w:sz w:val="18"/>
          <w:szCs w:val="18"/>
          <w:color w:val="auto"/>
        </w:rPr>
        <w:t>SECTION 2.03 Each party to this Agreement (other than the New Collateral Agent) confirms the acceptance of the New Collateral Agent as the ABL Collateral Agent for purposes of the Intercreditor Agreement.</w:t>
      </w:r>
    </w:p>
    <w:p>
      <w:pPr>
        <w:spacing w:after="0" w:line="170" w:lineRule="exact"/>
        <w:rPr>
          <w:sz w:val="20"/>
          <w:szCs w:val="20"/>
          <w:color w:val="auto"/>
        </w:rPr>
      </w:pPr>
    </w:p>
    <w:p>
      <w:pPr>
        <w:ind w:left="1300"/>
        <w:spacing w:after="0"/>
        <w:tabs>
          <w:tab w:leader="none" w:pos="3280" w:val="left"/>
          <w:tab w:leader="none" w:pos="10880" w:val="left"/>
        </w:tabs>
        <w:rPr>
          <w:sz w:val="20"/>
          <w:szCs w:val="20"/>
          <w:color w:val="auto"/>
        </w:rPr>
      </w:pPr>
      <w:r>
        <w:rPr>
          <w:rFonts w:ascii="Arial" w:cs="Arial" w:eastAsia="Arial" w:hAnsi="Arial"/>
          <w:sz w:val="18"/>
          <w:szCs w:val="18"/>
          <w:color w:val="auto"/>
        </w:rPr>
        <w:t>SECTION 2.04 [</w:t>
      </w:r>
      <w:r>
        <w:rPr>
          <w:sz w:val="20"/>
          <w:szCs w:val="20"/>
          <w:color w:val="auto"/>
        </w:rPr>
        <w:tab/>
      </w:r>
      <w:r>
        <w:rPr>
          <w:rFonts w:ascii="Arial" w:cs="Arial" w:eastAsia="Arial" w:hAnsi="Arial"/>
          <w:sz w:val="18"/>
          <w:szCs w:val="18"/>
          <w:color w:val="auto"/>
        </w:rPr>
        <w:t>] is acting in its capacity as ABL Collateral Agent solely for the Secured Parties under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-10160</wp:posOffset>
            </wp:positionV>
            <wp:extent cx="48577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3">
                      <a:extLst>
                        <a:ext uri="{28A0092B-C50C-407E-A947-70E740481C1C}"/>
                      </a:extLst>
                    </a:blip>
                    <a:srcRect/>
                    <a:stretch>
                      <a:fillRect/>
                    </a:stretch>
                  </pic:blipFill>
                  <pic:spPr bwMode="auto">
                    <a:xfrm>
                      <a:off x="0" y="0"/>
                      <a:ext cx="485775" cy="8890"/>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-10160</wp:posOffset>
            </wp:positionV>
            <wp:extent cx="82867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4">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SECTION 3.01 This Agreement and any claim, controversy or dispute arising under or related to such Agreement shall be governed by, and construed in accordance with, the law of the State of New York.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714" w:name="page715"/>
    <w:bookmarkEnd w:id="714"/>
    <w:p>
      <w:pPr>
        <w:jc w:val="both"/>
        <w:ind w:firstLine="1297"/>
        <w:spacing w:after="0" w:line="264" w:lineRule="auto"/>
        <w:rPr>
          <w:sz w:val="20"/>
          <w:szCs w:val="20"/>
          <w:color w:val="auto"/>
        </w:rPr>
      </w:pPr>
      <w:r>
        <w:rPr>
          <w:rFonts w:ascii="Arial" w:cs="Arial" w:eastAsia="Arial" w:hAnsi="Arial"/>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8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SIGNATURE BLOCKS]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5" w:name="page716"/>
    <w:bookmarkEnd w:id="715"/>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 – Grantor Acknowledgement to Intercreditor Agreement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20" w:type="dxa"/>
            <w:vAlign w:val="bottom"/>
            <w:gridSpan w:val="5"/>
          </w:tcPr>
          <w:p>
            <w:pPr>
              <w:jc w:val="right"/>
              <w:ind w:right="3500"/>
              <w:spacing w:after="0"/>
              <w:rPr>
                <w:sz w:val="20"/>
                <w:szCs w:val="20"/>
                <w:color w:val="auto"/>
              </w:rPr>
            </w:pPr>
            <w:r>
              <w:rPr>
                <w:rFonts w:ascii="Arial" w:cs="Arial" w:eastAsia="Arial" w:hAnsi="Arial"/>
                <w:sz w:val="18"/>
                <w:szCs w:val="18"/>
                <w:color w:val="auto"/>
                <w:w w:val="97"/>
              </w:rPr>
              <w:t>INTERCREDITOR AGREEMENT ACKNOWLEDGMENT</w:t>
            </w:r>
          </w:p>
        </w:tc>
      </w:tr>
      <w:tr>
        <w:trPr>
          <w:trHeight w:val="20"/>
        </w:trPr>
        <w:tc>
          <w:tcPr>
            <w:tcW w:w="1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1640" w:type="dxa"/>
            <w:vAlign w:val="bottom"/>
          </w:tcPr>
          <w:p>
            <w:pPr>
              <w:jc w:val="right"/>
              <w:ind w:right="750"/>
              <w:spacing w:after="0"/>
              <w:rPr>
                <w:sz w:val="20"/>
                <w:szCs w:val="20"/>
                <w:color w:val="auto"/>
              </w:rPr>
            </w:pPr>
            <w:r>
              <w:rPr>
                <w:rFonts w:ascii="Arial" w:cs="Arial" w:eastAsia="Arial" w:hAnsi="Arial"/>
                <w:sz w:val="18"/>
                <w:szCs w:val="18"/>
                <w:color w:val="auto"/>
              </w:rPr>
              <w:t>1.</w:t>
            </w: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w w:val="92"/>
              </w:rPr>
              <w:t>Acknowledgement. [</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40" w:type="dxa"/>
            <w:vAlign w:val="bottom"/>
            <w:gridSpan w:val="4"/>
          </w:tcPr>
          <w:p>
            <w:pPr>
              <w:jc w:val="right"/>
              <w:spacing w:after="0"/>
              <w:rPr>
                <w:sz w:val="20"/>
                <w:szCs w:val="20"/>
                <w:color w:val="auto"/>
              </w:rPr>
            </w:pPr>
            <w:r>
              <w:rPr>
                <w:rFonts w:ascii="Arial" w:cs="Arial" w:eastAsia="Arial" w:hAnsi="Arial"/>
                <w:sz w:val="18"/>
                <w:szCs w:val="18"/>
                <w:color w:val="auto"/>
                <w:w w:val="93"/>
              </w:rPr>
              <w:t>] (“New Grantor”) acknowledges, as of [   ], that it has received a copy of the Intercreditor</w:t>
            </w:r>
          </w:p>
        </w:tc>
      </w:tr>
      <w:tr>
        <w:trPr>
          <w:trHeight w:val="20"/>
        </w:trPr>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196"/>
        </w:trPr>
        <w:tc>
          <w:tcPr>
            <w:tcW w:w="1780" w:type="dxa"/>
            <w:vAlign w:val="bottom"/>
            <w:gridSpan w:val="2"/>
          </w:tcPr>
          <w:p>
            <w:pPr>
              <w:spacing w:after="0" w:line="196" w:lineRule="exact"/>
              <w:rPr>
                <w:sz w:val="20"/>
                <w:szCs w:val="20"/>
                <w:color w:val="auto"/>
              </w:rPr>
            </w:pPr>
            <w:r>
              <w:rPr>
                <w:rFonts w:ascii="Arial" w:cs="Arial" w:eastAsia="Arial" w:hAnsi="Arial"/>
                <w:sz w:val="18"/>
                <w:szCs w:val="18"/>
                <w:color w:val="auto"/>
                <w:w w:val="91"/>
              </w:rPr>
              <w:t>Agreement dated as of [</w:t>
            </w:r>
          </w:p>
        </w:tc>
        <w:tc>
          <w:tcPr>
            <w:tcW w:w="16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 20[</w:t>
            </w:r>
          </w:p>
        </w:tc>
        <w:tc>
          <w:tcPr>
            <w:tcW w:w="8020" w:type="dxa"/>
            <w:vAlign w:val="bottom"/>
            <w:gridSpan w:val="6"/>
          </w:tcPr>
          <w:p>
            <w:pPr>
              <w:jc w:val="right"/>
              <w:spacing w:after="0" w:line="196" w:lineRule="exact"/>
              <w:rPr>
                <w:sz w:val="20"/>
                <w:szCs w:val="20"/>
                <w:color w:val="auto"/>
              </w:rPr>
            </w:pPr>
            <w:r>
              <w:rPr>
                <w:rFonts w:ascii="Arial" w:cs="Arial" w:eastAsia="Arial" w:hAnsi="Arial"/>
                <w:sz w:val="18"/>
                <w:szCs w:val="18"/>
                <w:color w:val="auto"/>
                <w:w w:val="94"/>
              </w:rPr>
              <w:t>], between Wells Fargo Bank, National Association, as ABL Collateral Agent and Foreign Collateral Agent,</w:t>
            </w: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Deutsche Bank Trust Company Americas as LC Collateral Agent, and Weatherford International PLC and certain of its affiliates party thereto as Grantors (the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as in effect on the date hereof, and consents thereto, agrees to recognize all rights granted thereby to the ABL Collateral Agent, the other ABL Secured Parties, the LC Collateral Agent and the other LC Secured Parties, and agrees that it shall not do any act or perform any obligation which is not in accordance with the agreements set forth in the Intercreditor Agreement as in effect on the date hereof (as amended or otherwise modified in accordance with the provisions thereof, including any necessary consents by each Grantor to the extent required thereby). New Grantor further acknowledges and agrees that (a) New Grantor is not a beneficiary or third party beneficiary of the Intercreditor Agreement, (b) New Grantor has no rights under the Intercreditor Agreement, and New Grantor may not rely on the terms of the Intercreditor Agreement, and (c) that the obligations of the New Grantor under the ABL Security Documents, the LC Security Documents or the Foreign Collateral Documents will in no way be diminished or otherwise affected by the provisions or arrangements in the Intercreditor Agreement.</w:t>
      </w:r>
    </w:p>
    <w:p>
      <w:pPr>
        <w:spacing w:after="0" w:line="182" w:lineRule="exact"/>
        <w:rPr>
          <w:sz w:val="20"/>
          <w:szCs w:val="20"/>
          <w:color w:val="auto"/>
        </w:rPr>
      </w:pPr>
    </w:p>
    <w:p>
      <w:pPr>
        <w:ind w:left="1600" w:hanging="944"/>
        <w:spacing w:after="0"/>
        <w:tabs>
          <w:tab w:leader="none" w:pos="1600" w:val="left"/>
        </w:tabs>
        <w:numPr>
          <w:ilvl w:val="0"/>
          <w:numId w:val="84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The address of the New Grantor and the other Grantors for purposes of Section 7.02 of the Intercreditor Agreement is:</w:t>
      </w:r>
    </w:p>
    <w:p>
      <w:pPr>
        <w:spacing w:after="0" w:line="220"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38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38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3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6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44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40" w:type="dxa"/>
            <w:vAlign w:val="bottom"/>
          </w:tcPr>
          <w:p>
            <w:pPr>
              <w:spacing w:after="0"/>
              <w:rPr>
                <w:sz w:val="24"/>
                <w:szCs w:val="24"/>
                <w:color w:val="auto"/>
              </w:rPr>
            </w:pPr>
          </w:p>
        </w:tc>
      </w:tr>
      <w:tr>
        <w:trPr>
          <w:trHeight w:val="392"/>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138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3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6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line="196" w:lineRule="exact"/>
              <w:rPr>
                <w:sz w:val="20"/>
                <w:szCs w:val="20"/>
                <w:color w:val="auto"/>
              </w:rPr>
            </w:pPr>
            <w:r>
              <w:rPr>
                <w:rFonts w:ascii="Arial" w:cs="Arial" w:eastAsia="Arial" w:hAnsi="Arial"/>
                <w:sz w:val="18"/>
                <w:szCs w:val="18"/>
                <w:color w:val="auto"/>
                <w:w w:val="78"/>
              </w:rPr>
              <w:t>[</w:t>
            </w:r>
          </w:p>
        </w:tc>
        <w:tc>
          <w:tcPr>
            <w:tcW w:w="1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0"/>
              </w:rPr>
              <w:t>]</w:t>
            </w:r>
          </w:p>
        </w:tc>
      </w:tr>
    </w:tbl>
    <w:p>
      <w:pPr>
        <w:spacing w:after="0" w:line="229" w:lineRule="exact"/>
        <w:rPr>
          <w:sz w:val="20"/>
          <w:szCs w:val="20"/>
          <w:color w:val="auto"/>
        </w:rPr>
      </w:pPr>
    </w:p>
    <w:p>
      <w:pPr>
        <w:jc w:val="both"/>
        <w:ind w:firstLine="656"/>
        <w:spacing w:after="0" w:line="286" w:lineRule="auto"/>
        <w:tabs>
          <w:tab w:leader="none" w:pos="1607" w:val="left"/>
        </w:tabs>
        <w:numPr>
          <w:ilvl w:val="0"/>
          <w:numId w:val="84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Acknowledgement may be executed in two or more counterparts, each of which shall constitute an original but all of which when taken together shall constitute one document. Delivery of an executed signature page to this Acknowledgement by facsimile transmission or by email as a “.pdf” or “.tif” attachment shall be as effective as delivery of a manually signed counterpart of this Acknowledgement.</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917" w:val="left"/>
        </w:tabs>
        <w:numPr>
          <w:ilvl w:val="0"/>
          <w:numId w:val="8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ACKNOWLEDGEMENT AND ANY CLAIM CONTROVERSY OR DISPUTE ARISING UNDER OR RELATED TO THE INTERCREDITOR AGREEMENT SHALL BE GOVERNED BY, AND CONSTRUED IN ACCORDANCE WITH, THE LAWS OF THE STATE OF NEW YORK, WITHOUT GIVING EFFECT TO ANY CONFLICT OF LAWS PROVISIONS OTHER THAN SECTIONS 5-1401 AND 5-1402 OF THE NEW YORK GENERAL OBLIGATIONS LAW. Sections 7.08 and 7.09 of the Intercreditor Agreement are hereby incorporated by reference herein, mutatis mutandis.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6" w:name="page717"/>
    <w:bookmarkEnd w:id="716"/>
    <w:p>
      <w:pPr>
        <w:ind w:left="-20" w:right="20" w:firstLine="656"/>
        <w:spacing w:after="0" w:line="277" w:lineRule="auto"/>
        <w:tabs>
          <w:tab w:leader="none" w:pos="1695" w:val="left"/>
        </w:tabs>
        <w:numPr>
          <w:ilvl w:val="0"/>
          <w:numId w:val="848"/>
        </w:numPr>
        <w:rPr>
          <w:rFonts w:ascii="Arial" w:cs="Arial" w:eastAsia="Arial" w:hAnsi="Arial"/>
          <w:sz w:val="18"/>
          <w:szCs w:val="18"/>
          <w:color w:val="auto"/>
        </w:rPr>
      </w:pPr>
      <w:r>
        <w:rPr>
          <w:rFonts w:ascii="Arial" w:cs="Arial" w:eastAsia="Arial" w:hAnsi="Arial"/>
          <w:sz w:val="18"/>
          <w:szCs w:val="18"/>
          <w:u w:val="single" w:color="auto"/>
          <w:color w:val="auto"/>
        </w:rPr>
        <w:t>Credit Document</w:t>
      </w:r>
      <w:r>
        <w:rPr>
          <w:rFonts w:ascii="Arial" w:cs="Arial" w:eastAsia="Arial" w:hAnsi="Arial"/>
          <w:sz w:val="18"/>
          <w:szCs w:val="18"/>
          <w:color w:val="auto"/>
        </w:rPr>
        <w:t>. This Acknowledgement shall constitute an ABL Document and a LC Document and as a “Loan Document” under each of the ABL Credit Agreement and LC Credit Agreement.</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641" w:val="left"/>
        </w:tabs>
        <w:numPr>
          <w:ilvl w:val="0"/>
          <w:numId w:val="84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ABL Collateral Agent, the other ABL Secured Parties, the LC Collateral Agent, the other LC Secured Parties, and the Foreign Collateral Agent are the intended beneficiaries of this Acknowledgement. Capitalized terms used but not otherwise defined herein shall have the meanings assigned thereto in the Intercreditor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717" w:name="page718"/>
    <w:bookmarkEnd w:id="717"/>
    <w:p>
      <w:pPr>
        <w:ind w:left="10540"/>
        <w:spacing w:after="0"/>
        <w:rPr>
          <w:sz w:val="20"/>
          <w:szCs w:val="20"/>
          <w:color w:val="auto"/>
        </w:rPr>
      </w:pPr>
      <w:r>
        <w:rPr>
          <w:rFonts w:ascii="Arial" w:cs="Arial" w:eastAsia="Arial" w:hAnsi="Arial"/>
          <w:sz w:val="17"/>
          <w:szCs w:val="17"/>
          <w:u w:val="single" w:color="auto"/>
          <w:color w:val="auto"/>
        </w:rPr>
        <w:t>EXHIBIT 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C – Joinder Agreement (LC Australian Collateral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(LC Australian Collateral Agent)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JOINDER AGREEMENT (as amended, restated, supplemented or otherwise modified from time to time, this “Joinder”), dated as of</w:t>
      </w:r>
    </w:p>
    <w:p>
      <w:pPr>
        <w:spacing w:after="0" w:line="46" w:lineRule="exact"/>
        <w:rPr>
          <w:sz w:val="20"/>
          <w:szCs w:val="20"/>
          <w:color w:val="auto"/>
        </w:rPr>
      </w:pPr>
    </w:p>
    <w:p>
      <w:pPr>
        <w:ind w:right="2620" w:firstLine="8"/>
        <w:spacing w:after="0" w:line="261" w:lineRule="auto"/>
        <w:tabs>
          <w:tab w:leader="none" w:pos="24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 is provided by BTA INSTITUTIONAL SERVICES AUSTRALIA LIMITED ABN 48 002 916 396 in its capacity as trustee of the LC Australian Security Trust (the “LC Australian Collateral Agent”).</w:t>
      </w:r>
    </w:p>
    <w:p>
      <w:pPr>
        <w:spacing w:after="0" w:line="184" w:lineRule="exact"/>
        <w:rPr>
          <w:sz w:val="20"/>
          <w:szCs w:val="20"/>
          <w:color w:val="auto"/>
        </w:rPr>
      </w:pPr>
    </w:p>
    <w:p>
      <w:pPr>
        <w:ind w:left="1300"/>
        <w:spacing w:after="0"/>
        <w:tabs>
          <w:tab w:leader="none" w:pos="8440" w:val="left"/>
          <w:tab w:leader="none" w:pos="9020" w:val="left"/>
        </w:tabs>
        <w:rPr>
          <w:sz w:val="20"/>
          <w:szCs w:val="20"/>
          <w:color w:val="auto"/>
        </w:rPr>
      </w:pPr>
      <w:r>
        <w:rPr>
          <w:rFonts w:ascii="Arial" w:cs="Arial" w:eastAsia="Arial" w:hAnsi="Arial"/>
          <w:sz w:val="18"/>
          <w:szCs w:val="18"/>
          <w:color w:val="auto"/>
        </w:rPr>
        <w:t>This Joinder is supplemental to that certain Intercreditor Agreement, dated as of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(as the same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-10160</wp:posOffset>
            </wp:positionV>
            <wp:extent cx="74612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restated, supplemented or otherwise modified from time to time, the “Intercreditor Agreement”), by and among WF, DBTCA, the Parent and its Subsidiaries party thereto. This Joinder has been entered into to record the joinder of BTA INSTITUTIONAL SERVICES AUSTRALIA LIMITED ABN 48 002 916 396 in its capacity as trustee of the LC Australian Security Trust as LC Australian Collateral Agent under the Intercreditor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Capitalized terms used but not defined herein shall have the meanings assigned thereto in the Intercreditor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Accession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SECTION 2.01 The LC Australian Collateral Agent agrees to become, with immediate effect, a party to and agrees to be bound by the terms of, the Intercreditor Agreement as the LC Australian Collateral Agent as if it had originally been party to the Intercreditor Agreement as an LC Australian Collateral Agent.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20" w:type="dxa"/>
            <w:vAlign w:val="bottom"/>
            <w:gridSpan w:val="2"/>
          </w:tcPr>
          <w:p>
            <w:pPr>
              <w:jc w:val="right"/>
              <w:spacing w:after="0"/>
              <w:rPr>
                <w:sz w:val="20"/>
                <w:szCs w:val="20"/>
                <w:color w:val="auto"/>
              </w:rPr>
            </w:pPr>
            <w:r>
              <w:rPr>
                <w:rFonts w:ascii="Arial" w:cs="Arial" w:eastAsia="Arial" w:hAnsi="Arial"/>
                <w:sz w:val="18"/>
                <w:szCs w:val="18"/>
                <w:color w:val="auto"/>
                <w:w w:val="93"/>
              </w:rPr>
              <w:t>SECTION 2.02 The LC Australian Collateral Agent confirms that its address details for notices pursuant to the Intercreditor Agreement are</w:t>
            </w:r>
          </w:p>
        </w:tc>
      </w:tr>
      <w:tr>
        <w:trPr>
          <w:trHeight w:val="190"/>
        </w:trPr>
        <w:tc>
          <w:tcPr>
            <w:tcW w:w="1100" w:type="dxa"/>
            <w:vAlign w:val="bottom"/>
            <w:gridSpan w:val="2"/>
          </w:tcPr>
          <w:p>
            <w:pPr>
              <w:spacing w:after="0" w:line="190" w:lineRule="exact"/>
              <w:rPr>
                <w:sz w:val="20"/>
                <w:szCs w:val="20"/>
                <w:color w:val="auto"/>
              </w:rPr>
            </w:pPr>
            <w:r>
              <w:rPr>
                <w:rFonts w:ascii="Arial" w:cs="Arial" w:eastAsia="Arial" w:hAnsi="Arial"/>
                <w:sz w:val="18"/>
                <w:szCs w:val="18"/>
                <w:color w:val="auto"/>
              </w:rPr>
              <w:t>as follows: [</w:t>
            </w:r>
          </w:p>
        </w:tc>
        <w:tc>
          <w:tcPr>
            <w:tcW w:w="10320" w:type="dxa"/>
            <w:vAlign w:val="bottom"/>
            <w:gridSpan w:val="2"/>
          </w:tcPr>
          <w:p>
            <w:pPr>
              <w:jc w:val="right"/>
              <w:ind w:right="9030"/>
              <w:spacing w:after="0" w:line="190" w:lineRule="exact"/>
              <w:rPr>
                <w:sz w:val="20"/>
                <w:szCs w:val="20"/>
                <w:color w:val="auto"/>
              </w:rPr>
            </w:pPr>
            <w:r>
              <w:rPr>
                <w:rFonts w:ascii="Arial" w:cs="Arial" w:eastAsia="Arial" w:hAnsi="Arial"/>
                <w:sz w:val="18"/>
                <w:szCs w:val="18"/>
                <w:color w:val="auto"/>
              </w:rPr>
              <w:t>].</w:t>
            </w:r>
          </w:p>
        </w:tc>
      </w:tr>
      <w:tr>
        <w:trPr>
          <w:trHeight w:val="453"/>
        </w:trPr>
        <w:tc>
          <w:tcPr>
            <w:tcW w:w="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220" w:type="dxa"/>
            <w:vAlign w:val="bottom"/>
          </w:tcPr>
          <w:p>
            <w:pPr>
              <w:jc w:val="center"/>
              <w:ind w:right="2110"/>
              <w:spacing w:after="0"/>
              <w:rPr>
                <w:sz w:val="20"/>
                <w:szCs w:val="20"/>
                <w:color w:val="auto"/>
              </w:rPr>
            </w:pPr>
            <w:r>
              <w:rPr>
                <w:rFonts w:ascii="Arial" w:cs="Arial" w:eastAsia="Arial" w:hAnsi="Arial"/>
                <w:sz w:val="18"/>
                <w:szCs w:val="18"/>
                <w:color w:val="auto"/>
              </w:rPr>
              <w:t>ARTICLE III</w:t>
            </w:r>
          </w:p>
        </w:tc>
      </w:tr>
      <w:tr>
        <w:trPr>
          <w:trHeight w:val="432"/>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20" w:type="dxa"/>
            <w:vAlign w:val="bottom"/>
          </w:tcPr>
          <w:p>
            <w:pPr>
              <w:jc w:val="center"/>
              <w:ind w:right="2090"/>
              <w:spacing w:after="0"/>
              <w:rPr>
                <w:sz w:val="20"/>
                <w:szCs w:val="20"/>
                <w:color w:val="auto"/>
              </w:rPr>
            </w:pPr>
            <w:r>
              <w:rPr>
                <w:rFonts w:ascii="Arial" w:cs="Arial" w:eastAsia="Arial" w:hAnsi="Arial"/>
                <w:sz w:val="18"/>
                <w:szCs w:val="18"/>
                <w:color w:val="auto"/>
                <w:w w:val="91"/>
              </w:rPr>
              <w:t>Miscellaneous</w:t>
            </w:r>
          </w:p>
        </w:tc>
      </w:tr>
    </w:tbl>
    <w:p>
      <w:pPr>
        <w:spacing w:after="0" w:line="20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3.01 This Joinder and any claim, controversy or dispute arising under or related to such Joinder shall be governed by, and construed in accordance with, the law of the State of New York.</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3.02 This Joinder may be executed in counterparts, each of which shall constitute an original but all of which when taken together shall constitute a single contract.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18" w:name="page719"/>
    <w:bookmarkEnd w:id="718"/>
    <w:p>
      <w:pPr>
        <w:ind w:firstLine="1297"/>
        <w:spacing w:after="0" w:line="277" w:lineRule="auto"/>
        <w:rPr>
          <w:sz w:val="20"/>
          <w:szCs w:val="20"/>
          <w:color w:val="auto"/>
        </w:rPr>
      </w:pPr>
      <w:r>
        <w:rPr>
          <w:rFonts w:ascii="Arial" w:cs="Arial" w:eastAsia="Arial" w:hAnsi="Arial"/>
          <w:sz w:val="18"/>
          <w:szCs w:val="18"/>
          <w:color w:val="auto"/>
        </w:rPr>
        <w:t>Delivery of an executed signature page to this Joinder by facsimile transmission or any other electronic means shall be as effective as delivery of a manually signed counterpart of this Joinder.</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SECTION 3.03 Clause [ ] (Limitation of liability of LC Australian Collateral Agent) of the LC Australian Security Trust Deed is incorporated by reference in this Joinder as if set out in full herein, mutatis mutandis.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 signatures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9" w:name="page720"/>
    <w:bookmarkEnd w:id="719"/>
    <w:p>
      <w:pPr>
        <w:jc w:val="right"/>
        <w:spacing w:after="0"/>
        <w:rPr>
          <w:sz w:val="20"/>
          <w:szCs w:val="20"/>
          <w:color w:val="auto"/>
        </w:rPr>
      </w:pPr>
      <w:r>
        <w:rPr>
          <w:rFonts w:ascii="Arial" w:cs="Arial" w:eastAsia="Arial" w:hAnsi="Arial"/>
          <w:sz w:val="18"/>
          <w:szCs w:val="18"/>
          <w:u w:val="single" w:color="auto"/>
          <w:color w:val="auto"/>
        </w:rPr>
        <w:t>SCHEDULE 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Schedule I – Foreign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10" w:right="239" w:bottom="1440" w:gutter="0" w:footer="0" w:header="0"/>
        </w:sectPr>
      </w:pPr>
    </w:p>
    <w:bookmarkStart w:id="720" w:name="page721"/>
    <w:bookmarkEnd w:id="720"/>
    <w:p>
      <w:pPr>
        <w:jc w:val="right"/>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u w:val="single" w:color="auto"/>
          <w:color w:val="auto"/>
        </w:rPr>
        <w:t>FORM OF U.S. SECURITY AGREEMENT</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721" w:name="page722"/>
    <w:bookmarkEnd w:id="7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 SECURITY AGREEMENT</w:t>
      </w:r>
    </w:p>
    <w:p>
      <w:pPr>
        <w:spacing w:after="0" w:line="172" w:lineRule="exact"/>
        <w:rPr>
          <w:sz w:val="20"/>
          <w:szCs w:val="20"/>
          <w:color w:val="auto"/>
        </w:rPr>
      </w:pPr>
    </w:p>
    <w:tbl>
      <w:tblPr>
        <w:tblLayout w:type="fixed"/>
        <w:tblInd w:w="46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88"/>
              </w:rPr>
              <w:t>dated as of [</w:t>
            </w:r>
          </w:p>
        </w:tc>
        <w:tc>
          <w:tcPr>
            <w:tcW w:w="620" w:type="dxa"/>
            <w:vAlign w:val="bottom"/>
            <w:tcBorders>
              <w:bottom w:val="single" w:sz="8" w:color="auto"/>
            </w:tcBorders>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PLC,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other GRANTORS from time to time party hereto,</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Reference is made to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Weatherford International, LLC, a Delaware limited liability company and the other Grantors of Weatherford International plc named therein (as amended, amended and restated, supplemented or otherwise modified from time to time, the “</w:t>
      </w:r>
      <w:r>
        <w:rPr>
          <w:rFonts w:ascii="Arial" w:cs="Arial" w:eastAsia="Arial" w:hAnsi="Arial"/>
          <w:sz w:val="16"/>
          <w:szCs w:val="16"/>
          <w:b w:val="1"/>
          <w:bCs w:val="1"/>
          <w:i w:val="1"/>
          <w:iCs w:val="1"/>
          <w:u w:val="single" w:color="auto"/>
          <w:color w:val="auto"/>
        </w:rPr>
        <w:t>Intercreditor Agreement</w:t>
      </w:r>
      <w:r>
        <w:rPr>
          <w:rFonts w:ascii="Arial" w:cs="Arial" w:eastAsia="Arial" w:hAnsi="Arial"/>
          <w:sz w:val="16"/>
          <w:szCs w:val="16"/>
          <w:i w:val="1"/>
          <w:iCs w:val="1"/>
          <w:u w:val="single" w:color="auto"/>
          <w:color w:val="auto"/>
        </w:rPr>
        <w:t>”). Each Lender, of its acceptance of the benefits hereof (a) consents to the subordination of Liens provided for in the Intercreditor Agreement, (b) agrees that it will be bound by, and will take no actions contrary to, the provisions of the Intercreditor Agreement and (c) authorizes and instructs the LC Collateral Agent to enter into the Intercreditor Agreement as LC Collateral Agent on behalf of such LC Lender. The foregoing provisions are intended as an inducement to the Lenders to extend credit to the Borrowers (as defined below) or to acquire any notes or other evidence of any debt obligation owing from the Borrowers and such Lenders are intended third party beneficiaries of such provisions and the provisions of the Intercreditor Agreement. Notwithstanding any other provision contained herein, this Security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Intercreditor Agreement). In the event of any conflict or inconsistency between the provisions of this Security Agreement and the Intercreditor Agreement, subject to Section 4.6.4 hereof and any other limitation on rights of the Agent or other Secured Party with respect to the ULC Shares hereunder, the provisions of the Intercreditor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722" w:name="page723"/>
    <w:bookmarkEnd w:id="722"/>
    <w:p>
      <w:pPr>
        <w:ind w:left="660"/>
        <w:spacing w:after="0"/>
        <w:rPr>
          <w:sz w:val="20"/>
          <w:szCs w:val="20"/>
          <w:color w:val="auto"/>
        </w:rPr>
      </w:pPr>
      <w:r>
        <w:rPr>
          <w:rFonts w:ascii="Arial" w:cs="Arial" w:eastAsia="Arial" w:hAnsi="Arial"/>
          <w:sz w:val="16"/>
          <w:szCs w:val="16"/>
          <w:color w:val="auto"/>
        </w:rPr>
        <w:t>This U.S. SECURITY AGREEMENT (as the same may be amended, restated, supplemented or otherwise modified from time to time, this “</w:t>
      </w:r>
      <w:r>
        <w:rPr>
          <w:rFonts w:ascii="Arial" w:cs="Arial" w:eastAsia="Arial" w:hAnsi="Arial"/>
          <w:sz w:val="16"/>
          <w:szCs w:val="16"/>
          <w:b w:val="1"/>
          <w:bCs w:val="1"/>
          <w:i w:val="1"/>
          <w:iCs w:val="1"/>
          <w:color w:val="auto"/>
        </w:rPr>
        <w:t>Security</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 ], 20[ ] by and among the entities listed on the signature pages hereto (such listed entities, collectively,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Initial Grantors</w:t>
      </w:r>
      <w:r>
        <w:rPr>
          <w:rFonts w:ascii="Arial" w:cs="Arial" w:eastAsia="Arial" w:hAnsi="Arial"/>
          <w:sz w:val="18"/>
          <w:szCs w:val="18"/>
          <w:color w:val="auto"/>
        </w:rPr>
        <w:t>” and, together with any other Subsidiaries of Weatherford International plc, an Irish public limited company (“</w:t>
      </w:r>
      <w:r>
        <w:rPr>
          <w:rFonts w:ascii="Arial" w:cs="Arial" w:eastAsia="Arial" w:hAnsi="Arial"/>
          <w:sz w:val="18"/>
          <w:szCs w:val="18"/>
          <w:b w:val="1"/>
          <w:bCs w:val="1"/>
          <w:i w:val="1"/>
          <w:iCs w:val="1"/>
          <w:color w:val="auto"/>
        </w:rPr>
        <w:t>WIL-Ireland</w:t>
      </w:r>
      <w:r>
        <w:rPr>
          <w:rFonts w:ascii="Arial" w:cs="Arial" w:eastAsia="Arial" w:hAnsi="Arial"/>
          <w:sz w:val="18"/>
          <w:szCs w:val="18"/>
          <w:color w:val="auto"/>
        </w:rPr>
        <w:t xml:space="preserve">”),whether now existing or hereafter formed or acquired, that become parties to this Security Agreement from time to time in accordance with the terms of the LC Credit Agreement described below by executing a Security Agreement Supplement hereto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Grantor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Grantors</w:t>
      </w:r>
      <w:r>
        <w:rPr>
          <w:rFonts w:ascii="Arial" w:cs="Arial" w:eastAsia="Arial" w:hAnsi="Arial"/>
          <w:sz w:val="18"/>
          <w:szCs w:val="18"/>
          <w:color w:val="auto"/>
        </w:rPr>
        <w:t>”), and Deutsche Bank Trust Company Americas in its capacity as administrative agent (in such capacity,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for itself and on behalf and for the benefit of the other Secured Parties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-715645</wp:posOffset>
            </wp:positionV>
            <wp:extent cx="62865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WIL-Ireland, Weatherford International Ltd., a Bermuda exempted company (“</w:t>
      </w:r>
      <w:r>
        <w:rPr>
          <w:rFonts w:ascii="Arial" w:cs="Arial" w:eastAsia="Arial" w:hAnsi="Arial"/>
          <w:sz w:val="18"/>
          <w:szCs w:val="18"/>
          <w:b w:val="1"/>
          <w:bCs w:val="1"/>
          <w:i w:val="1"/>
          <w:iCs w:val="1"/>
          <w:color w:val="auto"/>
        </w:rPr>
        <w:t>WIL- 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b w:val="1"/>
          <w:bCs w:val="1"/>
          <w:i w:val="1"/>
          <w:iCs w:val="1"/>
          <w:color w:val="auto"/>
        </w:rPr>
        <w:t>WIL- Delaware</w:t>
      </w:r>
      <w:r>
        <w:rPr>
          <w:rFonts w:ascii="Arial" w:cs="Arial" w:eastAsia="Arial" w:hAnsi="Arial"/>
          <w:sz w:val="18"/>
          <w:szCs w:val="18"/>
          <w:color w:val="auto"/>
        </w:rPr>
        <w:t>” and together with WIL-Bermuda, the “</w:t>
      </w:r>
      <w:r>
        <w:rPr>
          <w:rFonts w:ascii="Arial" w:cs="Arial" w:eastAsia="Arial" w:hAnsi="Arial"/>
          <w:sz w:val="18"/>
          <w:szCs w:val="18"/>
          <w:b w:val="1"/>
          <w:bCs w:val="1"/>
          <w:i w:val="1"/>
          <w:iCs w:val="1"/>
          <w:color w:val="auto"/>
        </w:rPr>
        <w:t>Borrowers</w:t>
      </w:r>
      <w:r>
        <w:rPr>
          <w:rFonts w:ascii="Arial" w:cs="Arial" w:eastAsia="Arial" w:hAnsi="Arial"/>
          <w:sz w:val="18"/>
          <w:szCs w:val="18"/>
          <w:color w:val="auto"/>
        </w:rPr>
        <w:t>”), the Agent, and the Lenders are entering into that certain LC Credit Agreement dated as of the date hereof (as the same may be amended, amended and restated, supplemented or otherwise modified from time to time, the “</w:t>
      </w:r>
      <w:r>
        <w:rPr>
          <w:rFonts w:ascii="Arial" w:cs="Arial" w:eastAsia="Arial" w:hAnsi="Arial"/>
          <w:sz w:val="18"/>
          <w:szCs w:val="18"/>
          <w:b w:val="1"/>
          <w:bCs w:val="1"/>
          <w:i w:val="1"/>
          <w:iCs w:val="1"/>
          <w:color w:val="auto"/>
        </w:rPr>
        <w:t>LC Credit Agreement</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Grantors are entering into this Security Agreement in order to induce the Lenders to enter into and extend credit to the Borrowers under the LC Credit Agreement on the terms set forth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ACCORDINGLY, the Grantors and the Agent, for itself and on behalf and for the benefit of the other Secured Parties, hereby agree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u w:val="single" w:color="auto"/>
          <w:color w:val="000000"/>
        </w:rPr>
        <w:t>Terms Defined in the LC Credit Agreement and the Intercreditor Agreement</w:t>
      </w:r>
      <w:r>
        <w:rPr>
          <w:rFonts w:ascii="Arial" w:cs="Arial" w:eastAsia="Arial" w:hAnsi="Arial"/>
          <w:sz w:val="18"/>
          <w:szCs w:val="18"/>
          <w:color w:val="000000"/>
        </w:rPr>
        <w:t>. All capitalized terms used herein and not otherwise defined</w:t>
      </w:r>
      <w:r>
        <w:rPr>
          <w:rFonts w:ascii="Arial" w:cs="Arial" w:eastAsia="Arial" w:hAnsi="Arial"/>
          <w:sz w:val="18"/>
          <w:szCs w:val="18"/>
          <w:color w:val="010000"/>
        </w:rPr>
        <w:t xml:space="preserve"> </w:t>
      </w:r>
      <w:r>
        <w:rPr>
          <w:rFonts w:ascii="Arial" w:cs="Arial" w:eastAsia="Arial" w:hAnsi="Arial"/>
          <w:sz w:val="18"/>
          <w:szCs w:val="18"/>
          <w:color w:val="000000"/>
        </w:rPr>
        <w:t>shall have the respective meanings assigned to such terms in the LC Credit Agreement and the Intercreditor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u w:val="single" w:color="auto"/>
          <w:color w:val="000000"/>
        </w:rPr>
        <w:t>Terms Defined in UCC</w:t>
      </w:r>
      <w:r>
        <w:rPr>
          <w:rFonts w:ascii="Arial" w:cs="Arial" w:eastAsia="Arial" w:hAnsi="Arial"/>
          <w:sz w:val="18"/>
          <w:szCs w:val="18"/>
          <w:color w:val="000000"/>
        </w:rPr>
        <w:t>. Terms defined in the UCC that are not otherwise defined in this Security Agreement are used herein as defined in</w:t>
      </w:r>
      <w:r>
        <w:rPr>
          <w:rFonts w:ascii="Arial" w:cs="Arial" w:eastAsia="Arial" w:hAnsi="Arial"/>
          <w:sz w:val="18"/>
          <w:szCs w:val="18"/>
          <w:color w:val="010000"/>
        </w:rPr>
        <w:t xml:space="preserve"> </w:t>
      </w:r>
      <w:r>
        <w:rPr>
          <w:rFonts w:ascii="Arial" w:cs="Arial" w:eastAsia="Arial" w:hAnsi="Arial"/>
          <w:sz w:val="18"/>
          <w:szCs w:val="18"/>
          <w:color w:val="000000"/>
        </w:rPr>
        <w:t>the UCC.</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u w:val="single" w:color="auto"/>
          <w:color w:val="000000"/>
        </w:rPr>
        <w:t>Definitions of Certain Terms Used Herein</w:t>
      </w:r>
      <w:r>
        <w:rPr>
          <w:rFonts w:ascii="Arial" w:cs="Arial" w:eastAsia="Arial" w:hAnsi="Arial"/>
          <w:sz w:val="18"/>
          <w:szCs w:val="18"/>
          <w:color w:val="000000"/>
        </w:rPr>
        <w:t>. As used in this Security Agreement, in addition to the terms defined in the Preliminary</w:t>
      </w:r>
      <w:r>
        <w:rPr>
          <w:rFonts w:ascii="Arial" w:cs="Arial" w:eastAsia="Arial" w:hAnsi="Arial"/>
          <w:sz w:val="18"/>
          <w:szCs w:val="18"/>
          <w:color w:val="010000"/>
        </w:rPr>
        <w:t xml:space="preserve"> </w:t>
      </w:r>
      <w:r>
        <w:rPr>
          <w:rFonts w:ascii="Arial" w:cs="Arial" w:eastAsia="Arial" w:hAnsi="Arial"/>
          <w:sz w:val="18"/>
          <w:szCs w:val="18"/>
          <w:color w:val="000000"/>
        </w:rPr>
        <w:t>Statement, the following terms shall have the following meanings: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shall have the meaning set forth in Article 9 of the UCC.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3" w:name="page724"/>
    <w:bookmarkEnd w:id="723"/>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with respect to any Grantor that is organized or incorporated in the United States, all Accounts, Chattel Paper, Commercial Tort Claims, Deposit Accounts, Documents, Equipment, Farm Products, Fixtures, General Intangibles, Goods, Instruments, Intellectual Property, Inventory, Investment Property, letters of credit, Letter of 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Notwithstanding any of the foregoing, Collateral shall not include any Excluded Assets.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means commercial tort claims, as defined in the UCC of any Grantor, including each commercial tort claim specifically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set forth in Article 8 or, if applicable, in Section 9-104, 9-105, 9-106 or 9-107 of Article 9 of the UCC or Section 16 of the UETA, as applicable.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in form and substance reasonably satisfactory to the Agent, executed and delivered by a Grantor, the Agent, and the applicable securities intermediary (with respect to a Securities Account) or bank (with respect to a Deposit Account), or an equivalent agreement under any applicable foreign jurisdiction.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with respect to any Person, all of such Person’s right, title, and interest in and to the following: (i) all copyrights, rights and interests in copyrights, works protectable by copyright, copyright registrations, and copyright applications; (ii) all renewals of any of the foregoing; (iii) all income, royalties, damages, and payments now or hereafter due and/or payable under any of the foregoing, including, without limitation, damages or payments for past or future infringements for any of the foregoing; and (iv) all rights corresponding to any of the foregoing throughout the world.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means each Confirmatory Grant in U.S. Copyrights executed and delivered by any Grantor in favor of Agent in a form substantially similar to the Trademark Security Agreement and the Patent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means the most recent to occur of (i) in the case of an Initial Grantor, the date hereof or, in the case of any other Grantor, the date such Grantor becomes a party hereto and (ii) the most recent date on which the Borrowers deliver to the Agent a Compliance Certificate accompanied by updated Exhibits to this Security Agreement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Grantor</w:t>
      </w:r>
      <w:r>
        <w:rPr>
          <w:rFonts w:ascii="Arial" w:cs="Arial" w:eastAsia="Arial" w:hAnsi="Arial"/>
          <w:sz w:val="18"/>
          <w:szCs w:val="18"/>
          <w:color w:val="auto"/>
        </w:rPr>
        <w:t>” means any Grantor that is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Copyright License</w:t>
      </w:r>
      <w:r>
        <w:rPr>
          <w:rFonts w:ascii="Arial" w:cs="Arial" w:eastAsia="Arial" w:hAnsi="Arial"/>
          <w:sz w:val="18"/>
          <w:szCs w:val="18"/>
          <w:color w:val="auto"/>
        </w:rPr>
        <w:t>” means an exclusive license to a U.S. registered copyright.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4" w:name="page725"/>
    <w:bookmarkEnd w:id="7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Products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Grantor</w:t>
      </w:r>
      <w:r>
        <w:rPr>
          <w:rFonts w:ascii="Arial" w:cs="Arial" w:eastAsia="Arial" w:hAnsi="Arial"/>
          <w:sz w:val="18"/>
          <w:szCs w:val="18"/>
          <w:color w:val="auto"/>
        </w:rPr>
        <w:t>” means any Grantor that is not a Domestic Grantor.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Intangibles</w:t>
      </w:r>
      <w:r>
        <w:rPr>
          <w:rFonts w:ascii="Arial" w:cs="Arial" w:eastAsia="Arial" w:hAnsi="Arial"/>
          <w:sz w:val="18"/>
          <w:szCs w:val="18"/>
          <w:color w:val="auto"/>
        </w:rPr>
        <w:t>” shall have the meaning set forth in Article 9 of the UCC and, in any event, includes payment intangibles, contract rights, rights to payment, rights arising under common law, statutes, or regulations, choses in action, Intellectual Property, programs, programming materials, blueprints, drawings, purchase orders, customer lists, monies due or recoverable from pension funds, route lists,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Industrial Designs</w:t>
      </w:r>
      <w:r>
        <w:rPr>
          <w:rFonts w:ascii="Arial" w:cs="Arial" w:eastAsia="Arial" w:hAnsi="Arial"/>
          <w:sz w:val="17"/>
          <w:szCs w:val="17"/>
          <w:color w:val="auto"/>
        </w:rPr>
        <w:t xml:space="preserve">” means (i) registered industrial designs and industrial design applications, and also includes registered industrial designs and industrial design applications listed in </w:t>
      </w:r>
      <w:r>
        <w:rPr>
          <w:rFonts w:ascii="Arial" w:cs="Arial" w:eastAsia="Arial" w:hAnsi="Arial"/>
          <w:sz w:val="17"/>
          <w:szCs w:val="17"/>
          <w:u w:val="single" w:color="auto"/>
          <w:color w:val="auto"/>
        </w:rPr>
        <w:t>Exhibit “B”</w:t>
      </w:r>
      <w:r>
        <w:rPr>
          <w:rFonts w:ascii="Arial" w:cs="Arial" w:eastAsia="Arial" w:hAnsi="Arial"/>
          <w:sz w:val="17"/>
          <w:szCs w:val="17"/>
          <w:color w:val="auto"/>
        </w:rPr>
        <w:t>, (ii) all renewals, divisions and any industrial design registrations issuing thereon and any and all foreign applications corresponding thereto, (iii) all income, royalties, damages and payments now and hereafter due or payable under and with respect thereto, including payments under all licenses entered into in connection therewith and damages and payments for past or future infringements thereof, (iv) the right to sue for past, present and future infringements thereof; and (v) all rights corresponding to any of the foregoing throughout the world.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Instrument</w:t>
      </w:r>
      <w:r>
        <w:rPr>
          <w:rFonts w:ascii="Arial" w:cs="Arial" w:eastAsia="Arial" w:hAnsi="Arial"/>
          <w:sz w:val="18"/>
          <w:szCs w:val="18"/>
          <w:color w:val="auto"/>
        </w:rPr>
        <w:t>” means an Instrument between a Grantor, as the payee thereunder, and WIL-Ireland or any of its Restricted Subsidiaries, as the payor thereunder.</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Copyrights, Licenses, Industrial Designs and any other intellectual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(i) the principle that equitable remedies are remedies which may be granted or refused at the discretion of the court, the principle of fairness and reasonableness, the limitation of enforcement by laws relating to bankruptcy, insolvency, liquidation, reorganisation, court schemes, moratoria, administration and other laws generally affecting the rights of creditors, (ii) the time barring of claims under applicable limitation laws including the Limitation Act 1980 and the Foreign Limitation Periods Act 1984 in the United Kingdom, the possibility that an undertaking to assume liability for, or to indemnify a person against, non-payment of stamp duty may be void and defences of set-off and counterclaim, and (iii) similar principles, rights and defences under the laws of any relevant jurisdiction.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5" w:name="page726"/>
    <w:bookmarkEnd w:id="7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(i) any and all licensing agreements or similar arrangements in and to its Patents, Copyrights or Trademarks, (ii) all income, royalties, damages, claims, and payments now or hereafter due or payable under and with respect thereto, including, without limitation, damages and payments for past and future breaches thereof, and (iii) all rights to sue for past, present, and future breaches thereof.</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Collateral</w:t>
      </w:r>
      <w:r>
        <w:rPr>
          <w:rFonts w:ascii="Arial" w:cs="Arial" w:eastAsia="Arial" w:hAnsi="Arial"/>
          <w:sz w:val="18"/>
          <w:szCs w:val="18"/>
          <w:color w:val="auto"/>
        </w:rPr>
        <w:t xml:space="preserve">” means any personal property of the Grantors, not included within the defined terms Accounts, Chattel Paper, Commercial Tort Claims, Deposit Accounts, Documents, Equipment, Fixtures, Farm Products, General Intangibles, Goods, Instruments, Intellectual Property, Inventory, Investment Property, Letter of 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personal property of the Grantors, subject to the exclusions or limitations contained in Article II of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Other Collateral shall not include any Excluded Assets.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with respect to any Person, all of such Person’s right, title, and interest in and to: (i) any and all patents and patent applications; (ii) all inventions and improvements described and claimed therein; (iii) all reissues, divisions, continuations, renewals, extensions, and continuations-in-part thereof; (iv) all licenses of the foregoing whether as licensee or licensor; (v) all income, royalties, damages, claims, and payments now or hereafter due or payable under and with respect thereto, including, without limitation, damages and payments for past and future infringements thereof; (vii) all rights to sue for past, present, and future infringements thereof; and (viii) all rights corresponding to any of the foregoing throughout the world.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xml:space="preserve">” means each Confirmatory Grant in U.S. Patents executed and delivered by any Grantor in favor of Agent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all Instruments, Securities and other Investment Property of the Grantors to the extent constituting Collateral hereunder, whether or not physically delivered to the Agent pursuant to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Deposits</w:t>
      </w:r>
      <w:r>
        <w:rPr>
          <w:rFonts w:ascii="Arial" w:cs="Arial" w:eastAsia="Arial" w:hAnsi="Arial"/>
          <w:sz w:val="18"/>
          <w:szCs w:val="18"/>
          <w:color w:val="auto"/>
        </w:rPr>
        <w:t>” means all time deposits of money (other than Deposit Accounts and Instruments), whether or not evidenced by certificates, which a Grantor may from time to time designate as pledged to the Agent or to any Secured Party as security for any Secured Obligations, and all rights to receive interest on said deposits.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means the Accounts, Chattel Paper, Documents, Investment Property, Instruments or Pledged Deposits, and any other rights or claims to receive money which are General Intangibles or which are otherwise included as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Receivables shall not include any Excluded Assets.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6" w:name="page727"/>
    <w:bookmarkEnd w:id="72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shall have the meaning set forth in Article 8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shall have the meaning set forth in Article 8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Deposit Account</w:t>
      </w:r>
      <w:r>
        <w:rPr>
          <w:rFonts w:ascii="Arial" w:cs="Arial" w:eastAsia="Arial" w:hAnsi="Arial"/>
          <w:sz w:val="18"/>
          <w:szCs w:val="18"/>
          <w:color w:val="auto"/>
        </w:rPr>
        <w:t>” means any Deposit Account of a Grantor other than the Excluded Accounts.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Intellectual Property</w:t>
      </w:r>
      <w:r>
        <w:rPr>
          <w:rFonts w:ascii="Arial" w:cs="Arial" w:eastAsia="Arial" w:hAnsi="Arial"/>
          <w:sz w:val="16"/>
          <w:szCs w:val="16"/>
          <w:color w:val="auto"/>
        </w:rPr>
        <w:t>” means any Intellectual Property of one or more Grantors (i) the book value of which exceeds $5,000,000 individually or in the aggregate, (ii) which generates annual revenue, royalties or license fees of greater than $5,000,000 or (iii) which, in the commercially reasonable judgment of the Grantors, is material to the conduct of all or a material portion of the business of WIL-Ireland and its Restricted Subsidiaries.</w:t>
      </w:r>
    </w:p>
    <w:p>
      <w:pPr>
        <w:spacing w:after="0" w:line="147"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(i) all trademarks (including service marks), trade names, trade dress, and trade styles and the registrations and applications for registration thereof and the goodwill of the business symbolized by the foregoing; (ii) all licenses of the foregoing, whether as licensee or licensor; (iii) all renewals of the foregoing; (iv) all income, royalties, damages, and payments now or hereafter due or payable with respect thereto, including, without limitation, damages, claims, and payments for past and future infringements thereof; (v) all rights to sue for past, present, and future infringements of the foregoing, including the right to settle suits involving claims and demands for royalties owing; and (vi) all rights corresponding to any of the foregoing throughout the world.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xml:space="preserve">” means each Confirmatory Grant in U.S. Trademarks executed and delivered by any Grantor in favor of Agent in substantially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UETA</w:t>
      </w:r>
      <w:r>
        <w:rPr>
          <w:rFonts w:ascii="Arial" w:cs="Arial" w:eastAsia="Arial" w:hAnsi="Arial"/>
          <w:sz w:val="18"/>
          <w:szCs w:val="18"/>
          <w:color w:val="auto"/>
        </w:rPr>
        <w:t>” means the Uniform Electronic Transactions Act as in effect from time to time in any applicable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ULC</w:t>
      </w:r>
      <w:r>
        <w:rPr>
          <w:rFonts w:ascii="Arial" w:cs="Arial" w:eastAsia="Arial" w:hAnsi="Arial"/>
          <w:sz w:val="18"/>
          <w:szCs w:val="18"/>
          <w:color w:val="auto"/>
        </w:rPr>
        <w:t>” means a Person that is an unlimited company, unlimited liability corporation or unlimited liability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7" w:name="page728"/>
    <w:bookmarkEnd w:id="72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ULC Laws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Act</w:t>
      </w:r>
      <w:r>
        <w:rPr>
          <w:rFonts w:ascii="Arial" w:cs="Arial" w:eastAsia="Arial" w:hAnsi="Arial"/>
          <w:sz w:val="18"/>
          <w:szCs w:val="18"/>
          <w:color w:val="auto"/>
        </w:rPr>
        <w:t xml:space="preserve"> (Nova Scotia),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any other present or future Laws governing ULCs.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ULC Shares</w:t>
      </w:r>
      <w:r>
        <w:rPr>
          <w:rFonts w:ascii="Arial" w:cs="Arial" w:eastAsia="Arial" w:hAnsi="Arial"/>
          <w:sz w:val="18"/>
          <w:szCs w:val="18"/>
          <w:color w:val="auto"/>
        </w:rPr>
        <w:t>” means shares in the capital stock of, or other equity interests of, a ULC.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SECURITY INTEREST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Grantors hereby pledges, assigns (except in the case of the ULC Shares) and grants to the Agent, on behalf of and for the benefit of the Secured Parties,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any ULC Shares or any intellectual property rights owned by the Grantors (other than the collateral assignment pursuant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Each of the Initial Grantors represents and warrants to the Agent and the Secured Parties, and each Grantor that becomes a party to this Security Agreement pursuant to the execution of a Security Agreement Supplement in substantially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represents and warrants (after giving effect to supplements to each of the Exhibits hereto, with respect to such subsequent Grantor, as attached to such Security Agreement Supplement), that:</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3.1. </w:t>
      </w:r>
      <w:r>
        <w:rPr>
          <w:rFonts w:ascii="Arial" w:cs="Arial" w:eastAsia="Arial" w:hAnsi="Arial"/>
          <w:sz w:val="17"/>
          <w:szCs w:val="17"/>
          <w:u w:val="single" w:color="auto"/>
          <w:color w:val="000000"/>
        </w:rPr>
        <w:t>Title, Authorization, Validity and Enforceability</w:t>
      </w:r>
      <w:r>
        <w:rPr>
          <w:rFonts w:ascii="Arial" w:cs="Arial" w:eastAsia="Arial" w:hAnsi="Arial"/>
          <w:sz w:val="17"/>
          <w:szCs w:val="17"/>
          <w:color w:val="000000"/>
        </w:rPr>
        <w:t>. Subject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3.10.10</w:t>
      </w:r>
      <w:r>
        <w:rPr>
          <w:rFonts w:ascii="Arial" w:cs="Arial" w:eastAsia="Arial" w:hAnsi="Arial"/>
          <w:sz w:val="17"/>
          <w:szCs w:val="17"/>
          <w:color w:val="000000"/>
        </w:rPr>
        <w:t>, such Grantor has good and valid rights in or the power to transfer</w:t>
      </w:r>
      <w:r>
        <w:rPr>
          <w:rFonts w:ascii="Arial" w:cs="Arial" w:eastAsia="Arial" w:hAnsi="Arial"/>
          <w:sz w:val="17"/>
          <w:szCs w:val="17"/>
          <w:color w:val="010000"/>
        </w:rPr>
        <w:t xml:space="preserve"> </w:t>
      </w:r>
      <w:r>
        <w:rPr>
          <w:rFonts w:ascii="Arial" w:cs="Arial" w:eastAsia="Arial" w:hAnsi="Arial"/>
          <w:sz w:val="17"/>
          <w:szCs w:val="17"/>
          <w:color w:val="000000"/>
        </w:rPr>
        <w:t xml:space="preserve">its respective Collateral, free and clear of all Liens except for Liens permitted under Section 8.04 of the LC Credit Agreement, and has the corporate, unlimited liability company, limited liability company or partnership, as applicable, power and authority to grant to the Agent the security interest in such Collateral pursuant hereto. The execution and delivery by such Grantor of this Security Agreement have been duly authorized by corporate, unlimited liability company, limited liability company, limited partnership or partnership, as applicable, proceedings or actions, and this Security Agreement constitutes a legal, valid and binding obligation of such Grantor and creates a security interest which is enforceable against such Grantor in all Collateral it now owns or hereafter acquires, except (i)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(ii) as to the enforceability of provisions for indemnification and the limitations thereon arising as a matter of law or public policy, and (iii) in the case of each Grantor incorporated in England and Wales, is subject to Legal Reservations or the need for filings and registrations necessary to create or perfect the Liens on the Collateral granted by each Grantor incorporated in England and Wales in favor of the Secured Parties. When financing statements have been filed in the appropriate offices against such Grantor in the locations listed in </w:t>
      </w:r>
      <w:r>
        <w:rPr>
          <w:rFonts w:ascii="Arial" w:cs="Arial" w:eastAsia="Arial" w:hAnsi="Arial"/>
          <w:sz w:val="17"/>
          <w:szCs w:val="17"/>
          <w:u w:val="single" w:color="auto"/>
          <w:color w:val="000000"/>
        </w:rPr>
        <w:t>Exhibit “E”,</w:t>
      </w:r>
      <w:r>
        <w:rPr>
          <w:rFonts w:ascii="Arial" w:cs="Arial" w:eastAsia="Arial" w:hAnsi="Arial"/>
          <w:sz w:val="17"/>
          <w:szCs w:val="17"/>
          <w:color w:val="000000"/>
        </w:rPr>
        <w:t xml:space="preserve"> Agent shall have a perfected security interest (with the priority set forth in the Intercreditor Agreement and subject only to Liens permitted by Section 8.04 of the LC Credit Agreement) in the Collateral of each Grantor to the extent such security interest can be perfected by the filing of a financing statement under the Code.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28" w:name="page729"/>
    <w:bookmarkEnd w:id="728"/>
    <w:p>
      <w:pPr>
        <w:jc w:val="both"/>
        <w:ind w:firstLine="648"/>
        <w:spacing w:after="0" w:line="253"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Conflicting Laws and Contracts</w:t>
      </w:r>
      <w:r>
        <w:rPr>
          <w:rFonts w:ascii="Arial" w:cs="Arial" w:eastAsia="Arial" w:hAnsi="Arial"/>
          <w:sz w:val="18"/>
          <w:szCs w:val="18"/>
          <w:color w:val="000000"/>
        </w:rPr>
        <w:t>. Neither the execution and delivery by such Grantor of this Security Agreement, the creation and perfection of</w:t>
      </w:r>
      <w:r>
        <w:rPr>
          <w:rFonts w:ascii="Arial" w:cs="Arial" w:eastAsia="Arial" w:hAnsi="Arial"/>
          <w:sz w:val="18"/>
          <w:szCs w:val="18"/>
          <w:color w:val="010000"/>
        </w:rPr>
        <w:t xml:space="preserve"> </w:t>
      </w:r>
      <w:r>
        <w:rPr>
          <w:rFonts w:ascii="Arial" w:cs="Arial" w:eastAsia="Arial" w:hAnsi="Arial"/>
          <w:sz w:val="18"/>
          <w:szCs w:val="18"/>
          <w:color w:val="000000"/>
        </w:rPr>
        <w:t xml:space="preserve">the security interest in the Collateral granted hereunder, nor compliance with the terms and provisions hereof (i) will breach or violate any applicable Requirement of Law binding on such Grantor, (ii) will result in any breach or violation of, or constitute a default under, or result in the creation or imposition of (or the obligation to create or impose) any Lien prohibited under the LC Credit Agreement, upon any of its property or assets pursuant to the terms of (a) the ABL Credit Agreement, the Exit Senior Notes or the Exit Senior Notes Indenture or (b) any other indenture, agreement or other instrument to which such Grantor is a party or by which any property or asset of it is bound or to which it is subject, except for breaches, violations and defaults under </w:t>
      </w:r>
      <w:r>
        <w:rPr>
          <w:rFonts w:ascii="Arial" w:cs="Arial" w:eastAsia="Arial" w:hAnsi="Arial"/>
          <w:sz w:val="18"/>
          <w:szCs w:val="18"/>
          <w:u w:val="single" w:color="auto"/>
          <w:color w:val="000000"/>
        </w:rPr>
        <w:t>clauses (i)</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(ii)(b)</w:t>
      </w:r>
      <w:r>
        <w:rPr>
          <w:rFonts w:ascii="Arial" w:cs="Arial" w:eastAsia="Arial" w:hAnsi="Arial"/>
          <w:sz w:val="18"/>
          <w:szCs w:val="18"/>
          <w:color w:val="000000"/>
        </w:rPr>
        <w:t xml:space="preserve"> that collectively for the Grantors would not have a Material Adverse Effect, or (iii) will violate any provision of such Grantor’s charter, articles or certificate of incorporation or formation, memorandum of association, partnership agreement, by-laws, bye-laws or operating agreement (or similar constitutive document).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Principal Location</w:t>
      </w:r>
      <w:r>
        <w:rPr>
          <w:rFonts w:ascii="Arial" w:cs="Arial" w:eastAsia="Arial" w:hAnsi="Arial"/>
          <w:sz w:val="18"/>
          <w:szCs w:val="18"/>
          <w:color w:val="000000"/>
        </w:rPr>
        <w:t>. Such Grantor’s mailing address and the location of its place of business (if it has only one) or its chief executive office (if</w:t>
      </w:r>
      <w:r>
        <w:rPr>
          <w:rFonts w:ascii="Arial" w:cs="Arial" w:eastAsia="Arial" w:hAnsi="Arial"/>
          <w:sz w:val="18"/>
          <w:szCs w:val="18"/>
          <w:color w:val="010000"/>
        </w:rPr>
        <w:t xml:space="preserve"> </w:t>
      </w:r>
      <w:r>
        <w:rPr>
          <w:rFonts w:ascii="Arial" w:cs="Arial" w:eastAsia="Arial" w:hAnsi="Arial"/>
          <w:sz w:val="18"/>
          <w:szCs w:val="18"/>
          <w:color w:val="000000"/>
        </w:rPr>
        <w:t xml:space="preserve">it has more than one place of business), are disclosed, as of the applicable Determination Date, in </w:t>
      </w:r>
      <w:r>
        <w:rPr>
          <w:rFonts w:ascii="Arial" w:cs="Arial" w:eastAsia="Arial" w:hAnsi="Arial"/>
          <w:sz w:val="18"/>
          <w:szCs w:val="18"/>
          <w:u w:val="single" w:color="auto"/>
          <w:color w:val="000000"/>
        </w:rPr>
        <w:t>Exhibit “A”</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Property Locations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 “A”</w:t>
      </w:r>
      <w:r>
        <w:rPr>
          <w:rFonts w:ascii="Arial" w:cs="Arial" w:eastAsia="Arial" w:hAnsi="Arial"/>
          <w:sz w:val="18"/>
          <w:szCs w:val="18"/>
          <w:color w:val="010000"/>
        </w:rPr>
        <w:t xml:space="preserve"> </w:t>
      </w:r>
      <w:r>
        <w:rPr>
          <w:rFonts w:ascii="Arial" w:cs="Arial" w:eastAsia="Arial" w:hAnsi="Arial"/>
          <w:sz w:val="18"/>
          <w:szCs w:val="18"/>
          <w:color w:val="000000"/>
        </w:rPr>
        <w:t>lists, as of the applicable Determination Date, all of such Grantor’s locations (limited, in the case of any</w:t>
      </w:r>
      <w:r>
        <w:rPr>
          <w:rFonts w:ascii="Arial" w:cs="Arial" w:eastAsia="Arial" w:hAnsi="Arial"/>
          <w:sz w:val="18"/>
          <w:szCs w:val="18"/>
          <w:color w:val="010000"/>
        </w:rPr>
        <w:t xml:space="preserve"> </w:t>
      </w:r>
      <w:r>
        <w:rPr>
          <w:rFonts w:ascii="Arial" w:cs="Arial" w:eastAsia="Arial" w:hAnsi="Arial"/>
          <w:sz w:val="18"/>
          <w:szCs w:val="18"/>
          <w:color w:val="000000"/>
        </w:rPr>
        <w:t xml:space="preserve">Foreign Grantor, to its United States locations) where Inventory and Equipment constituting Collateral are located (other than any such location where the book value of all Inventory and Equipment located thereon does not exceed $10,000,000). Such </w:t>
      </w:r>
      <w:r>
        <w:rPr>
          <w:rFonts w:ascii="Arial" w:cs="Arial" w:eastAsia="Arial" w:hAnsi="Arial"/>
          <w:sz w:val="18"/>
          <w:szCs w:val="18"/>
          <w:u w:val="single" w:color="auto"/>
          <w:color w:val="000000"/>
        </w:rPr>
        <w:t>Exhibit “A”</w:t>
      </w:r>
      <w:r>
        <w:rPr>
          <w:rFonts w:ascii="Arial" w:cs="Arial" w:eastAsia="Arial" w:hAnsi="Arial"/>
          <w:sz w:val="18"/>
          <w:szCs w:val="18"/>
          <w:color w:val="000000"/>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No Other Names; Etc.</w:t>
      </w:r>
      <w:r>
        <w:rPr>
          <w:rFonts w:ascii="Arial" w:cs="Arial" w:eastAsia="Arial" w:hAnsi="Arial"/>
          <w:sz w:val="18"/>
          <w:szCs w:val="18"/>
          <w:color w:val="010000"/>
        </w:rPr>
        <w:t xml:space="preserve"> </w:t>
      </w:r>
      <w:r>
        <w:rPr>
          <w:rFonts w:ascii="Arial" w:cs="Arial" w:eastAsia="Arial" w:hAnsi="Arial"/>
          <w:sz w:val="18"/>
          <w:szCs w:val="18"/>
          <w:color w:val="000000"/>
        </w:rPr>
        <w:t>Within the five-year period ending as of the date such Person becomes a Grantor hereunder, such Grantor has not</w:t>
      </w:r>
      <w:r>
        <w:rPr>
          <w:rFonts w:ascii="Arial" w:cs="Arial" w:eastAsia="Arial" w:hAnsi="Arial"/>
          <w:sz w:val="18"/>
          <w:szCs w:val="18"/>
          <w:color w:val="010000"/>
        </w:rPr>
        <w:t xml:space="preserve"> </w:t>
      </w:r>
      <w:r>
        <w:rPr>
          <w:rFonts w:ascii="Arial" w:cs="Arial" w:eastAsia="Arial" w:hAnsi="Arial"/>
          <w:sz w:val="18"/>
          <w:szCs w:val="18"/>
          <w:color w:val="000000"/>
        </w:rPr>
        <w:t xml:space="preserve">conducted business under any other name, changed its jurisdiction of organization or incorporation, merged with or into or consolidated or amalgamated with any other Person, except as disclosed in </w:t>
      </w:r>
      <w:r>
        <w:rPr>
          <w:rFonts w:ascii="Arial" w:cs="Arial" w:eastAsia="Arial" w:hAnsi="Arial"/>
          <w:sz w:val="18"/>
          <w:szCs w:val="18"/>
          <w:u w:val="single" w:color="auto"/>
          <w:color w:val="000000"/>
        </w:rPr>
        <w:t>Exhibit “A”</w:t>
      </w:r>
      <w:r>
        <w:rPr>
          <w:rFonts w:ascii="Arial" w:cs="Arial" w:eastAsia="Arial" w:hAnsi="Arial"/>
          <w:sz w:val="18"/>
          <w:szCs w:val="18"/>
          <w:color w:val="000000"/>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or incorporation as of the date such Person becomes a Grantor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729" w:name="page730"/>
    <w:bookmarkEnd w:id="729"/>
    <w:p>
      <w:pPr>
        <w:jc w:val="both"/>
        <w:ind w:firstLine="648"/>
        <w:spacing w:after="0" w:line="255"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Accounts and Chattel Paper</w:t>
      </w:r>
      <w:r>
        <w:rPr>
          <w:rFonts w:ascii="Arial" w:cs="Arial" w:eastAsia="Arial" w:hAnsi="Arial"/>
          <w:sz w:val="18"/>
          <w:szCs w:val="18"/>
          <w:color w:val="000000"/>
        </w:rPr>
        <w:t>. The names of the obligors, amounts owing, due dates and other information with respect to the Accounts and</w:t>
      </w:r>
      <w:r>
        <w:rPr>
          <w:rFonts w:ascii="Arial" w:cs="Arial" w:eastAsia="Arial" w:hAnsi="Arial"/>
          <w:sz w:val="18"/>
          <w:szCs w:val="18"/>
          <w:color w:val="010000"/>
        </w:rPr>
        <w:t xml:space="preserve"> </w:t>
      </w:r>
      <w:r>
        <w:rPr>
          <w:rFonts w:ascii="Arial" w:cs="Arial" w:eastAsia="Arial" w:hAnsi="Arial"/>
          <w:sz w:val="18"/>
          <w:szCs w:val="18"/>
          <w:color w:val="000000"/>
        </w:rPr>
        <w:t>Chattel Paper owned by such Grantor and constituting Collateral are and will be correctly stated in all material respects in all records of such Grantor relating thereto and in all invoices and reports with respect thereto furnished to the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3.7. </w:t>
      </w:r>
      <w:r>
        <w:rPr>
          <w:rFonts w:ascii="Arial" w:cs="Arial" w:eastAsia="Arial" w:hAnsi="Arial"/>
          <w:sz w:val="18"/>
          <w:szCs w:val="18"/>
          <w:u w:val="single" w:color="auto"/>
          <w:color w:val="000000"/>
        </w:rPr>
        <w:t>No Financing Statements, Security Agreements</w:t>
      </w:r>
      <w:r>
        <w:rPr>
          <w:rFonts w:ascii="Arial" w:cs="Arial" w:eastAsia="Arial" w:hAnsi="Arial"/>
          <w:sz w:val="18"/>
          <w:szCs w:val="18"/>
          <w:color w:val="000000"/>
        </w:rPr>
        <w:t>. No financing statement or security agreement describing all or any portion of the Collateral</w:t>
      </w:r>
      <w:r>
        <w:rPr>
          <w:rFonts w:ascii="Arial" w:cs="Arial" w:eastAsia="Arial" w:hAnsi="Arial"/>
          <w:sz w:val="18"/>
          <w:szCs w:val="18"/>
          <w:color w:val="010000"/>
        </w:rPr>
        <w:t xml:space="preserve"> </w:t>
      </w:r>
      <w:r>
        <w:rPr>
          <w:rFonts w:ascii="Arial" w:cs="Arial" w:eastAsia="Arial" w:hAnsi="Arial"/>
          <w:sz w:val="18"/>
          <w:szCs w:val="18"/>
          <w:color w:val="000000"/>
        </w:rPr>
        <w:t xml:space="preserve">(other than a financing statement or security agreement that has lapsed or been terminated) naming such Grantor as debtor has been filed or is of record in any jurisdiction except financing statements (i) naming the Agent on behalf of the Secured Parties as the secured party and (ii) in respect of Liens permitted by Section 8.04 of the LC Credit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nothing herein shall be deemed to constitute an agreement to subordinate any of the Liens of the Agent under the Loan Documents to any Liens otherwise permitted under Section 8.04 of the LC Credit Agreement or except as set forth in the Intercreditor Agreement.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3.8. </w:t>
      </w:r>
      <w:r>
        <w:rPr>
          <w:rFonts w:ascii="Arial" w:cs="Arial" w:eastAsia="Arial" w:hAnsi="Arial"/>
          <w:sz w:val="18"/>
          <w:szCs w:val="18"/>
          <w:u w:val="single" w:color="auto"/>
          <w:color w:val="000000"/>
        </w:rPr>
        <w:t>Federal Employer Identification Number; State Organization Number; Jurisdiction of Organization</w:t>
      </w:r>
      <w:r>
        <w:rPr>
          <w:rFonts w:ascii="Arial" w:cs="Arial" w:eastAsia="Arial" w:hAnsi="Arial"/>
          <w:sz w:val="18"/>
          <w:szCs w:val="18"/>
          <w:color w:val="000000"/>
        </w:rPr>
        <w:t>. Such Grantor’s federal employer</w:t>
      </w:r>
      <w:r>
        <w:rPr>
          <w:rFonts w:ascii="Arial" w:cs="Arial" w:eastAsia="Arial" w:hAnsi="Arial"/>
          <w:sz w:val="18"/>
          <w:szCs w:val="18"/>
          <w:color w:val="010000"/>
        </w:rPr>
        <w:t xml:space="preserve"> </w:t>
      </w:r>
      <w:r>
        <w:rPr>
          <w:rFonts w:ascii="Arial" w:cs="Arial" w:eastAsia="Arial" w:hAnsi="Arial"/>
          <w:sz w:val="18"/>
          <w:szCs w:val="18"/>
          <w:color w:val="000000"/>
        </w:rPr>
        <w:t xml:space="preserve">identification number (if any) is, and if such Grantor is a registered organization, such Grantor’s state of organization, type of organization and state of organization identification number (if any) are, as of the applicable Determination Date, listed in </w:t>
      </w:r>
      <w:r>
        <w:rPr>
          <w:rFonts w:ascii="Arial" w:cs="Arial" w:eastAsia="Arial" w:hAnsi="Arial"/>
          <w:sz w:val="18"/>
          <w:szCs w:val="18"/>
          <w:u w:val="single" w:color="auto"/>
          <w:color w:val="000000"/>
        </w:rPr>
        <w:t>Exhibit “G”</w:t>
      </w:r>
      <w:r>
        <w:rPr>
          <w:rFonts w:ascii="Arial" w:cs="Arial" w:eastAsia="Arial" w:hAnsi="Arial"/>
          <w:sz w:val="18"/>
          <w:szCs w:val="18"/>
          <w:color w:val="000000"/>
        </w:rPr>
        <w:t>.</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3.9. </w:t>
      </w:r>
      <w:r>
        <w:rPr>
          <w:rFonts w:ascii="Arial" w:cs="Arial" w:eastAsia="Arial" w:hAnsi="Arial"/>
          <w:sz w:val="17"/>
          <w:szCs w:val="17"/>
          <w:u w:val="single" w:color="auto"/>
          <w:color w:val="000000"/>
        </w:rPr>
        <w:t>Pledged Securities and Other Investment Property</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Exhibit “D”</w:t>
      </w:r>
      <w:r>
        <w:rPr>
          <w:rFonts w:ascii="Arial" w:cs="Arial" w:eastAsia="Arial" w:hAnsi="Arial"/>
          <w:sz w:val="17"/>
          <w:szCs w:val="17"/>
          <w:color w:val="010000"/>
        </w:rPr>
        <w:t xml:space="preserve"> </w:t>
      </w:r>
      <w:r>
        <w:rPr>
          <w:rFonts w:ascii="Arial" w:cs="Arial" w:eastAsia="Arial" w:hAnsi="Arial"/>
          <w:sz w:val="17"/>
          <w:szCs w:val="17"/>
          <w:color w:val="000000"/>
        </w:rPr>
        <w:t>sets forth, as of the applicable Determination Date, a complete and accurate list</w:t>
      </w:r>
      <w:r>
        <w:rPr>
          <w:rFonts w:ascii="Arial" w:cs="Arial" w:eastAsia="Arial" w:hAnsi="Arial"/>
          <w:sz w:val="17"/>
          <w:szCs w:val="17"/>
          <w:color w:val="010000"/>
        </w:rPr>
        <w:t xml:space="preserve"> </w:t>
      </w:r>
      <w:r>
        <w:rPr>
          <w:rFonts w:ascii="Arial" w:cs="Arial" w:eastAsia="Arial" w:hAnsi="Arial"/>
          <w:sz w:val="17"/>
          <w:szCs w:val="17"/>
          <w:color w:val="000000"/>
        </w:rPr>
        <w:t xml:space="preserve">of the Instruments (other than the Intercompany Instruments), Securities and other Investment Property constituting Collateral and delivered to the Agent. Each Grantor is the direct and beneficial owner of each Instrument, Security and other type of Investment Property listed in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as being owned by it, free and clear of any Liens, except for the security interest granted to the Agent for the benefit of the Secured Parties hereunder or as permitted by Section 8.04 of the LC Credit Agreement. Each Grantor further represents and warrants that (i) all Pledged Collateral owned by it constituting Capital Stock has been (to the extent such concepts are relevant with respect to such Pledged Collateral) duly authorized and validly issued, are fully paid and non-assessable and constitute, as of the applicable Determination Date, the percentage of the issued and outstanding shares of stock (or other Capital Stock) of the respective issuers thereof indicated in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hereto and (ii) all such Pledged Collateral held by a securities intermediary (including in a Securities Account) is covered by a Control Agreement among such Grantor, the securities intermediary and the Agent pursuant to which the Agent has Control to the extent required by </w:t>
      </w:r>
      <w:r>
        <w:rPr>
          <w:rFonts w:ascii="Arial" w:cs="Arial" w:eastAsia="Arial" w:hAnsi="Arial"/>
          <w:sz w:val="17"/>
          <w:szCs w:val="17"/>
          <w:u w:val="single" w:color="auto"/>
          <w:color w:val="000000"/>
        </w:rPr>
        <w:t>Section 4.5</w:t>
      </w:r>
      <w:r>
        <w:rPr>
          <w:rFonts w:ascii="Arial" w:cs="Arial" w:eastAsia="Arial" w:hAnsi="Arial"/>
          <w:sz w:val="17"/>
          <w:szCs w:val="17"/>
          <w:color w:val="000000"/>
        </w:rPr>
        <w:t>. In addition, each Grantor hereby represents and warrants that (i) no partnership agreement or operating agreement (or similar constitutive document) with respect to Pledged Collateral in respect of a limited liability company or partnership provides that such Pledged Collateral constitute securities governed by Article 8 of the UCC as in effect in any relevant jurisdiction and (ii) no Collateral constitutes “certificated securities” within the meaning of Article 8 of the Uniform Commercial Code as in effect in any relevant jurisdiction (such securities, “</w:t>
      </w:r>
      <w:r>
        <w:rPr>
          <w:rFonts w:ascii="Arial" w:cs="Arial" w:eastAsia="Arial" w:hAnsi="Arial"/>
          <w:sz w:val="17"/>
          <w:szCs w:val="17"/>
          <w:u w:val="single" w:color="auto"/>
          <w:color w:val="000000"/>
        </w:rPr>
        <w:t>Certificated Securities</w:t>
      </w:r>
      <w:r>
        <w:rPr>
          <w:rFonts w:ascii="Arial" w:cs="Arial" w:eastAsia="Arial" w:hAnsi="Arial"/>
          <w:sz w:val="17"/>
          <w:szCs w:val="17"/>
          <w:color w:val="000000"/>
        </w:rPr>
        <w:t xml:space="preserve">”), except as otherwise indicated on </w:t>
      </w:r>
      <w:r>
        <w:rPr>
          <w:rFonts w:ascii="Arial" w:cs="Arial" w:eastAsia="Arial" w:hAnsi="Arial"/>
          <w:sz w:val="17"/>
          <w:szCs w:val="17"/>
          <w:u w:val="single" w:color="auto"/>
          <w:color w:val="000000"/>
        </w:rPr>
        <w:t>Exhibit “D”</w:t>
      </w:r>
      <w:r>
        <w:rPr>
          <w:rFonts w:ascii="Arial" w:cs="Arial" w:eastAsia="Arial" w:hAnsi="Arial"/>
          <w:sz w:val="17"/>
          <w:szCs w:val="17"/>
          <w:color w:val="000000"/>
        </w:rPr>
        <w:t>. Each Grantor covenants that for so long as this Security Agreement is in effect, it shall not permit any of its Subsidiaries whose Capital Stock is Pledged Collateral (the “</w:t>
      </w:r>
      <w:r>
        <w:rPr>
          <w:rFonts w:ascii="Arial" w:cs="Arial" w:eastAsia="Arial" w:hAnsi="Arial"/>
          <w:sz w:val="17"/>
          <w:szCs w:val="17"/>
          <w:u w:val="single" w:color="auto"/>
          <w:color w:val="000000"/>
        </w:rPr>
        <w:t>Acknowledgment Parties</w:t>
      </w:r>
      <w:r>
        <w:rPr>
          <w:rFonts w:ascii="Arial" w:cs="Arial" w:eastAsia="Arial" w:hAnsi="Arial"/>
          <w:sz w:val="17"/>
          <w:szCs w:val="17"/>
          <w:color w:val="000000"/>
        </w:rPr>
        <w:t xml:space="preserve">”) (i) except as otherwise indicated on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to cause such Capital Stock to become Certificated Securities, or (ii) except as otherwise indicated on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for any such Subsidiaries that are limited liability companies or partnerships, to elect that its membership interests becomes governed by Article 8 of the Uniform Commercial Code as in effect in any relevant jurisdiction without the consent of all pledgees of such membership interests or the delivery of any applicable limited liability company certificate or control agreement necessary to perfect each such pledgee's interests in the applicable membership interests. Each Grantor further agrees to cause each Acknowledgment Party, other than any Acknowledgment Party that is a ULC, to execute and deliver an acknowledgment substantially in the form of </w:t>
      </w:r>
      <w:r>
        <w:rPr>
          <w:rFonts w:ascii="Arial" w:cs="Arial" w:eastAsia="Arial" w:hAnsi="Arial"/>
          <w:sz w:val="17"/>
          <w:szCs w:val="17"/>
          <w:u w:val="single" w:color="auto"/>
          <w:color w:val="000000"/>
        </w:rPr>
        <w:t>Exhibit “M”</w:t>
      </w:r>
      <w:r>
        <w:rPr>
          <w:rFonts w:ascii="Arial" w:cs="Arial" w:eastAsia="Arial" w:hAnsi="Arial"/>
          <w:sz w:val="17"/>
          <w:szCs w:val="17"/>
          <w:color w:val="000000"/>
        </w:rPr>
        <w:t xml:space="preserve"> hereto promptly upon such party becoming an Acknowledgment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30" w:name="page731"/>
    <w:bookmarkEnd w:id="730"/>
    <w:p>
      <w:pPr>
        <w:spacing w:after="0"/>
        <w:tabs>
          <w:tab w:leader="none" w:pos="520" w:val="left"/>
        </w:tabs>
        <w:rPr>
          <w:sz w:val="20"/>
          <w:szCs w:val="20"/>
          <w:color w:val="auto"/>
        </w:rPr>
      </w:pPr>
      <w:r>
        <w:rPr>
          <w:rFonts w:ascii="Arial" w:cs="Arial" w:eastAsia="Arial" w:hAnsi="Arial"/>
          <w:sz w:val="18"/>
          <w:szCs w:val="18"/>
          <w:color w:val="010000"/>
        </w:rPr>
        <w:t>3.10.</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960"/>
        <w:spacing w:after="0"/>
        <w:tabs>
          <w:tab w:leader="none" w:pos="2320" w:val="left"/>
        </w:tabs>
        <w:rPr>
          <w:sz w:val="20"/>
          <w:szCs w:val="20"/>
          <w:color w:val="auto"/>
        </w:rPr>
      </w:pPr>
      <w:r>
        <w:rPr>
          <w:rFonts w:ascii="Arial" w:cs="Arial" w:eastAsia="Arial" w:hAnsi="Arial"/>
          <w:sz w:val="18"/>
          <w:szCs w:val="18"/>
          <w:color w:val="010000"/>
        </w:rPr>
        <w:t>3.10.1</w:t>
      </w:r>
      <w:r>
        <w:rPr>
          <w:sz w:val="20"/>
          <w:szCs w:val="20"/>
          <w:color w:val="auto"/>
        </w:rPr>
        <w:tab/>
      </w:r>
      <w:r>
        <w:rPr>
          <w:rFonts w:ascii="Arial" w:cs="Arial" w:eastAsia="Arial" w:hAnsi="Arial"/>
          <w:sz w:val="17"/>
          <w:szCs w:val="17"/>
          <w:u w:val="single" w:color="auto"/>
          <w:color w:val="auto"/>
        </w:rPr>
        <w:t xml:space="preserve">Exhibit “B” </w:t>
      </w:r>
      <w:r>
        <w:rPr>
          <w:rFonts w:ascii="Arial" w:cs="Arial" w:eastAsia="Arial" w:hAnsi="Arial"/>
          <w:sz w:val="17"/>
          <w:szCs w:val="17"/>
          <w:color w:val="auto"/>
        </w:rPr>
        <w:t>contains a complete and accurate listing as of the applicable Determination Date of all of the below-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described Specified Intellectual Property of each of the Grantors (limited, in the case of each Foreign Grantor, to U.S. Specified Intellectual Property): (i) state, U.S. and foreign trademark registrations, and applications for trademark registration, (ii) U.S. and foreign patents and patent applications, together with all reissuances, continuations, continuations in part, revisions, extensions, and reexaminations thereof, (iii) U.S. and foreign copyright registrations and applications for registration, (iv) Exclusive Copyright Licenses, (v) foreign industrial design registrations and industrial design applications, and (vi) domain names. All of the U.S. registrations, applications for registration or applications for issuance of such Specified Intellectual Property are valid and subsisting, in good standing and, subject to </w:t>
      </w:r>
      <w:r>
        <w:rPr>
          <w:rFonts w:ascii="Arial" w:cs="Arial" w:eastAsia="Arial" w:hAnsi="Arial"/>
          <w:sz w:val="17"/>
          <w:szCs w:val="17"/>
          <w:u w:val="single" w:color="auto"/>
          <w:color w:val="auto"/>
        </w:rPr>
        <w:t>Section 3.10.10</w:t>
      </w:r>
      <w:r>
        <w:rPr>
          <w:rFonts w:ascii="Arial" w:cs="Arial" w:eastAsia="Arial" w:hAnsi="Arial"/>
          <w:sz w:val="17"/>
          <w:szCs w:val="17"/>
          <w:color w:val="auto"/>
        </w:rPr>
        <w:t>, are recorded or in the process of being recorded in the name of the applicable Grantor, except as could not be reasonably expected to result in a Material Adverse Effect.</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3.10.2 </w:t>
      </w:r>
      <w:r>
        <w:rPr>
          <w:rFonts w:ascii="Arial" w:cs="Arial" w:eastAsia="Arial" w:hAnsi="Arial"/>
          <w:sz w:val="18"/>
          <w:szCs w:val="18"/>
          <w:color w:val="000000"/>
        </w:rPr>
        <w:t>Such Intellectual Property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 “B”</w:t>
      </w:r>
      <w:r>
        <w:rPr>
          <w:rFonts w:ascii="Arial" w:cs="Arial" w:eastAsia="Arial" w:hAnsi="Arial"/>
          <w:sz w:val="18"/>
          <w:szCs w:val="18"/>
          <w:color w:val="010000"/>
        </w:rPr>
        <w:t xml:space="preserve"> </w:t>
      </w:r>
      <w:r>
        <w:rPr>
          <w:rFonts w:ascii="Arial" w:cs="Arial" w:eastAsia="Arial" w:hAnsi="Arial"/>
          <w:sz w:val="18"/>
          <w:szCs w:val="18"/>
          <w:color w:val="000000"/>
        </w:rPr>
        <w:t>is valid, subsisting, unexpired (where registered) and enforceable and has not</w:t>
      </w:r>
      <w:r>
        <w:rPr>
          <w:rFonts w:ascii="Arial" w:cs="Arial" w:eastAsia="Arial" w:hAnsi="Arial"/>
          <w:sz w:val="18"/>
          <w:szCs w:val="18"/>
          <w:color w:val="010000"/>
        </w:rPr>
        <w:t xml:space="preserve"> </w:t>
      </w:r>
      <w:r>
        <w:rPr>
          <w:rFonts w:ascii="Arial" w:cs="Arial" w:eastAsia="Arial" w:hAnsi="Arial"/>
          <w:sz w:val="18"/>
          <w:szCs w:val="18"/>
          <w:color w:val="000000"/>
        </w:rPr>
        <w:t>been abandoned or adjudged invalid or unenforceable, in whole or in part, except as could not be reasonably expected to result in a Material Adverse Effect.</w:t>
      </w:r>
    </w:p>
    <w:p>
      <w:pPr>
        <w:spacing w:after="0" w:line="18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010000"/>
        </w:rPr>
        <w:t xml:space="preserve">3.10.3 </w:t>
      </w:r>
      <w:r>
        <w:rPr>
          <w:rFonts w:ascii="Arial" w:cs="Arial" w:eastAsia="Arial" w:hAnsi="Arial"/>
          <w:sz w:val="17"/>
          <w:szCs w:val="17"/>
          <w:color w:val="000000"/>
        </w:rPr>
        <w:t>Subject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3.10.10</w:t>
      </w:r>
      <w:r>
        <w:rPr>
          <w:rFonts w:ascii="Arial" w:cs="Arial" w:eastAsia="Arial" w:hAnsi="Arial"/>
          <w:sz w:val="17"/>
          <w:szCs w:val="17"/>
          <w:color w:val="000000"/>
        </w:rPr>
        <w:t>, (i) no Person other than the respective Grantor (or any other Grantor) has any right or</w:t>
      </w:r>
      <w:r>
        <w:rPr>
          <w:rFonts w:ascii="Arial" w:cs="Arial" w:eastAsia="Arial" w:hAnsi="Arial"/>
          <w:sz w:val="17"/>
          <w:szCs w:val="17"/>
          <w:color w:val="010000"/>
        </w:rPr>
        <w:t xml:space="preserve"> </w:t>
      </w:r>
      <w:r>
        <w:rPr>
          <w:rFonts w:ascii="Arial" w:cs="Arial" w:eastAsia="Arial" w:hAnsi="Arial"/>
          <w:sz w:val="17"/>
          <w:szCs w:val="17"/>
          <w:color w:val="000000"/>
        </w:rPr>
        <w:t>interest of any kind or nature in or to the Specified Intellectual Property owned by such Grantor, including any right to sell, license, lease, transfer, distribute, use or otherwise exploit such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78"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010000"/>
        </w:rPr>
        <w:t>3.10.4 Each Grantor has taken or caused to be taken steps so that none of its Specified Intellectual Property, the value of 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 customary confidentiality and nondisclosure agreements with the Grantors or such Affiliate owners, as applicable.</w:t>
      </w:r>
    </w:p>
    <w:p>
      <w:pPr>
        <w:spacing w:after="0" w:line="3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731" w:name="page732"/>
    <w:bookmarkEnd w:id="731"/>
    <w:p>
      <w:pPr>
        <w:jc w:val="both"/>
        <w:ind w:left="660" w:firstLine="972"/>
        <w:spacing w:after="0" w:line="259" w:lineRule="auto"/>
        <w:rPr>
          <w:sz w:val="20"/>
          <w:szCs w:val="20"/>
          <w:color w:val="auto"/>
        </w:rPr>
      </w:pPr>
      <w:r>
        <w:rPr>
          <w:rFonts w:ascii="Arial" w:cs="Arial" w:eastAsia="Arial" w:hAnsi="Arial"/>
          <w:sz w:val="18"/>
          <w:szCs w:val="18"/>
          <w:color w:val="010000"/>
        </w:rPr>
        <w:t xml:space="preserve">3.10.5 </w:t>
      </w:r>
      <w:r>
        <w:rPr>
          <w:rFonts w:ascii="Arial" w:cs="Arial" w:eastAsia="Arial" w:hAnsi="Arial"/>
          <w:sz w:val="18"/>
          <w:szCs w:val="18"/>
          <w:color w:val="000000"/>
        </w:rPr>
        <w:t>To each Grantor’s knowledge, no Person has violated, infringed upon or breached, or is currently violating, infringing</w:t>
      </w:r>
      <w:r>
        <w:rPr>
          <w:rFonts w:ascii="Arial" w:cs="Arial" w:eastAsia="Arial" w:hAnsi="Arial"/>
          <w:sz w:val="18"/>
          <w:szCs w:val="18"/>
          <w:color w:val="010000"/>
        </w:rPr>
        <w:t xml:space="preserve"> </w:t>
      </w:r>
      <w:r>
        <w:rPr>
          <w:rFonts w:ascii="Arial" w:cs="Arial" w:eastAsia="Arial" w:hAnsi="Arial"/>
          <w:sz w:val="18"/>
          <w:szCs w:val="18"/>
          <w:color w:val="000000"/>
        </w:rPr>
        <w:t>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87" w:lineRule="exact"/>
        <w:rPr>
          <w:sz w:val="20"/>
          <w:szCs w:val="20"/>
          <w:color w:val="auto"/>
        </w:rPr>
      </w:pPr>
    </w:p>
    <w:p>
      <w:pPr>
        <w:jc w:val="both"/>
        <w:ind w:left="660" w:firstLine="972"/>
        <w:spacing w:after="0" w:line="264" w:lineRule="auto"/>
        <w:rPr>
          <w:sz w:val="20"/>
          <w:szCs w:val="20"/>
          <w:color w:val="auto"/>
        </w:rPr>
      </w:pPr>
      <w:r>
        <w:rPr>
          <w:rFonts w:ascii="Arial" w:cs="Arial" w:eastAsia="Arial" w:hAnsi="Arial"/>
          <w:sz w:val="18"/>
          <w:szCs w:val="18"/>
          <w:color w:val="010000"/>
        </w:rPr>
        <w:t>3.10.6 No settlement or consents, covenants not to sue, nonassertion assurances, or releases have been entered into by any Grantor or to which any Grantor is bound that adversely affects its rights to own or use any Specified Intellectual Property except as could not be reasonably expected to result in a Material Adverse Effect, in each case individually or in the aggregate.</w:t>
      </w:r>
    </w:p>
    <w:p>
      <w:pPr>
        <w:spacing w:after="0" w:line="181" w:lineRule="exact"/>
        <w:rPr>
          <w:sz w:val="20"/>
          <w:szCs w:val="20"/>
          <w:color w:val="auto"/>
        </w:rPr>
      </w:pPr>
    </w:p>
    <w:p>
      <w:pPr>
        <w:jc w:val="both"/>
        <w:ind w:left="660" w:firstLine="972"/>
        <w:spacing w:after="0" w:line="286" w:lineRule="auto"/>
        <w:rPr>
          <w:sz w:val="20"/>
          <w:szCs w:val="20"/>
          <w:color w:val="auto"/>
        </w:rPr>
      </w:pPr>
      <w:r>
        <w:rPr>
          <w:rFonts w:ascii="Arial" w:cs="Arial" w:eastAsia="Arial" w:hAnsi="Arial"/>
          <w:sz w:val="17"/>
          <w:szCs w:val="17"/>
          <w:color w:val="010000"/>
        </w:rPr>
        <w:t>3.10.7 No Grantor has received any written notice that remains outstanding challenging the validity, enforceability, or ownership of any Specified Intellectual Property except where those challenges could not reasonably be expected to result in a Material Adverse Effect, and to such Grantor’s knowledge at the date hereof there are no facts upon which such a challenge could be made.</w:t>
      </w:r>
    </w:p>
    <w:p>
      <w:pPr>
        <w:spacing w:after="0" w:line="166" w:lineRule="exact"/>
        <w:rPr>
          <w:sz w:val="20"/>
          <w:szCs w:val="20"/>
          <w:color w:val="auto"/>
        </w:rPr>
      </w:pPr>
    </w:p>
    <w:p>
      <w:pPr>
        <w:jc w:val="both"/>
        <w:ind w:left="660" w:firstLine="972"/>
        <w:spacing w:after="0" w:line="264" w:lineRule="auto"/>
        <w:rPr>
          <w:sz w:val="20"/>
          <w:szCs w:val="20"/>
          <w:color w:val="auto"/>
        </w:rPr>
      </w:pPr>
      <w:r>
        <w:rPr>
          <w:rFonts w:ascii="Arial" w:cs="Arial" w:eastAsia="Arial" w:hAnsi="Arial"/>
          <w:sz w:val="18"/>
          <w:szCs w:val="18"/>
          <w:color w:val="010000"/>
        </w:rPr>
        <w:t xml:space="preserve">3.10.8 </w:t>
      </w:r>
      <w:r>
        <w:rPr>
          <w:rFonts w:ascii="Arial" w:cs="Arial" w:eastAsia="Arial" w:hAnsi="Arial"/>
          <w:sz w:val="18"/>
          <w:szCs w:val="18"/>
          <w:color w:val="000000"/>
        </w:rPr>
        <w:t>Each Grantor owns directly or is entitled to use, by license or otherwise, all Specified Intellectual Property necessary</w:t>
      </w:r>
      <w:r>
        <w:rPr>
          <w:rFonts w:ascii="Arial" w:cs="Arial" w:eastAsia="Arial" w:hAnsi="Arial"/>
          <w:sz w:val="18"/>
          <w:szCs w:val="18"/>
          <w:color w:val="010000"/>
        </w:rPr>
        <w:t xml:space="preserve"> </w:t>
      </w:r>
      <w:r>
        <w:rPr>
          <w:rFonts w:ascii="Arial" w:cs="Arial" w:eastAsia="Arial" w:hAnsi="Arial"/>
          <w:sz w:val="18"/>
          <w:szCs w:val="18"/>
          <w:color w:val="000000"/>
        </w:rPr>
        <w:t>for the conduct of such Grantor’s business, and the conduct of each Grantor’s business does not infringe upon the Intellectual Property of any other Person, except as could not reasonably be expected to result in a Material Adverse Effect.</w:t>
      </w:r>
    </w:p>
    <w:p>
      <w:pPr>
        <w:spacing w:after="0" w:line="181" w:lineRule="exact"/>
        <w:rPr>
          <w:sz w:val="20"/>
          <w:szCs w:val="20"/>
          <w:color w:val="auto"/>
        </w:rPr>
      </w:pPr>
    </w:p>
    <w:p>
      <w:pPr>
        <w:jc w:val="both"/>
        <w:ind w:left="660" w:firstLine="972"/>
        <w:spacing w:after="0" w:line="277" w:lineRule="auto"/>
        <w:rPr>
          <w:sz w:val="20"/>
          <w:szCs w:val="20"/>
          <w:color w:val="auto"/>
        </w:rPr>
      </w:pPr>
      <w:r>
        <w:rPr>
          <w:rFonts w:ascii="Arial" w:cs="Arial" w:eastAsia="Arial" w:hAnsi="Arial"/>
          <w:sz w:val="18"/>
          <w:szCs w:val="18"/>
          <w:color w:val="010000"/>
        </w:rPr>
        <w:t>3.10.9 The consummation of the transactions contemplated by the Loan Documents will not result in the termination or material impairment of any material Specified Intellectual Property owned by such Grantor.</w:t>
      </w:r>
    </w:p>
    <w:p>
      <w:pPr>
        <w:spacing w:after="0" w:line="170" w:lineRule="exact"/>
        <w:rPr>
          <w:sz w:val="20"/>
          <w:szCs w:val="20"/>
          <w:color w:val="auto"/>
        </w:rPr>
      </w:pPr>
    </w:p>
    <w:p>
      <w:pPr>
        <w:jc w:val="both"/>
        <w:ind w:left="660" w:firstLine="972"/>
        <w:spacing w:after="0" w:line="277" w:lineRule="auto"/>
        <w:rPr>
          <w:sz w:val="20"/>
          <w:szCs w:val="20"/>
          <w:color w:val="auto"/>
        </w:rPr>
      </w:pPr>
      <w:r>
        <w:rPr>
          <w:rFonts w:ascii="Arial" w:cs="Arial" w:eastAsia="Arial" w:hAnsi="Arial"/>
          <w:sz w:val="18"/>
          <w:szCs w:val="18"/>
          <w:color w:val="010000"/>
        </w:rPr>
        <w:t xml:space="preserve">3.10.10 </w:t>
      </w:r>
      <w:r>
        <w:rPr>
          <w:rFonts w:ascii="Arial" w:cs="Arial" w:eastAsia="Arial" w:hAnsi="Arial"/>
          <w:sz w:val="18"/>
          <w:szCs w:val="18"/>
          <w:color w:val="000000"/>
        </w:rPr>
        <w:t>Each party hereto acknowledges that certain Specified Intellectual Property is owned in part by the Grantors and in part</w:t>
      </w:r>
      <w:r>
        <w:rPr>
          <w:rFonts w:ascii="Arial" w:cs="Arial" w:eastAsia="Arial" w:hAnsi="Arial"/>
          <w:sz w:val="18"/>
          <w:szCs w:val="18"/>
          <w:color w:val="010000"/>
        </w:rPr>
        <w:t xml:space="preserve"> </w:t>
      </w:r>
      <w:r>
        <w:rPr>
          <w:rFonts w:ascii="Arial" w:cs="Arial" w:eastAsia="Arial" w:hAnsi="Arial"/>
          <w:sz w:val="18"/>
          <w:szCs w:val="18"/>
          <w:color w:val="000000"/>
        </w:rPr>
        <w:t xml:space="preserve">by Affiliates of the Grantors, in each case as scheduled on </w:t>
      </w:r>
      <w:r>
        <w:rPr>
          <w:rFonts w:ascii="Arial" w:cs="Arial" w:eastAsia="Arial" w:hAnsi="Arial"/>
          <w:sz w:val="18"/>
          <w:szCs w:val="18"/>
          <w:u w:val="single" w:color="auto"/>
          <w:color w:val="000000"/>
        </w:rPr>
        <w:t>Exhibit “B”</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3.11. </w:t>
      </w:r>
      <w:r>
        <w:rPr>
          <w:rFonts w:ascii="Arial" w:cs="Arial" w:eastAsia="Arial" w:hAnsi="Arial"/>
          <w:sz w:val="18"/>
          <w:szCs w:val="18"/>
          <w:u w:val="single" w:color="auto"/>
          <w:color w:val="000000"/>
        </w:rPr>
        <w:t>Specified Deposit Accounts and Securities Accounts</w:t>
      </w:r>
      <w:r>
        <w:rPr>
          <w:rFonts w:ascii="Arial" w:cs="Arial" w:eastAsia="Arial" w:hAnsi="Arial"/>
          <w:sz w:val="18"/>
          <w:szCs w:val="18"/>
          <w:color w:val="000000"/>
        </w:rPr>
        <w:t>. All of such Grantor’s Specified Deposit Accounts and Securities Accounts (limited, in</w:t>
      </w:r>
      <w:r>
        <w:rPr>
          <w:rFonts w:ascii="Arial" w:cs="Arial" w:eastAsia="Arial" w:hAnsi="Arial"/>
          <w:sz w:val="18"/>
          <w:szCs w:val="18"/>
          <w:color w:val="010000"/>
        </w:rPr>
        <w:t xml:space="preserve"> </w:t>
      </w:r>
      <w:r>
        <w:rPr>
          <w:rFonts w:ascii="Arial" w:cs="Arial" w:eastAsia="Arial" w:hAnsi="Arial"/>
          <w:sz w:val="18"/>
          <w:szCs w:val="18"/>
          <w:color w:val="000000"/>
        </w:rPr>
        <w:t xml:space="preserve">the case of each Foreign Grantor, to Specified Deposit Accounts and Securities Accounts located in the United States) as of the applicable Determination Date are listed on </w:t>
      </w:r>
      <w:r>
        <w:rPr>
          <w:rFonts w:ascii="Arial" w:cs="Arial" w:eastAsia="Arial" w:hAnsi="Arial"/>
          <w:sz w:val="18"/>
          <w:szCs w:val="18"/>
          <w:u w:val="single" w:color="auto"/>
          <w:color w:val="000000"/>
        </w:rPr>
        <w:t>Exhibit “H”</w:t>
      </w:r>
      <w:r>
        <w:rPr>
          <w:rFonts w:ascii="Arial" w:cs="Arial" w:eastAsia="Arial" w:hAnsi="Arial"/>
          <w:sz w:val="18"/>
          <w:szCs w:val="18"/>
          <w:color w:val="000000"/>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32" w:name="page733"/>
    <w:bookmarkEnd w:id="732"/>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010000"/>
              </w:rPr>
              <w:t>4.1.</w:t>
            </w:r>
          </w:p>
        </w:tc>
        <w:tc>
          <w:tcPr>
            <w:tcW w:w="1420" w:type="dxa"/>
            <w:vAlign w:val="bottom"/>
            <w:gridSpan w:val="2"/>
          </w:tcPr>
          <w:p>
            <w:pPr>
              <w:jc w:val="center"/>
              <w:ind w:right="820"/>
              <w:spacing w:after="0"/>
              <w:rPr>
                <w:sz w:val="20"/>
                <w:szCs w:val="20"/>
                <w:color w:val="auto"/>
              </w:rPr>
            </w:pPr>
            <w:r>
              <w:rPr>
                <w:rFonts w:ascii="Arial" w:cs="Arial" w:eastAsia="Arial" w:hAnsi="Arial"/>
                <w:sz w:val="18"/>
                <w:szCs w:val="18"/>
                <w:color w:val="auto"/>
                <w:w w:val="86"/>
              </w:rPr>
              <w:t>General.</w:t>
            </w:r>
          </w:p>
        </w:tc>
        <w:tc>
          <w:tcPr>
            <w:tcW w:w="5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412"/>
        </w:trPr>
        <w:tc>
          <w:tcPr>
            <w:tcW w:w="86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010000"/>
                <w:w w:val="89"/>
              </w:rPr>
              <w:t>4.1.1</w:t>
            </w:r>
          </w:p>
        </w:tc>
        <w:tc>
          <w:tcPr>
            <w:tcW w:w="86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w w:val="91"/>
              </w:rPr>
              <w:t>Records. Each Grantor shall keep and maintain, in a manner consistent with prudent business practices, reasonably</w:t>
            </w:r>
          </w:p>
        </w:tc>
      </w:tr>
      <w:tr>
        <w:trPr>
          <w:trHeight w:val="20"/>
        </w:trPr>
        <w:tc>
          <w:tcPr>
            <w:tcW w:w="228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37"/>
        </w:trPr>
        <w:tc>
          <w:tcPr>
            <w:tcW w:w="10760" w:type="dxa"/>
            <w:vAlign w:val="bottom"/>
            <w:gridSpan w:val="6"/>
          </w:tcPr>
          <w:p>
            <w:pPr>
              <w:spacing w:after="0"/>
              <w:rPr>
                <w:sz w:val="20"/>
                <w:szCs w:val="20"/>
                <w:color w:val="auto"/>
              </w:rPr>
            </w:pPr>
            <w:r>
              <w:rPr>
                <w:rFonts w:ascii="Arial" w:cs="Arial" w:eastAsia="Arial" w:hAnsi="Arial"/>
                <w:sz w:val="18"/>
                <w:szCs w:val="18"/>
                <w:color w:val="auto"/>
              </w:rPr>
              <w:t>complete, accurate and proper books and records with respect to the Collateral owned by such Grantor.</w:t>
            </w:r>
          </w:p>
        </w:tc>
      </w:tr>
      <w:tr>
        <w:trPr>
          <w:trHeight w:val="392"/>
        </w:trPr>
        <w:tc>
          <w:tcPr>
            <w:tcW w:w="8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10000"/>
                <w:w w:val="89"/>
              </w:rPr>
              <w:t>4.1.2</w:t>
            </w:r>
          </w:p>
        </w:tc>
        <w:tc>
          <w:tcPr>
            <w:tcW w:w="86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w w:val="93"/>
              </w:rPr>
              <w:t>Financing Statements and Other Actions; Defense of Title. Each Grantor hereby authorizes the Agent to file, and if</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requested will execute and deliver to the Agent, all financing statements describing the Collateral owned by such Grantor and other documents and take such other actions as may from time to time reasonably be requested by the Agent in order to maintain a perfected security interest with the priority set forth in the Intercreditor Agreement in and Lien on, and, if applicable, Control of, the Collateral owned by such Grantor, subject to Liens permitted under Section 8.04 of the LC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be deemed to constitute an agreement to subordinate any of the Liens of the Agent under the Loan Documents to any Liens otherwise permitted under Section 8.04 of the LC Credit Agreement. Such financing statements may describe the Collateral in the same manner as described herein or may contain an indication or description of Collateral that describes such Collateral in any other manner as the Agent may reasonably determine is necessary, advisable or prudent to ensure the perfection of the security interest in the Collateral granted to the Agent herein, including, without limitation, describing such property as “all assets of the debtor whether now owned or hereafter acquired and wheresoever located, including all accessions thereto and proceeds thereof” or an equivalent formulation. Each Grantor will take any and all actions reasonably necessary to defend title to the Collateral owned by such Grantor against all persons and to defend the security interest of the Agent in such Collateral and the priority thereof against any Lien, in each case, not expressly permitted hereunder or under the LC Credit Agreement.</w:t>
      </w:r>
    </w:p>
    <w:p>
      <w:pPr>
        <w:spacing w:after="0" w:line="180" w:lineRule="exact"/>
        <w:rPr>
          <w:sz w:val="20"/>
          <w:szCs w:val="20"/>
          <w:color w:val="auto"/>
        </w:rPr>
      </w:pPr>
    </w:p>
    <w:p>
      <w:pPr>
        <w:ind w:left="960"/>
        <w:spacing w:after="0"/>
        <w:tabs>
          <w:tab w:leader="none" w:pos="2240" w:val="left"/>
        </w:tabs>
        <w:rPr>
          <w:sz w:val="20"/>
          <w:szCs w:val="20"/>
          <w:color w:val="auto"/>
        </w:rPr>
      </w:pPr>
      <w:r>
        <w:rPr>
          <w:rFonts w:ascii="Arial" w:cs="Arial" w:eastAsia="Arial" w:hAnsi="Arial"/>
          <w:sz w:val="18"/>
          <w:szCs w:val="18"/>
          <w:color w:val="010000"/>
        </w:rPr>
        <w:t>4.1.3</w:t>
      </w:r>
      <w:r>
        <w:rPr>
          <w:sz w:val="20"/>
          <w:szCs w:val="20"/>
          <w:color w:val="auto"/>
        </w:rPr>
        <w:tab/>
      </w:r>
      <w:r>
        <w:rPr>
          <w:rFonts w:ascii="Arial" w:cs="Arial" w:eastAsia="Arial" w:hAnsi="Arial"/>
          <w:sz w:val="16"/>
          <w:szCs w:val="16"/>
          <w:u w:val="single" w:color="auto"/>
          <w:color w:val="auto"/>
        </w:rPr>
        <w:t>Change in Corporate Existence, Type or Jurisdiction of Organization, Location, Name</w:t>
      </w:r>
      <w:r>
        <w:rPr>
          <w:rFonts w:ascii="Arial" w:cs="Arial" w:eastAsia="Arial" w:hAnsi="Arial"/>
          <w:sz w:val="16"/>
          <w:szCs w:val="16"/>
          <w:color w:val="auto"/>
        </w:rPr>
        <w:t>. Each Grantor will, except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otherwise permitted by the LC Credit Agreement:</w:t>
      </w:r>
    </w:p>
    <w:p>
      <w:pPr>
        <w:spacing w:after="0" w:line="211" w:lineRule="exact"/>
        <w:rPr>
          <w:sz w:val="20"/>
          <w:szCs w:val="20"/>
          <w:color w:val="auto"/>
        </w:rPr>
      </w:pPr>
    </w:p>
    <w:p>
      <w:pPr>
        <w:ind w:left="2060" w:hanging="646"/>
        <w:spacing w:after="0"/>
        <w:tabs>
          <w:tab w:leader="none" w:pos="2060" w:val="left"/>
        </w:tabs>
        <w:numPr>
          <w:ilvl w:val="0"/>
          <w:numId w:val="850"/>
        </w:numPr>
        <w:rPr>
          <w:rFonts w:ascii="Arial" w:cs="Arial" w:eastAsia="Arial" w:hAnsi="Arial"/>
          <w:sz w:val="18"/>
          <w:szCs w:val="18"/>
          <w:color w:val="010000"/>
        </w:rPr>
      </w:pPr>
      <w:r>
        <w:rPr>
          <w:rFonts w:ascii="Arial" w:cs="Arial" w:eastAsia="Arial" w:hAnsi="Arial"/>
          <w:sz w:val="18"/>
          <w:szCs w:val="18"/>
          <w:color w:val="auto"/>
        </w:rPr>
        <w:t>preserve its existence and corporate structure as in effect on the Effective Date;</w:t>
      </w:r>
    </w:p>
    <w:p>
      <w:pPr>
        <w:spacing w:after="0" w:line="225" w:lineRule="exact"/>
        <w:rPr>
          <w:rFonts w:ascii="Arial" w:cs="Arial" w:eastAsia="Arial" w:hAnsi="Arial"/>
          <w:sz w:val="18"/>
          <w:szCs w:val="18"/>
          <w:color w:val="010000"/>
        </w:rPr>
      </w:pPr>
    </w:p>
    <w:p>
      <w:pPr>
        <w:ind w:left="2060" w:hanging="646"/>
        <w:spacing w:after="0"/>
        <w:tabs>
          <w:tab w:leader="none" w:pos="2060" w:val="left"/>
        </w:tabs>
        <w:numPr>
          <w:ilvl w:val="0"/>
          <w:numId w:val="850"/>
        </w:numPr>
        <w:rPr>
          <w:rFonts w:ascii="Arial" w:cs="Arial" w:eastAsia="Arial" w:hAnsi="Arial"/>
          <w:sz w:val="18"/>
          <w:szCs w:val="18"/>
          <w:color w:val="010000"/>
        </w:rPr>
      </w:pPr>
      <w:r>
        <w:rPr>
          <w:rFonts w:ascii="Arial" w:cs="Arial" w:eastAsia="Arial" w:hAnsi="Arial"/>
          <w:sz w:val="18"/>
          <w:szCs w:val="18"/>
          <w:color w:val="auto"/>
        </w:rPr>
        <w:t>not change its name or jurisdiction of organization or incorporation;</w:t>
      </w:r>
    </w:p>
    <w:p>
      <w:pPr>
        <w:spacing w:after="0" w:line="225" w:lineRule="exact"/>
        <w:rPr>
          <w:rFonts w:ascii="Arial" w:cs="Arial" w:eastAsia="Arial" w:hAnsi="Arial"/>
          <w:sz w:val="18"/>
          <w:szCs w:val="18"/>
          <w:color w:val="010000"/>
        </w:rPr>
      </w:pPr>
    </w:p>
    <w:p>
      <w:pPr>
        <w:ind w:left="2060" w:right="20" w:hanging="646"/>
        <w:spacing w:after="0" w:line="277" w:lineRule="auto"/>
        <w:tabs>
          <w:tab w:leader="none" w:pos="2060" w:val="left"/>
        </w:tabs>
        <w:numPr>
          <w:ilvl w:val="0"/>
          <w:numId w:val="850"/>
        </w:numPr>
        <w:rPr>
          <w:rFonts w:ascii="Arial" w:cs="Arial" w:eastAsia="Arial" w:hAnsi="Arial"/>
          <w:sz w:val="18"/>
          <w:szCs w:val="18"/>
          <w:color w:val="010000"/>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jc w:val="both"/>
        <w:ind w:left="2060" w:hanging="646"/>
        <w:spacing w:after="0" w:line="264" w:lineRule="auto"/>
        <w:tabs>
          <w:tab w:leader="none" w:pos="2060" w:val="left"/>
        </w:tabs>
        <w:numPr>
          <w:ilvl w:val="0"/>
          <w:numId w:val="850"/>
        </w:numPr>
        <w:rPr>
          <w:rFonts w:ascii="Arial" w:cs="Arial" w:eastAsia="Arial" w:hAnsi="Arial"/>
          <w:sz w:val="18"/>
          <w:szCs w:val="18"/>
          <w:color w:val="010000"/>
        </w:rPr>
      </w:pPr>
      <w:r>
        <w:rPr>
          <w:rFonts w:ascii="Arial" w:cs="Arial" w:eastAsia="Arial" w:hAnsi="Arial"/>
          <w:sz w:val="18"/>
          <w:szCs w:val="18"/>
          <w:color w:val="auto"/>
        </w:rPr>
        <w:t>not change its taxpayer identification number (if any) or its mailing address, unless, in each such case, such Grantor shall have given the Agent not less than 10 days’ (or such shorter period as the Agent may agree) prior written notice of such event or occurrence.</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92" w:right="239" w:bottom="1440" w:gutter="0" w:footer="0" w:header="0"/>
        </w:sectPr>
      </w:pPr>
    </w:p>
    <w:bookmarkStart w:id="733" w:name="page734"/>
    <w:bookmarkEnd w:id="733"/>
    <w:p>
      <w:pPr>
        <w:jc w:val="both"/>
        <w:ind w:left="4" w:firstLine="972"/>
        <w:spacing w:after="0" w:line="255" w:lineRule="auto"/>
        <w:rPr>
          <w:sz w:val="20"/>
          <w:szCs w:val="20"/>
          <w:color w:val="auto"/>
        </w:rPr>
      </w:pPr>
      <w:r>
        <w:rPr>
          <w:rFonts w:ascii="Arial" w:cs="Arial" w:eastAsia="Arial" w:hAnsi="Arial"/>
          <w:sz w:val="18"/>
          <w:szCs w:val="18"/>
          <w:color w:val="010000"/>
        </w:rPr>
        <w:t xml:space="preserve">4.1.4 </w:t>
      </w:r>
      <w:r>
        <w:rPr>
          <w:rFonts w:ascii="Arial" w:cs="Arial" w:eastAsia="Arial" w:hAnsi="Arial"/>
          <w:sz w:val="18"/>
          <w:szCs w:val="18"/>
          <w:u w:val="single" w:color="auto"/>
          <w:color w:val="000000"/>
        </w:rPr>
        <w:t>Other Financing Statements</w:t>
      </w:r>
      <w:r>
        <w:rPr>
          <w:rFonts w:ascii="Arial" w:cs="Arial" w:eastAsia="Arial" w:hAnsi="Arial"/>
          <w:sz w:val="18"/>
          <w:szCs w:val="18"/>
          <w:color w:val="000000"/>
        </w:rPr>
        <w:t>. No Grantor will suffer to exist or authorize the filing of any financing statement naming it</w:t>
      </w:r>
      <w:r>
        <w:rPr>
          <w:rFonts w:ascii="Arial" w:cs="Arial" w:eastAsia="Arial" w:hAnsi="Arial"/>
          <w:sz w:val="18"/>
          <w:szCs w:val="18"/>
          <w:color w:val="010000"/>
        </w:rPr>
        <w:t xml:space="preserve"> </w:t>
      </w:r>
      <w:r>
        <w:rPr>
          <w:rFonts w:ascii="Arial" w:cs="Arial" w:eastAsia="Arial" w:hAnsi="Arial"/>
          <w:sz w:val="18"/>
          <w:szCs w:val="18"/>
          <w:color w:val="000000"/>
        </w:rPr>
        <w:t xml:space="preserve">as debtor covering all or any portion of the Collateral owned by such Grantor, except any financing statement authorized under </w:t>
      </w:r>
      <w:r>
        <w:rPr>
          <w:rFonts w:ascii="Arial" w:cs="Arial" w:eastAsia="Arial" w:hAnsi="Arial"/>
          <w:sz w:val="18"/>
          <w:szCs w:val="18"/>
          <w:u w:val="single" w:color="auto"/>
          <w:color w:val="000000"/>
        </w:rPr>
        <w:t>Section 4.1.2</w:t>
      </w:r>
      <w:r>
        <w:rPr>
          <w:rFonts w:ascii="Arial" w:cs="Arial" w:eastAsia="Arial" w:hAnsi="Arial"/>
          <w:sz w:val="18"/>
          <w:szCs w:val="18"/>
          <w:color w:val="000000"/>
        </w:rPr>
        <w:t xml:space="preserve"> hereof or in respect of a Lien permitted under Section 8.04 of the LC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18"/>
          <w:szCs w:val="18"/>
          <w:u w:val="single" w:color="auto"/>
          <w:color w:val="000000"/>
        </w:rPr>
        <w:t>Section 8.13</w:t>
      </w:r>
      <w:r>
        <w:rPr>
          <w:rFonts w:ascii="Arial" w:cs="Arial" w:eastAsia="Arial" w:hAnsi="Arial"/>
          <w:sz w:val="18"/>
          <w:szCs w:val="18"/>
          <w:color w:val="000000"/>
        </w:rPr>
        <w:t xml:space="preserve"> hereof. without the prior written consent of the Agent, subject to such Grantor’s rights under Section 9-509(d)(2) of the UCC.</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80" w:type="dxa"/>
            <w:vAlign w:val="bottom"/>
          </w:tcPr>
          <w:p>
            <w:pPr>
              <w:jc w:val="right"/>
              <w:ind w:right="230"/>
              <w:spacing w:after="0"/>
              <w:rPr>
                <w:sz w:val="20"/>
                <w:szCs w:val="20"/>
                <w:color w:val="auto"/>
              </w:rPr>
            </w:pPr>
            <w:r>
              <w:rPr>
                <w:rFonts w:ascii="Arial" w:cs="Arial" w:eastAsia="Arial" w:hAnsi="Arial"/>
                <w:sz w:val="18"/>
                <w:szCs w:val="18"/>
                <w:color w:val="010000"/>
                <w:w w:val="79"/>
              </w:rPr>
              <w:t>4.2.</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rPr>
              <w:t>Receivables.</w:t>
            </w:r>
          </w:p>
        </w:tc>
        <w:tc>
          <w:tcPr>
            <w:tcW w:w="26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010000"/>
                <w:w w:val="99"/>
              </w:rPr>
              <w:t>4.2.1</w:t>
            </w:r>
          </w:p>
        </w:tc>
        <w:tc>
          <w:tcPr>
            <w:tcW w:w="620" w:type="dxa"/>
            <w:vAlign w:val="bottom"/>
          </w:tcPr>
          <w:p>
            <w:pPr>
              <w:spacing w:after="0"/>
              <w:rPr>
                <w:sz w:val="24"/>
                <w:szCs w:val="24"/>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w w:val="93"/>
              </w:rPr>
              <w:t>Certain Agreements on Receivables. After the occurrence and during the continuation of an Event of Default, no</w:t>
            </w: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Grantor will make or agree to make any discount, credit, rebate or other reduction in the original amount owing on a Receivable or accept in satisfaction of a Receivable less than the original amount thereof, except as permitted by the LC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LC Credit Agreement.</w:t>
      </w:r>
    </w:p>
    <w:p>
      <w:pPr>
        <w:spacing w:after="0" w:line="188" w:lineRule="exact"/>
        <w:rPr>
          <w:sz w:val="20"/>
          <w:szCs w:val="20"/>
          <w:color w:val="auto"/>
        </w:rPr>
      </w:pPr>
    </w:p>
    <w:p>
      <w:pPr>
        <w:jc w:val="both"/>
        <w:ind w:left="4" w:firstLine="972"/>
        <w:spacing w:after="0" w:line="264" w:lineRule="auto"/>
        <w:rPr>
          <w:sz w:val="20"/>
          <w:szCs w:val="20"/>
          <w:color w:val="auto"/>
        </w:rPr>
      </w:pPr>
      <w:r>
        <w:rPr>
          <w:rFonts w:ascii="Arial" w:cs="Arial" w:eastAsia="Arial" w:hAnsi="Arial"/>
          <w:sz w:val="18"/>
          <w:szCs w:val="18"/>
          <w:color w:val="010000"/>
        </w:rPr>
        <w:t xml:space="preserve">4.2.2 </w:t>
      </w:r>
      <w:r>
        <w:rPr>
          <w:rFonts w:ascii="Arial" w:cs="Arial" w:eastAsia="Arial" w:hAnsi="Arial"/>
          <w:sz w:val="18"/>
          <w:szCs w:val="18"/>
          <w:u w:val="single" w:color="auto"/>
          <w:color w:val="000000"/>
        </w:rPr>
        <w:t>Collection of Receivables</w:t>
      </w:r>
      <w:r>
        <w:rPr>
          <w:rFonts w:ascii="Arial" w:cs="Arial" w:eastAsia="Arial" w:hAnsi="Arial"/>
          <w:sz w:val="18"/>
          <w:szCs w:val="18"/>
          <w:color w:val="000000"/>
        </w:rPr>
        <w:t>. Except as otherwise provided in this Security Agreement or as otherwise permitted under the</w:t>
      </w:r>
      <w:r>
        <w:rPr>
          <w:rFonts w:ascii="Arial" w:cs="Arial" w:eastAsia="Arial" w:hAnsi="Arial"/>
          <w:sz w:val="18"/>
          <w:szCs w:val="18"/>
          <w:color w:val="010000"/>
        </w:rPr>
        <w:t xml:space="preserve"> </w:t>
      </w:r>
      <w:r>
        <w:rPr>
          <w:rFonts w:ascii="Arial" w:cs="Arial" w:eastAsia="Arial" w:hAnsi="Arial"/>
          <w:sz w:val="18"/>
          <w:szCs w:val="18"/>
          <w:color w:val="000000"/>
        </w:rPr>
        <w:t>LC Credit Agreement, each Grantor will use commercially reasonable efforts to collect and enforce, at such Grantor’s sole expense, all amounts due or hereafter due to such Grantor under the Receivables owned by such Grantor.</w:t>
      </w:r>
    </w:p>
    <w:p>
      <w:pPr>
        <w:spacing w:after="0" w:line="181" w:lineRule="exact"/>
        <w:rPr>
          <w:sz w:val="20"/>
          <w:szCs w:val="20"/>
          <w:color w:val="auto"/>
        </w:rPr>
      </w:pPr>
    </w:p>
    <w:p>
      <w:pPr>
        <w:jc w:val="both"/>
        <w:ind w:left="4" w:firstLine="972"/>
        <w:spacing w:after="0" w:line="264" w:lineRule="auto"/>
        <w:rPr>
          <w:sz w:val="20"/>
          <w:szCs w:val="20"/>
          <w:color w:val="auto"/>
        </w:rPr>
      </w:pPr>
      <w:r>
        <w:rPr>
          <w:rFonts w:ascii="Arial" w:cs="Arial" w:eastAsia="Arial" w:hAnsi="Arial"/>
          <w:sz w:val="18"/>
          <w:szCs w:val="18"/>
          <w:color w:val="010000"/>
        </w:rPr>
        <w:t xml:space="preserve">4.2.3 </w:t>
      </w:r>
      <w:r>
        <w:rPr>
          <w:rFonts w:ascii="Arial" w:cs="Arial" w:eastAsia="Arial" w:hAnsi="Arial"/>
          <w:sz w:val="18"/>
          <w:szCs w:val="18"/>
          <w:u w:val="single" w:color="auto"/>
          <w:color w:val="000000"/>
        </w:rPr>
        <w:t>Delivery of Invoices</w:t>
      </w:r>
      <w:r>
        <w:rPr>
          <w:rFonts w:ascii="Arial" w:cs="Arial" w:eastAsia="Arial" w:hAnsi="Arial"/>
          <w:sz w:val="18"/>
          <w:szCs w:val="18"/>
          <w:color w:val="000000"/>
        </w:rPr>
        <w:t>. Each Grantor will deliver to the Agent promptly upon its request after the occurrence and during</w:t>
      </w:r>
      <w:r>
        <w:rPr>
          <w:rFonts w:ascii="Arial" w:cs="Arial" w:eastAsia="Arial" w:hAnsi="Arial"/>
          <w:sz w:val="18"/>
          <w:szCs w:val="18"/>
          <w:color w:val="010000"/>
        </w:rPr>
        <w:t xml:space="preserve"> </w:t>
      </w:r>
      <w:r>
        <w:rPr>
          <w:rFonts w:ascii="Arial" w:cs="Arial" w:eastAsia="Arial" w:hAnsi="Arial"/>
          <w:sz w:val="18"/>
          <w:szCs w:val="18"/>
          <w:color w:val="000000"/>
        </w:rPr>
        <w:t>the continuance of an Event of Default duplicate invoices with respect to each Account owned by such Grantor and, if requested by the Agent, bearing such language of assignment as the Agent shall reasonably specify.</w:t>
      </w:r>
    </w:p>
    <w:p>
      <w:pPr>
        <w:spacing w:after="0" w:line="181" w:lineRule="exact"/>
        <w:rPr>
          <w:sz w:val="20"/>
          <w:szCs w:val="20"/>
          <w:color w:val="auto"/>
        </w:rPr>
      </w:pPr>
    </w:p>
    <w:p>
      <w:pPr>
        <w:ind w:left="964"/>
        <w:spacing w:after="0"/>
        <w:tabs>
          <w:tab w:leader="none" w:pos="2103" w:val="left"/>
        </w:tabs>
        <w:rPr>
          <w:sz w:val="20"/>
          <w:szCs w:val="20"/>
          <w:color w:val="auto"/>
        </w:rPr>
      </w:pPr>
      <w:r>
        <w:rPr>
          <w:rFonts w:ascii="Arial" w:cs="Arial" w:eastAsia="Arial" w:hAnsi="Arial"/>
          <w:sz w:val="18"/>
          <w:szCs w:val="18"/>
          <w:color w:val="010000"/>
        </w:rPr>
        <w:t>4.2.4</w:t>
      </w:r>
      <w:r>
        <w:rPr>
          <w:sz w:val="20"/>
          <w:szCs w:val="20"/>
          <w:color w:val="auto"/>
        </w:rPr>
        <w:tab/>
      </w:r>
      <w:r>
        <w:rPr>
          <w:rFonts w:ascii="Arial" w:cs="Arial" w:eastAsia="Arial" w:hAnsi="Arial"/>
          <w:sz w:val="16"/>
          <w:szCs w:val="16"/>
          <w:u w:val="single" w:color="auto"/>
          <w:color w:val="auto"/>
        </w:rPr>
        <w:t>Disclosure of Counterclaim on Receivables</w:t>
      </w:r>
      <w:r>
        <w:rPr>
          <w:rFonts w:ascii="Arial" w:cs="Arial" w:eastAsia="Arial" w:hAnsi="Arial"/>
          <w:sz w:val="16"/>
          <w:szCs w:val="16"/>
          <w:color w:val="auto"/>
        </w:rPr>
        <w:t>. After the occurrence and during the continuation of an Event of Default if</w:t>
      </w:r>
    </w:p>
    <w:p>
      <w:pPr>
        <w:spacing w:after="0" w:line="23" w:lineRule="exact"/>
        <w:rPr>
          <w:sz w:val="20"/>
          <w:szCs w:val="20"/>
          <w:color w:val="auto"/>
        </w:rPr>
      </w:pPr>
    </w:p>
    <w:p>
      <w:pPr>
        <w:jc w:val="both"/>
        <w:ind w:left="4" w:hanging="4"/>
        <w:spacing w:after="0" w:line="295" w:lineRule="auto"/>
        <w:tabs>
          <w:tab w:leader="none" w:pos="222" w:val="left"/>
        </w:tabs>
        <w:numPr>
          <w:ilvl w:val="0"/>
          <w:numId w:val="851"/>
        </w:numPr>
        <w:rPr>
          <w:rFonts w:ascii="Arial" w:cs="Arial" w:eastAsia="Arial" w:hAnsi="Arial"/>
          <w:sz w:val="16"/>
          <w:szCs w:val="16"/>
          <w:color w:val="auto"/>
        </w:rPr>
      </w:pPr>
      <w:r>
        <w:rPr>
          <w:rFonts w:ascii="Arial" w:cs="Arial" w:eastAsia="Arial" w:hAnsi="Arial"/>
          <w:sz w:val="16"/>
          <w:szCs w:val="16"/>
          <w:color w:val="auto"/>
        </w:rPr>
        <w:t>any discount, credit or agreement to make a rebate or to otherwise reduce the amount owing on a Receivable owned by such Grantor exists or (ii) to the knowledge of such Grantor, any dispute, setoff, claim, counterclaim or defense exists or has been asserted or threatened with respect to a Receivable, such Grantor will disclose such fact to the Agent in writing in connection with the inspection by the Agent of any record of such Grantor relating to such Receivable and in connection with any invoice or report furnished by such Grantor to the Agent relating to such Receivable.</w:t>
      </w:r>
    </w:p>
    <w:p>
      <w:pPr>
        <w:spacing w:after="0" w:line="3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734" w:name="page735"/>
    <w:bookmarkEnd w:id="734"/>
    <w:p>
      <w:pPr>
        <w:jc w:val="both"/>
        <w:ind w:left="660" w:firstLine="972"/>
        <w:spacing w:after="0" w:line="254" w:lineRule="auto"/>
        <w:rPr>
          <w:sz w:val="20"/>
          <w:szCs w:val="20"/>
          <w:color w:val="auto"/>
        </w:rPr>
      </w:pPr>
      <w:r>
        <w:rPr>
          <w:rFonts w:ascii="Arial" w:cs="Arial" w:eastAsia="Arial" w:hAnsi="Arial"/>
          <w:sz w:val="18"/>
          <w:szCs w:val="18"/>
          <w:color w:val="010000"/>
        </w:rPr>
        <w:t xml:space="preserve">4.2.5 </w:t>
      </w:r>
      <w:r>
        <w:rPr>
          <w:rFonts w:ascii="Arial" w:cs="Arial" w:eastAsia="Arial" w:hAnsi="Arial"/>
          <w:sz w:val="18"/>
          <w:szCs w:val="18"/>
          <w:u w:val="single" w:color="auto"/>
          <w:color w:val="000000"/>
        </w:rPr>
        <w:t>Electronic Chattel Paper</w:t>
      </w:r>
      <w:r>
        <w:rPr>
          <w:rFonts w:ascii="Arial" w:cs="Arial" w:eastAsia="Arial" w:hAnsi="Arial"/>
          <w:sz w:val="18"/>
          <w:szCs w:val="18"/>
          <w:color w:val="000000"/>
        </w:rPr>
        <w:t>. Each Grantor shall promptly notify Agent if any amount in excess of $5,000,000, individually,</w:t>
      </w:r>
      <w:r>
        <w:rPr>
          <w:rFonts w:ascii="Arial" w:cs="Arial" w:eastAsia="Arial" w:hAnsi="Arial"/>
          <w:sz w:val="18"/>
          <w:szCs w:val="18"/>
          <w:color w:val="010000"/>
        </w:rPr>
        <w:t xml:space="preserve"> </w:t>
      </w:r>
      <w:r>
        <w:rPr>
          <w:rFonts w:ascii="Arial" w:cs="Arial" w:eastAsia="Arial" w:hAnsi="Arial"/>
          <w:sz w:val="18"/>
          <w:szCs w:val="18"/>
          <w:color w:val="000000"/>
        </w:rPr>
        <w:t>or $10,000,000 in the aggregate payable under or in connection with any electronic chattel paper or a “transferable record” (as defined in the UETA), and shall take such action as the Agent may reasonably request to establish the Agent’s Control of such electronic chattel paper or transferable record. The Agent agrees with such Grantor that the Agent will arrange, pursuant to procedures reasonably satisfactory to the Agent and so long as such procedures will not result in the Agent’s loss of Control, for the Grantor to make alterations to the electronic chattel paper or transferable record permitted under Section 9-105 of the UCC or Section 16 of the UETA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92" w:lineRule="exact"/>
        <w:rPr>
          <w:sz w:val="20"/>
          <w:szCs w:val="20"/>
          <w:color w:val="auto"/>
        </w:rPr>
      </w:pPr>
    </w:p>
    <w:p>
      <w:pPr>
        <w:jc w:val="both"/>
        <w:ind w:left="660" w:firstLine="972"/>
        <w:spacing w:after="0" w:line="297" w:lineRule="auto"/>
        <w:rPr>
          <w:sz w:val="20"/>
          <w:szCs w:val="20"/>
          <w:color w:val="auto"/>
        </w:rPr>
      </w:pPr>
      <w:r>
        <w:rPr>
          <w:rFonts w:ascii="Arial" w:cs="Arial" w:eastAsia="Arial" w:hAnsi="Arial"/>
          <w:sz w:val="16"/>
          <w:szCs w:val="16"/>
          <w:color w:val="010000"/>
        </w:rPr>
        <w:t xml:space="preserve">4.2.6 </w:t>
      </w:r>
      <w:r>
        <w:rPr>
          <w:rFonts w:ascii="Arial" w:cs="Arial" w:eastAsia="Arial" w:hAnsi="Arial"/>
          <w:sz w:val="16"/>
          <w:szCs w:val="16"/>
          <w:u w:val="single" w:color="auto"/>
          <w:color w:val="000000"/>
        </w:rPr>
        <w:t>Account Verification</w:t>
      </w:r>
      <w:r>
        <w:rPr>
          <w:rFonts w:ascii="Arial" w:cs="Arial" w:eastAsia="Arial" w:hAnsi="Arial"/>
          <w:sz w:val="16"/>
          <w:szCs w:val="16"/>
          <w:color w:val="000000"/>
        </w:rPr>
        <w:t>. Each Grantor will, and will cause each of its Subsidiaries to, permit Agent, in Agent's name or in</w:t>
      </w:r>
      <w:r>
        <w:rPr>
          <w:rFonts w:ascii="Arial" w:cs="Arial" w:eastAsia="Arial" w:hAnsi="Arial"/>
          <w:sz w:val="16"/>
          <w:szCs w:val="16"/>
          <w:color w:val="010000"/>
        </w:rPr>
        <w:t xml:space="preserve"> </w:t>
      </w:r>
      <w:r>
        <w:rPr>
          <w:rFonts w:ascii="Arial" w:cs="Arial" w:eastAsia="Arial" w:hAnsi="Arial"/>
          <w:sz w:val="16"/>
          <w:szCs w:val="16"/>
          <w:color w:val="000000"/>
        </w:rPr>
        <w:t>the name or a nominee of Agent, after the occurrence and during the continuation of an Event of Default, to verify the validity, amount or any other matter relating to any Account, by mail, telephone, facsimile transmission or other electronic means of transmission or otherwise. Further, at the reasonable request of Agent, each Grantor will, and will cause each of its Subsidiaries to, send requests for verification of Accounts or, after the occurrence and during the continuance of an Event of Default, send notices of assignment of Accounts to Account Debtors and other obligors.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u w:val="single" w:color="auto"/>
          <w:color w:val="000000"/>
        </w:rPr>
        <w:t>Maintenance of Goods</w:t>
      </w:r>
      <w:r>
        <w:rPr>
          <w:rFonts w:ascii="Arial" w:cs="Arial" w:eastAsia="Arial" w:hAnsi="Arial"/>
          <w:sz w:val="18"/>
          <w:szCs w:val="18"/>
          <w:color w:val="000000"/>
        </w:rPr>
        <w:t>. Each Grantor will do all things reasonably necessary to maintain, preserve, protect and keep the Inventory and</w:t>
      </w:r>
      <w:r>
        <w:rPr>
          <w:rFonts w:ascii="Arial" w:cs="Arial" w:eastAsia="Arial" w:hAnsi="Arial"/>
          <w:sz w:val="18"/>
          <w:szCs w:val="18"/>
          <w:color w:val="010000"/>
        </w:rPr>
        <w:t xml:space="preserve"> </w:t>
      </w:r>
      <w:r>
        <w:rPr>
          <w:rFonts w:ascii="Arial" w:cs="Arial" w:eastAsia="Arial" w:hAnsi="Arial"/>
          <w:sz w:val="18"/>
          <w:szCs w:val="18"/>
          <w:color w:val="000000"/>
        </w:rPr>
        <w:t>the 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35" w:name="page736"/>
    <w:bookmarkEnd w:id="735"/>
    <w:p>
      <w:pPr>
        <w:jc w:val="both"/>
        <w:ind w:firstLine="648"/>
        <w:spacing w:after="0" w:line="267"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Instruments, Securities, Chattel Paper, Documents and Pledged Deposits</w:t>
      </w:r>
      <w:r>
        <w:rPr>
          <w:rFonts w:ascii="Arial" w:cs="Arial" w:eastAsia="Arial" w:hAnsi="Arial"/>
          <w:sz w:val="17"/>
          <w:szCs w:val="17"/>
          <w:color w:val="000000"/>
        </w:rPr>
        <w:t>. Each Grantor will (i) deliver to the Agent immediately upon</w:t>
      </w:r>
      <w:r>
        <w:rPr>
          <w:rFonts w:ascii="Arial" w:cs="Arial" w:eastAsia="Arial" w:hAnsi="Arial"/>
          <w:sz w:val="17"/>
          <w:szCs w:val="17"/>
          <w:color w:val="010000"/>
        </w:rPr>
        <w:t xml:space="preserve"> </w:t>
      </w:r>
      <w:r>
        <w:rPr>
          <w:rFonts w:ascii="Arial" w:cs="Arial" w:eastAsia="Arial" w:hAnsi="Arial"/>
          <w:sz w:val="17"/>
          <w:szCs w:val="17"/>
          <w:color w:val="000000"/>
        </w:rPr>
        <w:t xml:space="preserve">execution of this Security Agreement the originals of all Chattel Paper and Instruments (other than Intercompany Instruments;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such Intercompany Instruments shall not be delivered to any Person which is not a Grantor, the ABL Collateral Agent or the Agent), in each case, to the extent evidencing amounts in excess of $5,000,000 individually, or $10,000,000 in the aggregate, and constituting Collateral (if any then exist) and Securities constituting Collateral (to the extent certificated);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 hold in trust for the Agent upon receipt and promptly thereafter deliver to the Agent any Chattel Paper and Instruments (other than Intercompany Instruments;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such Intercompany Instruments shall not be delivered to any Person who is not a Grantor, the ABL Collateral Agent or the Agent), in each case, to the extent evidencing amounts in excess of $5,000,000 individually or $10,000,000 in the aggregate, and constituting Collateral (if any then exist) and Securities (to the extent certificated);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(iii) upon the designation by a Grantor of any Pledged Deposits (as set forth in the definition thereof) as Collateral, deliver to the Agent such Pledged Deposits which are evidenced by certificates included in the Collateral endorsed in blank, marked with such legends and assigned as the Agent shall reasonably specify;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each Grantor shall be deemed to have complied with this requirement to the extent that the ABL Collateral Agent has received such certificates as a bailee of the Agent in a manner consistent with the Intercreditor Agreement; (iv) upon the Agent’s request, after the occurrence and during the continuation of an Event of Default (subject to the terms of the Intercreditor Agreement), deliver to the Agent (and thereafter hold in trust for the Agent upon receipt and promptly deliver to the Agent) any Document evidencing or constituting Collateral; and (v) upon the Agent’s request, deliver to the Agent, promptly after the delivery of a Compliance Certificate, a duly executed amendment to this Security Agreement, in the form of </w:t>
      </w:r>
      <w:r>
        <w:rPr>
          <w:rFonts w:ascii="Arial" w:cs="Arial" w:eastAsia="Arial" w:hAnsi="Arial"/>
          <w:sz w:val="17"/>
          <w:szCs w:val="17"/>
          <w:u w:val="single" w:color="auto"/>
          <w:color w:val="000000"/>
        </w:rPr>
        <w:t>Exhibit</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“I”</w:t>
      </w:r>
      <w:r>
        <w:rPr>
          <w:rFonts w:ascii="Arial" w:cs="Arial" w:eastAsia="Arial" w:hAnsi="Arial"/>
          <w:sz w:val="17"/>
          <w:szCs w:val="17"/>
          <w:color w:val="000000"/>
        </w:rPr>
        <w:t xml:space="preserve"> hereto (the “</w:t>
      </w:r>
      <w:r>
        <w:rPr>
          <w:rFonts w:ascii="Arial" w:cs="Arial" w:eastAsia="Arial" w:hAnsi="Arial"/>
          <w:sz w:val="17"/>
          <w:szCs w:val="17"/>
          <w:u w:val="single" w:color="auto"/>
          <w:color w:val="000000"/>
        </w:rPr>
        <w:t>Amendment</w:t>
      </w:r>
      <w:r>
        <w:rPr>
          <w:rFonts w:ascii="Arial" w:cs="Arial" w:eastAsia="Arial" w:hAnsi="Arial"/>
          <w:sz w:val="17"/>
          <w:szCs w:val="17"/>
          <w:color w:val="000000"/>
        </w:rPr>
        <w:t>”), pursuant to which such Grantor will specify such additional Collateral pledged hereunder. Such Grantor hereby authorizes the Agent to attach each Amendment to this Security Agreement and agrees that all additional Collateral owned by it set forth in such Amendments shall be considered to be part of the Collateral.</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010000"/>
        </w:rPr>
        <w:t xml:space="preserve">4.5. </w:t>
      </w:r>
      <w:r>
        <w:rPr>
          <w:rFonts w:ascii="Arial" w:cs="Arial" w:eastAsia="Arial" w:hAnsi="Arial"/>
          <w:sz w:val="16"/>
          <w:szCs w:val="16"/>
          <w:u w:val="single" w:color="auto"/>
          <w:color w:val="000000"/>
        </w:rPr>
        <w:t>Uncertificated Securities and Certain Other Investment Property</w:t>
      </w:r>
      <w:r>
        <w:rPr>
          <w:rFonts w:ascii="Arial" w:cs="Arial" w:eastAsia="Arial" w:hAnsi="Arial"/>
          <w:sz w:val="16"/>
          <w:szCs w:val="16"/>
          <w:color w:val="000000"/>
        </w:rPr>
        <w:t>. Each Grantor will, following the reasonable request of the Agent (and</w:t>
      </w:r>
      <w:r>
        <w:rPr>
          <w:rFonts w:ascii="Arial" w:cs="Arial" w:eastAsia="Arial" w:hAnsi="Arial"/>
          <w:sz w:val="16"/>
          <w:szCs w:val="16"/>
          <w:color w:val="010000"/>
        </w:rPr>
        <w:t xml:space="preserve"> </w:t>
      </w:r>
      <w:r>
        <w:rPr>
          <w:rFonts w:ascii="Arial" w:cs="Arial" w:eastAsia="Arial" w:hAnsi="Arial"/>
          <w:sz w:val="16"/>
          <w:szCs w:val="16"/>
          <w:color w:val="000000"/>
        </w:rPr>
        <w:t>after the occurrence and during the continuation of an Event of Default, will permit the Agent to) from time to time cause the appropriate issuers (and, if held with a securities intermediary, such securities intermediary) of uncertificated securities or other types of Investment Property owned by such Grantor and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Agent granted pursuant to this Security Agreement. With respect to Investment Property having a value in excess of $5,000,000 individually or $10,000,000 in the aggregate and constituting Collateral owned by such Grantor held with a financial intermediary (including in a Securities Account), such Grantor shall, within 30 days following the Effective Date or such later date on which it becomes a Grantor hereunder (in each case, or such later date as may be agreed to by the Agent in its sole discretion), cause such financial intermediary to enter into a Control Agreement with the Agent in form and substance reasonably satisfactory to the Agent, in order to give the Agent Control (subject to the terms of the Intercreditor Agreement) of such Investment Property.</w:t>
      </w:r>
    </w:p>
    <w:p>
      <w:pPr>
        <w:spacing w:after="0" w:line="16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u w:val="single" w:color="auto"/>
          <w:color w:val="auto"/>
        </w:rPr>
        <w:t>Stock and Other Ownership Interests</w:t>
      </w:r>
      <w:r>
        <w:rPr>
          <w:rFonts w:ascii="Arial" w:cs="Arial" w:eastAsia="Arial" w:hAnsi="Arial"/>
          <w:sz w:val="16"/>
          <w:szCs w:val="16"/>
          <w:color w:val="auto"/>
        </w:rPr>
        <w:t>.</w:t>
      </w:r>
    </w:p>
    <w:p>
      <w:pPr>
        <w:spacing w:after="0" w:line="225"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18"/>
          <w:szCs w:val="18"/>
          <w:color w:val="010000"/>
        </w:rPr>
        <w:t>4.6.1</w:t>
      </w:r>
      <w:r>
        <w:rPr>
          <w:sz w:val="20"/>
          <w:szCs w:val="20"/>
          <w:color w:val="auto"/>
        </w:rPr>
        <w:tab/>
      </w:r>
      <w:r>
        <w:rPr>
          <w:rFonts w:ascii="Arial" w:cs="Arial" w:eastAsia="Arial" w:hAnsi="Arial"/>
          <w:sz w:val="16"/>
          <w:szCs w:val="16"/>
          <w:u w:val="single" w:color="auto"/>
          <w:color w:val="auto"/>
        </w:rPr>
        <w:t>Registration of Pledged Securities and other Investment Property</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4.6.4 </w:t>
      </w:r>
      <w:r>
        <w:rPr>
          <w:rFonts w:ascii="Arial" w:cs="Arial" w:eastAsia="Arial" w:hAnsi="Arial"/>
          <w:sz w:val="16"/>
          <w:szCs w:val="16"/>
          <w:color w:val="auto"/>
        </w:rPr>
        <w:t>hereof in the case of ULC</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Shares, each Grantor will permit any registrable Collateral owned by such Grantor to be registered in the name of the Agent or its nominee at any time at the option of the Required Lenders following the occurrence and during the continuance of an Event of Default and without any further consent of such Grantor.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36" w:name="page737"/>
    <w:bookmarkEnd w:id="736"/>
    <w:p>
      <w:pPr>
        <w:jc w:val="both"/>
        <w:ind w:firstLine="972"/>
        <w:spacing w:after="0" w:line="259" w:lineRule="auto"/>
        <w:rPr>
          <w:sz w:val="20"/>
          <w:szCs w:val="20"/>
          <w:color w:val="auto"/>
        </w:rPr>
      </w:pPr>
      <w:r>
        <w:rPr>
          <w:rFonts w:ascii="Arial" w:cs="Arial" w:eastAsia="Arial" w:hAnsi="Arial"/>
          <w:sz w:val="18"/>
          <w:szCs w:val="18"/>
          <w:color w:val="010000"/>
        </w:rPr>
        <w:t xml:space="preserve">4.6.2 </w:t>
      </w:r>
      <w:r>
        <w:rPr>
          <w:rFonts w:ascii="Arial" w:cs="Arial" w:eastAsia="Arial" w:hAnsi="Arial"/>
          <w:sz w:val="18"/>
          <w:szCs w:val="18"/>
          <w:u w:val="single" w:color="auto"/>
          <w:color w:val="000000"/>
        </w:rPr>
        <w:t>Exercise of Rights in Pledged Securities</w:t>
      </w:r>
      <w:r>
        <w:rPr>
          <w:rFonts w:ascii="Arial" w:cs="Arial" w:eastAsia="Arial" w:hAnsi="Arial"/>
          <w:sz w:val="18"/>
          <w:szCs w:val="18"/>
          <w:color w:val="000000"/>
        </w:rPr>
        <w:t>. Subject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4.6.4</w:t>
      </w:r>
      <w:r>
        <w:rPr>
          <w:rFonts w:ascii="Arial" w:cs="Arial" w:eastAsia="Arial" w:hAnsi="Arial"/>
          <w:sz w:val="18"/>
          <w:szCs w:val="18"/>
          <w:color w:val="010000"/>
        </w:rPr>
        <w:t xml:space="preserve"> </w:t>
      </w:r>
      <w:r>
        <w:rPr>
          <w:rFonts w:ascii="Arial" w:cs="Arial" w:eastAsia="Arial" w:hAnsi="Arial"/>
          <w:sz w:val="18"/>
          <w:szCs w:val="18"/>
          <w:color w:val="000000"/>
        </w:rPr>
        <w:t>hereof in the case of ULC Shares, each Grantor will</w:t>
      </w:r>
      <w:r>
        <w:rPr>
          <w:rFonts w:ascii="Arial" w:cs="Arial" w:eastAsia="Arial" w:hAnsi="Arial"/>
          <w:sz w:val="18"/>
          <w:szCs w:val="18"/>
          <w:color w:val="010000"/>
        </w:rPr>
        <w:t xml:space="preserve"> </w:t>
      </w:r>
      <w:r>
        <w:rPr>
          <w:rFonts w:ascii="Arial" w:cs="Arial" w:eastAsia="Arial" w:hAnsi="Arial"/>
          <w:sz w:val="18"/>
          <w:szCs w:val="18"/>
          <w:color w:val="000000"/>
        </w:rPr>
        <w:t>permit the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pacing w:after="0" w:line="18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4.6.3 </w:t>
      </w:r>
      <w:r>
        <w:rPr>
          <w:rFonts w:ascii="Arial" w:cs="Arial" w:eastAsia="Arial" w:hAnsi="Arial"/>
          <w:sz w:val="18"/>
          <w:szCs w:val="18"/>
          <w:u w:val="single" w:color="auto"/>
          <w:color w:val="000000"/>
        </w:rPr>
        <w:t>ULCs</w:t>
      </w:r>
      <w:r>
        <w:rPr>
          <w:rFonts w:ascii="Arial" w:cs="Arial" w:eastAsia="Arial" w:hAnsi="Arial"/>
          <w:sz w:val="18"/>
          <w:szCs w:val="18"/>
          <w:color w:val="000000"/>
        </w:rPr>
        <w:t>. For greater certainty, the Agent shall have no right under any circumstance to vote ULC Shares or receive</w:t>
      </w:r>
      <w:r>
        <w:rPr>
          <w:rFonts w:ascii="Arial" w:cs="Arial" w:eastAsia="Arial" w:hAnsi="Arial"/>
          <w:sz w:val="18"/>
          <w:szCs w:val="18"/>
          <w:color w:val="010000"/>
        </w:rPr>
        <w:t xml:space="preserve"> </w:t>
      </w:r>
      <w:r>
        <w:rPr>
          <w:rFonts w:ascii="Arial" w:cs="Arial" w:eastAsia="Arial" w:hAnsi="Arial"/>
          <w:sz w:val="18"/>
          <w:szCs w:val="18"/>
          <w:color w:val="000000"/>
        </w:rPr>
        <w:t>dividends from any ULC until such time as notice is given to the applicable Grantor and further steps are taken so as to register the Agent as the holder of the applicable ULC Shares.</w:t>
      </w:r>
    </w:p>
    <w:p>
      <w:pPr>
        <w:spacing w:after="0" w:line="181"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6"/>
          <w:szCs w:val="16"/>
          <w:color w:val="010000"/>
        </w:rPr>
        <w:t xml:space="preserve">4.6.4 </w:t>
      </w:r>
      <w:r>
        <w:rPr>
          <w:rFonts w:ascii="Arial" w:cs="Arial" w:eastAsia="Arial" w:hAnsi="Arial"/>
          <w:sz w:val="16"/>
          <w:szCs w:val="16"/>
          <w:u w:val="single" w:color="auto"/>
          <w:color w:val="000000"/>
        </w:rPr>
        <w:t>ULC Shares</w:t>
      </w:r>
      <w:r>
        <w:rPr>
          <w:rFonts w:ascii="Arial" w:cs="Arial" w:eastAsia="Arial" w:hAnsi="Arial"/>
          <w:sz w:val="16"/>
          <w:szCs w:val="16"/>
          <w:color w:val="000000"/>
        </w:rPr>
        <w:t>. Each Grantor acknowledges that certain of the Collateral of such Grantor may now or in the future consist</w:t>
      </w:r>
      <w:r>
        <w:rPr>
          <w:rFonts w:ascii="Arial" w:cs="Arial" w:eastAsia="Arial" w:hAnsi="Arial"/>
          <w:sz w:val="16"/>
          <w:szCs w:val="16"/>
          <w:color w:val="010000"/>
        </w:rPr>
        <w:t xml:space="preserve"> </w:t>
      </w:r>
      <w:r>
        <w:rPr>
          <w:rFonts w:ascii="Arial" w:cs="Arial" w:eastAsia="Arial" w:hAnsi="Arial"/>
          <w:sz w:val="16"/>
          <w:szCs w:val="16"/>
          <w:color w:val="000000"/>
        </w:rPr>
        <w:t>of ULC Shares, and that it is the intention of the Agent and each Grantor that neither the Agent nor any other Secured Party should under any circumstances prior to realization thereon be held to be a “member” or a “shareholder”, as applicable, of a ULC for the purposes of any ULC Laws. Therefore, notwithstanding any provision to the contrary contained in this Security Agreement, the LC Credit Agreement or any other Loan Document, where a Grantor is the registered owner of ULC Shares which are Collateral of such Grantor, such Grantor shall remain the sole registered owner of such ULC Shares until such time as such ULC Shares are effectively transferred into the name of the Agent, any other Secured Party, or any other Person on the books and records of the applicable ULC. Accordingly, each Grantor shall be entitled to receive and retain for its own account any dividend on or other distribution, if any, with respect to such ULC Shares (except for any dividend or distribution comprised of certificated Securities pledged of such Grantor, which shall be delivered to the Agent to hold hereunder) and shall have the right to vote such ULC Shares and to control the direction, management and policies of the applicable ULC to the same extent as such Grantor would if such ULC Shares were not pledged to the Agent pursuant hereto. Nothing in this Security Agreement, the LC Credit Agreement or any other Loan Document is intended to, and nothing in this Security Agreement, the LC Credit Agreement or any other Loan Document shall, constitute the Agent, any other Secured Party, or any other Person other than the applicable Grantor, a member or shareholder of a ULC for the purposes of any ULC Laws (whether listed or unlisted, registered or beneficial), until such time as notice is given to such Grantor and further steps are taken pursuant hereto or thereto so as to register the Agent, any other Secured Party, or such other Person, as specified in such notice, as the holder of the ULC Shares. To the extent any provision hereof would have the effect of constituting the Agent or any other Secured Party as a member or a shareholder, as applicable, of any ULC prior to such time, such provision shall be severed herefrom and shall be ineffective with respect to ULC Shares which are Collateral of any Grantor without otherwise invalidating or rendering unenforceable this Security Agreement or invalidating or rendering unenforceable such provision insofar as it relates to Collateral of any Grantor which is not ULC Shares. Except upon the exercise of rights of the Agent to sell, transfer or otherwise dispose of ULC Shares in accordance with this Security Agreement, each Grantor shall not cause or permit, or enable a Subsidiary that is a ULC to cause or permit, the Agent or any other Secured Party to: (i) be registered as a shareholder or member of such Subsidiary; (ii) have any notation entered in their favour in the share register of such Subsidiary; (iii) be held out as shareholders or members of such Subsidiary; (iv) receive, directly or indirectly, any dividends, property or other distributions from such Subsidiary by reason of the Agent holding a Lien over the ULC Shares; or (v) act as a shareholder of such Subsidiary, or exercise any rights of a shareholder including the right to attend a meeting of shareholders of such Subsidiary or to vote its ULC Shares.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737" w:name="page738"/>
    <w:bookmarkEnd w:id="737"/>
    <w:p>
      <w:pPr>
        <w:jc w:val="both"/>
        <w:ind w:firstLine="648"/>
        <w:spacing w:after="0" w:line="297" w:lineRule="auto"/>
        <w:rPr>
          <w:sz w:val="20"/>
          <w:szCs w:val="20"/>
          <w:color w:val="auto"/>
        </w:rPr>
      </w:pPr>
      <w:r>
        <w:rPr>
          <w:rFonts w:ascii="Arial" w:cs="Arial" w:eastAsia="Arial" w:hAnsi="Arial"/>
          <w:sz w:val="16"/>
          <w:szCs w:val="16"/>
          <w:color w:val="010000"/>
        </w:rPr>
        <w:t xml:space="preserve">4.7. </w:t>
      </w:r>
      <w:r>
        <w:rPr>
          <w:rFonts w:ascii="Arial" w:cs="Arial" w:eastAsia="Arial" w:hAnsi="Arial"/>
          <w:sz w:val="16"/>
          <w:szCs w:val="16"/>
          <w:u w:val="single" w:color="auto"/>
          <w:color w:val="000000"/>
        </w:rPr>
        <w:t>Specified Deposit Accounts</w:t>
      </w:r>
      <w:r>
        <w:rPr>
          <w:rFonts w:ascii="Arial" w:cs="Arial" w:eastAsia="Arial" w:hAnsi="Arial"/>
          <w:sz w:val="16"/>
          <w:szCs w:val="16"/>
          <w:color w:val="000000"/>
        </w:rPr>
        <w:t>. Each Grantor will cause each bank or other financial institution in which it maintains a Specified Deposit</w:t>
      </w:r>
      <w:r>
        <w:rPr>
          <w:rFonts w:ascii="Arial" w:cs="Arial" w:eastAsia="Arial" w:hAnsi="Arial"/>
          <w:sz w:val="16"/>
          <w:szCs w:val="16"/>
          <w:color w:val="010000"/>
        </w:rPr>
        <w:t xml:space="preserve"> </w:t>
      </w:r>
      <w:r>
        <w:rPr>
          <w:rFonts w:ascii="Arial" w:cs="Arial" w:eastAsia="Arial" w:hAnsi="Arial"/>
          <w:sz w:val="16"/>
          <w:szCs w:val="16"/>
          <w:color w:val="000000"/>
        </w:rPr>
        <w:t>Account to enter into a Control Agreement with the Agent and the ABL Collateral Agent, in form and substance reasonably satisfactory to the Agent in order to give the Agent Control (subject to the terms of the Intercreditor Agreement) of the Specified Deposit Account within 60 days following the Effective Date or such later date on which it becomes a Grantor hereunder (in each case, or such later date as may be agreed to by the Agent in its sole discretion). In the case of deposits maintained with Lenders, the terms of such letter shall be subject to the provisions of the LC Credit Agreement regarding setoffs.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4.8. </w:t>
      </w:r>
      <w:r>
        <w:rPr>
          <w:rFonts w:ascii="Arial" w:cs="Arial" w:eastAsia="Arial" w:hAnsi="Arial"/>
          <w:sz w:val="18"/>
          <w:szCs w:val="18"/>
          <w:u w:val="single" w:color="auto"/>
          <w:color w:val="000000"/>
        </w:rPr>
        <w:t>Letter of Credit Rights</w:t>
      </w:r>
      <w:r>
        <w:rPr>
          <w:rFonts w:ascii="Arial" w:cs="Arial" w:eastAsia="Arial" w:hAnsi="Arial"/>
          <w:sz w:val="18"/>
          <w:szCs w:val="18"/>
          <w:color w:val="000000"/>
        </w:rPr>
        <w:t>. Each Grantor will, upon the Agent’s request, cause each issuer of a letter of credit in excess of $5,000,000</w:t>
      </w:r>
      <w:r>
        <w:rPr>
          <w:rFonts w:ascii="Arial" w:cs="Arial" w:eastAsia="Arial" w:hAnsi="Arial"/>
          <w:sz w:val="18"/>
          <w:szCs w:val="18"/>
          <w:color w:val="010000"/>
        </w:rPr>
        <w:t xml:space="preserve"> </w:t>
      </w:r>
      <w:r>
        <w:rPr>
          <w:rFonts w:ascii="Arial" w:cs="Arial" w:eastAsia="Arial" w:hAnsi="Arial"/>
          <w:sz w:val="18"/>
          <w:szCs w:val="18"/>
          <w:color w:val="000000"/>
        </w:rPr>
        <w:t>individually or in the aggregate to consent to the assignment of proceeds of such letter of credit in order to give the Agent Control (subject to the terms of the Intercreditor Agreement) of the Letter of Credit Rights to such letter of credit.</w:t>
      </w:r>
    </w:p>
    <w:p>
      <w:pPr>
        <w:spacing w:after="0" w:line="18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010000"/>
        </w:rPr>
        <w:t>4.9.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972"/>
        <w:spacing w:after="0" w:line="269" w:lineRule="auto"/>
        <w:rPr>
          <w:sz w:val="20"/>
          <w:szCs w:val="20"/>
          <w:color w:val="auto"/>
        </w:rPr>
      </w:pPr>
      <w:r>
        <w:rPr>
          <w:rFonts w:ascii="Arial" w:cs="Arial" w:eastAsia="Arial" w:hAnsi="Arial"/>
          <w:sz w:val="17"/>
          <w:szCs w:val="17"/>
          <w:color w:val="010000"/>
        </w:rPr>
        <w:t xml:space="preserve">4.9.1 </w:t>
      </w:r>
      <w:r>
        <w:rPr>
          <w:rFonts w:ascii="Arial" w:cs="Arial" w:eastAsia="Arial" w:hAnsi="Arial"/>
          <w:sz w:val="17"/>
          <w:szCs w:val="17"/>
          <w:color w:val="000000"/>
        </w:rPr>
        <w:t>If, after the date hereof, any Grantor obtains rights to, including, but not limited to filing and acceptance of a statement</w:t>
      </w:r>
      <w:r>
        <w:rPr>
          <w:rFonts w:ascii="Arial" w:cs="Arial" w:eastAsia="Arial" w:hAnsi="Arial"/>
          <w:sz w:val="17"/>
          <w:szCs w:val="17"/>
          <w:color w:val="010000"/>
        </w:rPr>
        <w:t xml:space="preserve"> </w:t>
      </w:r>
      <w:r>
        <w:rPr>
          <w:rFonts w:ascii="Arial" w:cs="Arial" w:eastAsia="Arial" w:hAnsi="Arial"/>
          <w:sz w:val="17"/>
          <w:szCs w:val="17"/>
          <w:color w:val="000000"/>
        </w:rPr>
        <w:t xml:space="preserve">of use or an amendment to allege use with the United States Patent and Trademark Office, or applies for or seeks registration of, any new Patent, Trademark or Copyright (limited, in the case of any Foreign Grantor, to any new U.S. Patent, Trademark or Copyright) in addition to the Patents, Trademarks and Copyrights described in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then to the extent the foregoing constitutes Specified Intellectual Property, such Grantor agrees promptly and within 60 days following the date on which financial statements are required to be delivered pursuant to Section 7.01(a) and/or Section 7.01(b) of the LC Credit Agreement, to execute and deliver to the Agent any supplement to this Security Agreement or any other document reasonably requested by the Agent to evidence such security interest in a form appropriate for recording in the applicable U.S. federal office. In the event the applicable Grantor does not comply with the above deadline, each Grantor also hereby authorizes the Agent to (i) modify this Security Agreement unilaterally by amending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to include any future Patents, Trademarks and/or Copyrights constituting Specified Intellectual Property of which such Grantor is required to notify the Agent pursuant hereto and (ii) record, in addition to and not in substitution for this Security Agreement, a duplicate original of this Security Agreement containing in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a description of such future registrations and applications for Patents, Trademarks and/or Copyrights constituting Specified Intellectual Property.</w:t>
      </w:r>
    </w:p>
    <w:p>
      <w:pPr>
        <w:spacing w:after="0" w:line="180" w:lineRule="exact"/>
        <w:rPr>
          <w:sz w:val="20"/>
          <w:szCs w:val="20"/>
          <w:color w:val="auto"/>
        </w:rPr>
      </w:pPr>
    </w:p>
    <w:p>
      <w:pPr>
        <w:jc w:val="both"/>
        <w:ind w:left="660" w:firstLine="972"/>
        <w:spacing w:after="0" w:line="271" w:lineRule="auto"/>
        <w:rPr>
          <w:sz w:val="20"/>
          <w:szCs w:val="20"/>
          <w:color w:val="auto"/>
        </w:rPr>
      </w:pPr>
      <w:r>
        <w:rPr>
          <w:rFonts w:ascii="Arial" w:cs="Arial" w:eastAsia="Arial" w:hAnsi="Arial"/>
          <w:sz w:val="17"/>
          <w:szCs w:val="17"/>
          <w:color w:val="010000"/>
        </w:rPr>
        <w:t xml:space="preserve">4.9.2 </w:t>
      </w:r>
      <w:r>
        <w:rPr>
          <w:rFonts w:ascii="Arial" w:cs="Arial" w:eastAsia="Arial" w:hAnsi="Arial"/>
          <w:sz w:val="17"/>
          <w:szCs w:val="17"/>
          <w:color w:val="000000"/>
        </w:rPr>
        <w:t>As of the applicable Determination Date, no Grantor has any interest in, or title to, any U.S. Intellectual Property</w:t>
      </w:r>
      <w:r>
        <w:rPr>
          <w:rFonts w:ascii="Arial" w:cs="Arial" w:eastAsia="Arial" w:hAnsi="Arial"/>
          <w:sz w:val="17"/>
          <w:szCs w:val="17"/>
          <w:color w:val="010000"/>
        </w:rPr>
        <w:t xml:space="preserve"> </w:t>
      </w:r>
      <w:r>
        <w:rPr>
          <w:rFonts w:ascii="Arial" w:cs="Arial" w:eastAsia="Arial" w:hAnsi="Arial"/>
          <w:sz w:val="17"/>
          <w:szCs w:val="17"/>
          <w:color w:val="000000"/>
        </w:rPr>
        <w:t xml:space="preserve">registrations or applications, except as set forth in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As of the applicable Determination Date, this Security Agreement is effective to create a valid and continuing Lien on each Grantor’s interest in its Intellectual Property pledged hereunder and, upon timely filing of the IP Short Form with respect to Copyrights with the United States Copyright Office and filing of the IP Short Form with respect to Patents and the IP Short Form with respect to Trademarks with the United States Patent and Trademark Office, and the filing of appropriate financing statements in the jurisdictions listed in </w:t>
      </w:r>
      <w:r>
        <w:rPr>
          <w:rFonts w:ascii="Arial" w:cs="Arial" w:eastAsia="Arial" w:hAnsi="Arial"/>
          <w:sz w:val="17"/>
          <w:szCs w:val="17"/>
          <w:u w:val="single" w:color="auto"/>
          <w:color w:val="000000"/>
        </w:rPr>
        <w:t>Exhibit “E”</w:t>
      </w:r>
      <w:r>
        <w:rPr>
          <w:rFonts w:ascii="Arial" w:cs="Arial" w:eastAsia="Arial" w:hAnsi="Arial"/>
          <w:sz w:val="17"/>
          <w:szCs w:val="17"/>
          <w:color w:val="000000"/>
        </w:rPr>
        <w:t xml:space="preserve"> hereto, all action necessary or desirable to protect and perfect the security interest in, to and on each Grantor’s interest in U.S. Patents, Trademarks or Copyrights that are set forth in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as of the applicable Determination Date shall have been taken and such perfected security interest shall be enforceable as such as against any and all creditors of and purchasers from any Grantor.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8" w:name="page739"/>
    <w:bookmarkEnd w:id="738"/>
    <w:p>
      <w:pPr>
        <w:jc w:val="both"/>
        <w:ind w:firstLine="648"/>
        <w:spacing w:after="0" w:line="297" w:lineRule="auto"/>
        <w:rPr>
          <w:sz w:val="20"/>
          <w:szCs w:val="20"/>
          <w:color w:val="auto"/>
        </w:rPr>
      </w:pPr>
      <w:r>
        <w:rPr>
          <w:rFonts w:ascii="Arial" w:cs="Arial" w:eastAsia="Arial" w:hAnsi="Arial"/>
          <w:sz w:val="16"/>
          <w:szCs w:val="16"/>
          <w:color w:val="010000"/>
        </w:rPr>
        <w:t xml:space="preserve">4.10. </w:t>
      </w:r>
      <w:r>
        <w:rPr>
          <w:rFonts w:ascii="Arial" w:cs="Arial" w:eastAsia="Arial" w:hAnsi="Arial"/>
          <w:sz w:val="16"/>
          <w:szCs w:val="16"/>
          <w:u w:val="single" w:color="auto"/>
          <w:color w:val="000000"/>
        </w:rPr>
        <w:t>Commercial Tort Claims</w:t>
      </w:r>
      <w:r>
        <w:rPr>
          <w:rFonts w:ascii="Arial" w:cs="Arial" w:eastAsia="Arial" w:hAnsi="Arial"/>
          <w:sz w:val="16"/>
          <w:szCs w:val="16"/>
          <w:color w:val="000000"/>
        </w:rPr>
        <w:t>. If, after the date hereof, any Grantor identifies the existence of a Commercial Tort Claim constituting Collateral</w:t>
      </w:r>
      <w:r>
        <w:rPr>
          <w:rFonts w:ascii="Arial" w:cs="Arial" w:eastAsia="Arial" w:hAnsi="Arial"/>
          <w:sz w:val="16"/>
          <w:szCs w:val="16"/>
          <w:color w:val="010000"/>
        </w:rPr>
        <w:t xml:space="preserve"> </w:t>
      </w:r>
      <w:r>
        <w:rPr>
          <w:rFonts w:ascii="Arial" w:cs="Arial" w:eastAsia="Arial" w:hAnsi="Arial"/>
          <w:sz w:val="16"/>
          <w:szCs w:val="16"/>
          <w:color w:val="000000"/>
        </w:rPr>
        <w:t xml:space="preserve">belonging to such Grantor that has arisen in the course of such Grantor’s business in addition to the Commercial Tort Claims described in </w:t>
      </w:r>
      <w:r>
        <w:rPr>
          <w:rFonts w:ascii="Arial" w:cs="Arial" w:eastAsia="Arial" w:hAnsi="Arial"/>
          <w:sz w:val="16"/>
          <w:szCs w:val="16"/>
          <w:u w:val="single" w:color="auto"/>
          <w:color w:val="000000"/>
        </w:rPr>
        <w:t>Exhibit “F”</w:t>
      </w:r>
      <w:r>
        <w:rPr>
          <w:rFonts w:ascii="Arial" w:cs="Arial" w:eastAsia="Arial" w:hAnsi="Arial"/>
          <w:sz w:val="16"/>
          <w:szCs w:val="16"/>
          <w:color w:val="000000"/>
        </w:rPr>
        <w:t>, which are all of such Grantor’s Commercial Tort Claims as of the Effective Date, then such Grantor shall give the Agent prompt notice thereof, but in any event not less frequently than quarterly. Each Grantor agrees promptly upon request by the Agent to execute and deliver to the Agent any supplement to this Security Agreement or any other document reasonably requested by the Agent to evidence the grant of a security interest therein in favor of the Agent.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4.11. </w:t>
      </w:r>
      <w:r>
        <w:rPr>
          <w:rFonts w:ascii="Arial" w:cs="Arial" w:eastAsia="Arial" w:hAnsi="Arial"/>
          <w:sz w:val="18"/>
          <w:szCs w:val="18"/>
          <w:u w:val="single" w:color="auto"/>
          <w:color w:val="000000"/>
        </w:rPr>
        <w:t>Updating of Exhibits to Security Agreement</w:t>
      </w:r>
      <w:r>
        <w:rPr>
          <w:rFonts w:ascii="Arial" w:cs="Arial" w:eastAsia="Arial" w:hAnsi="Arial"/>
          <w:sz w:val="18"/>
          <w:szCs w:val="18"/>
          <w:color w:val="000000"/>
        </w:rPr>
        <w:t>. The Borrowers will provide to the Agent, concurrently with the delivery of each Compliance</w:t>
      </w:r>
      <w:r>
        <w:rPr>
          <w:rFonts w:ascii="Arial" w:cs="Arial" w:eastAsia="Arial" w:hAnsi="Arial"/>
          <w:sz w:val="18"/>
          <w:szCs w:val="18"/>
          <w:color w:val="010000"/>
        </w:rPr>
        <w:t xml:space="preserve"> </w:t>
      </w:r>
      <w:r>
        <w:rPr>
          <w:rFonts w:ascii="Arial" w:cs="Arial" w:eastAsia="Arial" w:hAnsi="Arial"/>
          <w:sz w:val="18"/>
          <w:szCs w:val="18"/>
          <w:color w:val="000000"/>
        </w:rPr>
        <w:t>Certificate required by Section 7.01(e) of the LC Credit Agreement, updated versions of the Exhibits to this Security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there have been no changes to any such Exhibits since the previous updating thereof required hereby, the Borrowers shall indicate that there has been “no change” to the applicable Exhibit(s)). Any reference to any Exhibit herein shall mean such Exhibit after giving effect to any updates thereof by the Borrowers or such Grantor pursuant to this </w:t>
      </w:r>
      <w:r>
        <w:rPr>
          <w:rFonts w:ascii="Arial" w:cs="Arial" w:eastAsia="Arial" w:hAnsi="Arial"/>
          <w:sz w:val="18"/>
          <w:szCs w:val="18"/>
          <w:u w:val="single" w:color="auto"/>
          <w:color w:val="000000"/>
        </w:rPr>
        <w:t>Section 4.11</w:t>
      </w:r>
      <w:r>
        <w:rPr>
          <w:rFonts w:ascii="Arial" w:cs="Arial" w:eastAsia="Arial" w:hAnsi="Arial"/>
          <w:sz w:val="18"/>
          <w:szCs w:val="18"/>
          <w:color w:val="000000"/>
        </w:rPr>
        <w:t xml:space="preserve">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5.1.</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ind w:left="660" w:firstLine="972"/>
        <w:spacing w:after="0" w:line="277" w:lineRule="auto"/>
        <w:rPr>
          <w:sz w:val="20"/>
          <w:szCs w:val="20"/>
          <w:color w:val="auto"/>
        </w:rPr>
      </w:pPr>
      <w:r>
        <w:rPr>
          <w:rFonts w:ascii="Arial" w:cs="Arial" w:eastAsia="Arial" w:hAnsi="Arial"/>
          <w:sz w:val="18"/>
          <w:szCs w:val="18"/>
          <w:color w:val="010000"/>
        </w:rPr>
        <w:t xml:space="preserve">5.1.1 </w:t>
      </w:r>
      <w:r>
        <w:rPr>
          <w:rFonts w:ascii="Arial" w:cs="Arial" w:eastAsia="Arial" w:hAnsi="Arial"/>
          <w:sz w:val="18"/>
          <w:szCs w:val="18"/>
          <w:color w:val="000000"/>
        </w:rPr>
        <w:t>Upon the occurrence and during the continuation of an Event of Default, the Agent may, and at the direction of the Required</w:t>
      </w:r>
      <w:r>
        <w:rPr>
          <w:rFonts w:ascii="Arial" w:cs="Arial" w:eastAsia="Arial" w:hAnsi="Arial"/>
          <w:sz w:val="18"/>
          <w:szCs w:val="18"/>
          <w:color w:val="010000"/>
        </w:rPr>
        <w:t xml:space="preserve"> </w:t>
      </w:r>
      <w:r>
        <w:rPr>
          <w:rFonts w:ascii="Arial" w:cs="Arial" w:eastAsia="Arial" w:hAnsi="Arial"/>
          <w:sz w:val="18"/>
          <w:szCs w:val="18"/>
          <w:color w:val="000000"/>
        </w:rPr>
        <w:t>Lenders shall, subject to the Intercreditor Agreement, exercise any or all of the following rights and remedies:</w:t>
      </w:r>
    </w:p>
    <w:p>
      <w:pPr>
        <w:spacing w:after="0" w:line="170" w:lineRule="exact"/>
        <w:rPr>
          <w:sz w:val="20"/>
          <w:szCs w:val="20"/>
          <w:color w:val="auto"/>
        </w:rPr>
      </w:pPr>
    </w:p>
    <w:p>
      <w:pPr>
        <w:jc w:val="both"/>
        <w:ind w:left="1380" w:hanging="643"/>
        <w:spacing w:after="0" w:line="264" w:lineRule="auto"/>
        <w:tabs>
          <w:tab w:leader="none" w:pos="1380" w:val="left"/>
        </w:tabs>
        <w:numPr>
          <w:ilvl w:val="0"/>
          <w:numId w:val="852"/>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.4 hereof in the case of the ULC Shares, those rights and remedies provided in this Security Agreement, the LC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not be understood to limit any rights or remedies available to the Agent and the Secured Parties prior to an Event of Default.</w:t>
      </w:r>
    </w:p>
    <w:p>
      <w:pPr>
        <w:spacing w:after="0" w:line="181" w:lineRule="exact"/>
        <w:rPr>
          <w:rFonts w:ascii="Arial" w:cs="Arial" w:eastAsia="Arial" w:hAnsi="Arial"/>
          <w:sz w:val="18"/>
          <w:szCs w:val="18"/>
          <w:color w:val="010000"/>
        </w:rPr>
      </w:pPr>
    </w:p>
    <w:p>
      <w:pPr>
        <w:jc w:val="both"/>
        <w:ind w:left="1380" w:hanging="643"/>
        <w:spacing w:after="0" w:line="264" w:lineRule="auto"/>
        <w:tabs>
          <w:tab w:leader="none" w:pos="1380" w:val="left"/>
        </w:tabs>
        <w:numPr>
          <w:ilvl w:val="0"/>
          <w:numId w:val="852"/>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the ULC Shares, those rights and remedies available to a secured party under the UCC (whether or not the UCC applies to the affected Collateral) or under any other applicable law when a debtor is in default under a security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39" w:name="page740"/>
    <w:bookmarkEnd w:id="739"/>
    <w:p>
      <w:pPr>
        <w:ind w:left="720" w:hanging="643"/>
        <w:spacing w:after="0" w:line="277" w:lineRule="auto"/>
        <w:tabs>
          <w:tab w:leader="none" w:pos="720" w:val="left"/>
        </w:tabs>
        <w:numPr>
          <w:ilvl w:val="0"/>
          <w:numId w:val="853"/>
        </w:numPr>
        <w:rPr>
          <w:rFonts w:ascii="Arial" w:cs="Arial" w:eastAsia="Arial" w:hAnsi="Arial"/>
          <w:sz w:val="18"/>
          <w:szCs w:val="18"/>
          <w:color w:val="010000"/>
        </w:rPr>
      </w:pPr>
      <w:r>
        <w:rPr>
          <w:rFonts w:ascii="Arial" w:cs="Arial" w:eastAsia="Arial" w:hAnsi="Arial"/>
          <w:sz w:val="18"/>
          <w:szCs w:val="18"/>
          <w:color w:val="auto"/>
        </w:rPr>
        <w:t>Give notice of sole control or any other instruction under any Control Agreement or other control agreement with any securities intermediary and take any action therein with respect to such Collateral.</w:t>
      </w:r>
    </w:p>
    <w:p>
      <w:pPr>
        <w:spacing w:after="0" w:line="170" w:lineRule="exact"/>
        <w:rPr>
          <w:rFonts w:ascii="Arial" w:cs="Arial" w:eastAsia="Arial" w:hAnsi="Arial"/>
          <w:sz w:val="18"/>
          <w:szCs w:val="18"/>
          <w:color w:val="010000"/>
        </w:rPr>
      </w:pPr>
    </w:p>
    <w:p>
      <w:pPr>
        <w:jc w:val="both"/>
        <w:ind w:left="720" w:hanging="643"/>
        <w:spacing w:after="0" w:line="255" w:lineRule="auto"/>
        <w:tabs>
          <w:tab w:leader="none" w:pos="720" w:val="left"/>
        </w:tabs>
        <w:numPr>
          <w:ilvl w:val="0"/>
          <w:numId w:val="853"/>
        </w:numPr>
        <w:rPr>
          <w:rFonts w:ascii="Arial" w:cs="Arial" w:eastAsia="Arial" w:hAnsi="Arial"/>
          <w:sz w:val="18"/>
          <w:szCs w:val="18"/>
          <w:color w:val="010000"/>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Agent may deem commercially reasonable.</w:t>
      </w:r>
    </w:p>
    <w:p>
      <w:pPr>
        <w:spacing w:after="0" w:line="189" w:lineRule="exact"/>
        <w:rPr>
          <w:rFonts w:ascii="Arial" w:cs="Arial" w:eastAsia="Arial" w:hAnsi="Arial"/>
          <w:sz w:val="18"/>
          <w:szCs w:val="18"/>
          <w:color w:val="010000"/>
        </w:rPr>
      </w:pPr>
    </w:p>
    <w:p>
      <w:pPr>
        <w:jc w:val="both"/>
        <w:ind w:left="720" w:hanging="643"/>
        <w:spacing w:after="0" w:line="297" w:lineRule="auto"/>
        <w:tabs>
          <w:tab w:leader="none" w:pos="720" w:val="left"/>
        </w:tabs>
        <w:numPr>
          <w:ilvl w:val="0"/>
          <w:numId w:val="853"/>
        </w:numPr>
        <w:rPr>
          <w:rFonts w:ascii="Arial" w:cs="Arial" w:eastAsia="Arial" w:hAnsi="Arial"/>
          <w:sz w:val="16"/>
          <w:szCs w:val="16"/>
          <w:color w:val="010000"/>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the ULC Shares, 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Agent was the outright owner thereof.</w:t>
      </w:r>
    </w:p>
    <w:p>
      <w:pPr>
        <w:spacing w:after="0" w:line="158"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5.1.2 </w:t>
      </w:r>
      <w:r>
        <w:rPr>
          <w:rFonts w:ascii="Arial" w:cs="Arial" w:eastAsia="Arial" w:hAnsi="Arial"/>
          <w:sz w:val="18"/>
          <w:szCs w:val="18"/>
          <w:color w:val="000000"/>
        </w:rPr>
        <w:t>The Agent, on behalf of the Secured Parties, shall comply with any applicable state or federal law requirements in connection</w:t>
      </w:r>
      <w:r>
        <w:rPr>
          <w:rFonts w:ascii="Arial" w:cs="Arial" w:eastAsia="Arial" w:hAnsi="Arial"/>
          <w:sz w:val="18"/>
          <w:szCs w:val="18"/>
          <w:color w:val="010000"/>
        </w:rPr>
        <w:t xml:space="preserve"> </w:t>
      </w:r>
      <w:r>
        <w:rPr>
          <w:rFonts w:ascii="Arial" w:cs="Arial" w:eastAsia="Arial" w:hAnsi="Arial"/>
          <w:sz w:val="18"/>
          <w:szCs w:val="18"/>
          <w:color w:val="000000"/>
        </w:rPr>
        <w:t>with a disposition of the Collateral, and such compliance will not be considered to adversely affect the commercial reasonableness of any sale of the Collateral.</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5.1.3 </w:t>
      </w:r>
      <w:r>
        <w:rPr>
          <w:rFonts w:ascii="Arial" w:cs="Arial" w:eastAsia="Arial" w:hAnsi="Arial"/>
          <w:sz w:val="18"/>
          <w:szCs w:val="18"/>
          <w:color w:val="000000"/>
        </w:rPr>
        <w:t>The Agent shall have the right upon any such public sale or sales and, to the extent permitted by law, upon any such private</w:t>
      </w:r>
      <w:r>
        <w:rPr>
          <w:rFonts w:ascii="Arial" w:cs="Arial" w:eastAsia="Arial" w:hAnsi="Arial"/>
          <w:sz w:val="18"/>
          <w:szCs w:val="18"/>
          <w:color w:val="010000"/>
        </w:rPr>
        <w:t xml:space="preserve"> </w:t>
      </w:r>
      <w:r>
        <w:rPr>
          <w:rFonts w:ascii="Arial" w:cs="Arial" w:eastAsia="Arial" w:hAnsi="Arial"/>
          <w:sz w:val="18"/>
          <w:szCs w:val="18"/>
          <w:color w:val="000000"/>
        </w:rPr>
        <w:t>sale or sales, to purchase for the benefit of the Agent and the other Secured Parties, the whole or any part of the Collateral so sold, free of any right of equity redemption, which equity redemption the Grantor hereby expressly releases.</w:t>
      </w:r>
    </w:p>
    <w:p>
      <w:pPr>
        <w:spacing w:after="0" w:line="18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010000"/>
        </w:rPr>
        <w:t xml:space="preserve">5.1.4 </w:t>
      </w:r>
      <w:r>
        <w:rPr>
          <w:rFonts w:ascii="Arial" w:cs="Arial" w:eastAsia="Arial" w:hAnsi="Arial"/>
          <w:sz w:val="18"/>
          <w:szCs w:val="18"/>
          <w:color w:val="000000"/>
        </w:rPr>
        <w:t>Until the Agent is able to effect a sale, lease, or other disposition of Collateral, the Agent shall have the right to hold or use</w:t>
      </w:r>
      <w:r>
        <w:rPr>
          <w:rFonts w:ascii="Arial" w:cs="Arial" w:eastAsia="Arial" w:hAnsi="Arial"/>
          <w:sz w:val="18"/>
          <w:szCs w:val="18"/>
          <w:color w:val="010000"/>
        </w:rPr>
        <w:t xml:space="preserve"> </w:t>
      </w:r>
      <w:r>
        <w:rPr>
          <w:rFonts w:ascii="Arial" w:cs="Arial" w:eastAsia="Arial" w:hAnsi="Arial"/>
          <w:sz w:val="18"/>
          <w:szCs w:val="18"/>
          <w:color w:val="000000"/>
        </w:rPr>
        <w:t>Collateral, or any part thereof, to the extent that it deems appropriate for the purpose of preserving Collateral or its value or for any other purpose deemed appropriate by the Agent. The Agent may, if it so elects, seek the appointment of a receiver or keeper to take possession of Collateral and to enforce any of the Agent’s remedies (for the benefit of the Agent and other Secured Parties), with respect to such appointment without prior notice or hearing as to such appointment.</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10" w:right="239" w:bottom="1440" w:gutter="0" w:footer="0" w:header="0"/>
        </w:sectPr>
      </w:pPr>
    </w:p>
    <w:bookmarkStart w:id="740" w:name="page741"/>
    <w:bookmarkEnd w:id="740"/>
    <w:p>
      <w:pPr>
        <w:jc w:val="both"/>
        <w:ind w:left="660" w:firstLine="972"/>
        <w:spacing w:after="0" w:line="270" w:lineRule="auto"/>
        <w:rPr>
          <w:sz w:val="20"/>
          <w:szCs w:val="20"/>
          <w:color w:val="auto"/>
        </w:rPr>
      </w:pPr>
      <w:r>
        <w:rPr>
          <w:rFonts w:ascii="Arial" w:cs="Arial" w:eastAsia="Arial" w:hAnsi="Arial"/>
          <w:sz w:val="17"/>
          <w:szCs w:val="17"/>
          <w:color w:val="010000"/>
        </w:rPr>
        <w:t xml:space="preserve">5.1.5 </w:t>
      </w:r>
      <w:r>
        <w:rPr>
          <w:rFonts w:ascii="Arial" w:cs="Arial" w:eastAsia="Arial" w:hAnsi="Arial"/>
          <w:sz w:val="17"/>
          <w:szCs w:val="17"/>
          <w:color w:val="000000"/>
        </w:rPr>
        <w:t>Notwithstanding the foregoing, neither the Agent nor any other Secured Party shall be required to (i) make any demand upon,</w:t>
      </w:r>
      <w:r>
        <w:rPr>
          <w:rFonts w:ascii="Arial" w:cs="Arial" w:eastAsia="Arial" w:hAnsi="Arial"/>
          <w:sz w:val="17"/>
          <w:szCs w:val="17"/>
          <w:color w:val="010000"/>
        </w:rPr>
        <w:t xml:space="preserve"> </w:t>
      </w:r>
      <w:r>
        <w:rPr>
          <w:rFonts w:ascii="Arial" w:cs="Arial" w:eastAsia="Arial" w:hAnsi="Arial"/>
          <w:sz w:val="17"/>
          <w:szCs w:val="17"/>
          <w:color w:val="000000"/>
        </w:rPr>
        <w:t>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 To the extent that it lawfully may, each Grantor hereby agrees that it will not invoke any law relating to the marshaling of collateral which might cause delay in or impede the enforcement of Agent's rights and remedies under this Security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182" w:lineRule="exact"/>
        <w:rPr>
          <w:sz w:val="20"/>
          <w:szCs w:val="20"/>
          <w:color w:val="auto"/>
        </w:rPr>
      </w:pPr>
    </w:p>
    <w:p>
      <w:pPr>
        <w:jc w:val="both"/>
        <w:ind w:left="660" w:firstLine="972"/>
        <w:spacing w:after="0" w:line="272" w:lineRule="auto"/>
        <w:rPr>
          <w:sz w:val="20"/>
          <w:szCs w:val="20"/>
          <w:color w:val="auto"/>
        </w:rPr>
      </w:pPr>
      <w:r>
        <w:rPr>
          <w:rFonts w:ascii="Arial" w:cs="Arial" w:eastAsia="Arial" w:hAnsi="Arial"/>
          <w:sz w:val="17"/>
          <w:szCs w:val="17"/>
          <w:color w:val="010000"/>
        </w:rPr>
        <w:t xml:space="preserve">5.1.6 </w:t>
      </w:r>
      <w:r>
        <w:rPr>
          <w:rFonts w:ascii="Arial" w:cs="Arial" w:eastAsia="Arial" w:hAnsi="Arial"/>
          <w:sz w:val="17"/>
          <w:szCs w:val="17"/>
          <w:color w:val="000000"/>
        </w:rPr>
        <w:t>Each Grantor recognizes that the Agent may be unable to effect a public sale of any or all the Pledged Collateral and may be</w:t>
      </w:r>
      <w:r>
        <w:rPr>
          <w:rFonts w:ascii="Arial" w:cs="Arial" w:eastAsia="Arial" w:hAnsi="Arial"/>
          <w:sz w:val="17"/>
          <w:szCs w:val="17"/>
          <w:color w:val="010000"/>
        </w:rPr>
        <w:t xml:space="preserve"> </w:t>
      </w:r>
      <w:r>
        <w:rPr>
          <w:rFonts w:ascii="Arial" w:cs="Arial" w:eastAsia="Arial" w:hAnsi="Arial"/>
          <w:sz w:val="17"/>
          <w:szCs w:val="17"/>
          <w:color w:val="000000"/>
        </w:rPr>
        <w:t xml:space="preserve">compelled to resort to one or more private sales thereof in accordance with </w:t>
      </w:r>
      <w:r>
        <w:rPr>
          <w:rFonts w:ascii="Arial" w:cs="Arial" w:eastAsia="Arial" w:hAnsi="Arial"/>
          <w:sz w:val="17"/>
          <w:szCs w:val="17"/>
          <w:u w:val="single" w:color="auto"/>
          <w:color w:val="000000"/>
        </w:rPr>
        <w:t>Section 5.1.1</w:t>
      </w:r>
      <w:r>
        <w:rPr>
          <w:rFonts w:ascii="Arial" w:cs="Arial" w:eastAsia="Arial" w:hAnsi="Arial"/>
          <w:sz w:val="17"/>
          <w:szCs w:val="17"/>
          <w:color w:val="000000"/>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Grantors’ Obligations Upon Default</w:t>
      </w:r>
      <w:r>
        <w:rPr>
          <w:rFonts w:ascii="Arial" w:cs="Arial" w:eastAsia="Arial" w:hAnsi="Arial"/>
          <w:sz w:val="18"/>
          <w:szCs w:val="18"/>
          <w:color w:val="000000"/>
        </w:rPr>
        <w:t>. Upon the written request of the Agent after the occurrence and during the continuation of an Event</w:t>
      </w:r>
      <w:r>
        <w:rPr>
          <w:rFonts w:ascii="Arial" w:cs="Arial" w:eastAsia="Arial" w:hAnsi="Arial"/>
          <w:sz w:val="18"/>
          <w:szCs w:val="18"/>
          <w:color w:val="010000"/>
        </w:rPr>
        <w:t xml:space="preserve"> </w:t>
      </w:r>
      <w:r>
        <w:rPr>
          <w:rFonts w:ascii="Arial" w:cs="Arial" w:eastAsia="Arial" w:hAnsi="Arial"/>
          <w:sz w:val="18"/>
          <w:szCs w:val="18"/>
          <w:color w:val="000000"/>
        </w:rPr>
        <w:t>of Default, subject to the Intercreditor Agreement, each Grantor will:</w:t>
      </w:r>
    </w:p>
    <w:p>
      <w:pPr>
        <w:spacing w:after="0" w:line="170" w:lineRule="exact"/>
        <w:rPr>
          <w:sz w:val="20"/>
          <w:szCs w:val="20"/>
          <w:color w:val="auto"/>
        </w:rPr>
      </w:pPr>
    </w:p>
    <w:p>
      <w:pPr>
        <w:jc w:val="both"/>
        <w:ind w:left="660" w:firstLine="972"/>
        <w:spacing w:after="0" w:line="277" w:lineRule="auto"/>
        <w:rPr>
          <w:sz w:val="20"/>
          <w:szCs w:val="20"/>
          <w:color w:val="auto"/>
        </w:rPr>
      </w:pPr>
      <w:r>
        <w:rPr>
          <w:rFonts w:ascii="Arial" w:cs="Arial" w:eastAsia="Arial" w:hAnsi="Arial"/>
          <w:sz w:val="18"/>
          <w:szCs w:val="18"/>
          <w:color w:val="010000"/>
        </w:rPr>
        <w:t xml:space="preserve">5.2.1 </w:t>
      </w:r>
      <w:r>
        <w:rPr>
          <w:rFonts w:ascii="Arial" w:cs="Arial" w:eastAsia="Arial" w:hAnsi="Arial"/>
          <w:sz w:val="18"/>
          <w:szCs w:val="18"/>
          <w:u w:val="single" w:color="auto"/>
          <w:color w:val="000000"/>
        </w:rPr>
        <w:t>Assembly of Collateral</w:t>
      </w:r>
      <w:r>
        <w:rPr>
          <w:rFonts w:ascii="Arial" w:cs="Arial" w:eastAsia="Arial" w:hAnsi="Arial"/>
          <w:sz w:val="18"/>
          <w:szCs w:val="18"/>
          <w:color w:val="000000"/>
        </w:rPr>
        <w:t>. Assemble and make available to the Agent the Collateral and all books and records relating thereto at</w:t>
      </w:r>
      <w:r>
        <w:rPr>
          <w:rFonts w:ascii="Arial" w:cs="Arial" w:eastAsia="Arial" w:hAnsi="Arial"/>
          <w:sz w:val="18"/>
          <w:szCs w:val="18"/>
          <w:color w:val="010000"/>
        </w:rPr>
        <w:t xml:space="preserve"> </w:t>
      </w:r>
      <w:r>
        <w:rPr>
          <w:rFonts w:ascii="Arial" w:cs="Arial" w:eastAsia="Arial" w:hAnsi="Arial"/>
          <w:sz w:val="18"/>
          <w:szCs w:val="18"/>
          <w:color w:val="000000"/>
        </w:rPr>
        <w:t>any place or places specified in writing by the Agent.</w:t>
      </w:r>
    </w:p>
    <w:p>
      <w:pPr>
        <w:spacing w:after="0" w:line="170" w:lineRule="exact"/>
        <w:rPr>
          <w:sz w:val="20"/>
          <w:szCs w:val="20"/>
          <w:color w:val="auto"/>
        </w:rPr>
      </w:pPr>
    </w:p>
    <w:p>
      <w:pPr>
        <w:jc w:val="both"/>
        <w:ind w:left="660" w:firstLine="972"/>
        <w:spacing w:after="0" w:line="279" w:lineRule="auto"/>
        <w:rPr>
          <w:sz w:val="20"/>
          <w:szCs w:val="20"/>
          <w:color w:val="auto"/>
        </w:rPr>
      </w:pPr>
      <w:r>
        <w:rPr>
          <w:rFonts w:ascii="Arial" w:cs="Arial" w:eastAsia="Arial" w:hAnsi="Arial"/>
          <w:sz w:val="17"/>
          <w:szCs w:val="17"/>
          <w:color w:val="010000"/>
        </w:rPr>
        <w:t xml:space="preserve">5.2.2 </w:t>
      </w:r>
      <w:r>
        <w:rPr>
          <w:rFonts w:ascii="Arial" w:cs="Arial" w:eastAsia="Arial" w:hAnsi="Arial"/>
          <w:sz w:val="17"/>
          <w:szCs w:val="17"/>
          <w:u w:val="single" w:color="auto"/>
          <w:color w:val="000000"/>
        </w:rPr>
        <w:t>Secured Party Access</w:t>
      </w:r>
      <w:r>
        <w:rPr>
          <w:rFonts w:ascii="Arial" w:cs="Arial" w:eastAsia="Arial" w:hAnsi="Arial"/>
          <w:sz w:val="17"/>
          <w:szCs w:val="17"/>
          <w:color w:val="000000"/>
        </w:rPr>
        <w:t>. Permit the Agent, by the Agent’s representatives and agents, to enter, occupy and use any premises</w:t>
      </w:r>
      <w:r>
        <w:rPr>
          <w:rFonts w:ascii="Arial" w:cs="Arial" w:eastAsia="Arial" w:hAnsi="Arial"/>
          <w:sz w:val="17"/>
          <w:szCs w:val="17"/>
          <w:color w:val="010000"/>
        </w:rPr>
        <w:t xml:space="preserve"> </w:t>
      </w:r>
      <w:r>
        <w:rPr>
          <w:rFonts w:ascii="Arial" w:cs="Arial" w:eastAsia="Arial" w:hAnsi="Arial"/>
          <w:sz w:val="17"/>
          <w:szCs w:val="17"/>
          <w:color w:val="000000"/>
        </w:rPr>
        <w:t>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71"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18"/>
          <w:szCs w:val="18"/>
          <w:color w:val="010000"/>
        </w:rPr>
        <w:t xml:space="preserve">5.2.3 </w:t>
      </w:r>
      <w:r>
        <w:rPr>
          <w:rFonts w:ascii="Arial" w:cs="Arial" w:eastAsia="Arial" w:hAnsi="Arial"/>
          <w:sz w:val="18"/>
          <w:szCs w:val="18"/>
          <w:color w:val="000000"/>
        </w:rPr>
        <w:t>Prepare and file, or cause an issuer of Pledged Collateral to prepare and file, with the SEC or any other applicable government</w:t>
      </w:r>
      <w:r>
        <w:rPr>
          <w:rFonts w:ascii="Arial" w:cs="Arial" w:eastAsia="Arial" w:hAnsi="Arial"/>
          <w:sz w:val="18"/>
          <w:szCs w:val="18"/>
          <w:color w:val="010000"/>
        </w:rPr>
        <w:t xml:space="preserve"> </w:t>
      </w:r>
      <w:r>
        <w:rPr>
          <w:rFonts w:ascii="Arial" w:cs="Arial" w:eastAsia="Arial" w:hAnsi="Arial"/>
          <w:sz w:val="18"/>
          <w:szCs w:val="18"/>
          <w:color w:val="000000"/>
        </w:rPr>
        <w:t>agency, registration statements, a prospectus and such other documentation in connection with the Pledged Collateral as the Agent may request, all in form and substance reasonably satisfactory to the Agent, and furnish to the Agent, or cause an issuer of Pledged Collateral to furnish to the Agent, any information regarding the Pledged Collateral in such detail as the Agent may specify.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41" w:name="page742"/>
    <w:bookmarkEnd w:id="741"/>
    <w:p>
      <w:pPr>
        <w:jc w:val="both"/>
        <w:ind w:left="660" w:firstLine="972"/>
        <w:spacing w:after="0" w:line="264" w:lineRule="auto"/>
        <w:rPr>
          <w:sz w:val="20"/>
          <w:szCs w:val="20"/>
          <w:color w:val="auto"/>
        </w:rPr>
      </w:pPr>
      <w:r>
        <w:rPr>
          <w:rFonts w:ascii="Arial" w:cs="Arial" w:eastAsia="Arial" w:hAnsi="Arial"/>
          <w:sz w:val="18"/>
          <w:szCs w:val="18"/>
          <w:color w:val="010000"/>
        </w:rPr>
        <w:t xml:space="preserve">5.2.4 </w:t>
      </w:r>
      <w:r>
        <w:rPr>
          <w:rFonts w:ascii="Arial" w:cs="Arial" w:eastAsia="Arial" w:hAnsi="Arial"/>
          <w:sz w:val="18"/>
          <w:szCs w:val="18"/>
          <w:color w:val="000000"/>
        </w:rPr>
        <w:t>Subject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4.6.4</w:t>
      </w:r>
      <w:r>
        <w:rPr>
          <w:rFonts w:ascii="Arial" w:cs="Arial" w:eastAsia="Arial" w:hAnsi="Arial"/>
          <w:sz w:val="18"/>
          <w:szCs w:val="18"/>
          <w:color w:val="010000"/>
        </w:rPr>
        <w:t xml:space="preserve"> </w:t>
      </w:r>
      <w:r>
        <w:rPr>
          <w:rFonts w:ascii="Arial" w:cs="Arial" w:eastAsia="Arial" w:hAnsi="Arial"/>
          <w:sz w:val="18"/>
          <w:szCs w:val="18"/>
          <w:color w:val="000000"/>
        </w:rPr>
        <w:t>hereof in the case of ULC Shares, take, or cause an issuer of Pledged Collateral to take, any and all</w:t>
      </w:r>
      <w:r>
        <w:rPr>
          <w:rFonts w:ascii="Arial" w:cs="Arial" w:eastAsia="Arial" w:hAnsi="Arial"/>
          <w:sz w:val="18"/>
          <w:szCs w:val="18"/>
          <w:color w:val="010000"/>
        </w:rPr>
        <w:t xml:space="preserve"> </w:t>
      </w:r>
      <w:r>
        <w:rPr>
          <w:rFonts w:ascii="Arial" w:cs="Arial" w:eastAsia="Arial" w:hAnsi="Arial"/>
          <w:sz w:val="18"/>
          <w:szCs w:val="18"/>
          <w:color w:val="000000"/>
        </w:rPr>
        <w:t>actions necessary to register or qualify the Pledged Collateral to enable the Agent to consummate a public sale or other disposition of the Pledged Collateral.</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5.3. </w:t>
      </w:r>
      <w:r>
        <w:rPr>
          <w:rFonts w:ascii="Arial" w:cs="Arial" w:eastAsia="Arial" w:hAnsi="Arial"/>
          <w:sz w:val="16"/>
          <w:szCs w:val="16"/>
          <w:u w:val="single" w:color="auto"/>
          <w:color w:val="000000"/>
        </w:rPr>
        <w:t>License</w:t>
      </w:r>
      <w:r>
        <w:rPr>
          <w:rFonts w:ascii="Arial" w:cs="Arial" w:eastAsia="Arial" w:hAnsi="Arial"/>
          <w:sz w:val="16"/>
          <w:szCs w:val="16"/>
          <w:color w:val="000000"/>
        </w:rPr>
        <w:t>. The Agent is hereby granted a sublicenseable license or other right to use, following the occurrence and during the continuance</w:t>
      </w:r>
      <w:r>
        <w:rPr>
          <w:rFonts w:ascii="Arial" w:cs="Arial" w:eastAsia="Arial" w:hAnsi="Arial"/>
          <w:sz w:val="16"/>
          <w:szCs w:val="16"/>
          <w:color w:val="010000"/>
        </w:rPr>
        <w:t xml:space="preserve"> </w:t>
      </w:r>
      <w:r>
        <w:rPr>
          <w:rFonts w:ascii="Arial" w:cs="Arial" w:eastAsia="Arial" w:hAnsi="Arial"/>
          <w:sz w:val="16"/>
          <w:szCs w:val="16"/>
          <w:color w:val="000000"/>
        </w:rPr>
        <w:t>of an Event of Default and, subject to the Intercreditor Agreement, without charge, each Grantor’s Intellectual Property constituting Collateral and to access all media and materials containing same. In addition, each Grantor hereby irrevocably agrees that the Agent may, following the occurrence and during the continuance of an Event of Default, subject to the Intercreditor Agreement, sell any of such Grantor’s Inventory constituting Collateral directly to any person, including without limitation persons who have previously purchased such Grantor’s Inventory from such Grantor and in connection with any such sale or other enforcement of the Agent’s rights under this Security Agreement, may sell such Inventory which bears any trademark owned by or licensed to such Grantor and any such Inventory that is covered by any copyright owned by or licensed to such Grantor and the Agent may (but shall have no obligation to) finish any work in process and affix any Trademark owned by or licensed to such Grantor and sell such Inventory as provided herein.</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Remedies Cumulative.</w:t>
      </w:r>
      <w:r>
        <w:rPr>
          <w:rFonts w:ascii="Arial" w:cs="Arial" w:eastAsia="Arial" w:hAnsi="Arial"/>
          <w:sz w:val="17"/>
          <w:szCs w:val="17"/>
          <w:color w:val="010000"/>
        </w:rPr>
        <w:t xml:space="preserve"> </w:t>
      </w:r>
      <w:r>
        <w:rPr>
          <w:rFonts w:ascii="Arial" w:cs="Arial" w:eastAsia="Arial" w:hAnsi="Arial"/>
          <w:sz w:val="17"/>
          <w:szCs w:val="17"/>
          <w:color w:val="000000"/>
        </w:rPr>
        <w:t>Each right, power, and remedy of Agent or any other Secured Party as provided for in this Security Agreement,</w:t>
      </w:r>
      <w:r>
        <w:rPr>
          <w:rFonts w:ascii="Arial" w:cs="Arial" w:eastAsia="Arial" w:hAnsi="Arial"/>
          <w:sz w:val="17"/>
          <w:szCs w:val="17"/>
          <w:color w:val="010000"/>
        </w:rPr>
        <w:t xml:space="preserve"> </w:t>
      </w:r>
      <w:r>
        <w:rPr>
          <w:rFonts w:ascii="Arial" w:cs="Arial" w:eastAsia="Arial" w:hAnsi="Arial"/>
          <w:sz w:val="17"/>
          <w:szCs w:val="17"/>
          <w:color w:val="000000"/>
        </w:rPr>
        <w:t>the other Loan Documents, any Swap Agreements or any Banking Services Agreements now or hereafter existing at law or in equity or by statute or otherwise shall be cumulative and concurrent and shall be in addition to every other right, power, or remedy provided for in this Security Agreement, the other Loan Documents, any Swap Agreements or any Banking Services Agreements now or hereafter existing at law or in equity or by statute or otherwise, and the exercise or beginning of the exercise by Agent or any other Secured Party of any one or more of such rights, powers, or remedies shall not preclude the simultaneous or later exercise by Agent or such other Secured Parties of any or all such other rights, powers, or remedies.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WAIVERS, AMENDMENTS AND REMEDIES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No delay or omission of the Agent or any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Agent and each Grantor, and then only to the extent in such writing specifically set forth;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addition of any Subsidiary as a Grantor hereunder by execution of a Security Agreement Supplement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(with such modifications as shall be acceptable to the Agent) shall not require receipt of any consent from or execution of any documentation by any other Grantor party hereto. All rights and remedies contained in this Security Agreement or by law afforded shall be cumulative and all shall be available to the Agent and the Secured Parties until the Secured Obligations have been paid in full.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2" w:name="page743"/>
    <w:bookmarkEnd w:id="742"/>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PROCEEDS; COLLECTION OF RECEIVABLES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u w:val="single" w:color="auto"/>
          <w:color w:val="000000"/>
        </w:rPr>
        <w:t>Lockboxes</w:t>
      </w:r>
      <w:r>
        <w:rPr>
          <w:rFonts w:ascii="Arial" w:cs="Arial" w:eastAsia="Arial" w:hAnsi="Arial"/>
          <w:sz w:val="18"/>
          <w:szCs w:val="18"/>
          <w:color w:val="000000"/>
        </w:rPr>
        <w:t>. Upon request of the Agent after the occurrence and during the continuation of an Event of Default and subject to the</w:t>
      </w:r>
      <w:r>
        <w:rPr>
          <w:rFonts w:ascii="Arial" w:cs="Arial" w:eastAsia="Arial" w:hAnsi="Arial"/>
          <w:sz w:val="18"/>
          <w:szCs w:val="18"/>
          <w:color w:val="010000"/>
        </w:rPr>
        <w:t xml:space="preserve"> </w:t>
      </w:r>
      <w:r>
        <w:rPr>
          <w:rFonts w:ascii="Arial" w:cs="Arial" w:eastAsia="Arial" w:hAnsi="Arial"/>
          <w:sz w:val="18"/>
          <w:szCs w:val="18"/>
          <w:color w:val="000000"/>
        </w:rPr>
        <w:t>Intercreditor Agreement, each Grantor shall execute and deliver to the Agent irrevocable lockbox agreements in the form provided by or otherwise reasonably acceptable to the Agent, which agreements, if so required by the Agent, shall be accompanied by an acknowledgment by the bank where the lockbox is located of the Lien of the Agent granted hereunder and of irrevocable instructions to wire all amounts collected therein to a special collateral account at the Agent.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7.2. </w:t>
      </w:r>
      <w:r>
        <w:rPr>
          <w:rFonts w:ascii="Arial" w:cs="Arial" w:eastAsia="Arial" w:hAnsi="Arial"/>
          <w:sz w:val="16"/>
          <w:szCs w:val="16"/>
          <w:u w:val="single" w:color="auto"/>
          <w:color w:val="000000"/>
        </w:rPr>
        <w:t>Collection of Receivables</w:t>
      </w:r>
      <w:r>
        <w:rPr>
          <w:rFonts w:ascii="Arial" w:cs="Arial" w:eastAsia="Arial" w:hAnsi="Arial"/>
          <w:sz w:val="16"/>
          <w:szCs w:val="16"/>
          <w:color w:val="000000"/>
        </w:rPr>
        <w:t>. The Agent may at any time after the occurrence and during the continuation of an Event of Default and subject to</w:t>
      </w:r>
      <w:r>
        <w:rPr>
          <w:rFonts w:ascii="Arial" w:cs="Arial" w:eastAsia="Arial" w:hAnsi="Arial"/>
          <w:sz w:val="16"/>
          <w:szCs w:val="16"/>
          <w:color w:val="010000"/>
        </w:rPr>
        <w:t xml:space="preserve"> </w:t>
      </w:r>
      <w:r>
        <w:rPr>
          <w:rFonts w:ascii="Arial" w:cs="Arial" w:eastAsia="Arial" w:hAnsi="Arial"/>
          <w:sz w:val="16"/>
          <w:szCs w:val="16"/>
          <w:color w:val="000000"/>
        </w:rPr>
        <w:t xml:space="preserve">the Intercreditor Agreement, by giving each Grantor written notice, elect to require that the Receivables be paid directly to the Agent for the benefit of the Secured Parties. In such event, subject to the Intercreditor Agreement, each Grantor shall, and shall permit the Agent to, promptly notify the account debtors or obligors under the Receivables owned by such Grantor of the Agent’s interest therein and direct such account debtors or obligors to make payment of all amounts then or thereafter due under such Receivables directly to the Agent. Upon receipt of any such notice from the Agent, each Grantor shall thereafter during the continuation of any Event of Default and subject to the Intercreditor Agreement hold in trust for the Agent, on behalf of the Secured Parties, all amounts and proceeds received by it with respect to the Receivables and Other Collateral and immediately and at all times thereafter deliver to the Agent all such amounts and proceeds in the same form as so received, whether by cash, check, draft or otherwise, with any necessary endorsements. The Agent shall hold and apply funds so received as provided by the terms of </w:t>
      </w:r>
      <w:r>
        <w:rPr>
          <w:rFonts w:ascii="Arial" w:cs="Arial" w:eastAsia="Arial" w:hAnsi="Arial"/>
          <w:sz w:val="16"/>
          <w:szCs w:val="16"/>
          <w:u w:val="single" w:color="auto"/>
          <w:color w:val="000000"/>
        </w:rPr>
        <w:t>Sections 7.3</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7.4</w:t>
      </w:r>
      <w:r>
        <w:rPr>
          <w:rFonts w:ascii="Arial" w:cs="Arial" w:eastAsia="Arial" w:hAnsi="Arial"/>
          <w:sz w:val="16"/>
          <w:szCs w:val="16"/>
          <w:color w:val="000000"/>
        </w:rPr>
        <w:t xml:space="preserve"> hereof.</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7.3. </w:t>
      </w:r>
      <w:r>
        <w:rPr>
          <w:rFonts w:ascii="Arial" w:cs="Arial" w:eastAsia="Arial" w:hAnsi="Arial"/>
          <w:sz w:val="18"/>
          <w:szCs w:val="18"/>
          <w:u w:val="single" w:color="auto"/>
          <w:color w:val="000000"/>
        </w:rPr>
        <w:t>Special Collateral Account</w:t>
      </w:r>
      <w:r>
        <w:rPr>
          <w:rFonts w:ascii="Arial" w:cs="Arial" w:eastAsia="Arial" w:hAnsi="Arial"/>
          <w:sz w:val="18"/>
          <w:szCs w:val="18"/>
          <w:color w:val="000000"/>
        </w:rPr>
        <w:t>. Upon the occurrence and during the continuation of an Event of Default and subject to the Intercreditor</w:t>
      </w:r>
      <w:r>
        <w:rPr>
          <w:rFonts w:ascii="Arial" w:cs="Arial" w:eastAsia="Arial" w:hAnsi="Arial"/>
          <w:sz w:val="18"/>
          <w:szCs w:val="18"/>
          <w:color w:val="010000"/>
        </w:rPr>
        <w:t xml:space="preserve"> </w:t>
      </w:r>
      <w:r>
        <w:rPr>
          <w:rFonts w:ascii="Arial" w:cs="Arial" w:eastAsia="Arial" w:hAnsi="Arial"/>
          <w:sz w:val="18"/>
          <w:szCs w:val="18"/>
          <w:color w:val="000000"/>
        </w:rPr>
        <w:t>Agreement, the Agent may require, by giving the Grantors written notice, that all cash proceeds of the Collateral to be deposited in a special non- interest bearing cash collateral account with the Agent and held there as security for the Secured Obligations. No Grantor shall have any control whatsoever over such cash collateral account. The Agent shall from time to time deposit the collected balances in such cash collateral account into the applicable Grantor’s general operating account with the Agent. Subject to the Intercreditor Agreement, if any Event of Default has occurred and is continuing, the Agent may (and shall, at the direction of the Required Lenders), from time to time, apply the collected balances in such cash collateral account to the payment of the Secured Obligations.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7.4. </w:t>
      </w:r>
      <w:r>
        <w:rPr>
          <w:rFonts w:ascii="Arial" w:cs="Arial" w:eastAsia="Arial" w:hAnsi="Arial"/>
          <w:sz w:val="18"/>
          <w:szCs w:val="18"/>
          <w:u w:val="single" w:color="auto"/>
          <w:color w:val="000000"/>
        </w:rPr>
        <w:t>Application of Proceeds</w:t>
      </w:r>
      <w:r>
        <w:rPr>
          <w:rFonts w:ascii="Arial" w:cs="Arial" w:eastAsia="Arial" w:hAnsi="Arial"/>
          <w:sz w:val="18"/>
          <w:szCs w:val="18"/>
          <w:color w:val="000000"/>
        </w:rPr>
        <w:t>. Subject to the Intercreditor Agreement, the proceeds of the Collateral shall be applied by the Agent to payment of</w:t>
      </w:r>
      <w:r>
        <w:rPr>
          <w:rFonts w:ascii="Arial" w:cs="Arial" w:eastAsia="Arial" w:hAnsi="Arial"/>
          <w:sz w:val="18"/>
          <w:szCs w:val="18"/>
          <w:color w:val="010000"/>
        </w:rPr>
        <w:t xml:space="preserve"> </w:t>
      </w:r>
      <w:r>
        <w:rPr>
          <w:rFonts w:ascii="Arial" w:cs="Arial" w:eastAsia="Arial" w:hAnsi="Arial"/>
          <w:sz w:val="18"/>
          <w:szCs w:val="18"/>
          <w:color w:val="000000"/>
        </w:rPr>
        <w:t>the Secured Obligations of the Grantors, as provided under Sections 4.01 and 9.04 of the LC Credit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9" w:right="339" w:bottom="1440" w:gutter="0" w:footer="0" w:header="0"/>
        </w:sectPr>
      </w:pPr>
    </w:p>
    <w:bookmarkStart w:id="743" w:name="page744"/>
    <w:bookmarkEnd w:id="743"/>
    <w:p>
      <w:pPr>
        <w:ind w:left="340"/>
        <w:spacing w:after="0"/>
        <w:rPr>
          <w:sz w:val="20"/>
          <w:szCs w:val="20"/>
          <w:color w:val="auto"/>
        </w:rPr>
      </w:pPr>
      <w:r>
        <w:rPr>
          <w:rFonts w:ascii="Arial" w:cs="Arial" w:eastAsia="Arial" w:hAnsi="Arial"/>
          <w:sz w:val="18"/>
          <w:szCs w:val="18"/>
          <w:color w:val="010000"/>
        </w:rPr>
        <w:t xml:space="preserve">7.5.  </w:t>
      </w:r>
      <w:r>
        <w:rPr>
          <w:rFonts w:ascii="Arial" w:cs="Arial" w:eastAsia="Arial" w:hAnsi="Arial"/>
          <w:sz w:val="18"/>
          <w:szCs w:val="18"/>
          <w:u w:val="single" w:color="auto"/>
          <w:color w:val="000000"/>
        </w:rPr>
        <w:t>Swiss Limitations</w:t>
      </w:r>
      <w:r>
        <w:rPr>
          <w:rFonts w:ascii="Arial" w:cs="Arial" w:eastAsia="Arial" w:hAnsi="Arial"/>
          <w:sz w:val="18"/>
          <w:szCs w:val="18"/>
          <w:color w:val="000000"/>
        </w:rPr>
        <w:t>.</w:t>
      </w:r>
    </w:p>
    <w:p>
      <w:pPr>
        <w:spacing w:after="0" w:line="225" w:lineRule="exact"/>
        <w:rPr>
          <w:sz w:val="20"/>
          <w:szCs w:val="20"/>
          <w:color w:val="auto"/>
        </w:rPr>
      </w:pPr>
    </w:p>
    <w:p>
      <w:pPr>
        <w:jc w:val="both"/>
        <w:ind w:right="100" w:firstLine="972"/>
        <w:spacing w:after="0" w:line="269" w:lineRule="auto"/>
        <w:rPr>
          <w:sz w:val="20"/>
          <w:szCs w:val="20"/>
          <w:color w:val="auto"/>
        </w:rPr>
      </w:pPr>
      <w:r>
        <w:rPr>
          <w:rFonts w:ascii="Arial" w:cs="Arial" w:eastAsia="Arial" w:hAnsi="Arial"/>
          <w:sz w:val="17"/>
          <w:szCs w:val="17"/>
          <w:color w:val="010000"/>
        </w:rPr>
        <w:t xml:space="preserve">7.5.1 </w:t>
      </w:r>
      <w:r>
        <w:rPr>
          <w:rFonts w:ascii="Arial" w:cs="Arial" w:eastAsia="Arial" w:hAnsi="Arial"/>
          <w:sz w:val="17"/>
          <w:szCs w:val="17"/>
          <w:color w:val="000000"/>
        </w:rPr>
        <w:t>If and to the extent that the security granted by a Grantor incorporated in Switzerland and/or having its registered office in</w:t>
      </w:r>
      <w:r>
        <w:rPr>
          <w:rFonts w:ascii="Arial" w:cs="Arial" w:eastAsia="Arial" w:hAnsi="Arial"/>
          <w:sz w:val="17"/>
          <w:szCs w:val="17"/>
          <w:color w:val="010000"/>
        </w:rPr>
        <w:t xml:space="preserve"> </w:t>
      </w:r>
      <w:r>
        <w:rPr>
          <w:rFonts w:ascii="Arial" w:cs="Arial" w:eastAsia="Arial" w:hAnsi="Arial"/>
          <w:sz w:val="17"/>
          <w:szCs w:val="17"/>
          <w:color w:val="000000"/>
        </w:rPr>
        <w:t>Switzerland and/or qualifying as a Swiss resident pursuant to art. 9 of the Swiss Withholding Tax Act (the “</w:t>
      </w:r>
      <w:r>
        <w:rPr>
          <w:rFonts w:ascii="Arial" w:cs="Arial" w:eastAsia="Arial" w:hAnsi="Arial"/>
          <w:sz w:val="17"/>
          <w:szCs w:val="17"/>
          <w:u w:val="single" w:color="auto"/>
          <w:color w:val="000000"/>
        </w:rPr>
        <w:t>Swiss Grantor</w:t>
      </w:r>
      <w:r>
        <w:rPr>
          <w:rFonts w:ascii="Arial" w:cs="Arial" w:eastAsia="Arial" w:hAnsi="Arial"/>
          <w:sz w:val="17"/>
          <w:szCs w:val="17"/>
          <w:color w:val="000000"/>
        </w:rPr>
        <w:t>”) under this Security Agreement secures obligations other than obligations of one of its direct or indirect subsidiaries (i.e. obligations of the Swiss Grantor's direct or indirect parent companies (up-stream liabilities) or sister companies (cross-stream liabilities)) (the “</w:t>
      </w:r>
      <w:r>
        <w:rPr>
          <w:rFonts w:ascii="Arial" w:cs="Arial" w:eastAsia="Arial" w:hAnsi="Arial"/>
          <w:sz w:val="17"/>
          <w:szCs w:val="17"/>
          <w:u w:val="single" w:color="auto"/>
          <w:color w:val="000000"/>
        </w:rPr>
        <w:t>Restricted Obligations</w:t>
      </w:r>
      <w:r>
        <w:rPr>
          <w:rFonts w:ascii="Arial" w:cs="Arial" w:eastAsia="Arial" w:hAnsi="Arial"/>
          <w:sz w:val="17"/>
          <w:szCs w:val="17"/>
          <w:b w:val="1"/>
          <w:bCs w:val="1"/>
          <w:color w:val="000000"/>
        </w:rPr>
        <w:t>”</w:t>
      </w:r>
      <w:r>
        <w:rPr>
          <w:rFonts w:ascii="Arial" w:cs="Arial" w:eastAsia="Arial" w:hAnsi="Arial"/>
          <w:sz w:val="17"/>
          <w:szCs w:val="17"/>
          <w:color w:val="000000"/>
        </w:rPr>
        <w:t>) and that using the proceeds from the enforcement of such security would under Swiss corporate law (</w:t>
      </w:r>
      <w:r>
        <w:rPr>
          <w:rFonts w:ascii="Arial" w:cs="Arial" w:eastAsia="Arial" w:hAnsi="Arial"/>
          <w:sz w:val="17"/>
          <w:szCs w:val="17"/>
          <w:i w:val="1"/>
          <w:iCs w:val="1"/>
          <w:color w:val="000000"/>
        </w:rPr>
        <w:t>inter alia</w:t>
      </w:r>
      <w:r>
        <w:rPr>
          <w:rFonts w:ascii="Arial" w:cs="Arial" w:eastAsia="Arial" w:hAnsi="Arial"/>
          <w:sz w:val="17"/>
          <w:szCs w:val="17"/>
          <w:color w:val="000000"/>
        </w:rPr>
        <w:t xml:space="preserve">, prohibiting capital repayments or restricting profit distributions) not be permitted at such time, then the proceeds from the enforcement of such security to be applied towards discharging Restricted Obligations shall from time to time be limited to the amount permitted under applicable Swiss law; </w:t>
      </w:r>
      <w:r>
        <w:rPr>
          <w:rFonts w:ascii="Arial" w:cs="Arial" w:eastAsia="Arial" w:hAnsi="Arial"/>
          <w:sz w:val="17"/>
          <w:szCs w:val="17"/>
          <w:u w:val="single" w:color="auto"/>
          <w:color w:val="000000"/>
        </w:rPr>
        <w:t>provided</w:t>
      </w:r>
      <w:r>
        <w:rPr>
          <w:rFonts w:ascii="Arial" w:cs="Arial" w:eastAsia="Arial" w:hAnsi="Arial"/>
          <w:sz w:val="17"/>
          <w:szCs w:val="17"/>
          <w:color w:val="000000"/>
        </w:rPr>
        <w:t>, that such limited amount shall at no time be less than the Swiss Grantor's distributable capital (presently being the balance sheet profits and any reserves available for distribution) at the time or times of enforcement for Restricted Obligations, and further provided that such limitation (as may apply from time to time or not) shall not (generally or definitively) affect the security granted by the Swiss Grantor under this Security Agreement in excess thereof, but merely postpone the time of using such proceeds from Enforcement of such security until such times as application towards discharging the Restricted Obligations is again permitted notwithstanding such limitation.</w:t>
      </w:r>
    </w:p>
    <w:p>
      <w:pPr>
        <w:spacing w:after="0" w:line="180" w:lineRule="exact"/>
        <w:rPr>
          <w:sz w:val="20"/>
          <w:szCs w:val="20"/>
          <w:color w:val="auto"/>
        </w:rPr>
      </w:pPr>
    </w:p>
    <w:p>
      <w:pPr>
        <w:jc w:val="both"/>
        <w:ind w:right="100" w:firstLine="972"/>
        <w:spacing w:after="0" w:line="277" w:lineRule="auto"/>
        <w:rPr>
          <w:sz w:val="20"/>
          <w:szCs w:val="20"/>
          <w:color w:val="auto"/>
        </w:rPr>
      </w:pPr>
      <w:r>
        <w:rPr>
          <w:rFonts w:ascii="Arial" w:cs="Arial" w:eastAsia="Arial" w:hAnsi="Arial"/>
          <w:sz w:val="18"/>
          <w:szCs w:val="18"/>
          <w:color w:val="010000"/>
        </w:rPr>
        <w:t xml:space="preserve">7.5.2 </w:t>
      </w:r>
      <w:r>
        <w:rPr>
          <w:rFonts w:ascii="Arial" w:cs="Arial" w:eastAsia="Arial" w:hAnsi="Arial"/>
          <w:sz w:val="18"/>
          <w:szCs w:val="18"/>
          <w:color w:val="000000"/>
        </w:rPr>
        <w:t>In case the Swiss Grantor who must make a payment in respect of Restricted Obligations under this Security Agreement is</w:t>
      </w:r>
      <w:r>
        <w:rPr>
          <w:rFonts w:ascii="Arial" w:cs="Arial" w:eastAsia="Arial" w:hAnsi="Arial"/>
          <w:sz w:val="18"/>
          <w:szCs w:val="18"/>
          <w:color w:val="010000"/>
        </w:rPr>
        <w:t xml:space="preserve"> </w:t>
      </w:r>
      <w:r>
        <w:rPr>
          <w:rFonts w:ascii="Arial" w:cs="Arial" w:eastAsia="Arial" w:hAnsi="Arial"/>
          <w:sz w:val="18"/>
          <w:szCs w:val="18"/>
          <w:color w:val="000000"/>
        </w:rPr>
        <w:t>obliged to withhold Swiss Withholding Tax in respect of such payment, the Swiss Grantor shall:</w:t>
      </w:r>
    </w:p>
    <w:p>
      <w:pPr>
        <w:spacing w:after="0" w:line="170" w:lineRule="exact"/>
        <w:rPr>
          <w:sz w:val="20"/>
          <w:szCs w:val="20"/>
          <w:color w:val="auto"/>
        </w:rPr>
      </w:pPr>
    </w:p>
    <w:p>
      <w:pPr>
        <w:jc w:val="both"/>
        <w:ind w:left="1300" w:hanging="652"/>
        <w:spacing w:after="0" w:line="264" w:lineRule="auto"/>
        <w:tabs>
          <w:tab w:leader="none" w:pos="130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w:t>
      </w:r>
    </w:p>
    <w:p>
      <w:pPr>
        <w:spacing w:after="0" w:line="181" w:lineRule="exact"/>
        <w:rPr>
          <w:rFonts w:ascii="Arial" w:cs="Arial" w:eastAsia="Arial" w:hAnsi="Arial"/>
          <w:sz w:val="18"/>
          <w:szCs w:val="18"/>
          <w:color w:val="auto"/>
        </w:rPr>
      </w:pPr>
    </w:p>
    <w:p>
      <w:pPr>
        <w:jc w:val="both"/>
        <w:ind w:left="1300" w:hanging="652"/>
        <w:spacing w:after="0" w:line="257" w:lineRule="auto"/>
        <w:tabs>
          <w:tab w:leader="none" w:pos="130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 xml:space="preserve">if the notification procedure pursuant to </w:t>
      </w:r>
      <w:r>
        <w:rPr>
          <w:rFonts w:ascii="Arial" w:cs="Arial" w:eastAsia="Arial" w:hAnsi="Arial"/>
          <w:sz w:val="18"/>
          <w:szCs w:val="18"/>
          <w:u w:val="single" w:color="auto"/>
          <w:color w:val="auto"/>
        </w:rPr>
        <w:t>Section 7.5.2(i)</w:t>
      </w:r>
      <w:r>
        <w:rPr>
          <w:rFonts w:ascii="Arial" w:cs="Arial" w:eastAsia="Arial" w:hAnsi="Arial"/>
          <w:sz w:val="18"/>
          <w:szCs w:val="18"/>
          <w:color w:val="auto"/>
        </w:rPr>
        <w:t xml:space="preserve"> hereof does not apply, deduct Swiss Withholding Tax at the rate of 35% (or such other rate as in force from time to time), or if the notification procedure pursuant to </w:t>
      </w:r>
      <w:r>
        <w:rPr>
          <w:rFonts w:ascii="Arial" w:cs="Arial" w:eastAsia="Arial" w:hAnsi="Arial"/>
          <w:sz w:val="18"/>
          <w:szCs w:val="18"/>
          <w:u w:val="single" w:color="auto"/>
          <w:color w:val="auto"/>
        </w:rPr>
        <w:t>Section 7.5.2(i)</w:t>
      </w:r>
      <w:r>
        <w:rPr>
          <w:rFonts w:ascii="Arial" w:cs="Arial" w:eastAsia="Arial" w:hAnsi="Arial"/>
          <w:sz w:val="18"/>
          <w:szCs w:val="18"/>
          <w:color w:val="auto"/>
        </w:rPr>
        <w:t xml:space="preserve"> hereof applies for a part of the Swiss Withholding Tax only, deduct Swiss Withholding Tax at the reduced rate resulting after the discharge of part of such tax by notification under applicable law, from any payment made by it in respect of Restricted Obligations and promptly pay any such taxes to the Swiss Federal Tax Administration;</w:t>
      </w:r>
    </w:p>
    <w:p>
      <w:pPr>
        <w:spacing w:after="0" w:line="188" w:lineRule="exact"/>
        <w:rPr>
          <w:rFonts w:ascii="Arial" w:cs="Arial" w:eastAsia="Arial" w:hAnsi="Arial"/>
          <w:sz w:val="18"/>
          <w:szCs w:val="18"/>
          <w:color w:val="auto"/>
        </w:rPr>
      </w:pPr>
    </w:p>
    <w:p>
      <w:pPr>
        <w:jc w:val="both"/>
        <w:ind w:left="1300" w:hanging="652"/>
        <w:spacing w:after="0" w:line="264" w:lineRule="auto"/>
        <w:tabs>
          <w:tab w:leader="none" w:pos="130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notify the Agent that such notification, or as the case may be, deduction has been made and provide the Agent with evidence that such a notification of the Swiss Federal Tax Administration has been made or, as the case may be, such taxes deducted have been paid to the Swiss Federal Tax Administration; and</w:t>
      </w:r>
    </w:p>
    <w:p>
      <w:pPr>
        <w:spacing w:after="0" w:line="181" w:lineRule="exact"/>
        <w:rPr>
          <w:rFonts w:ascii="Arial" w:cs="Arial" w:eastAsia="Arial" w:hAnsi="Arial"/>
          <w:sz w:val="18"/>
          <w:szCs w:val="18"/>
          <w:color w:val="auto"/>
        </w:rPr>
      </w:pPr>
    </w:p>
    <w:p>
      <w:pPr>
        <w:jc w:val="both"/>
        <w:ind w:left="1300" w:hanging="652"/>
        <w:spacing w:after="0" w:line="264" w:lineRule="auto"/>
        <w:tabs>
          <w:tab w:leader="none" w:pos="130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use its best efforts to ensure that any person other than the Agent, which is entitled to a full or partial refund of the Swiss Withholding Tax deducted from such payment in respect of Restricted Obligations, will, as soon as possible after such deduction:</w:t>
      </w:r>
    </w:p>
    <w:p>
      <w:pPr>
        <w:spacing w:after="0" w:line="3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24662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640" w:top="909" w:right="239" w:bottom="1440" w:gutter="0" w:footer="0" w:header="0"/>
        </w:sectPr>
      </w:pPr>
    </w:p>
    <w:bookmarkStart w:id="744" w:name="page745"/>
    <w:bookmarkEnd w:id="744"/>
    <w:p>
      <w:pPr>
        <w:ind w:left="1300" w:right="100" w:firstLine="649"/>
        <w:spacing w:after="0" w:line="277" w:lineRule="auto"/>
        <w:tabs>
          <w:tab w:leader="none" w:pos="3036" w:val="left"/>
        </w:tabs>
        <w:numPr>
          <w:ilvl w:val="0"/>
          <w:numId w:val="855"/>
        </w:numPr>
        <w:rPr>
          <w:rFonts w:ascii="Arial" w:cs="Arial" w:eastAsia="Arial" w:hAnsi="Arial"/>
          <w:sz w:val="18"/>
          <w:szCs w:val="18"/>
          <w:color w:val="auto"/>
        </w:rPr>
      </w:pPr>
      <w:r>
        <w:rPr>
          <w:rFonts w:ascii="Arial" w:cs="Arial" w:eastAsia="Arial" w:hAnsi="Arial"/>
          <w:sz w:val="18"/>
          <w:szCs w:val="18"/>
          <w:color w:val="auto"/>
        </w:rPr>
        <w:t>request a refund of the Swiss Withholding Tax under applicable law (including tax treaties) and pay to the Agent upon receipt any amounts so refunded; or</w:t>
      </w:r>
    </w:p>
    <w:p>
      <w:pPr>
        <w:spacing w:after="0" w:line="170" w:lineRule="exact"/>
        <w:rPr>
          <w:rFonts w:ascii="Arial" w:cs="Arial" w:eastAsia="Arial" w:hAnsi="Arial"/>
          <w:sz w:val="18"/>
          <w:szCs w:val="18"/>
          <w:color w:val="auto"/>
        </w:rPr>
      </w:pPr>
    </w:p>
    <w:p>
      <w:pPr>
        <w:jc w:val="both"/>
        <w:ind w:left="1300" w:right="120" w:firstLine="649"/>
        <w:spacing w:after="0" w:line="259" w:lineRule="auto"/>
        <w:tabs>
          <w:tab w:leader="none" w:pos="2824" w:val="left"/>
        </w:tabs>
        <w:numPr>
          <w:ilvl w:val="0"/>
          <w:numId w:val="855"/>
        </w:numPr>
        <w:rPr>
          <w:rFonts w:ascii="Arial" w:cs="Arial" w:eastAsia="Arial" w:hAnsi="Arial"/>
          <w:sz w:val="18"/>
          <w:szCs w:val="18"/>
          <w:color w:val="auto"/>
        </w:rPr>
      </w:pPr>
      <w:r>
        <w:rPr>
          <w:rFonts w:ascii="Arial" w:cs="Arial" w:eastAsia="Arial" w:hAnsi="Arial"/>
          <w:sz w:val="18"/>
          <w:szCs w:val="18"/>
          <w:color w:val="auto"/>
        </w:rPr>
        <w:t>if the Agent or a Secured Party is entitled to a full or partial refund of the Swiss Withholding Tax deducted from such payment and if requested by the Agent, provide the Agent and/or the relevant Secured Party those documents that are required by law and applicable tax treaties to be provided by the payer of such tax in order to enable the Agent and/or the relevant Secured Party to prepare a claim for refund of Swiss Withholding Tax.</w:t>
      </w:r>
    </w:p>
    <w:p>
      <w:pPr>
        <w:spacing w:after="0" w:line="187" w:lineRule="exact"/>
        <w:rPr>
          <w:sz w:val="20"/>
          <w:szCs w:val="20"/>
          <w:color w:val="auto"/>
        </w:rPr>
      </w:pPr>
    </w:p>
    <w:p>
      <w:pPr>
        <w:jc w:val="both"/>
        <w:ind w:right="100" w:firstLine="972"/>
        <w:spacing w:after="0" w:line="291" w:lineRule="auto"/>
        <w:rPr>
          <w:sz w:val="20"/>
          <w:szCs w:val="20"/>
          <w:color w:val="auto"/>
        </w:rPr>
      </w:pPr>
      <w:r>
        <w:rPr>
          <w:rFonts w:ascii="Arial" w:cs="Arial" w:eastAsia="Arial" w:hAnsi="Arial"/>
          <w:sz w:val="16"/>
          <w:szCs w:val="16"/>
          <w:color w:val="010000"/>
        </w:rPr>
        <w:t xml:space="preserve">7.5.3 </w:t>
      </w:r>
      <w:r>
        <w:rPr>
          <w:rFonts w:ascii="Arial" w:cs="Arial" w:eastAsia="Arial" w:hAnsi="Arial"/>
          <w:sz w:val="16"/>
          <w:szCs w:val="16"/>
          <w:color w:val="000000"/>
        </w:rPr>
        <w:t>If the Swiss Grantor is obliged to withhold Swiss Withholding Tax in accordance with</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7.5.1 hereof</w:t>
      </w:r>
      <w:r>
        <w:rPr>
          <w:rFonts w:ascii="Arial" w:cs="Arial" w:eastAsia="Arial" w:hAnsi="Arial"/>
          <w:sz w:val="16"/>
          <w:szCs w:val="16"/>
          <w:color w:val="000000"/>
        </w:rPr>
        <w:t>, the Agent shall be</w:t>
      </w:r>
      <w:r>
        <w:rPr>
          <w:rFonts w:ascii="Arial" w:cs="Arial" w:eastAsia="Arial" w:hAnsi="Arial"/>
          <w:sz w:val="16"/>
          <w:szCs w:val="16"/>
          <w:color w:val="010000"/>
        </w:rPr>
        <w:t xml:space="preserve"> </w:t>
      </w:r>
      <w:r>
        <w:rPr>
          <w:rFonts w:ascii="Arial" w:cs="Arial" w:eastAsia="Arial" w:hAnsi="Arial"/>
          <w:sz w:val="16"/>
          <w:szCs w:val="16"/>
          <w:color w:val="000000"/>
        </w:rPr>
        <w:t xml:space="preserve">entitled to further request payment as per this </w:t>
      </w:r>
      <w:r>
        <w:rPr>
          <w:rFonts w:ascii="Arial" w:cs="Arial" w:eastAsia="Arial" w:hAnsi="Arial"/>
          <w:sz w:val="16"/>
          <w:szCs w:val="16"/>
          <w:u w:val="single" w:color="auto"/>
          <w:color w:val="000000"/>
        </w:rPr>
        <w:t>Section 7.5</w:t>
      </w:r>
      <w:r>
        <w:rPr>
          <w:rFonts w:ascii="Arial" w:cs="Arial" w:eastAsia="Arial" w:hAnsi="Arial"/>
          <w:sz w:val="16"/>
          <w:szCs w:val="16"/>
          <w:color w:val="000000"/>
        </w:rPr>
        <w:t xml:space="preserve"> and other indemnity granted to it under this Security Agreement and apply proceeds therefrom against the Restricted Obligations up to an amount which is equal to that amount which would have been obtained if no withholding of Swiss Withholding Tax were required, whereby such further payments shall always be limited to the maximum amount of the freely distributable capital of the Swiss Grantor as set out in </w:t>
      </w:r>
      <w:r>
        <w:rPr>
          <w:rFonts w:ascii="Arial" w:cs="Arial" w:eastAsia="Arial" w:hAnsi="Arial"/>
          <w:sz w:val="16"/>
          <w:szCs w:val="16"/>
          <w:u w:val="single" w:color="auto"/>
          <w:color w:val="000000"/>
        </w:rPr>
        <w:t>Section 7.5.1</w:t>
      </w:r>
      <w:r>
        <w:rPr>
          <w:rFonts w:ascii="Arial" w:cs="Arial" w:eastAsia="Arial" w:hAnsi="Arial"/>
          <w:sz w:val="16"/>
          <w:szCs w:val="16"/>
          <w:color w:val="000000"/>
        </w:rPr>
        <w:t xml:space="preserve"> hereof. In case the proceeds irrevocably received by the Agent and the Secured Parties pursuant to </w:t>
      </w:r>
      <w:r>
        <w:rPr>
          <w:rFonts w:ascii="Arial" w:cs="Arial" w:eastAsia="Arial" w:hAnsi="Arial"/>
          <w:sz w:val="16"/>
          <w:szCs w:val="16"/>
          <w:u w:val="single" w:color="auto"/>
          <w:color w:val="000000"/>
        </w:rPr>
        <w:t>Section 7.5.2(iv)</w:t>
      </w:r>
      <w:r>
        <w:rPr>
          <w:rFonts w:ascii="Arial" w:cs="Arial" w:eastAsia="Arial" w:hAnsi="Arial"/>
          <w:sz w:val="16"/>
          <w:szCs w:val="16"/>
          <w:color w:val="000000"/>
        </w:rPr>
        <w:t xml:space="preserve"> hereof and this paragraph (additional enforcements) have the effect that the proceeds received by the Agent and the Secured Parties exceed the Secured Obligations, then the Agent or the relevant Secured Party shall return such overcompensation to the Swiss Grantor.</w:t>
      </w:r>
    </w:p>
    <w:p>
      <w:pPr>
        <w:spacing w:after="0" w:line="167" w:lineRule="exact"/>
        <w:rPr>
          <w:sz w:val="20"/>
          <w:szCs w:val="20"/>
          <w:color w:val="auto"/>
        </w:rPr>
      </w:pPr>
    </w:p>
    <w:p>
      <w:pPr>
        <w:jc w:val="both"/>
        <w:ind w:right="100" w:firstLine="972"/>
        <w:spacing w:after="0" w:line="264" w:lineRule="auto"/>
        <w:rPr>
          <w:sz w:val="20"/>
          <w:szCs w:val="20"/>
          <w:color w:val="auto"/>
        </w:rPr>
      </w:pPr>
      <w:r>
        <w:rPr>
          <w:rFonts w:ascii="Arial" w:cs="Arial" w:eastAsia="Arial" w:hAnsi="Arial"/>
          <w:sz w:val="18"/>
          <w:szCs w:val="18"/>
          <w:color w:val="010000"/>
        </w:rPr>
        <w:t xml:space="preserve">7.5.4 </w:t>
      </w:r>
      <w:r>
        <w:rPr>
          <w:rFonts w:ascii="Arial" w:cs="Arial" w:eastAsia="Arial" w:hAnsi="Arial"/>
          <w:sz w:val="18"/>
          <w:szCs w:val="18"/>
          <w:color w:val="000000"/>
        </w:rPr>
        <w:t>If and to the extent requested by the Agent and if and to the extent this is from time to time required under Swiss law (restricting</w:t>
      </w:r>
      <w:r>
        <w:rPr>
          <w:rFonts w:ascii="Arial" w:cs="Arial" w:eastAsia="Arial" w:hAnsi="Arial"/>
          <w:sz w:val="18"/>
          <w:szCs w:val="18"/>
          <w:color w:val="010000"/>
        </w:rPr>
        <w:t xml:space="preserve"> </w:t>
      </w:r>
      <w:r>
        <w:rPr>
          <w:rFonts w:ascii="Arial" w:cs="Arial" w:eastAsia="Arial" w:hAnsi="Arial"/>
          <w:sz w:val="18"/>
          <w:szCs w:val="18"/>
          <w:color w:val="000000"/>
        </w:rPr>
        <w:t>profit distributions), in order to allow the Agent (and the Secured Parties) to obtain a maximum benefit under this Security Agreement, the Swiss Grantor shall promptly implement the following:</w:t>
      </w:r>
    </w:p>
    <w:p>
      <w:pPr>
        <w:spacing w:after="0" w:line="181" w:lineRule="exact"/>
        <w:rPr>
          <w:sz w:val="20"/>
          <w:szCs w:val="20"/>
          <w:color w:val="auto"/>
        </w:rPr>
      </w:pPr>
    </w:p>
    <w:p>
      <w:pPr>
        <w:ind w:left="1640" w:hanging="654"/>
        <w:spacing w:after="0"/>
        <w:tabs>
          <w:tab w:leader="none" w:pos="16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the preparation of an up-to-date audited balance sheet of the Swiss Grantor;</w:t>
      </w:r>
    </w:p>
    <w:p>
      <w:pPr>
        <w:spacing w:after="0" w:line="225" w:lineRule="exact"/>
        <w:rPr>
          <w:rFonts w:ascii="Arial" w:cs="Arial" w:eastAsia="Arial" w:hAnsi="Arial"/>
          <w:sz w:val="18"/>
          <w:szCs w:val="18"/>
          <w:color w:val="auto"/>
        </w:rPr>
      </w:pPr>
    </w:p>
    <w:p>
      <w:pPr>
        <w:ind w:left="1640" w:hanging="654"/>
        <w:spacing w:after="0" w:line="277" w:lineRule="auto"/>
        <w:tabs>
          <w:tab w:leader="none" w:pos="16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the confirmation of the auditors of the Swiss Grantor that the relevant amount represents the maximum of freely distributable profits;</w:t>
      </w:r>
    </w:p>
    <w:p>
      <w:pPr>
        <w:spacing w:after="0" w:line="170" w:lineRule="exact"/>
        <w:rPr>
          <w:rFonts w:ascii="Arial" w:cs="Arial" w:eastAsia="Arial" w:hAnsi="Arial"/>
          <w:sz w:val="18"/>
          <w:szCs w:val="18"/>
          <w:color w:val="auto"/>
        </w:rPr>
      </w:pPr>
    </w:p>
    <w:p>
      <w:pPr>
        <w:ind w:left="1640" w:hanging="654"/>
        <w:spacing w:after="0"/>
        <w:tabs>
          <w:tab w:leader="none" w:pos="1640" w:val="left"/>
        </w:tabs>
        <w:numPr>
          <w:ilvl w:val="0"/>
          <w:numId w:val="856"/>
        </w:numPr>
        <w:rPr>
          <w:rFonts w:ascii="Arial" w:cs="Arial" w:eastAsia="Arial" w:hAnsi="Arial"/>
          <w:sz w:val="16"/>
          <w:szCs w:val="16"/>
          <w:color w:val="auto"/>
        </w:rPr>
      </w:pPr>
      <w:r>
        <w:rPr>
          <w:rFonts w:ascii="Arial" w:cs="Arial" w:eastAsia="Arial" w:hAnsi="Arial"/>
          <w:sz w:val="16"/>
          <w:szCs w:val="16"/>
          <w:color w:val="auto"/>
        </w:rPr>
        <w:t>the prompt convening of a meeting of the shareholders of the Swiss Grantor which will approve the (resulting) profit distribution;</w:t>
      </w:r>
    </w:p>
    <w:p>
      <w:pPr>
        <w:spacing w:after="0" w:line="248" w:lineRule="exact"/>
        <w:rPr>
          <w:rFonts w:ascii="Arial" w:cs="Arial" w:eastAsia="Arial" w:hAnsi="Arial"/>
          <w:sz w:val="16"/>
          <w:szCs w:val="16"/>
          <w:color w:val="auto"/>
        </w:rPr>
      </w:pPr>
    </w:p>
    <w:p>
      <w:pPr>
        <w:jc w:val="both"/>
        <w:ind w:left="1640" w:hanging="654"/>
        <w:spacing w:after="0" w:line="257" w:lineRule="auto"/>
        <w:tabs>
          <w:tab w:leader="none" w:pos="1640" w:val="left"/>
        </w:tabs>
        <w:numPr>
          <w:ilvl w:val="0"/>
          <w:numId w:val="856"/>
        </w:numPr>
        <w:rPr>
          <w:rFonts w:ascii="Arial" w:cs="Arial" w:eastAsia="Arial" w:hAnsi="Arial"/>
          <w:sz w:val="18"/>
          <w:szCs w:val="18"/>
          <w:color w:val="auto"/>
        </w:rPr>
      </w:pPr>
      <w:r>
        <w:rPr>
          <w:rFonts w:ascii="Arial" w:cs="Arial" w:eastAsia="Arial" w:hAnsi="Arial"/>
          <w:sz w:val="18"/>
          <w:szCs w:val="18"/>
          <w:color w:val="auto"/>
        </w:rPr>
        <w:t xml:space="preserve">if the enforcement of any Restricted Obligations would be limited as a result of any matter referred to in this </w:t>
      </w:r>
      <w:r>
        <w:rPr>
          <w:rFonts w:ascii="Arial" w:cs="Arial" w:eastAsia="Arial" w:hAnsi="Arial"/>
          <w:sz w:val="18"/>
          <w:szCs w:val="18"/>
          <w:u w:val="single" w:color="auto"/>
          <w:color w:val="auto"/>
        </w:rPr>
        <w:t>Section 7.5</w:t>
      </w:r>
      <w:r>
        <w:rPr>
          <w:rFonts w:ascii="Arial" w:cs="Arial" w:eastAsia="Arial" w:hAnsi="Arial"/>
          <w:sz w:val="18"/>
          <w:szCs w:val="18"/>
          <w:color w:val="auto"/>
        </w:rPr>
        <w:t>, the Swiss Grantor shall, to the extent permitted by applicable law, (a) write up or realise any of its assets shown in its balance sheet with a book value that is significantly lower than the market value of the assets, in case of realisation, however, only if such assets are not necessary for the Swiss Grantor’s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and/or (b) reduce its share capital to the extent permitted by applicable law; and</w:t>
      </w:r>
    </w:p>
    <w:p>
      <w:pPr>
        <w:spacing w:after="0" w:line="200" w:lineRule="exact"/>
        <w:rPr>
          <w:sz w:val="20"/>
          <w:szCs w:val="20"/>
          <w:color w:val="auto"/>
        </w:rPr>
      </w:pPr>
    </w:p>
    <w:p>
      <w:pPr>
        <w:spacing w:after="0" w:line="2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24662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640" w:top="909" w:right="239" w:bottom="1440" w:gutter="0" w:footer="0" w:header="0"/>
        </w:sectPr>
      </w:pPr>
    </w:p>
    <w:bookmarkStart w:id="745" w:name="page746"/>
    <w:bookmarkEnd w:id="745"/>
    <w:p>
      <w:pPr>
        <w:jc w:val="both"/>
        <w:ind w:left="1300" w:hanging="654"/>
        <w:spacing w:after="0" w:line="264" w:lineRule="auto"/>
        <w:tabs>
          <w:tab w:leader="none" w:pos="130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all such other measures reasonably necessary and/or to promptly procure the fulfilment of all prerequisites reasonably necessary to allow the Swiss Grantor and relevant parent company to promptly make the payments and perform the obligations agreed hereunder from time to time with a minimum of limitations.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010000"/>
        </w:rPr>
        <w:t>7.6.</w:t>
      </w:r>
      <w:r>
        <w:rPr>
          <w:sz w:val="20"/>
          <w:szCs w:val="20"/>
          <w:color w:val="auto"/>
        </w:rPr>
        <w:tab/>
      </w:r>
      <w:r>
        <w:rPr>
          <w:rFonts w:ascii="Arial" w:cs="Arial" w:eastAsia="Arial" w:hAnsi="Arial"/>
          <w:sz w:val="17"/>
          <w:szCs w:val="17"/>
          <w:u w:val="single" w:color="auto"/>
          <w:color w:val="auto"/>
        </w:rPr>
        <w:t>Norwegian Limitations.</w:t>
      </w:r>
    </w:p>
    <w:p>
      <w:pPr>
        <w:spacing w:after="0" w:line="225" w:lineRule="exact"/>
        <w:rPr>
          <w:sz w:val="20"/>
          <w:szCs w:val="20"/>
          <w:color w:val="auto"/>
        </w:rPr>
      </w:pPr>
    </w:p>
    <w:p>
      <w:pPr>
        <w:jc w:val="both"/>
        <w:ind w:right="100" w:firstLine="972"/>
        <w:spacing w:after="0" w:line="287" w:lineRule="auto"/>
        <w:rPr>
          <w:sz w:val="20"/>
          <w:szCs w:val="20"/>
          <w:color w:val="auto"/>
        </w:rPr>
      </w:pPr>
      <w:r>
        <w:rPr>
          <w:rFonts w:ascii="Arial" w:cs="Arial" w:eastAsia="Arial" w:hAnsi="Arial"/>
          <w:sz w:val="16"/>
          <w:szCs w:val="16"/>
          <w:color w:val="010000"/>
        </w:rPr>
        <w:t xml:space="preserve">7.6.1 </w:t>
      </w:r>
      <w:r>
        <w:rPr>
          <w:rFonts w:ascii="Arial" w:cs="Arial" w:eastAsia="Arial" w:hAnsi="Arial"/>
          <w:sz w:val="16"/>
          <w:szCs w:val="16"/>
          <w:color w:val="000000"/>
        </w:rPr>
        <w:t>The Norwegian Financial Agreements Act shall not apply to this Security Agreement, except as required by § 2 of the</w:t>
      </w:r>
      <w:r>
        <w:rPr>
          <w:rFonts w:ascii="Arial" w:cs="Arial" w:eastAsia="Arial" w:hAnsi="Arial"/>
          <w:sz w:val="16"/>
          <w:szCs w:val="16"/>
          <w:color w:val="010000"/>
        </w:rPr>
        <w:t xml:space="preserve"> </w:t>
      </w:r>
      <w:r>
        <w:rPr>
          <w:rFonts w:ascii="Arial" w:cs="Arial" w:eastAsia="Arial" w:hAnsi="Arial"/>
          <w:sz w:val="16"/>
          <w:szCs w:val="16"/>
          <w:color w:val="000000"/>
        </w:rPr>
        <w:t>Financial Agreements Act (if applicable). The liability of each Grantor incorporated in Norway in its capacity as Grantor (each a “</w:t>
      </w:r>
      <w:r>
        <w:rPr>
          <w:rFonts w:ascii="Arial" w:cs="Arial" w:eastAsia="Arial" w:hAnsi="Arial"/>
          <w:sz w:val="16"/>
          <w:szCs w:val="16"/>
          <w:u w:val="single" w:color="auto"/>
          <w:color w:val="000000"/>
        </w:rPr>
        <w:t>Norwegian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Grantor</w:t>
      </w:r>
      <w:r>
        <w:rPr>
          <w:rFonts w:ascii="Arial" w:cs="Arial" w:eastAsia="Arial" w:hAnsi="Arial"/>
          <w:sz w:val="16"/>
          <w:szCs w:val="16"/>
          <w:color w:val="000000"/>
        </w:rPr>
        <w:t>”) shall be limited to USD $240,000,000, plus any interest, default interest, commissions, charges, fees and expenses due under any Secured Obligation. Notwithstanding any other provision of this Security Agreement to the contrary, the obligations and liabilities of any Norwegian Grantor under this Security Agreement shall be limited by such mandatory provisions of sections 8-7 and/or 8-10 of the Norwegian Limited Liability Companies Act of 13 June 1997 (the “</w:t>
      </w:r>
      <w:r>
        <w:rPr>
          <w:rFonts w:ascii="Arial" w:cs="Arial" w:eastAsia="Arial" w:hAnsi="Arial"/>
          <w:sz w:val="16"/>
          <w:szCs w:val="16"/>
          <w:u w:val="single" w:color="auto"/>
          <w:color w:val="000000"/>
        </w:rPr>
        <w:t>Act</w:t>
      </w:r>
      <w:r>
        <w:rPr>
          <w:rFonts w:ascii="Arial" w:cs="Arial" w:eastAsia="Arial" w:hAnsi="Arial"/>
          <w:sz w:val="16"/>
          <w:szCs w:val="16"/>
          <w:color w:val="000000"/>
        </w:rPr>
        <w:t>”) regarding restrictions on a Norwegian limited liability company’s ability to grant guarantees, loans, security or other financial assistance. The obligations of the Norwegian Grantors shall only be limited to the extent this is required from time to time, and the Norwegian Grantors shall be liable to the fullest extent permitted by the Act as amended from time to time. To the extent permitted by applicable law, if a payment under this Security Agreement by a Norwegian Grantor has been made in contravention of the limitations contained in this Section 7.6.1, the Secured Parties shall not be liable for any damages in relation thereto, and the maximum amount repayable by the Secured Parties as a consequence of such contravention shall be the amount received from that Norwegian Grantor.</w:t>
      </w:r>
    </w:p>
    <w:p>
      <w:pPr>
        <w:spacing w:after="0" w:line="173" w:lineRule="exact"/>
        <w:rPr>
          <w:sz w:val="20"/>
          <w:szCs w:val="20"/>
          <w:color w:val="auto"/>
        </w:rPr>
      </w:pPr>
    </w:p>
    <w:p>
      <w:pPr>
        <w:jc w:val="both"/>
        <w:ind w:right="120" w:firstLine="972"/>
        <w:spacing w:after="0" w:line="277" w:lineRule="auto"/>
        <w:rPr>
          <w:sz w:val="20"/>
          <w:szCs w:val="20"/>
          <w:color w:val="auto"/>
        </w:rPr>
      </w:pPr>
      <w:r>
        <w:rPr>
          <w:rFonts w:ascii="Arial" w:cs="Arial" w:eastAsia="Arial" w:hAnsi="Arial"/>
          <w:sz w:val="18"/>
          <w:szCs w:val="18"/>
          <w:color w:val="010000"/>
        </w:rPr>
        <w:t xml:space="preserve">7.6.2 </w:t>
      </w:r>
      <w:r>
        <w:rPr>
          <w:rFonts w:ascii="Arial" w:cs="Arial" w:eastAsia="Arial" w:hAnsi="Arial"/>
          <w:sz w:val="18"/>
          <w:szCs w:val="18"/>
          <w:color w:val="000000"/>
        </w:rPr>
        <w:t>The Norwegian Grantors' Collateral is limited to such Norwegian Grantors' Patents being held and registered in the United</w:t>
      </w:r>
      <w:r>
        <w:rPr>
          <w:rFonts w:ascii="Arial" w:cs="Arial" w:eastAsia="Arial" w:hAnsi="Arial"/>
          <w:sz w:val="18"/>
          <w:szCs w:val="18"/>
          <w:color w:val="010000"/>
        </w:rPr>
        <w:t xml:space="preserve"> </w:t>
      </w:r>
      <w:r>
        <w:rPr>
          <w:rFonts w:ascii="Arial" w:cs="Arial" w:eastAsia="Arial" w:hAnsi="Arial"/>
          <w:sz w:val="18"/>
          <w:szCs w:val="18"/>
          <w:color w:val="000000"/>
        </w:rPr>
        <w:t>States, and does not extend to any Collateral held or registered outside the jurisdiction of the United States.</w:t>
      </w:r>
    </w:p>
    <w:p>
      <w:pPr>
        <w:spacing w:after="0" w:line="170" w:lineRule="exact"/>
        <w:rPr>
          <w:sz w:val="20"/>
          <w:szCs w:val="20"/>
          <w:color w:val="auto"/>
        </w:rPr>
      </w:pPr>
    </w:p>
    <w:p>
      <w:pPr>
        <w:jc w:val="both"/>
        <w:ind w:right="100" w:firstLine="972"/>
        <w:spacing w:after="0" w:line="259" w:lineRule="auto"/>
        <w:rPr>
          <w:sz w:val="20"/>
          <w:szCs w:val="20"/>
          <w:color w:val="auto"/>
        </w:rPr>
      </w:pPr>
      <w:r>
        <w:rPr>
          <w:rFonts w:ascii="Arial" w:cs="Arial" w:eastAsia="Arial" w:hAnsi="Arial"/>
          <w:sz w:val="18"/>
          <w:szCs w:val="18"/>
          <w:color w:val="010000"/>
        </w:rPr>
        <w:t xml:space="preserve">7.6.3 </w:t>
      </w:r>
      <w:r>
        <w:rPr>
          <w:rFonts w:ascii="Arial" w:cs="Arial" w:eastAsia="Arial" w:hAnsi="Arial"/>
          <w:sz w:val="18"/>
          <w:szCs w:val="18"/>
          <w:color w:val="000000"/>
        </w:rPr>
        <w:t>Each Norwegian Grantor and the Agent hereby confirms and acknowledges that each representation and warranty made by</w:t>
      </w:r>
      <w:r>
        <w:rPr>
          <w:rFonts w:ascii="Arial" w:cs="Arial" w:eastAsia="Arial" w:hAnsi="Arial"/>
          <w:sz w:val="18"/>
          <w:szCs w:val="18"/>
          <w:color w:val="010000"/>
        </w:rPr>
        <w:t xml:space="preserve"> </w:t>
      </w:r>
      <w:r>
        <w:rPr>
          <w:rFonts w:ascii="Arial" w:cs="Arial" w:eastAsia="Arial" w:hAnsi="Arial"/>
          <w:sz w:val="18"/>
          <w:szCs w:val="18"/>
          <w:color w:val="000000"/>
        </w:rPr>
        <w:t xml:space="preserve">the Norwegian Grantors under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each covenant made under </w:t>
      </w:r>
      <w:r>
        <w:rPr>
          <w:rFonts w:ascii="Arial" w:cs="Arial" w:eastAsia="Arial" w:hAnsi="Arial"/>
          <w:sz w:val="18"/>
          <w:szCs w:val="18"/>
          <w:u w:val="single" w:color="auto"/>
          <w:color w:val="000000"/>
        </w:rPr>
        <w:t>Article IV</w:t>
      </w:r>
      <w:r>
        <w:rPr>
          <w:rFonts w:ascii="Arial" w:cs="Arial" w:eastAsia="Arial" w:hAnsi="Arial"/>
          <w:sz w:val="18"/>
          <w:szCs w:val="18"/>
          <w:color w:val="000000"/>
        </w:rPr>
        <w:t xml:space="preserve"> and each provision under A</w:t>
      </w:r>
      <w:r>
        <w:rPr>
          <w:rFonts w:ascii="Arial" w:cs="Arial" w:eastAsia="Arial" w:hAnsi="Arial"/>
          <w:sz w:val="18"/>
          <w:szCs w:val="18"/>
          <w:u w:val="single" w:color="auto"/>
          <w:color w:val="000000"/>
        </w:rPr>
        <w:t>rticles VII</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are made subject to Section 8.23, and that any failure to comply with any of the Sections under such Articles does not constitute a breach of any such provisions or Event of Default to the extent that failure to comply is by reason of Norwegian law.</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80" w:top="909" w:right="239" w:bottom="1440" w:gutter="0" w:footer="0" w:header="0"/>
        </w:sectPr>
      </w:pPr>
    </w:p>
    <w:bookmarkStart w:id="746" w:name="page747"/>
    <w:bookmarkEnd w:id="746"/>
    <w:p>
      <w:pPr>
        <w:jc w:val="center"/>
        <w:ind w:right="-1"/>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jc w:val="both"/>
        <w:ind w:left="2" w:firstLine="648"/>
        <w:spacing w:after="0" w:line="268" w:lineRule="auto"/>
        <w:rPr>
          <w:sz w:val="20"/>
          <w:szCs w:val="20"/>
          <w:color w:val="auto"/>
        </w:rPr>
      </w:pPr>
      <w:r>
        <w:rPr>
          <w:rFonts w:ascii="Arial" w:cs="Arial" w:eastAsia="Arial" w:hAnsi="Arial"/>
          <w:sz w:val="17"/>
          <w:szCs w:val="17"/>
          <w:color w:val="010000"/>
        </w:rPr>
        <w:t xml:space="preserve">8.1. </w:t>
      </w:r>
      <w:r>
        <w:rPr>
          <w:rFonts w:ascii="Arial" w:cs="Arial" w:eastAsia="Arial" w:hAnsi="Arial"/>
          <w:sz w:val="17"/>
          <w:szCs w:val="17"/>
          <w:u w:val="single" w:color="auto"/>
          <w:color w:val="000000"/>
        </w:rPr>
        <w:t>Notice of Disposition of Collateral; Condition of Collateral</w:t>
      </w:r>
      <w:r>
        <w:rPr>
          <w:rFonts w:ascii="Arial" w:cs="Arial" w:eastAsia="Arial" w:hAnsi="Arial"/>
          <w:sz w:val="17"/>
          <w:szCs w:val="17"/>
          <w:color w:val="000000"/>
        </w:rPr>
        <w:t>. Each Grantor hereby waives notice of the time and place of any public</w:t>
      </w:r>
      <w:r>
        <w:rPr>
          <w:rFonts w:ascii="Arial" w:cs="Arial" w:eastAsia="Arial" w:hAnsi="Arial"/>
          <w:sz w:val="17"/>
          <w:szCs w:val="17"/>
          <w:color w:val="010000"/>
        </w:rPr>
        <w:t xml:space="preserve"> </w:t>
      </w:r>
      <w:r>
        <w:rPr>
          <w:rFonts w:ascii="Arial" w:cs="Arial" w:eastAsia="Arial" w:hAnsi="Arial"/>
          <w:sz w:val="17"/>
          <w:szCs w:val="17"/>
          <w:color w:val="000000"/>
        </w:rPr>
        <w:t xml:space="preserve">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7"/>
          <w:szCs w:val="17"/>
          <w:u w:val="single" w:color="auto"/>
          <w:color w:val="000000"/>
        </w:rPr>
        <w:t>Article IX</w:t>
      </w:r>
      <w:r>
        <w:rPr>
          <w:rFonts w:ascii="Arial" w:cs="Arial" w:eastAsia="Arial" w:hAnsi="Arial"/>
          <w:sz w:val="17"/>
          <w:szCs w:val="17"/>
          <w:color w:val="000000"/>
        </w:rPr>
        <w:t>, at least 10 days prior to (i) the date of any such public sale or (ii) the time after which any such private sale or other disposition may be made. To the maximum extent permitted by applicable law, each Grantor waives all claims, damages, and demands against the Agent or any other Secured Party arising out of the repossession, retention or sale of the Collateral, except such as arise solely out of the gross negligence or willful misconduct of the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88" w:lineRule="exact"/>
        <w:rPr>
          <w:sz w:val="20"/>
          <w:szCs w:val="20"/>
          <w:color w:val="auto"/>
        </w:rPr>
      </w:pPr>
    </w:p>
    <w:p>
      <w:pPr>
        <w:jc w:val="both"/>
        <w:ind w:left="2" w:firstLine="648"/>
        <w:spacing w:after="0" w:line="283" w:lineRule="auto"/>
        <w:rPr>
          <w:sz w:val="20"/>
          <w:szCs w:val="20"/>
          <w:color w:val="auto"/>
        </w:rPr>
      </w:pPr>
      <w:r>
        <w:rPr>
          <w:rFonts w:ascii="Arial" w:cs="Arial" w:eastAsia="Arial" w:hAnsi="Arial"/>
          <w:sz w:val="16"/>
          <w:szCs w:val="16"/>
          <w:color w:val="010000"/>
        </w:rPr>
        <w:t xml:space="preserve">8.2. </w:t>
      </w:r>
      <w:r>
        <w:rPr>
          <w:rFonts w:ascii="Arial" w:cs="Arial" w:eastAsia="Arial" w:hAnsi="Arial"/>
          <w:sz w:val="16"/>
          <w:szCs w:val="16"/>
          <w:u w:val="single" w:color="auto"/>
          <w:color w:val="000000"/>
        </w:rPr>
        <w:t>Limitation on Agent’s and other Secured Parties’ Duty with Respect to the Collateral</w:t>
      </w:r>
      <w:r>
        <w:rPr>
          <w:rFonts w:ascii="Arial" w:cs="Arial" w:eastAsia="Arial" w:hAnsi="Arial"/>
          <w:sz w:val="16"/>
          <w:szCs w:val="16"/>
          <w:color w:val="000000"/>
        </w:rPr>
        <w:t>. The Agent shall have no obligation to clean-up</w:t>
      </w:r>
      <w:r>
        <w:rPr>
          <w:rFonts w:ascii="Arial" w:cs="Arial" w:eastAsia="Arial" w:hAnsi="Arial"/>
          <w:sz w:val="16"/>
          <w:szCs w:val="16"/>
          <w:color w:val="010000"/>
        </w:rPr>
        <w:t xml:space="preserve"> </w:t>
      </w:r>
      <w:r>
        <w:rPr>
          <w:rFonts w:ascii="Arial" w:cs="Arial" w:eastAsia="Arial" w:hAnsi="Arial"/>
          <w:sz w:val="16"/>
          <w:szCs w:val="16"/>
          <w:color w:val="000000"/>
        </w:rPr>
        <w:t>or otherwise prepare the Collateral for sale. The Agent and each other Secured Party shall use reasonable care with respect to the Collateral in its possession or under its control (or in the possession or under the care of any agent, employee, officer, nominee or other representative of the Agent or such other Secured Party). Neither the Agent nor any other Secured Party shall have any other duty as to any Collateral in its possession or control or in the possession or control of any agent or nominee of the Agent or such other Secured Party, or any income thereon or as to the preservation of rights against prior parties or any other rights pertaining thereto. To the extent that applicable law imposes duties on the Agent to exercise remedies in a commercially reasonable manner, each Grantor acknowledges and agrees that it is commercially reasonable for the Agent (i) to fail to incur expenses deemed significant by the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w:t>
      </w:r>
    </w:p>
    <w:p>
      <w:pPr>
        <w:spacing w:after="0" w:line="1" w:lineRule="exact"/>
        <w:rPr>
          <w:sz w:val="20"/>
          <w:szCs w:val="20"/>
          <w:color w:val="auto"/>
        </w:rPr>
      </w:pPr>
    </w:p>
    <w:p>
      <w:pPr>
        <w:jc w:val="both"/>
        <w:ind w:left="2" w:hanging="2"/>
        <w:spacing w:after="0" w:line="286" w:lineRule="auto"/>
        <w:tabs>
          <w:tab w:leader="none" w:pos="435" w:val="left"/>
        </w:tabs>
        <w:numPr>
          <w:ilvl w:val="0"/>
          <w:numId w:val="858"/>
        </w:numPr>
        <w:rPr>
          <w:rFonts w:ascii="Arial" w:cs="Arial" w:eastAsia="Arial" w:hAnsi="Arial"/>
          <w:sz w:val="16"/>
          <w:szCs w:val="16"/>
          <w:color w:val="auto"/>
        </w:rPr>
      </w:pPr>
      <w:r>
        <w:rPr>
          <w:rFonts w:ascii="Arial" w:cs="Arial" w:eastAsia="Arial" w:hAnsi="Arial"/>
          <w:sz w:val="16"/>
          <w:szCs w:val="16"/>
          <w:color w:val="auto"/>
        </w:rPr>
        <w:t xml:space="preserve">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Agent against risks of loss, collection or disposition of Collateral or to provide to the Agent a guaranteed return from the collection or disposition of Collateral, or (xii) to the extent deemed appropriate by the Agent, to obtain the services of other brokers, investment bankers, consultants and other professionals to assist the Agent in the collection or disposition of any of the Collateral. Each Grantor acknowledges that the purpose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is to provide non-exhaustive indications of what actions or omissions by the Agent would be commercially reasonable in the Agent’s exercise of remedies against the Collateral and that other actions or omissions by the Agent shall not be deemed commercially unreasonable solely on account of not being indicated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Without limitation upon the foregoing, nothing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construed to grant any rights to any Grantor or to impose any duties on the Agent that would not have been granted or imposed by this Security Agreement or by applicable law in the absence of this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386"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24662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2"/>
          </w:cols>
          <w:pgMar w:left="338" w:top="909" w:right="339" w:bottom="1440" w:gutter="0" w:footer="0" w:header="0"/>
        </w:sectPr>
      </w:pPr>
    </w:p>
    <w:bookmarkStart w:id="747" w:name="page748"/>
    <w:bookmarkEnd w:id="747"/>
    <w:p>
      <w:pPr>
        <w:jc w:val="both"/>
        <w:ind w:firstLine="648"/>
        <w:spacing w:after="0" w:line="254"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Compromises and Collection of Collateral</w:t>
      </w:r>
      <w:r>
        <w:rPr>
          <w:rFonts w:ascii="Arial" w:cs="Arial" w:eastAsia="Arial" w:hAnsi="Arial"/>
          <w:sz w:val="18"/>
          <w:szCs w:val="18"/>
          <w:color w:val="000000"/>
        </w:rPr>
        <w:t>. Each Grantor and the Agent recognize that setoffs, counterclaims, defenses and other</w:t>
      </w:r>
      <w:r>
        <w:rPr>
          <w:rFonts w:ascii="Arial" w:cs="Arial" w:eastAsia="Arial" w:hAnsi="Arial"/>
          <w:sz w:val="18"/>
          <w:szCs w:val="18"/>
          <w:color w:val="010000"/>
        </w:rPr>
        <w:t xml:space="preserve"> </w:t>
      </w:r>
      <w:r>
        <w:rPr>
          <w:rFonts w:ascii="Arial" w:cs="Arial" w:eastAsia="Arial" w:hAnsi="Arial"/>
          <w:sz w:val="18"/>
          <w:szCs w:val="18"/>
          <w:color w:val="000000"/>
        </w:rPr>
        <w:t>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subject to applicable bankruptcy laws, that the Agent may at any time and from time to time, if an Event of Default has occurred and is continuing, and subject to the Intercreditor Agreement, compromise with the obligor on any Receivable, accept in full payment of any Receivable such amount as the Agent in its sole discretion shall determine or abandon any Receivable, and any such action by the Agent shall be commercially reasonable so long as the Agent acts in good faith based on information known to it at the time it takes any such action.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8.4. </w:t>
      </w:r>
      <w:r>
        <w:rPr>
          <w:rFonts w:ascii="Arial" w:cs="Arial" w:eastAsia="Arial" w:hAnsi="Arial"/>
          <w:sz w:val="18"/>
          <w:szCs w:val="18"/>
          <w:u w:val="single" w:color="auto"/>
          <w:color w:val="000000"/>
        </w:rPr>
        <w:t>Secured Party Performance of Grantor’s Obligations</w:t>
      </w:r>
      <w:r>
        <w:rPr>
          <w:rFonts w:ascii="Arial" w:cs="Arial" w:eastAsia="Arial" w:hAnsi="Arial"/>
          <w:sz w:val="18"/>
          <w:szCs w:val="18"/>
          <w:color w:val="000000"/>
        </w:rPr>
        <w:t>. Without having any obligation to do so, the Agent may perform or pay any</w:t>
      </w:r>
      <w:r>
        <w:rPr>
          <w:rFonts w:ascii="Arial" w:cs="Arial" w:eastAsia="Arial" w:hAnsi="Arial"/>
          <w:sz w:val="18"/>
          <w:szCs w:val="18"/>
          <w:color w:val="010000"/>
        </w:rPr>
        <w:t xml:space="preserve"> </w:t>
      </w:r>
      <w:r>
        <w:rPr>
          <w:rFonts w:ascii="Arial" w:cs="Arial" w:eastAsia="Arial" w:hAnsi="Arial"/>
          <w:sz w:val="18"/>
          <w:szCs w:val="18"/>
          <w:color w:val="000000"/>
        </w:rPr>
        <w:t xml:space="preserve">obligation which any Grantor has agreed to perform or pay in this Security Agreement and fails to so perform or pay and such Grantor shall reimburse the Agent for any reasonable and documented amounts paid by the Agent pursuant to this </w:t>
      </w:r>
      <w:r>
        <w:rPr>
          <w:rFonts w:ascii="Arial" w:cs="Arial" w:eastAsia="Arial" w:hAnsi="Arial"/>
          <w:sz w:val="18"/>
          <w:szCs w:val="18"/>
          <w:u w:val="single" w:color="auto"/>
          <w:color w:val="000000"/>
        </w:rPr>
        <w:t>Section 8.4</w:t>
      </w:r>
      <w:r>
        <w:rPr>
          <w:rFonts w:ascii="Arial" w:cs="Arial" w:eastAsia="Arial" w:hAnsi="Arial"/>
          <w:sz w:val="18"/>
          <w:szCs w:val="18"/>
          <w:color w:val="000000"/>
        </w:rPr>
        <w:t>. Each Grantor’s obligation to reimburse the Agent pursuant to the preceding sentence shall be a Secured Obligation payable on demand.</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8.5. </w:t>
      </w:r>
      <w:r>
        <w:rPr>
          <w:rFonts w:ascii="Arial" w:cs="Arial" w:eastAsia="Arial" w:hAnsi="Arial"/>
          <w:sz w:val="16"/>
          <w:szCs w:val="16"/>
          <w:u w:val="single" w:color="auto"/>
          <w:color w:val="000000"/>
        </w:rPr>
        <w:t>Authorization for Secured Party to Take Certain Action</w:t>
      </w:r>
      <w:r>
        <w:rPr>
          <w:rFonts w:ascii="Arial" w:cs="Arial" w:eastAsia="Arial" w:hAnsi="Arial"/>
          <w:sz w:val="16"/>
          <w:szCs w:val="16"/>
          <w:color w:val="000000"/>
        </w:rPr>
        <w:t>. Each Grantor irrevocably authorizes the Agent at any time and from time to</w:t>
      </w:r>
      <w:r>
        <w:rPr>
          <w:rFonts w:ascii="Arial" w:cs="Arial" w:eastAsia="Arial" w:hAnsi="Arial"/>
          <w:sz w:val="16"/>
          <w:szCs w:val="16"/>
          <w:color w:val="010000"/>
        </w:rPr>
        <w:t xml:space="preserve"> </w:t>
      </w:r>
      <w:r>
        <w:rPr>
          <w:rFonts w:ascii="Arial" w:cs="Arial" w:eastAsia="Arial" w:hAnsi="Arial"/>
          <w:sz w:val="16"/>
          <w:szCs w:val="16"/>
          <w:color w:val="000000"/>
        </w:rPr>
        <w:t xml:space="preserve">time in the sole discretion of the Agent and appoints the Agent as its attorney in fact (i) to execute on behalf of such Grantor as debtor and to file financing statements necessary or desirable in the Agent’s sole discretion to perfect and to maintain the perfection and priority of the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Agent in its sole discretion deems necessary or desirable to perfect and to maintain the perfection and priority of the Agent’s security interest in the Collateral, (iv) to contact and enter into one or more agreements with the issuers of uncertificated securities which are Collateral owned by such Grantor and which are Securities or with financial intermediaries holding other Investment Property which is Collateral as may be necessary or advisable to give the Agent Control (subject to the Intercreditor Agreement) over such Securities or other Investment Property, (v) solely to the extent an Event of Default has occurred and is continuing, to enforce payment of the Instruments, Accounts and Receivables constituting Collateral in the name of the Agent or such Grantor, (vi) solely to the extent an Event of Default has occurred and is continuing, to apply the proceeds of any Collateral received by the Agent to the Secured Obligations as provided in Article VII and (vii) to discharge past due taxes, assessments, charges, fees or Liens on the Collateral (except for such Liens as are specifically permitted hereunder or under any other Loan Document), and each Grantor agrees to reimburse the Agent on demand for any reasonable and documented payment made or any reasonable and documented expense incurred by the Agent in connection therewith; </w:t>
      </w:r>
      <w:r>
        <w:rPr>
          <w:rFonts w:ascii="Arial" w:cs="Arial" w:eastAsia="Arial" w:hAnsi="Arial"/>
          <w:sz w:val="16"/>
          <w:szCs w:val="16"/>
          <w:u w:val="single" w:color="auto"/>
          <w:color w:val="000000"/>
        </w:rPr>
        <w:t>provided</w:t>
      </w:r>
      <w:r>
        <w:rPr>
          <w:rFonts w:ascii="Arial" w:cs="Arial" w:eastAsia="Arial" w:hAnsi="Arial"/>
          <w:sz w:val="16"/>
          <w:szCs w:val="16"/>
          <w:color w:val="000000"/>
        </w:rPr>
        <w:t>, that this authorization shall not relieve any Grantor of any of its obligations under this Security Agreement or under the LC Credit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9" w:right="339" w:bottom="1440" w:gutter="0" w:footer="0" w:header="0"/>
        </w:sectPr>
      </w:pPr>
    </w:p>
    <w:bookmarkStart w:id="748" w:name="page749"/>
    <w:bookmarkEnd w:id="748"/>
    <w:p>
      <w:pPr>
        <w:jc w:val="both"/>
        <w:ind w:right="20" w:firstLine="648"/>
        <w:spacing w:after="0" w:line="276" w:lineRule="auto"/>
        <w:rPr>
          <w:sz w:val="20"/>
          <w:szCs w:val="20"/>
          <w:color w:val="auto"/>
        </w:rPr>
      </w:pPr>
      <w:r>
        <w:rPr>
          <w:rFonts w:ascii="Arial" w:cs="Arial" w:eastAsia="Arial" w:hAnsi="Arial"/>
          <w:sz w:val="17"/>
          <w:szCs w:val="17"/>
          <w:color w:val="010000"/>
        </w:rPr>
        <w:t xml:space="preserve">8.6. </w:t>
      </w:r>
      <w:r>
        <w:rPr>
          <w:rFonts w:ascii="Arial" w:cs="Arial" w:eastAsia="Arial" w:hAnsi="Arial"/>
          <w:sz w:val="17"/>
          <w:szCs w:val="17"/>
          <w:u w:val="single" w:color="auto"/>
          <w:color w:val="000000"/>
        </w:rPr>
        <w:t>Specific Performance of Certain Covenants</w:t>
      </w:r>
      <w:r>
        <w:rPr>
          <w:rFonts w:ascii="Arial" w:cs="Arial" w:eastAsia="Arial" w:hAnsi="Arial"/>
          <w:sz w:val="17"/>
          <w:szCs w:val="17"/>
          <w:color w:val="000000"/>
        </w:rPr>
        <w:t>. Each Grantor acknowledges and agrees that a breach of any of the covenants contained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5.2</w:t>
      </w:r>
      <w:r>
        <w:rPr>
          <w:rFonts w:ascii="Arial" w:cs="Arial" w:eastAsia="Arial" w:hAnsi="Arial"/>
          <w:sz w:val="17"/>
          <w:szCs w:val="17"/>
          <w:color w:val="000000"/>
        </w:rPr>
        <w:t xml:space="preserve">, or in </w:t>
      </w:r>
      <w:r>
        <w:rPr>
          <w:rFonts w:ascii="Arial" w:cs="Arial" w:eastAsia="Arial" w:hAnsi="Arial"/>
          <w:sz w:val="17"/>
          <w:szCs w:val="17"/>
          <w:u w:val="single" w:color="auto"/>
          <w:color w:val="000000"/>
        </w:rPr>
        <w:t>Article VII</w:t>
      </w:r>
      <w:r>
        <w:rPr>
          <w:rFonts w:ascii="Arial" w:cs="Arial" w:eastAsia="Arial" w:hAnsi="Arial"/>
          <w:sz w:val="17"/>
          <w:szCs w:val="17"/>
          <w:color w:val="000000"/>
        </w:rPr>
        <w:t xml:space="preserve"> hereof will cause irreparable injury to the Agent and the other Secured Parties, that the Agent and the other Secured Parties have no adequate remedy at law in respect of such breaches and therefore agrees, without limiting the right of the Agent or the other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17"/>
          <w:szCs w:val="17"/>
          <w:u w:val="single" w:color="auto"/>
          <w:color w:val="000000"/>
        </w:rPr>
        <w:t>Section 8.6</w:t>
      </w:r>
      <w:r>
        <w:rPr>
          <w:rFonts w:ascii="Arial" w:cs="Arial" w:eastAsia="Arial" w:hAnsi="Arial"/>
          <w:sz w:val="17"/>
          <w:szCs w:val="17"/>
          <w:color w:val="000000"/>
        </w:rPr>
        <w:t xml:space="preserve"> shall be specifically enforceable against the Grantors.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8.7. </w:t>
      </w:r>
      <w:r>
        <w:rPr>
          <w:rFonts w:ascii="Arial" w:cs="Arial" w:eastAsia="Arial" w:hAnsi="Arial"/>
          <w:sz w:val="18"/>
          <w:szCs w:val="18"/>
          <w:u w:val="single" w:color="auto"/>
          <w:color w:val="000000"/>
        </w:rPr>
        <w:t>Use and Possession of Certain Premises</w:t>
      </w:r>
      <w:r>
        <w:rPr>
          <w:rFonts w:ascii="Arial" w:cs="Arial" w:eastAsia="Arial" w:hAnsi="Arial"/>
          <w:sz w:val="18"/>
          <w:szCs w:val="18"/>
          <w:color w:val="000000"/>
        </w:rPr>
        <w:t>. Upon the occurrence and during the continuation of an Event of Default, subject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Intercreditor Agreement, the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18"/>
          <w:szCs w:val="18"/>
          <w:u w:val="single" w:color="auto"/>
          <w:color w:val="000000"/>
        </w:rPr>
        <w:t>Section 8.2</w:t>
      </w:r>
      <w:r>
        <w:rPr>
          <w:rFonts w:ascii="Arial" w:cs="Arial" w:eastAsia="Arial" w:hAnsi="Arial"/>
          <w:sz w:val="18"/>
          <w:szCs w:val="18"/>
          <w:color w:val="000000"/>
        </w:rPr>
        <w:t xml:space="preserve"> hereof all respects.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8.8. </w:t>
      </w:r>
      <w:r>
        <w:rPr>
          <w:rFonts w:ascii="Arial" w:cs="Arial" w:eastAsia="Arial" w:hAnsi="Arial"/>
          <w:sz w:val="18"/>
          <w:szCs w:val="18"/>
          <w:u w:val="single" w:color="auto"/>
          <w:color w:val="000000"/>
        </w:rPr>
        <w:t>Reinstatement</w:t>
      </w:r>
      <w:r>
        <w:rPr>
          <w:rFonts w:ascii="Arial" w:cs="Arial" w:eastAsia="Arial" w:hAnsi="Arial"/>
          <w:sz w:val="18"/>
          <w:szCs w:val="18"/>
          <w:color w:val="000000"/>
        </w:rPr>
        <w:t>. This Security Agreement shall remain in full force and effect and continue to be effective should any petition be filed</w:t>
      </w:r>
      <w:r>
        <w:rPr>
          <w:rFonts w:ascii="Arial" w:cs="Arial" w:eastAsia="Arial" w:hAnsi="Arial"/>
          <w:sz w:val="18"/>
          <w:szCs w:val="18"/>
          <w:color w:val="010000"/>
        </w:rPr>
        <w:t xml:space="preserve"> </w:t>
      </w:r>
      <w:r>
        <w:rPr>
          <w:rFonts w:ascii="Arial" w:cs="Arial" w:eastAsia="Arial" w:hAnsi="Arial"/>
          <w:sz w:val="18"/>
          <w:szCs w:val="18"/>
          <w:color w:val="000000"/>
        </w:rPr>
        <w:t>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8.9. </w:t>
      </w:r>
      <w:r>
        <w:rPr>
          <w:rFonts w:ascii="Arial" w:cs="Arial" w:eastAsia="Arial" w:hAnsi="Arial"/>
          <w:sz w:val="18"/>
          <w:szCs w:val="18"/>
          <w:u w:val="single" w:color="auto"/>
          <w:color w:val="000000"/>
        </w:rPr>
        <w:t>Benefit of Agreement</w:t>
      </w:r>
      <w:r>
        <w:rPr>
          <w:rFonts w:ascii="Arial" w:cs="Arial" w:eastAsia="Arial" w:hAnsi="Arial"/>
          <w:sz w:val="18"/>
          <w:szCs w:val="18"/>
          <w:color w:val="000000"/>
        </w:rPr>
        <w:t>. The terms and provisions of this Security Agreement shall be binding upon and inure to the benefit of the</w:t>
      </w:r>
      <w:r>
        <w:rPr>
          <w:rFonts w:ascii="Arial" w:cs="Arial" w:eastAsia="Arial" w:hAnsi="Arial"/>
          <w:sz w:val="18"/>
          <w:szCs w:val="18"/>
          <w:color w:val="010000"/>
        </w:rPr>
        <w:t xml:space="preserve"> </w:t>
      </w:r>
      <w:r>
        <w:rPr>
          <w:rFonts w:ascii="Arial" w:cs="Arial" w:eastAsia="Arial" w:hAnsi="Arial"/>
          <w:sz w:val="18"/>
          <w:szCs w:val="18"/>
          <w:color w:val="000000"/>
        </w:rPr>
        <w:t xml:space="preserve">Grantors, the Agent and the Secured Parties and their respective successors and assigns (including all persons who become bound as a debtor to this Security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Grantors shall not have the right to assign their rights or delegate their obligations under this Security Agreement or any interest herein, except as permitted under the LC Credit Agreement. No sales of participations, assignments, transfers, or other dispositions of any agreement governing the Secured Obligations or any portion thereof or interest therein shall in any manner impair the Lien granted to the Agent, for the benefit of the Agent and the other Secured Parties, hereunder.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8.10. </w:t>
      </w:r>
      <w:r>
        <w:rPr>
          <w:rFonts w:ascii="Arial" w:cs="Arial" w:eastAsia="Arial" w:hAnsi="Arial"/>
          <w:sz w:val="18"/>
          <w:szCs w:val="18"/>
          <w:u w:val="single" w:color="auto"/>
          <w:color w:val="000000"/>
        </w:rPr>
        <w:t>Survival of Representations</w:t>
      </w:r>
      <w:r>
        <w:rPr>
          <w:rFonts w:ascii="Arial" w:cs="Arial" w:eastAsia="Arial" w:hAnsi="Arial"/>
          <w:sz w:val="18"/>
          <w:szCs w:val="18"/>
          <w:color w:val="000000"/>
        </w:rPr>
        <w:t>. All representations and warranties of the Grantors contained in this Security Agreement shall survive the</w:t>
      </w:r>
      <w:r>
        <w:rPr>
          <w:rFonts w:ascii="Arial" w:cs="Arial" w:eastAsia="Arial" w:hAnsi="Arial"/>
          <w:sz w:val="18"/>
          <w:szCs w:val="18"/>
          <w:color w:val="010000"/>
        </w:rPr>
        <w:t xml:space="preserve"> </w:t>
      </w:r>
      <w:r>
        <w:rPr>
          <w:rFonts w:ascii="Arial" w:cs="Arial" w:eastAsia="Arial" w:hAnsi="Arial"/>
          <w:sz w:val="18"/>
          <w:szCs w:val="18"/>
          <w:color w:val="000000"/>
        </w:rPr>
        <w:t>execution and delivery of this Security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8.11. </w:t>
      </w:r>
      <w:r>
        <w:rPr>
          <w:rFonts w:ascii="Arial" w:cs="Arial" w:eastAsia="Arial" w:hAnsi="Arial"/>
          <w:sz w:val="17"/>
          <w:szCs w:val="17"/>
          <w:u w:val="single" w:color="auto"/>
          <w:color w:val="000000"/>
        </w:rPr>
        <w:t>Taxes and Expenses</w:t>
      </w:r>
      <w:r>
        <w:rPr>
          <w:rFonts w:ascii="Arial" w:cs="Arial" w:eastAsia="Arial" w:hAnsi="Arial"/>
          <w:sz w:val="17"/>
          <w:szCs w:val="17"/>
          <w:color w:val="000000"/>
        </w:rPr>
        <w:t>. To the extent required by Section 4.02 of the LC Credit Agreement, any Other Taxes payable or ruled payable by a</w:t>
      </w:r>
      <w:r>
        <w:rPr>
          <w:rFonts w:ascii="Arial" w:cs="Arial" w:eastAsia="Arial" w:hAnsi="Arial"/>
          <w:sz w:val="17"/>
          <w:szCs w:val="17"/>
          <w:color w:val="010000"/>
        </w:rPr>
        <w:t xml:space="preserve"> </w:t>
      </w:r>
      <w:r>
        <w:rPr>
          <w:rFonts w:ascii="Arial" w:cs="Arial" w:eastAsia="Arial" w:hAnsi="Arial"/>
          <w:sz w:val="17"/>
          <w:szCs w:val="17"/>
          <w:color w:val="000000"/>
        </w:rPr>
        <w:t>Governmental Authority in respect of this Security Agreement shall be paid by the applicable Grantor. The Grantors shall reimburse the Agent for any and all of its reasonable out-of-pocket expenses (including reasonable external legal, auditors’ and accountants’ fees) if and to the extent the Borrowers are required to reimburse such amounts under Section 11.03 of the LC Credit Agreement. Any and all costs and expenses incurred by the Grantors in the performance of actions required pursuant to the terms hereof shall be borne solely by the Grantors.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8.12. </w:t>
      </w:r>
      <w:r>
        <w:rPr>
          <w:rFonts w:ascii="Arial" w:cs="Arial" w:eastAsia="Arial" w:hAnsi="Arial"/>
          <w:sz w:val="18"/>
          <w:szCs w:val="18"/>
          <w:u w:val="single" w:color="auto"/>
          <w:color w:val="000000"/>
        </w:rPr>
        <w:t>Headings</w:t>
      </w:r>
      <w:r>
        <w:rPr>
          <w:rFonts w:ascii="Arial" w:cs="Arial" w:eastAsia="Arial" w:hAnsi="Arial"/>
          <w:sz w:val="18"/>
          <w:szCs w:val="18"/>
          <w:color w:val="000000"/>
        </w:rPr>
        <w:t>. The title of and section headings in this Security Agreement are for convenience of reference only, and shall not govern the</w:t>
      </w:r>
      <w:r>
        <w:rPr>
          <w:rFonts w:ascii="Arial" w:cs="Arial" w:eastAsia="Arial" w:hAnsi="Arial"/>
          <w:sz w:val="18"/>
          <w:szCs w:val="18"/>
          <w:color w:val="010000"/>
        </w:rPr>
        <w:t xml:space="preserve"> </w:t>
      </w:r>
      <w:r>
        <w:rPr>
          <w:rFonts w:ascii="Arial" w:cs="Arial" w:eastAsia="Arial" w:hAnsi="Arial"/>
          <w:sz w:val="18"/>
          <w:szCs w:val="18"/>
          <w:color w:val="000000"/>
        </w:rPr>
        <w:t>interpretation of any of the terms and provisions of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8.13. </w:t>
      </w:r>
      <w:r>
        <w:rPr>
          <w:rFonts w:ascii="Arial" w:cs="Arial" w:eastAsia="Arial" w:hAnsi="Arial"/>
          <w:sz w:val="18"/>
          <w:szCs w:val="18"/>
          <w:u w:val="single" w:color="auto"/>
          <w:color w:val="000000"/>
        </w:rPr>
        <w:t>Termination</w:t>
      </w:r>
      <w:r>
        <w:rPr>
          <w:rFonts w:ascii="Arial" w:cs="Arial" w:eastAsia="Arial" w:hAnsi="Arial"/>
          <w:sz w:val="18"/>
          <w:szCs w:val="18"/>
          <w:color w:val="000000"/>
        </w:rPr>
        <w:t>. This Security Agreement shall continue in effect (notwithstanding the fact that from time to time there may be no Secured</w:t>
      </w:r>
      <w:r>
        <w:rPr>
          <w:rFonts w:ascii="Arial" w:cs="Arial" w:eastAsia="Arial" w:hAnsi="Arial"/>
          <w:sz w:val="18"/>
          <w:szCs w:val="18"/>
          <w:color w:val="010000"/>
        </w:rPr>
        <w:t xml:space="preserve"> </w:t>
      </w:r>
      <w:r>
        <w:rPr>
          <w:rFonts w:ascii="Arial" w:cs="Arial" w:eastAsia="Arial" w:hAnsi="Arial"/>
          <w:sz w:val="18"/>
          <w:szCs w:val="18"/>
          <w:color w:val="000000"/>
        </w:rPr>
        <w:t>Obligations outstanding) until Payment in Full. Notwithstanding the foregoing, the obligations of any individual Grantor under this Security Agreement shall automatically terminate to the extent provided in and in accordance with Section 11.23 of the LC Credit Agreement.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010000"/>
        </w:rPr>
        <w:t xml:space="preserve">8.14.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This Security Agreement and the other Loan Documents constitute the entire contract among the parties relating to</w:t>
      </w:r>
      <w:r>
        <w:rPr>
          <w:rFonts w:ascii="Arial" w:cs="Arial" w:eastAsia="Arial" w:hAnsi="Arial"/>
          <w:sz w:val="17"/>
          <w:szCs w:val="17"/>
          <w:color w:val="010000"/>
        </w:rPr>
        <w:t xml:space="preserve"> </w:t>
      </w:r>
      <w:r>
        <w:rPr>
          <w:rFonts w:ascii="Arial" w:cs="Arial" w:eastAsia="Arial" w:hAnsi="Arial"/>
          <w:sz w:val="17"/>
          <w:szCs w:val="17"/>
          <w:color w:val="000000"/>
        </w:rPr>
        <w:t>the subject matter hereof and supersede any and all previous agreements and understandings, oral or written, relating to the subject matter hereof.</w:t>
      </w:r>
    </w:p>
    <w:p>
      <w:pPr>
        <w:spacing w:after="0" w:line="14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010000"/>
        </w:rPr>
        <w:t>8.15.</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left="640" w:firstLine="972"/>
        <w:spacing w:after="0" w:line="277" w:lineRule="auto"/>
        <w:rPr>
          <w:sz w:val="20"/>
          <w:szCs w:val="20"/>
          <w:color w:val="auto"/>
        </w:rPr>
      </w:pPr>
      <w:r>
        <w:rPr>
          <w:rFonts w:ascii="Arial" w:cs="Arial" w:eastAsia="Arial" w:hAnsi="Arial"/>
          <w:sz w:val="18"/>
          <w:szCs w:val="18"/>
          <w:color w:val="010000"/>
        </w:rPr>
        <w:t xml:space="preserve">8.15.1 </w:t>
      </w:r>
      <w:r>
        <w:rPr>
          <w:rFonts w:ascii="Arial" w:cs="Arial" w:eastAsia="Arial" w:hAnsi="Arial"/>
          <w:sz w:val="18"/>
          <w:szCs w:val="18"/>
          <w:color w:val="000000"/>
        </w:rPr>
        <w:t>THIS SECURITY AGREEMENT SHALL BE CONSTRUED IN ACCORDANCE WITH AND GOVERNED BY THE</w:t>
      </w:r>
      <w:r>
        <w:rPr>
          <w:rFonts w:ascii="Arial" w:cs="Arial" w:eastAsia="Arial" w:hAnsi="Arial"/>
          <w:sz w:val="18"/>
          <w:szCs w:val="18"/>
          <w:color w:val="010000"/>
        </w:rPr>
        <w:t xml:space="preserve"> </w:t>
      </w:r>
      <w:r>
        <w:rPr>
          <w:rFonts w:ascii="Arial" w:cs="Arial" w:eastAsia="Arial" w:hAnsi="Arial"/>
          <w:sz w:val="18"/>
          <w:szCs w:val="18"/>
          <w:color w:val="000000"/>
        </w:rPr>
        <w:t>LAW OF THE STATE OF NEW YORK.</w:t>
      </w:r>
    </w:p>
    <w:p>
      <w:pPr>
        <w:spacing w:after="0" w:line="170" w:lineRule="exact"/>
        <w:rPr>
          <w:sz w:val="20"/>
          <w:szCs w:val="20"/>
          <w:color w:val="auto"/>
        </w:rPr>
      </w:pPr>
    </w:p>
    <w:p>
      <w:pPr>
        <w:jc w:val="both"/>
        <w:ind w:left="640" w:firstLine="972"/>
        <w:spacing w:after="0" w:line="288" w:lineRule="auto"/>
        <w:rPr>
          <w:sz w:val="20"/>
          <w:szCs w:val="20"/>
          <w:color w:val="auto"/>
        </w:rPr>
      </w:pPr>
      <w:r>
        <w:rPr>
          <w:rFonts w:ascii="Arial" w:cs="Arial" w:eastAsia="Arial" w:hAnsi="Arial"/>
          <w:sz w:val="16"/>
          <w:szCs w:val="16"/>
          <w:color w:val="010000"/>
        </w:rPr>
        <w:t xml:space="preserve">8.15.2 </w:t>
      </w:r>
      <w:r>
        <w:rPr>
          <w:rFonts w:ascii="Arial" w:cs="Arial" w:eastAsia="Arial" w:hAnsi="Arial"/>
          <w:sz w:val="16"/>
          <w:szCs w:val="16"/>
          <w:color w:val="000000"/>
        </w:rPr>
        <w:t>Each Grantor hereby irrevocably and unconditionally submits, for itself and its property, to the exclusive jurisdiction of the</w:t>
      </w:r>
      <w:r>
        <w:rPr>
          <w:rFonts w:ascii="Arial" w:cs="Arial" w:eastAsia="Arial" w:hAnsi="Arial"/>
          <w:sz w:val="16"/>
          <w:szCs w:val="16"/>
          <w:color w:val="010000"/>
        </w:rPr>
        <w:t xml:space="preserve"> </w:t>
      </w:r>
      <w:r>
        <w:rPr>
          <w:rFonts w:ascii="Arial" w:cs="Arial" w:eastAsia="Arial" w:hAnsi="Arial"/>
          <w:sz w:val="16"/>
          <w:szCs w:val="16"/>
          <w:color w:val="000000"/>
        </w:rPr>
        <w:t>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(other than any Security Agreement governed by Norwegian law), or for recognition or enforcement of any judgment, and each Grantor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Section 8.15) affect any right that any Secured Party may otherwise have to bring any suit, action or proceeding relating to this Security Agreement or any other Loan Document against any Grantor or its properties in the courts of any jurisdiction.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9" w:right="339" w:bottom="1440" w:gutter="0" w:footer="0" w:header="0"/>
        </w:sectPr>
      </w:pPr>
    </w:p>
    <w:bookmarkStart w:id="749" w:name="page750"/>
    <w:bookmarkEnd w:id="749"/>
    <w:p>
      <w:pPr>
        <w:jc w:val="both"/>
        <w:ind w:firstLine="972"/>
        <w:spacing w:after="0" w:line="279" w:lineRule="auto"/>
        <w:rPr>
          <w:sz w:val="20"/>
          <w:szCs w:val="20"/>
          <w:color w:val="auto"/>
        </w:rPr>
      </w:pPr>
      <w:r>
        <w:rPr>
          <w:rFonts w:ascii="Arial" w:cs="Arial" w:eastAsia="Arial" w:hAnsi="Arial"/>
          <w:sz w:val="17"/>
          <w:szCs w:val="17"/>
          <w:color w:val="010000"/>
        </w:rPr>
        <w:t xml:space="preserve">8.15.3 </w:t>
      </w:r>
      <w:r>
        <w:rPr>
          <w:rFonts w:ascii="Arial" w:cs="Arial" w:eastAsia="Arial" w:hAnsi="Arial"/>
          <w:sz w:val="17"/>
          <w:szCs w:val="17"/>
          <w:color w:val="000000"/>
        </w:rPr>
        <w:t>Each Grantor hereby irrevocably and unconditionally waives, to the fullest extent it may legally and effectively do so, any</w:t>
      </w:r>
      <w:r>
        <w:rPr>
          <w:rFonts w:ascii="Arial" w:cs="Arial" w:eastAsia="Arial" w:hAnsi="Arial"/>
          <w:sz w:val="17"/>
          <w:szCs w:val="17"/>
          <w:color w:val="010000"/>
        </w:rPr>
        <w:t xml:space="preserve"> </w:t>
      </w:r>
      <w:r>
        <w:rPr>
          <w:rFonts w:ascii="Arial" w:cs="Arial" w:eastAsia="Arial" w:hAnsi="Arial"/>
          <w:sz w:val="17"/>
          <w:szCs w:val="17"/>
          <w:color w:val="000000"/>
        </w:rPr>
        <w:t xml:space="preserve">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7"/>
          <w:szCs w:val="17"/>
          <w:u w:val="single" w:color="auto"/>
          <w:color w:val="000000"/>
        </w:rPr>
        <w:t>Section 8.15.2</w:t>
      </w:r>
      <w:r>
        <w:rPr>
          <w:rFonts w:ascii="Arial" w:cs="Arial" w:eastAsia="Arial" w:hAnsi="Arial"/>
          <w:sz w:val="17"/>
          <w:szCs w:val="17"/>
          <w:color w:val="000000"/>
        </w:rPr>
        <w:t>. Each Grantor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010000"/>
        </w:rPr>
        <w:t xml:space="preserve">8.15.4 </w:t>
      </w:r>
      <w:r>
        <w:rPr>
          <w:rFonts w:ascii="Arial" w:cs="Arial" w:eastAsia="Arial" w:hAnsi="Arial"/>
          <w:sz w:val="16"/>
          <w:szCs w:val="16"/>
          <w:color w:val="000000"/>
        </w:rPr>
        <w:t>Each party to this Security Agreement irrevocably consents to service of process in the manner provided for notices in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Article IX</w:t>
      </w:r>
      <w:r>
        <w:rPr>
          <w:rFonts w:ascii="Arial" w:cs="Arial" w:eastAsia="Arial" w:hAnsi="Arial"/>
          <w:sz w:val="16"/>
          <w:szCs w:val="16"/>
          <w:color w:val="000000"/>
        </w:rPr>
        <w:t xml:space="preserve"> of this Security Agreement other than by facsimile. Nothing in this Security Agreement or any other Loan Document will affect the right of any party to this Security Agreement to serve process in any other manner permitted by law. Notwithstanding any other provision of this Security Agreement, each Foreign Grantor hereby irrevocably designates CT Corporation System, 28 Liberty Street, New York, New York 10005, as the designee, appointee and agent of such Foreign Grantor to receive, for and on behalf of such Foreign Grantor, service of process in the State of New York in any suit, action or proceeding arising out of or relating to this Security Agreement or any other Loan Document.</w:t>
      </w:r>
    </w:p>
    <w:p>
      <w:pPr>
        <w:spacing w:after="0" w:line="16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010000"/>
        </w:rPr>
        <w:t xml:space="preserve">8.15.5 </w:t>
      </w:r>
      <w:r>
        <w:rPr>
          <w:rFonts w:ascii="Arial" w:cs="Arial" w:eastAsia="Arial" w:hAnsi="Arial"/>
          <w:sz w:val="17"/>
          <w:szCs w:val="17"/>
          <w:color w:val="000000"/>
        </w:rPr>
        <w:t>Each Grantor agrees that any suit, action or proceeding brought by any Grantor or any of their respective Subsidiaries</w:t>
      </w:r>
      <w:r>
        <w:rPr>
          <w:rFonts w:ascii="Arial" w:cs="Arial" w:eastAsia="Arial" w:hAnsi="Arial"/>
          <w:sz w:val="17"/>
          <w:szCs w:val="17"/>
          <w:color w:val="010000"/>
        </w:rPr>
        <w:t xml:space="preserve"> </w:t>
      </w:r>
      <w:r>
        <w:rPr>
          <w:rFonts w:ascii="Arial" w:cs="Arial" w:eastAsia="Arial" w:hAnsi="Arial"/>
          <w:sz w:val="17"/>
          <w:szCs w:val="17"/>
          <w:color w:val="000000"/>
        </w:rPr>
        <w:t>relating to this Security Agreement or any other Loan Document (other than any Security Agreement governed by Norwegian law) against the Agent, any other Secured Party or any of their respective Affiliates shall be brought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73"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010000"/>
        </w:rPr>
        <w:t xml:space="preserve">8.15.6 </w:t>
      </w:r>
      <w:r>
        <w:rPr>
          <w:rFonts w:ascii="Arial" w:cs="Arial" w:eastAsia="Arial" w:hAnsi="Arial"/>
          <w:sz w:val="17"/>
          <w:szCs w:val="17"/>
          <w:color w:val="000000"/>
        </w:rPr>
        <w:t>The Agent hereby irrevocably and unconditionally submits, for itself and its property, to the jurisdiction of the United</w:t>
      </w:r>
      <w:r>
        <w:rPr>
          <w:rFonts w:ascii="Arial" w:cs="Arial" w:eastAsia="Arial" w:hAnsi="Arial"/>
          <w:sz w:val="17"/>
          <w:szCs w:val="17"/>
          <w:color w:val="010000"/>
        </w:rPr>
        <w:t xml:space="preserve"> </w:t>
      </w:r>
      <w:r>
        <w:rPr>
          <w:rFonts w:ascii="Arial" w:cs="Arial" w:eastAsia="Arial" w:hAnsi="Arial"/>
          <w:sz w:val="17"/>
          <w:szCs w:val="17"/>
          <w:color w:val="000000"/>
        </w:rPr>
        <w:t>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(other than any Security Agreement governed by Norwegian law),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3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980" w:top="909" w:right="339" w:bottom="1440" w:gutter="0" w:footer="0" w:header="0"/>
        </w:sectPr>
      </w:pPr>
    </w:p>
    <w:bookmarkStart w:id="750" w:name="page751"/>
    <w:bookmarkEnd w:id="750"/>
    <w:p>
      <w:pPr>
        <w:jc w:val="both"/>
        <w:ind w:left="640" w:firstLine="972"/>
        <w:spacing w:after="0" w:line="279" w:lineRule="auto"/>
        <w:rPr>
          <w:sz w:val="20"/>
          <w:szCs w:val="20"/>
          <w:color w:val="auto"/>
        </w:rPr>
      </w:pPr>
      <w:r>
        <w:rPr>
          <w:rFonts w:ascii="Arial" w:cs="Arial" w:eastAsia="Arial" w:hAnsi="Arial"/>
          <w:sz w:val="17"/>
          <w:szCs w:val="17"/>
          <w:color w:val="010000"/>
        </w:rPr>
        <w:t xml:space="preserve">8.15.7 </w:t>
      </w:r>
      <w:r>
        <w:rPr>
          <w:rFonts w:ascii="Arial" w:cs="Arial" w:eastAsia="Arial" w:hAnsi="Arial"/>
          <w:sz w:val="17"/>
          <w:szCs w:val="17"/>
          <w:color w:val="000000"/>
        </w:rPr>
        <w:t>The Agent hereby irrevocably and unconditionally waives, to the fullest extent it may legally and effectively do so, any</w:t>
      </w:r>
      <w:r>
        <w:rPr>
          <w:rFonts w:ascii="Arial" w:cs="Arial" w:eastAsia="Arial" w:hAnsi="Arial"/>
          <w:sz w:val="17"/>
          <w:szCs w:val="17"/>
          <w:color w:val="010000"/>
        </w:rPr>
        <w:t xml:space="preserve"> </w:t>
      </w:r>
      <w:r>
        <w:rPr>
          <w:rFonts w:ascii="Arial" w:cs="Arial" w:eastAsia="Arial" w:hAnsi="Arial"/>
          <w:sz w:val="17"/>
          <w:szCs w:val="17"/>
          <w:color w:val="000000"/>
        </w:rPr>
        <w:t xml:space="preserve">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7"/>
          <w:szCs w:val="17"/>
          <w:u w:val="single" w:color="auto"/>
          <w:color w:val="000000"/>
        </w:rPr>
        <w:t>Section 8.15.2</w:t>
      </w:r>
      <w:r>
        <w:rPr>
          <w:rFonts w:ascii="Arial" w:cs="Arial" w:eastAsia="Arial" w:hAnsi="Arial"/>
          <w:sz w:val="17"/>
          <w:szCs w:val="17"/>
          <w:color w:val="000000"/>
        </w:rPr>
        <w:t>. The Agent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left="640" w:right="20" w:firstLine="972"/>
        <w:spacing w:after="0" w:line="312" w:lineRule="auto"/>
        <w:rPr>
          <w:sz w:val="20"/>
          <w:szCs w:val="20"/>
          <w:color w:val="auto"/>
        </w:rPr>
      </w:pPr>
      <w:r>
        <w:rPr>
          <w:rFonts w:ascii="Arial" w:cs="Arial" w:eastAsia="Arial" w:hAnsi="Arial"/>
          <w:sz w:val="16"/>
          <w:szCs w:val="16"/>
          <w:color w:val="010000"/>
        </w:rPr>
        <w:t xml:space="preserve">8.15.8 </w:t>
      </w:r>
      <w:r>
        <w:rPr>
          <w:rFonts w:ascii="Arial" w:cs="Arial" w:eastAsia="Arial" w:hAnsi="Arial"/>
          <w:sz w:val="16"/>
          <w:szCs w:val="16"/>
          <w:color w:val="000000"/>
        </w:rPr>
        <w:t>To the extent that any Grantor has or hereafter may acquire any immunity from jurisdiction of any court or from set-off or</w:t>
      </w:r>
      <w:r>
        <w:rPr>
          <w:rFonts w:ascii="Arial" w:cs="Arial" w:eastAsia="Arial" w:hAnsi="Arial"/>
          <w:sz w:val="16"/>
          <w:szCs w:val="16"/>
          <w:color w:val="010000"/>
        </w:rPr>
        <w:t xml:space="preserve"> </w:t>
      </w:r>
      <w:r>
        <w:rPr>
          <w:rFonts w:ascii="Arial" w:cs="Arial" w:eastAsia="Arial" w:hAnsi="Arial"/>
          <w:sz w:val="16"/>
          <w:szCs w:val="16"/>
          <w:color w:val="000000"/>
        </w:rPr>
        <w:t>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47" w:lineRule="exact"/>
        <w:rPr>
          <w:sz w:val="20"/>
          <w:szCs w:val="20"/>
          <w:color w:val="auto"/>
        </w:rPr>
      </w:pPr>
    </w:p>
    <w:p>
      <w:pPr>
        <w:jc w:val="both"/>
        <w:ind w:left="640" w:firstLine="972"/>
        <w:spacing w:after="0" w:line="253" w:lineRule="auto"/>
        <w:rPr>
          <w:sz w:val="20"/>
          <w:szCs w:val="20"/>
          <w:color w:val="auto"/>
        </w:rPr>
      </w:pPr>
      <w:r>
        <w:rPr>
          <w:rFonts w:ascii="Arial" w:cs="Arial" w:eastAsia="Arial" w:hAnsi="Arial"/>
          <w:sz w:val="18"/>
          <w:szCs w:val="18"/>
          <w:color w:val="010000"/>
        </w:rPr>
        <w:t xml:space="preserve">8.15.9 </w:t>
      </w:r>
      <w:r>
        <w:rPr>
          <w:rFonts w:ascii="Arial" w:cs="Arial" w:eastAsia="Arial" w:hAnsi="Arial"/>
          <w:sz w:val="18"/>
          <w:szCs w:val="18"/>
          <w:color w:val="000000"/>
        </w:rPr>
        <w:t>EACH PARTY HERETO HEREBY WAIVES, TO THE FULLEST EXTENT PERMITTED BY APPLICABLE LAW,</w:t>
      </w:r>
      <w:r>
        <w:rPr>
          <w:rFonts w:ascii="Arial" w:cs="Arial" w:eastAsia="Arial" w:hAnsi="Arial"/>
          <w:sz w:val="18"/>
          <w:szCs w:val="18"/>
          <w:color w:val="010000"/>
        </w:rPr>
        <w:t xml:space="preserve"> </w:t>
      </w:r>
      <w:r>
        <w:rPr>
          <w:rFonts w:ascii="Arial" w:cs="Arial" w:eastAsia="Arial" w:hAnsi="Arial"/>
          <w:sz w:val="18"/>
          <w:szCs w:val="18"/>
          <w:color w:val="000000"/>
        </w:rPr>
        <w:t>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8.16. </w:t>
      </w:r>
      <w:r>
        <w:rPr>
          <w:rFonts w:ascii="Arial" w:cs="Arial" w:eastAsia="Arial" w:hAnsi="Arial"/>
          <w:sz w:val="18"/>
          <w:szCs w:val="18"/>
          <w:u w:val="single" w:color="auto"/>
          <w:color w:val="000000"/>
        </w:rPr>
        <w:t>Indemnity</w:t>
      </w:r>
      <w:r>
        <w:rPr>
          <w:rFonts w:ascii="Arial" w:cs="Arial" w:eastAsia="Arial" w:hAnsi="Arial"/>
          <w:sz w:val="18"/>
          <w:szCs w:val="18"/>
          <w:color w:val="000000"/>
        </w:rPr>
        <w:t>. Each Grantor hereby agrees, jointly with the other Grantors and severally, to indemnify the Agent and the Secured Parties in</w:t>
      </w:r>
      <w:r>
        <w:rPr>
          <w:rFonts w:ascii="Arial" w:cs="Arial" w:eastAsia="Arial" w:hAnsi="Arial"/>
          <w:sz w:val="18"/>
          <w:szCs w:val="18"/>
          <w:color w:val="010000"/>
        </w:rPr>
        <w:t xml:space="preserve"> </w:t>
      </w:r>
      <w:r>
        <w:rPr>
          <w:rFonts w:ascii="Arial" w:cs="Arial" w:eastAsia="Arial" w:hAnsi="Arial"/>
          <w:sz w:val="18"/>
          <w:szCs w:val="18"/>
          <w:color w:val="000000"/>
        </w:rPr>
        <w:t xml:space="preserve">accordance with Section 11.04 of the LC Credit Agreement, </w:t>
      </w:r>
      <w:r>
        <w:rPr>
          <w:rFonts w:ascii="Arial" w:cs="Arial" w:eastAsia="Arial" w:hAnsi="Arial"/>
          <w:sz w:val="18"/>
          <w:szCs w:val="18"/>
          <w:i w:val="1"/>
          <w:iCs w:val="1"/>
          <w:color w:val="000000"/>
        </w:rPr>
        <w:t>mutatis mutandis</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8.17. </w:t>
      </w:r>
      <w:r>
        <w:rPr>
          <w:rFonts w:ascii="Arial" w:cs="Arial" w:eastAsia="Arial" w:hAnsi="Arial"/>
          <w:sz w:val="18"/>
          <w:szCs w:val="18"/>
          <w:u w:val="single" w:color="auto"/>
          <w:color w:val="000000"/>
        </w:rPr>
        <w:t>Severability</w:t>
      </w:r>
      <w:r>
        <w:rPr>
          <w:rFonts w:ascii="Arial" w:cs="Arial" w:eastAsia="Arial" w:hAnsi="Arial"/>
          <w:sz w:val="18"/>
          <w:szCs w:val="18"/>
          <w:color w:val="000000"/>
        </w:rPr>
        <w:t>. Any provision in this Security Agreement that is held to be inoperative, unenforceable, not permissible, or invalid in any</w:t>
      </w:r>
      <w:r>
        <w:rPr>
          <w:rFonts w:ascii="Arial" w:cs="Arial" w:eastAsia="Arial" w:hAnsi="Arial"/>
          <w:sz w:val="18"/>
          <w:szCs w:val="18"/>
          <w:color w:val="010000"/>
        </w:rPr>
        <w:t xml:space="preserve"> </w:t>
      </w:r>
      <w:r>
        <w:rPr>
          <w:rFonts w:ascii="Arial" w:cs="Arial" w:eastAsia="Arial" w:hAnsi="Arial"/>
          <w:sz w:val="18"/>
          <w:szCs w:val="18"/>
          <w:color w:val="000000"/>
        </w:rPr>
        <w:t>jurisdiction shall, as to that jurisdiction, be inoperative, unenforceable, not permissible,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010000"/>
        </w:rPr>
        <w:t xml:space="preserve">8.18. </w:t>
      </w:r>
      <w:r>
        <w:rPr>
          <w:rFonts w:ascii="Arial" w:cs="Arial" w:eastAsia="Arial" w:hAnsi="Arial"/>
          <w:sz w:val="16"/>
          <w:szCs w:val="16"/>
          <w:u w:val="single" w:color="auto"/>
          <w:color w:val="000000"/>
        </w:rPr>
        <w:t>Counterparts</w:t>
      </w:r>
      <w:r>
        <w:rPr>
          <w:rFonts w:ascii="Arial" w:cs="Arial" w:eastAsia="Arial" w:hAnsi="Arial"/>
          <w:sz w:val="16"/>
          <w:szCs w:val="16"/>
          <w:color w:val="000000"/>
        </w:rPr>
        <w:t>. This Security Agreement may be executed in counterparts (and by different parties hereto in different counterparts), each</w:t>
      </w:r>
      <w:r>
        <w:rPr>
          <w:rFonts w:ascii="Arial" w:cs="Arial" w:eastAsia="Arial" w:hAnsi="Arial"/>
          <w:sz w:val="16"/>
          <w:szCs w:val="16"/>
          <w:color w:val="010000"/>
        </w:rPr>
        <w:t xml:space="preserve"> </w:t>
      </w:r>
      <w:r>
        <w:rPr>
          <w:rFonts w:ascii="Arial" w:cs="Arial" w:eastAsia="Arial" w:hAnsi="Arial"/>
          <w:sz w:val="16"/>
          <w:szCs w:val="16"/>
          <w:color w:val="000000"/>
        </w:rPr>
        <w:t>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UETA.</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51" w:name="page752"/>
    <w:bookmarkEnd w:id="751"/>
    <w:p>
      <w:pPr>
        <w:jc w:val="both"/>
        <w:ind w:firstLine="648"/>
        <w:spacing w:after="0" w:line="273" w:lineRule="auto"/>
        <w:rPr>
          <w:sz w:val="20"/>
          <w:szCs w:val="20"/>
          <w:color w:val="auto"/>
        </w:rPr>
      </w:pPr>
      <w:r>
        <w:rPr>
          <w:rFonts w:ascii="Arial" w:cs="Arial" w:eastAsia="Arial" w:hAnsi="Arial"/>
          <w:sz w:val="17"/>
          <w:szCs w:val="17"/>
          <w:color w:val="010000"/>
        </w:rPr>
        <w:t xml:space="preserve">8.19. </w:t>
      </w:r>
      <w:r>
        <w:rPr>
          <w:rFonts w:ascii="Arial" w:cs="Arial" w:eastAsia="Arial" w:hAnsi="Arial"/>
          <w:sz w:val="17"/>
          <w:szCs w:val="17"/>
          <w:u w:val="single" w:color="auto"/>
          <w:color w:val="000000"/>
        </w:rPr>
        <w:t>Intercreditor Agreement</w:t>
      </w:r>
      <w:r>
        <w:rPr>
          <w:rFonts w:ascii="Arial" w:cs="Arial" w:eastAsia="Arial" w:hAnsi="Arial"/>
          <w:sz w:val="17"/>
          <w:szCs w:val="17"/>
          <w:color w:val="000000"/>
        </w:rPr>
        <w:t>. Notwithstanding anything herein to the contrary, the Lien and security interest granted to the Agent pursuant</w:t>
      </w:r>
      <w:r>
        <w:rPr>
          <w:rFonts w:ascii="Arial" w:cs="Arial" w:eastAsia="Arial" w:hAnsi="Arial"/>
          <w:sz w:val="17"/>
          <w:szCs w:val="17"/>
          <w:color w:val="010000"/>
        </w:rPr>
        <w:t xml:space="preserve"> </w:t>
      </w:r>
      <w:r>
        <w:rPr>
          <w:rFonts w:ascii="Arial" w:cs="Arial" w:eastAsia="Arial" w:hAnsi="Arial"/>
          <w:sz w:val="17"/>
          <w:szCs w:val="17"/>
          <w:color w:val="000000"/>
        </w:rPr>
        <w:t xml:space="preserve">to or in connection with this Security Agreement, and the exercise of any right or remedy by the Agent hereunder are subject to the provisions of the Intercreditor Agreement. In the event of any conflict between the terms of the Intercreditor Agreement and this Security Agreement, subject to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4.6.4</w:t>
      </w:r>
      <w:r>
        <w:rPr>
          <w:rFonts w:ascii="Arial" w:cs="Arial" w:eastAsia="Arial" w:hAnsi="Arial"/>
          <w:sz w:val="17"/>
          <w:szCs w:val="17"/>
          <w:color w:val="000000"/>
        </w:rPr>
        <w:t xml:space="preserve"> hereof and any other limitation on rights of the Agent or other Secured Party with respect to ULC Shares hereunder, the terms of the Intercreditor Agreement shall control. For so long as the Intercreditor Agreement remains in effect, the delivery of any Collateral to the ABL Collateral Agent as required by the Intercreditor Agreement shall satisfy any delivery requirement with respect to such Collateral hereunder.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8.20. </w:t>
      </w:r>
      <w:r>
        <w:rPr>
          <w:rFonts w:ascii="Arial" w:cs="Arial" w:eastAsia="Arial" w:hAnsi="Arial"/>
          <w:sz w:val="18"/>
          <w:szCs w:val="18"/>
          <w:u w:val="single" w:color="auto"/>
          <w:color w:val="000000"/>
        </w:rPr>
        <w:t>Loan Document</w:t>
      </w:r>
      <w:r>
        <w:rPr>
          <w:rFonts w:ascii="Arial" w:cs="Arial" w:eastAsia="Arial" w:hAnsi="Arial"/>
          <w:sz w:val="18"/>
          <w:szCs w:val="18"/>
          <w:color w:val="000000"/>
        </w:rPr>
        <w:t>. This Security Agreement constitutes a Loan Document for all purposes under the LC Credit Agreement and all other</w:t>
      </w:r>
      <w:r>
        <w:rPr>
          <w:rFonts w:ascii="Arial" w:cs="Arial" w:eastAsia="Arial" w:hAnsi="Arial"/>
          <w:sz w:val="18"/>
          <w:szCs w:val="18"/>
          <w:color w:val="010000"/>
        </w:rPr>
        <w:t xml:space="preserve"> </w:t>
      </w:r>
      <w:r>
        <w:rPr>
          <w:rFonts w:ascii="Arial" w:cs="Arial" w:eastAsia="Arial" w:hAnsi="Arial"/>
          <w:sz w:val="18"/>
          <w:szCs w:val="18"/>
          <w:color w:val="000000"/>
        </w:rPr>
        <w:t>Loan Documents.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8.21. </w:t>
      </w:r>
      <w:r>
        <w:rPr>
          <w:rFonts w:ascii="Arial" w:cs="Arial" w:eastAsia="Arial" w:hAnsi="Arial"/>
          <w:sz w:val="18"/>
          <w:szCs w:val="18"/>
          <w:u w:val="single" w:color="auto"/>
          <w:color w:val="000000"/>
        </w:rPr>
        <w:t>Further Assurances</w:t>
      </w:r>
      <w:r>
        <w:rPr>
          <w:rFonts w:ascii="Arial" w:cs="Arial" w:eastAsia="Arial" w:hAnsi="Arial"/>
          <w:sz w:val="18"/>
          <w:szCs w:val="18"/>
          <w:color w:val="000000"/>
        </w:rPr>
        <w:t>. Each Grantor shall, execute and deliver, or cause to be executed and delivered, to the Agent such documents,</w:t>
      </w:r>
      <w:r>
        <w:rPr>
          <w:rFonts w:ascii="Arial" w:cs="Arial" w:eastAsia="Arial" w:hAnsi="Arial"/>
          <w:sz w:val="18"/>
          <w:szCs w:val="18"/>
          <w:color w:val="010000"/>
        </w:rPr>
        <w:t xml:space="preserve"> </w:t>
      </w:r>
      <w:r>
        <w:rPr>
          <w:rFonts w:ascii="Arial" w:cs="Arial" w:eastAsia="Arial" w:hAnsi="Arial"/>
          <w:sz w:val="18"/>
          <w:szCs w:val="18"/>
          <w:color w:val="000000"/>
        </w:rPr>
        <w:t>agreements, instruments, forms and notices and will take or cause to be taken such further actions (including the filing and recording of financing statements and other documents serving notices of assignment and such other actions or deliveries of the type required by Section 5.01 of the LC Credit Agreement, as applicable), which may be required by law or which the Agent may, from time to time, reasonably request to carry out the terms and conditions of this Security Agreement and to ensure perfection and priority of the Liens created or intended to be created hereby, all at the expense of the Grantors.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8.22. </w:t>
      </w:r>
      <w:r>
        <w:rPr>
          <w:rFonts w:ascii="Arial" w:cs="Arial" w:eastAsia="Arial" w:hAnsi="Arial"/>
          <w:sz w:val="18"/>
          <w:szCs w:val="18"/>
          <w:u w:val="single" w:color="auto"/>
          <w:color w:val="000000"/>
        </w:rPr>
        <w:t>Swiss Security Limitation</w:t>
      </w:r>
      <w:r>
        <w:rPr>
          <w:rFonts w:ascii="Arial" w:cs="Arial" w:eastAsia="Arial" w:hAnsi="Arial"/>
          <w:sz w:val="18"/>
          <w:szCs w:val="18"/>
          <w:color w:val="000000"/>
        </w:rPr>
        <w:t>. If and to the extent the Collateral is subject to any Swiss Security Documents, the security interests created</w:t>
      </w:r>
      <w:r>
        <w:rPr>
          <w:rFonts w:ascii="Arial" w:cs="Arial" w:eastAsia="Arial" w:hAnsi="Arial"/>
          <w:sz w:val="18"/>
          <w:szCs w:val="18"/>
          <w:color w:val="010000"/>
        </w:rPr>
        <w:t xml:space="preserve"> </w:t>
      </w:r>
      <w:r>
        <w:rPr>
          <w:rFonts w:ascii="Arial" w:cs="Arial" w:eastAsia="Arial" w:hAnsi="Arial"/>
          <w:sz w:val="18"/>
          <w:szCs w:val="18"/>
          <w:color w:val="000000"/>
        </w:rPr>
        <w:t>under the respective Swiss Security Documents shall rank senior to the security interests created hereunder and the provisions of the respective Swiss Security Documents shall prevail.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8.23. </w:t>
      </w:r>
      <w:r>
        <w:rPr>
          <w:rFonts w:ascii="Arial" w:cs="Arial" w:eastAsia="Arial" w:hAnsi="Arial"/>
          <w:sz w:val="18"/>
          <w:szCs w:val="18"/>
          <w:u w:val="single" w:color="auto"/>
          <w:color w:val="000000"/>
        </w:rPr>
        <w:t>Norwegian Security Limitation</w:t>
      </w:r>
      <w:r>
        <w:rPr>
          <w:rFonts w:ascii="Arial" w:cs="Arial" w:eastAsia="Arial" w:hAnsi="Arial"/>
          <w:sz w:val="18"/>
          <w:szCs w:val="18"/>
          <w:color w:val="000000"/>
        </w:rPr>
        <w:t>. If and to the extent the Collateral is subject to any Collateral Documents governed by the law of</w:t>
      </w:r>
      <w:r>
        <w:rPr>
          <w:rFonts w:ascii="Arial" w:cs="Arial" w:eastAsia="Arial" w:hAnsi="Arial"/>
          <w:sz w:val="18"/>
          <w:szCs w:val="18"/>
          <w:color w:val="010000"/>
        </w:rPr>
        <w:t xml:space="preserve"> </w:t>
      </w:r>
      <w:r>
        <w:rPr>
          <w:rFonts w:ascii="Arial" w:cs="Arial" w:eastAsia="Arial" w:hAnsi="Arial"/>
          <w:sz w:val="18"/>
          <w:szCs w:val="18"/>
          <w:color w:val="000000"/>
        </w:rPr>
        <w:t>Norway (the “</w:t>
      </w:r>
      <w:r>
        <w:rPr>
          <w:rFonts w:ascii="Arial" w:cs="Arial" w:eastAsia="Arial" w:hAnsi="Arial"/>
          <w:sz w:val="18"/>
          <w:szCs w:val="18"/>
          <w:u w:val="single" w:color="auto"/>
          <w:color w:val="000000"/>
        </w:rPr>
        <w:t>Norwegian Security Documents</w:t>
      </w:r>
      <w:r>
        <w:rPr>
          <w:rFonts w:ascii="Arial" w:cs="Arial" w:eastAsia="Arial" w:hAnsi="Arial"/>
          <w:sz w:val="18"/>
          <w:szCs w:val="18"/>
          <w:color w:val="000000"/>
        </w:rPr>
        <w:t>”), the security interests created under the respective Norwegian security documents shall rank senior to the security interests created hereunder and the provisions of the respective Norwegian Security Documents shall prevail.</w:t>
      </w:r>
    </w:p>
    <w:p>
      <w:pPr>
        <w:spacing w:after="0" w:line="18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010000"/>
        </w:rPr>
        <w:t xml:space="preserve">8.24. </w:t>
      </w:r>
      <w:r>
        <w:rPr>
          <w:rFonts w:ascii="Arial" w:cs="Arial" w:eastAsia="Arial" w:hAnsi="Arial"/>
          <w:sz w:val="18"/>
          <w:szCs w:val="18"/>
          <w:u w:val="single" w:color="auto"/>
          <w:color w:val="000000"/>
        </w:rPr>
        <w:t>Foreign Grantors</w:t>
      </w:r>
      <w:r>
        <w:rPr>
          <w:rFonts w:ascii="Arial" w:cs="Arial" w:eastAsia="Arial" w:hAnsi="Arial"/>
          <w:sz w:val="18"/>
          <w:szCs w:val="18"/>
          <w:color w:val="000000"/>
        </w:rPr>
        <w:t>. Notwithstanding anything to the contrary set forth in this Security Agreement, the parties hereto acknowledge that</w:t>
      </w:r>
      <w:r>
        <w:rPr>
          <w:rFonts w:ascii="Arial" w:cs="Arial" w:eastAsia="Arial" w:hAnsi="Arial"/>
          <w:sz w:val="18"/>
          <w:szCs w:val="18"/>
          <w:color w:val="010000"/>
        </w:rPr>
        <w:t xml:space="preserve"> </w:t>
      </w:r>
      <w:r>
        <w:rPr>
          <w:rFonts w:ascii="Arial" w:cs="Arial" w:eastAsia="Arial" w:hAnsi="Arial"/>
          <w:sz w:val="18"/>
          <w:szCs w:val="18"/>
          <w:color w:val="000000"/>
        </w:rPr>
        <w:t>the representations and warranties, covenants and obligations hereunder of any Foreign Grantor shall apply with respect to the Collateral or, if applicable, any other assets of such Foreign Grantor only to the extent such Collateral or other assets are registered in a jurisdiction located in the United States or, in the case of Capital Stock and Stock Rights pledged pursuant to this Security Agreement by a Foreign Grantor, any such Capital Stock or Stock Rights that are issued by a Domestic Subsidiary.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9" w:right="339" w:bottom="1440" w:gutter="0" w:footer="0" w:header="0"/>
        </w:sectPr>
      </w:pPr>
    </w:p>
    <w:bookmarkStart w:id="752" w:name="page753"/>
    <w:bookmarkEnd w:id="752"/>
    <w:p>
      <w:pPr>
        <w:jc w:val="center"/>
        <w:ind w:right="4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u w:val="single" w:color="auto"/>
          <w:color w:val="000000"/>
        </w:rPr>
        <w:t>Sending Notices</w:t>
      </w:r>
      <w:r>
        <w:rPr>
          <w:rFonts w:ascii="Arial" w:cs="Arial" w:eastAsia="Arial" w:hAnsi="Arial"/>
          <w:sz w:val="18"/>
          <w:szCs w:val="18"/>
          <w:color w:val="000000"/>
        </w:rPr>
        <w:t>. All notices, requests and other communications to any party hereunder shall be given in the manner prescribed in</w:t>
      </w:r>
      <w:r>
        <w:rPr>
          <w:rFonts w:ascii="Arial" w:cs="Arial" w:eastAsia="Arial" w:hAnsi="Arial"/>
          <w:sz w:val="18"/>
          <w:szCs w:val="18"/>
          <w:color w:val="010000"/>
        </w:rPr>
        <w:t xml:space="preserve"> </w:t>
      </w:r>
      <w:r>
        <w:rPr>
          <w:rFonts w:ascii="Arial" w:cs="Arial" w:eastAsia="Arial" w:hAnsi="Arial"/>
          <w:sz w:val="18"/>
          <w:szCs w:val="18"/>
          <w:color w:val="000000"/>
        </w:rPr>
        <w:t>Section 11.02 of the LC Credit Agreement with respect to the Agent at its notice address therein and, with respect to any Grantor, in the care of Weatherford International, LLC, as provided and at the notice address set forth in the Credit Agreement, or such other address or telecopy number as such party may hereafter specify for such purpose in accordance with the provisions of Section 11.02 of the LC Credit Agreement. Any notice delivered to the Borrowers on behalf of the Grantors shall be deemed to have been delivered to all of the Grantors.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Change in Address for Notices</w:t>
      </w:r>
      <w:r>
        <w:rPr>
          <w:rFonts w:ascii="Arial" w:cs="Arial" w:eastAsia="Arial" w:hAnsi="Arial"/>
          <w:sz w:val="18"/>
          <w:szCs w:val="18"/>
          <w:color w:val="000000"/>
        </w:rPr>
        <w:t>. Each of the Grantors, the Agent and the Lenders may change the address for service of notice upon it</w:t>
      </w:r>
      <w:r>
        <w:rPr>
          <w:rFonts w:ascii="Arial" w:cs="Arial" w:eastAsia="Arial" w:hAnsi="Arial"/>
          <w:sz w:val="18"/>
          <w:szCs w:val="18"/>
          <w:color w:val="010000"/>
        </w:rPr>
        <w:t xml:space="preserve"> </w:t>
      </w:r>
      <w:r>
        <w:rPr>
          <w:rFonts w:ascii="Arial" w:cs="Arial" w:eastAsia="Arial" w:hAnsi="Arial"/>
          <w:sz w:val="18"/>
          <w:szCs w:val="18"/>
          <w:color w:val="000000"/>
        </w:rPr>
        <w:t>by a notice in writing to the other parties.</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Follow</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40" w:top="910" w:right="279" w:bottom="1440" w:gutter="0" w:footer="0" w:header="0"/>
        </w:sectPr>
      </w:pPr>
    </w:p>
    <w:bookmarkStart w:id="753" w:name="page754"/>
    <w:bookmarkEnd w:id="753"/>
    <w:p>
      <w:pPr>
        <w:ind w:left="740"/>
        <w:spacing w:after="0"/>
        <w:rPr>
          <w:sz w:val="20"/>
          <w:szCs w:val="20"/>
          <w:color w:val="auto"/>
        </w:rPr>
      </w:pPr>
      <w:r>
        <w:rPr>
          <w:rFonts w:ascii="Arial" w:cs="Arial" w:eastAsia="Arial" w:hAnsi="Arial"/>
          <w:sz w:val="16"/>
          <w:szCs w:val="16"/>
          <w:color w:val="auto"/>
        </w:rPr>
        <w:t>IN WITNESS WHEREOF, each of the Grantors and the Agent have executed this Security Agreement as of the date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GRANTORS]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to U.S. Security Agreement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240" w:top="909" w:right="1119" w:bottom="1440" w:gutter="0" w:footer="0" w:header="0"/>
        </w:sectPr>
      </w:pPr>
    </w:p>
    <w:bookmarkStart w:id="754" w:name="page755"/>
    <w:bookmarkEnd w:id="754"/>
    <w:p>
      <w:pPr>
        <w:jc w:val="center"/>
        <w:ind w:right="-20"/>
        <w:spacing w:after="0"/>
        <w:rPr>
          <w:sz w:val="20"/>
          <w:szCs w:val="20"/>
          <w:color w:val="auto"/>
        </w:rPr>
      </w:pPr>
      <w:r>
        <w:rPr>
          <w:rFonts w:ascii="Arial" w:cs="Arial" w:eastAsia="Arial" w:hAnsi="Arial"/>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755" w:name="page756"/>
    <w:bookmarkEnd w:id="755"/>
    <w:p>
      <w:pPr>
        <w:jc w:val="right"/>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u w:val="single" w:color="auto"/>
          <w:color w:val="auto"/>
        </w:rPr>
        <w:t>FORM OF CANADIAN SECURITY AGREEMENT</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756" w:name="page757"/>
    <w:bookmarkEnd w:id="75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CANADIAN SECURITY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13,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CANADA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(NOVA SCOTIA) 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PRECISION ENERGY SERVICES 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PRECISION ENERGY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PRECISION ENERGY SERVICES COLOMBIA LTD.,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other GRANTORS from time to time party hereto,</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571500</wp:posOffset>
            </wp:positionV>
            <wp:extent cx="724662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75" w:right="1440" w:bottom="1440" w:gutter="0" w:footer="0" w:header="0"/>
        </w:sectPr>
      </w:pPr>
    </w:p>
    <w:bookmarkStart w:id="757" w:name="page758"/>
    <w:bookmarkEnd w:id="757"/>
    <w:p>
      <w:pPr>
        <w:jc w:val="both"/>
        <w:spacing w:after="0" w:line="269" w:lineRule="auto"/>
        <w:rPr>
          <w:sz w:val="20"/>
          <w:szCs w:val="20"/>
          <w:color w:val="auto"/>
        </w:rPr>
      </w:pPr>
      <w:r>
        <w:rPr>
          <w:rFonts w:ascii="Arial" w:cs="Arial" w:eastAsia="Arial" w:hAnsi="Arial"/>
          <w:sz w:val="17"/>
          <w:szCs w:val="17"/>
          <w:i w:val="1"/>
          <w:iCs w:val="1"/>
          <w:u w:val="single" w:color="auto"/>
          <w:color w:val="auto"/>
        </w:rPr>
        <w:t>Reference is made to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Weatherford International, LLC, a Delaware limited liability company and the other Grantors of Weatherford International plc named therein (as amended, amended and restated, supplemented or otherwise modified from time to time, the “</w:t>
      </w:r>
      <w:r>
        <w:rPr>
          <w:rFonts w:ascii="Arial" w:cs="Arial" w:eastAsia="Arial" w:hAnsi="Arial"/>
          <w:sz w:val="17"/>
          <w:szCs w:val="17"/>
          <w:b w:val="1"/>
          <w:bCs w:val="1"/>
          <w:i w:val="1"/>
          <w:iCs w:val="1"/>
          <w:u w:val="single" w:color="auto"/>
          <w:color w:val="auto"/>
        </w:rPr>
        <w:t>Intercreditor Agreement</w:t>
      </w:r>
      <w:r>
        <w:rPr>
          <w:rFonts w:ascii="Arial" w:cs="Arial" w:eastAsia="Arial" w:hAnsi="Arial"/>
          <w:sz w:val="17"/>
          <w:szCs w:val="17"/>
          <w:i w:val="1"/>
          <w:iCs w:val="1"/>
          <w:u w:val="single" w:color="auto"/>
          <w:color w:val="auto"/>
        </w:rPr>
        <w:t>”). Each Lender, of its acceptance of the benefits hereof (a) consents to the subordination of Liens provided for in the Intercreditor Agreement, (b) agrees that it will be bound by, and will take no actions contrary to, the provisions of the Intercreditor Agreement and (c) authorizes and instructs the LC Collateral Agent to enter into the Intercreditor Agreement as LC Collateral Agent on behalf of such LC Lender. The foregoing provisions are intended as an inducement to the Lenders to extend credit to the Borrowers (as defined below) or to acquire any notes or other evidence of any debt obligation owing from the Borrowers and such Lenders are intended third party beneficiaries of such provisions and the provisions of the Intercreditor Agreement.</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Notwithstanding any other provision contained herein, this Security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Intercreditor Agreement). In the event of any conflict or inconsistency between the provisions of this Security Agreement and the Intercreditor Agreement, subject to Section 4.6.4 hereof and any other limitation on rights of the Agent or other Secured Party with respect to ULC Shares hereunder, the provisions of the Intercreditor Agreement shall control.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8" w:name="page759"/>
    <w:bookmarkEnd w:id="758"/>
    <w:p>
      <w:pPr>
        <w:jc w:val="both"/>
        <w:ind w:firstLine="648"/>
        <w:spacing w:after="0" w:line="272" w:lineRule="auto"/>
        <w:rPr>
          <w:sz w:val="20"/>
          <w:szCs w:val="20"/>
          <w:color w:val="auto"/>
        </w:rPr>
      </w:pPr>
      <w:r>
        <w:rPr>
          <w:rFonts w:ascii="Arial" w:cs="Arial" w:eastAsia="Arial" w:hAnsi="Arial"/>
          <w:sz w:val="17"/>
          <w:szCs w:val="17"/>
          <w:color w:val="auto"/>
        </w:rPr>
        <w:t>This CANADIAN SECURITY AGREEMENT (as the same may be amended, restated, supplemented or otherwise modified from time to time, this “</w:t>
      </w:r>
      <w:r>
        <w:rPr>
          <w:rFonts w:ascii="Arial" w:cs="Arial" w:eastAsia="Arial" w:hAnsi="Arial"/>
          <w:sz w:val="17"/>
          <w:szCs w:val="17"/>
          <w:b w:val="1"/>
          <w:bCs w:val="1"/>
          <w:i w:val="1"/>
          <w:iCs w:val="1"/>
          <w:color w:val="auto"/>
        </w:rPr>
        <w:t>Security Agreement</w:t>
      </w:r>
      <w:r>
        <w:rPr>
          <w:rFonts w:ascii="Arial" w:cs="Arial" w:eastAsia="Arial" w:hAnsi="Arial"/>
          <w:sz w:val="17"/>
          <w:szCs w:val="17"/>
          <w:color w:val="auto"/>
        </w:rPr>
        <w:t>”) is entered into as of December 13, 2019 by and among the entities listed on the signature pages hereto (such listed entities, collectively, the “</w:t>
      </w:r>
      <w:r>
        <w:rPr>
          <w:rFonts w:ascii="Arial" w:cs="Arial" w:eastAsia="Arial" w:hAnsi="Arial"/>
          <w:sz w:val="17"/>
          <w:szCs w:val="17"/>
          <w:b w:val="1"/>
          <w:bCs w:val="1"/>
          <w:i w:val="1"/>
          <w:iCs w:val="1"/>
          <w:color w:val="auto"/>
        </w:rPr>
        <w:t>Initial Grantors</w:t>
      </w:r>
      <w:r>
        <w:rPr>
          <w:rFonts w:ascii="Arial" w:cs="Arial" w:eastAsia="Arial" w:hAnsi="Arial"/>
          <w:sz w:val="17"/>
          <w:szCs w:val="17"/>
          <w:color w:val="auto"/>
        </w:rPr>
        <w:t>” and, together with any other Subsidiaries of Weatherford International plc, an Irish public limited company (“</w:t>
      </w:r>
      <w:r>
        <w:rPr>
          <w:rFonts w:ascii="Arial" w:cs="Arial" w:eastAsia="Arial" w:hAnsi="Arial"/>
          <w:sz w:val="17"/>
          <w:szCs w:val="17"/>
          <w:b w:val="1"/>
          <w:bCs w:val="1"/>
          <w:i w:val="1"/>
          <w:iCs w:val="1"/>
          <w:color w:val="auto"/>
        </w:rPr>
        <w:t>WIL-Ireland</w:t>
      </w:r>
      <w:r>
        <w:rPr>
          <w:rFonts w:ascii="Arial" w:cs="Arial" w:eastAsia="Arial" w:hAnsi="Arial"/>
          <w:sz w:val="17"/>
          <w:szCs w:val="17"/>
          <w:color w:val="auto"/>
        </w:rPr>
        <w:t>”),whether now existing or hereafter formed or acquired, that become parties to this Security Agreement from time to time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terms of the LC Credit Agreement described below by executing a Security Agreement Supplement hereto in substantially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each, a “</w:t>
      </w:r>
      <w:r>
        <w:rPr>
          <w:rFonts w:ascii="Arial" w:cs="Arial" w:eastAsia="Arial" w:hAnsi="Arial"/>
          <w:sz w:val="17"/>
          <w:szCs w:val="17"/>
          <w:b w:val="1"/>
          <w:bCs w:val="1"/>
          <w:i w:val="1"/>
          <w:iCs w:val="1"/>
          <w:color w:val="auto"/>
        </w:rPr>
        <w:t>Grantor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Grantors</w:t>
      </w:r>
      <w:r>
        <w:rPr>
          <w:rFonts w:ascii="Arial" w:cs="Arial" w:eastAsia="Arial" w:hAnsi="Arial"/>
          <w:sz w:val="17"/>
          <w:szCs w:val="17"/>
          <w:color w:val="auto"/>
        </w:rPr>
        <w:t>”), and Deutsche Bank Trust Company Americas in its capacity as administrative agent (in such capacity,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for itself and on behalf and for the benefit of the other Secured Parties (as defined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WIL-Ireland, Weatherford International Ltd., a Bermuda exempted company (“</w:t>
      </w:r>
      <w:r>
        <w:rPr>
          <w:rFonts w:ascii="Arial" w:cs="Arial" w:eastAsia="Arial" w:hAnsi="Arial"/>
          <w:sz w:val="18"/>
          <w:szCs w:val="18"/>
          <w:b w:val="1"/>
          <w:bCs w:val="1"/>
          <w:i w:val="1"/>
          <w:iCs w:val="1"/>
          <w:color w:val="auto"/>
        </w:rPr>
        <w:t>WIL- 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b w:val="1"/>
          <w:bCs w:val="1"/>
          <w:i w:val="1"/>
          <w:iCs w:val="1"/>
          <w:color w:val="auto"/>
        </w:rPr>
        <w:t>WIL- Delaware</w:t>
      </w:r>
      <w:r>
        <w:rPr>
          <w:rFonts w:ascii="Arial" w:cs="Arial" w:eastAsia="Arial" w:hAnsi="Arial"/>
          <w:sz w:val="18"/>
          <w:szCs w:val="18"/>
          <w:color w:val="auto"/>
        </w:rPr>
        <w:t>” and together with WIL-Bermuda, the “</w:t>
      </w:r>
      <w:r>
        <w:rPr>
          <w:rFonts w:ascii="Arial" w:cs="Arial" w:eastAsia="Arial" w:hAnsi="Arial"/>
          <w:sz w:val="18"/>
          <w:szCs w:val="18"/>
          <w:b w:val="1"/>
          <w:bCs w:val="1"/>
          <w:i w:val="1"/>
          <w:iCs w:val="1"/>
          <w:color w:val="auto"/>
        </w:rPr>
        <w:t>Borrowers</w:t>
      </w:r>
      <w:r>
        <w:rPr>
          <w:rFonts w:ascii="Arial" w:cs="Arial" w:eastAsia="Arial" w:hAnsi="Arial"/>
          <w:sz w:val="18"/>
          <w:szCs w:val="18"/>
          <w:color w:val="auto"/>
        </w:rPr>
        <w:t>”), the Agent, and the Lenders are entering into that certain LC Credit Agreement dated as of the date hereof (as the same may be amended, amended and restated, supplemented or otherwise modified from time to time, the “</w:t>
      </w:r>
      <w:r>
        <w:rPr>
          <w:rFonts w:ascii="Arial" w:cs="Arial" w:eastAsia="Arial" w:hAnsi="Arial"/>
          <w:sz w:val="18"/>
          <w:szCs w:val="18"/>
          <w:b w:val="1"/>
          <w:bCs w:val="1"/>
          <w:i w:val="1"/>
          <w:iCs w:val="1"/>
          <w:color w:val="auto"/>
        </w:rPr>
        <w:t>LC Credit Agreement</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Grantors are entering into this Security Agreement in order to induce the Lenders to enter into and extend credit to the Borrowers under the LC Credit Agreement on the terms set forth therein.</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ACCORDINGLY, the Grantors and the Agent, for itself and on behalf and for the benefit of the other Secured Parties, hereby agree as follows:</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u w:val="single" w:color="auto"/>
          <w:color w:val="000000"/>
        </w:rPr>
        <w:t>Terms Defined in the LC Credit Agreement and the Intercreditor Agreement</w:t>
      </w:r>
      <w:r>
        <w:rPr>
          <w:rFonts w:ascii="Arial" w:cs="Arial" w:eastAsia="Arial" w:hAnsi="Arial"/>
          <w:sz w:val="18"/>
          <w:szCs w:val="18"/>
          <w:color w:val="000000"/>
        </w:rPr>
        <w:t>. All capitalized terms used herein and not otherwise defined</w:t>
      </w:r>
      <w:r>
        <w:rPr>
          <w:rFonts w:ascii="Arial" w:cs="Arial" w:eastAsia="Arial" w:hAnsi="Arial"/>
          <w:sz w:val="18"/>
          <w:szCs w:val="18"/>
          <w:color w:val="010000"/>
        </w:rPr>
        <w:t xml:space="preserve"> </w:t>
      </w:r>
      <w:r>
        <w:rPr>
          <w:rFonts w:ascii="Arial" w:cs="Arial" w:eastAsia="Arial" w:hAnsi="Arial"/>
          <w:sz w:val="18"/>
          <w:szCs w:val="18"/>
          <w:color w:val="000000"/>
        </w:rPr>
        <w:t>shall have the respective meanings assigned to such terms in the LC Credit Agreement and the Intercreditor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1.2. </w:t>
      </w:r>
      <w:r>
        <w:rPr>
          <w:rFonts w:ascii="Arial" w:cs="Arial" w:eastAsia="Arial" w:hAnsi="Arial"/>
          <w:sz w:val="17"/>
          <w:szCs w:val="17"/>
          <w:u w:val="single" w:color="auto"/>
          <w:color w:val="000000"/>
        </w:rPr>
        <w:t>Terms Defined in PPSA</w:t>
      </w:r>
      <w:r>
        <w:rPr>
          <w:rFonts w:ascii="Arial" w:cs="Arial" w:eastAsia="Arial" w:hAnsi="Arial"/>
          <w:sz w:val="17"/>
          <w:szCs w:val="17"/>
          <w:color w:val="000000"/>
        </w:rPr>
        <w:t>. Terms defined in the PPSA that are not otherwise defined in this Security Agreement are used herein as defined</w:t>
      </w:r>
      <w:r>
        <w:rPr>
          <w:rFonts w:ascii="Arial" w:cs="Arial" w:eastAsia="Arial" w:hAnsi="Arial"/>
          <w:sz w:val="17"/>
          <w:szCs w:val="17"/>
          <w:color w:val="010000"/>
        </w:rPr>
        <w:t xml:space="preserve"> </w:t>
      </w:r>
      <w:r>
        <w:rPr>
          <w:rFonts w:ascii="Arial" w:cs="Arial" w:eastAsia="Arial" w:hAnsi="Arial"/>
          <w:sz w:val="17"/>
          <w:szCs w:val="17"/>
          <w:color w:val="000000"/>
        </w:rPr>
        <w:t>in the PPSA; provided that in any event, the following terms shall have the meanings assigned to them in the PPSA: “Accessions”, “Account”, “Chattel Paper”, “Certificated Security”, “Consumer Goods”, “Document of Title”, “Equipment”, “financing statement”, “financing change statement”, “Futures Account”, “Futures Contract”, “Futures Intermediary”, “Goods”, “Instrument”, “Inventory”, “Investment Property”, “Money”, “Proceeds”, “Securities Account”, “Securities Intermediary”, “Security”, “Security Certificate”, “Security Entitlement”, “serial number goods” and “Uncertificated Security”.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u w:val="single" w:color="auto"/>
          <w:color w:val="000000"/>
        </w:rPr>
        <w:t>Terms Defined in STA</w:t>
      </w:r>
      <w:r>
        <w:rPr>
          <w:rFonts w:ascii="Arial" w:cs="Arial" w:eastAsia="Arial" w:hAnsi="Arial"/>
          <w:sz w:val="18"/>
          <w:szCs w:val="18"/>
          <w:color w:val="000000"/>
        </w:rPr>
        <w:t>. As used in this Security Agreement, the words “Control”, “Entitlement Holder”, “Entitlement Order”, “Issuer”</w:t>
      </w:r>
      <w:r>
        <w:rPr>
          <w:rFonts w:ascii="Arial" w:cs="Arial" w:eastAsia="Arial" w:hAnsi="Arial"/>
          <w:sz w:val="18"/>
          <w:szCs w:val="18"/>
          <w:color w:val="010000"/>
        </w:rPr>
        <w:t xml:space="preserve"> </w:t>
      </w:r>
      <w:r>
        <w:rPr>
          <w:rFonts w:ascii="Arial" w:cs="Arial" w:eastAsia="Arial" w:hAnsi="Arial"/>
          <w:sz w:val="18"/>
          <w:szCs w:val="18"/>
          <w:color w:val="000000"/>
        </w:rPr>
        <w:t>and “Financial Asset” have the meaning given to the terms “control”, “entitlement holder”, “entitlement order”, “issuer” and “financial asset”, respectively, in the STA.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9" w:name="page760"/>
    <w:bookmarkEnd w:id="759"/>
    <w:p>
      <w:pPr>
        <w:ind w:left="660"/>
        <w:spacing w:after="0"/>
        <w:tabs>
          <w:tab w:leader="none" w:pos="170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7"/>
          <w:szCs w:val="17"/>
          <w:u w:val="single" w:color="auto"/>
          <w:color w:val="auto"/>
        </w:rPr>
        <w:t>Definitions of Certain Terms Used Herein</w:t>
      </w:r>
      <w:r>
        <w:rPr>
          <w:rFonts w:ascii="Arial" w:cs="Arial" w:eastAsia="Arial" w:hAnsi="Arial"/>
          <w:sz w:val="17"/>
          <w:szCs w:val="17"/>
          <w:color w:val="auto"/>
        </w:rPr>
        <w:t>. As used in this Security Agreement, in addition to the terms defined above and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Preliminary Statement, the following terms shall have the following meanings: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with respect to any Grantor, all Accounts, Chattel Paper, Deposit Accounts, Documents of Title, Equipment, Fixtures, Goods, Instruments, Intangibles, Intellectual Property, Inventory, Investment Property, letters of credit, Letter of 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Notwithstanding any of the foregoing, Collateral shall not include (a) any Excluded Assets, (b) any Consumer Goods, or (c) the last day of any real property lease or any agreement to lease real property, to which such Grantor is now or becomes a party as lessee, provided that any such last day shall be held in trust by such Grantor and, on the exercise by the Agent of its rights and remedies hereunder, shall be assigned by the Grantor as directed by the Agent.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with respect to any Grantor, all contracts and agreements to which such Grantor is at any time a party or pursuant to which such Grantor has at any time acquired rights, and includes (i) all rights of such Grantor to receive money due and to become due to it in connection with a contract or agreement, (ii) all rights of such Grantor to damages arising out of, or for breach or default with respect to, a contract or agreement, and (iii) all rights of such Grantor to perform and exercise all remedies in connection with a contract or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in form and substance reasonably satisfactory to the Agent, executed and delivered by a Grantor, the Agent, and the applicable securities intermediary (with respect to a Securities Account) or bank (with respect to a Deposit Account), or an equivalent agreement under any applicable foreign jurisdiction.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and (e) all rights corresponding to any of the foregoing throughout the world.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means each Confirmatory Grant in U.S. Copyrights executed and delivered by any Grantor in favor of Agent in a form substantially similar to the Trademark Security Agreement and the Patent Security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0" w:name="page761"/>
    <w:bookmarkEnd w:id="760"/>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w:t>
      </w:r>
      <w:r>
        <w:rPr>
          <w:rFonts w:ascii="Arial" w:cs="Arial" w:eastAsia="Arial" w:hAnsi="Arial"/>
          <w:sz w:val="17"/>
          <w:szCs w:val="17"/>
          <w:color w:val="auto"/>
        </w:rPr>
        <w:t>” means a demand, time, savings, passbook, or similar account maintained with a financial institution, including any sub-account relating thereto, and all cash, funds, cheques, notes and instruments from time to time on deposit in any such account or sub- account.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means the most recent to occur of (a) in the case of an Initial Grantor, the date hereof or, in the case of any other Grantor, the date such Grantor becomes a party hereto and (b) the most recent date on which the Borrowers deliver to the Agent a Compliance Certificate accompanied by updated Exhibits to this Security Agreement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means goods that have become so related to particular real property that an interest in them arises under real property law.</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Industrial Designs</w:t>
      </w:r>
      <w:r>
        <w:rPr>
          <w:rFonts w:ascii="Arial" w:cs="Arial" w:eastAsia="Arial" w:hAnsi="Arial"/>
          <w:sz w:val="17"/>
          <w:szCs w:val="17"/>
          <w:color w:val="auto"/>
        </w:rPr>
        <w:t xml:space="preserve">” means (a) registered industrial designs and industrial design applications, and also includes registered industrial designs and industrial design applications listed in </w:t>
      </w:r>
      <w:r>
        <w:rPr>
          <w:rFonts w:ascii="Arial" w:cs="Arial" w:eastAsia="Arial" w:hAnsi="Arial"/>
          <w:sz w:val="17"/>
          <w:szCs w:val="17"/>
          <w:u w:val="single" w:color="auto"/>
          <w:color w:val="auto"/>
        </w:rPr>
        <w:t>Exhibit “B”</w:t>
      </w:r>
      <w:r>
        <w:rPr>
          <w:rFonts w:ascii="Arial" w:cs="Arial" w:eastAsia="Arial" w:hAnsi="Arial"/>
          <w:sz w:val="17"/>
          <w:szCs w:val="17"/>
          <w:color w:val="auto"/>
        </w:rPr>
        <w:t>, (b) all renewals, divisions and any industrial design registrations issuing thereon and any and all foreign applications corresponding thereto, (c) all income, royalties, damages and payments now and hereafter due or payable under and with respect thereto, including payments under all licenses entered into in connection therewith and damages and payments for past or future infringements thereof, (d) the right to sue for past, present and future infringements thereof, and (e) all of each Grantor’s rights corresponding thereto throughout the world.</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Intangibles</w:t>
      </w:r>
      <w:r>
        <w:rPr>
          <w:rFonts w:ascii="Arial" w:cs="Arial" w:eastAsia="Arial" w:hAnsi="Arial"/>
          <w:sz w:val="16"/>
          <w:szCs w:val="16"/>
          <w:color w:val="auto"/>
        </w:rPr>
        <w:t>” shall have the meaning set forth in the PPSA and, in any event, includes payment intangibles, contract rights, rights to payment, rights arising under common law, statutes, or regulations, choses in action, Intellectual Property, programs, programming materials, blueprints, drawings, purchase orders, customer lists, monies due or recoverable from pension funds, route lists,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the STA, and any other personal property other than Money, Accounts, Chattel Paper, Deposit Accounts, Goods, Investment Property, negotiable Collateral, and oil, gas, or other minerals before extraction.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Copyrights, Industrial Designs and any other intellectual property.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Instrument</w:t>
      </w:r>
      <w:r>
        <w:rPr>
          <w:rFonts w:ascii="Arial" w:cs="Arial" w:eastAsia="Arial" w:hAnsi="Arial"/>
          <w:sz w:val="18"/>
          <w:szCs w:val="18"/>
          <w:color w:val="auto"/>
        </w:rPr>
        <w:t>” means an Instrument between a Grantor, as the payee thereunder, and WIL-Ireland or any of its Restricted Subsidiaries, as the payor thereunder.</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Rights</w:t>
      </w:r>
      <w:r>
        <w:rPr>
          <w:rFonts w:ascii="Arial" w:cs="Arial" w:eastAsia="Arial" w:hAnsi="Arial"/>
          <w:sz w:val="16"/>
          <w:szCs w:val="16"/>
          <w:color w:val="auto"/>
        </w:rPr>
        <w:t>” means a right to payment or performance under a letter of credit, whether or not the beneficiary has demanded or is at the time entitled to demand payment or performance, but does not include the right of a beneficiary to demand payment or performance under a letter of credit.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61" w:name="page762"/>
    <w:bookmarkEnd w:id="76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 Copyrights, Trademarks or Industrial Designs,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Collateral</w:t>
      </w:r>
      <w:r>
        <w:rPr>
          <w:rFonts w:ascii="Arial" w:cs="Arial" w:eastAsia="Arial" w:hAnsi="Arial"/>
          <w:sz w:val="18"/>
          <w:szCs w:val="18"/>
          <w:color w:val="auto"/>
        </w:rPr>
        <w:t xml:space="preserve">” means any personal property of the Grantors, not included within the defined terms Accounts, Chattel Paper, Deposit Accounts, Documents of Title, Equipment, Fixtures, Goods, Instruments, Intangibles, Intellectual Property, Inventory, Investment Property, Letter of 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personal property of the Grantors, subject to the exclusions or limitations contained in Article II of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Other Collateral shall not include any Excluded Assets.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licenses of the foregoing whether as licensee or licensor; (e) all income, royalties, damages, claims, and payments now or hereafter due or payable under and with respect thereto, including, without limitation, damages and payments for past and future infringements thereof; (f) all rights to sue for past, present, and future infringements thereof; and (g) all rights corresponding to any of the foregoing throughout the world.</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xml:space="preserve">” means each Confirmatory Grant in U.S. Patents executed and delivered by any Grantor in favor of Agent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permits, licences, waivers, exemptions, consents, certificates, authorizations, approvals, franchises, rights-of-way, easements and entitlements of any Grantor that such Grantor has, requires or is required to have, to own, possess or operate any of its property or to operate and carry on any part of its business.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all Instruments, Securities and other Investment Property of the Grantors to the extent constituting Collateral hereunder, whether or not physically delivered to the Agent pursuant to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Deposits</w:t>
      </w:r>
      <w:r>
        <w:rPr>
          <w:rFonts w:ascii="Arial" w:cs="Arial" w:eastAsia="Arial" w:hAnsi="Arial"/>
          <w:sz w:val="18"/>
          <w:szCs w:val="18"/>
          <w:color w:val="auto"/>
        </w:rPr>
        <w:t>” means all time deposits of money (other than Deposit Accounts and Instruments), whether or not evidenced by certificates, which a Grantor may from time to time designate as pledged to the Agent or to any Secured Party as security for any Secured Obligations, and all rights to receive interest on said deposits.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Security Act as in effect from time to time in the Province of Alberta and includes all regulations from time to time made under such legislation; provided that, if perfection or the effect of perfection or non-perfection or the priority of any Lien on any Collateral is governed by the personal property security legislation or uniform commercial code as in effect in a jurisdiction other than Alberta, “</w:t>
      </w:r>
      <w:r>
        <w:rPr>
          <w:rFonts w:ascii="Arial" w:cs="Arial" w:eastAsia="Arial" w:hAnsi="Arial"/>
          <w:sz w:val="18"/>
          <w:szCs w:val="18"/>
          <w:u w:val="single" w:color="auto"/>
          <w:color w:val="auto"/>
        </w:rPr>
        <w:t>PPSA</w:t>
      </w:r>
      <w:r>
        <w:rPr>
          <w:rFonts w:ascii="Arial" w:cs="Arial" w:eastAsia="Arial" w:hAnsi="Arial"/>
          <w:sz w:val="18"/>
          <w:szCs w:val="18"/>
          <w:color w:val="auto"/>
        </w:rPr>
        <w:t>” means such legislation as in effect from time to time in such other jurisdiction for purposes of the provisions hereof relating to such perfection, effect of perfection or non-perfection or priority.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62" w:name="page763"/>
    <w:bookmarkEnd w:id="76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means the Accounts, Chattel Paper, Documents of Title, Investment Property, Instruments or Pledged Deposits, and any other rights or claims to receive money which are Intangibles or which are otherwise included as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Receivables shall not include any Excluded Assets.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Receiver</w:t>
      </w:r>
      <w:r>
        <w:rPr>
          <w:rFonts w:ascii="Arial" w:cs="Arial" w:eastAsia="Arial" w:hAnsi="Arial"/>
          <w:sz w:val="18"/>
          <w:szCs w:val="18"/>
          <w:color w:val="auto"/>
        </w:rPr>
        <w:t>” means a receiver, a manager or a receiver and manager.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ascribed thereto in the LC Credit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ascribed thereto in the LC Credit Agreement. “</w:t>
      </w:r>
      <w:r>
        <w:rPr>
          <w:rFonts w:ascii="Arial" w:cs="Arial" w:eastAsia="Arial" w:hAnsi="Arial"/>
          <w:sz w:val="18"/>
          <w:szCs w:val="18"/>
          <w:u w:val="single" w:color="auto"/>
          <w:color w:val="auto"/>
        </w:rPr>
        <w:t>Specified Deposit Account</w:t>
      </w:r>
      <w:r>
        <w:rPr>
          <w:rFonts w:ascii="Arial" w:cs="Arial" w:eastAsia="Arial" w:hAnsi="Arial"/>
          <w:sz w:val="18"/>
          <w:szCs w:val="18"/>
          <w:color w:val="auto"/>
        </w:rPr>
        <w:t>” means any Deposit Account of a Grantor other than the Excluded Accounts.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Intellectual Property</w:t>
      </w:r>
      <w:r>
        <w:rPr>
          <w:rFonts w:ascii="Arial" w:cs="Arial" w:eastAsia="Arial" w:hAnsi="Arial"/>
          <w:sz w:val="16"/>
          <w:szCs w:val="16"/>
          <w:color w:val="auto"/>
        </w:rPr>
        <w:t>” means any Intellectual Property of one or more Grantors (a) the book value of which exceeds $5,000,000 individually or in the aggregate, (b) which generates annual revenue, royalties or license fees of greater than $5,000,000 or (c) which, in the commercially reasonable judgment of the Grantors, is material to the conduct of all or a material portion of the business of WIL-Ireland and its Restricted Subsidiaries.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w:t>
      </w:r>
      <w:r>
        <w:rPr>
          <w:rFonts w:ascii="Arial" w:cs="Arial" w:eastAsia="Arial" w:hAnsi="Arial"/>
          <w:sz w:val="18"/>
          <w:szCs w:val="18"/>
          <w:color w:val="auto"/>
        </w:rPr>
        <w:t>” means the Securities Transfer Act of the Province of Alberta, as such legislation may be amended, renamed or replaced from time to time, and includes all regulations from time to time made under such legislation.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means any Letter-of-Credit Right or secondary obligation that supports the payment or performance of an Account, Chattel Paper, Document of Title, Intangible, Instrument or Investment Property.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763" w:name="page764"/>
    <w:bookmarkEnd w:id="76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xml:space="preserve">” means each Confirmatory Grant in U.S. Trademarks executed and delivered by any Grantor in favor of Agent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ULC</w:t>
      </w:r>
      <w:r>
        <w:rPr>
          <w:rFonts w:ascii="Arial" w:cs="Arial" w:eastAsia="Arial" w:hAnsi="Arial"/>
          <w:sz w:val="18"/>
          <w:szCs w:val="18"/>
          <w:color w:val="auto"/>
        </w:rPr>
        <w:t>” means a Person that is an unlimited company, unlimited liability corporation or unlimited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ULC Laws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Act</w:t>
      </w:r>
      <w:r>
        <w:rPr>
          <w:rFonts w:ascii="Arial" w:cs="Arial" w:eastAsia="Arial" w:hAnsi="Arial"/>
          <w:sz w:val="18"/>
          <w:szCs w:val="18"/>
          <w:color w:val="auto"/>
        </w:rPr>
        <w:t xml:space="preserve"> (Nova Scotia),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and any other present or future Laws governing ULCs.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ULC Shares</w:t>
      </w:r>
      <w:r>
        <w:rPr>
          <w:rFonts w:ascii="Arial" w:cs="Arial" w:eastAsia="Arial" w:hAnsi="Arial"/>
          <w:sz w:val="18"/>
          <w:szCs w:val="18"/>
          <w:color w:val="auto"/>
        </w:rPr>
        <w:t>” means shares in the capital stock of, or other equity interests of, a ULC.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SECURITY INTEREST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Each of the Grantors hereby pledges, mortgages, charges, assigns (except in the case of ULC Shares) and grants to the Agent, on behalf of and for the benefit of the Secured Parties, a security interest in all of such Grantor’s present and future property and undertaking including, without limitation, its right, title and interest, whether now owned or hereafter acquired, in and to the Collateral to secure the prompt and complete payment and performance of its Secured Obligations. For the avoidance of doubt, the grant of a security interest herein shall not be deemed to be an assignment of any ULC Shares or any intellectual property rights owned by the Grantors (other than, in respect of any intellectual property rights owned by the Grantors, the collateral assignment pursuant hereto). If the grant of security hereunder with respect to any Contract, Intellectual Property right or Permit would result in the termination or breach of such Contract, Intellectual Property right or Permit, or is otherwise prohibited or ineffective (whether by the terms thereof or under applicable law), then such Contract, Intellectual Property right or Permit shall not be subject to the Liens created hereby, but shall be held in trust by the applicable Grantor for the benefit of the Agent (for its own benefit and for the benefit of the other Secured Parties) and, 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ULC Shares, on the exercise by the Agent of its rights or remedies hereunder following a Default, shall be assigned by such Grantor as directed by the Agent; provided that (a) the security interest created hereby shall automatically attach to such Contract, Intellectual Property right or Permit, or applicable portion thereof, immediately at such time as the condition causing such termination or breach is remedied, and (b) if a term of the Contract that prohibits or restricts the grant of the security interests in the whole of an Account or Chattel Paper forming part of the Collateral is unenforceable against the Agent under applicable law, then the exclusion from the Collateral set out above shall not apply to such Account or Chattel Paper.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64" w:name="page765"/>
    <w:bookmarkEnd w:id="764"/>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Each of the Initial Grantors represents and warrants to the Agent and the Secured Parties, and each Grantor that becomes a party to this Security Agreement pursuant to the execution of a Security Agreement Supplement in substantially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represents and warrants (after giving effect to supplements to each of the Exhibits hereto, with respect to such subsequent Grantor, as attached to such Security Agreement Supplement), that:</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3.1. </w:t>
      </w:r>
      <w:r>
        <w:rPr>
          <w:rFonts w:ascii="Arial" w:cs="Arial" w:eastAsia="Arial" w:hAnsi="Arial"/>
          <w:sz w:val="16"/>
          <w:szCs w:val="16"/>
          <w:u w:val="single" w:color="auto"/>
          <w:color w:val="000000"/>
        </w:rPr>
        <w:t>Title, Authorization, Validity and Enforceability</w:t>
      </w:r>
      <w:r>
        <w:rPr>
          <w:rFonts w:ascii="Arial" w:cs="Arial" w:eastAsia="Arial" w:hAnsi="Arial"/>
          <w:sz w:val="16"/>
          <w:szCs w:val="16"/>
          <w:color w:val="000000"/>
        </w:rPr>
        <w:t>. Subject to</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3.11.10</w:t>
      </w:r>
      <w:r>
        <w:rPr>
          <w:rFonts w:ascii="Arial" w:cs="Arial" w:eastAsia="Arial" w:hAnsi="Arial"/>
          <w:sz w:val="16"/>
          <w:szCs w:val="16"/>
          <w:color w:val="000000"/>
        </w:rPr>
        <w:t>, such Grantor has good and valid rights in or the power to</w:t>
      </w:r>
      <w:r>
        <w:rPr>
          <w:rFonts w:ascii="Arial" w:cs="Arial" w:eastAsia="Arial" w:hAnsi="Arial"/>
          <w:sz w:val="16"/>
          <w:szCs w:val="16"/>
          <w:color w:val="010000"/>
        </w:rPr>
        <w:t xml:space="preserve"> </w:t>
      </w:r>
      <w:r>
        <w:rPr>
          <w:rFonts w:ascii="Arial" w:cs="Arial" w:eastAsia="Arial" w:hAnsi="Arial"/>
          <w:sz w:val="16"/>
          <w:szCs w:val="16"/>
          <w:color w:val="000000"/>
        </w:rPr>
        <w:t xml:space="preserve">transfer its respective Collateral, free and clear of all Liens except for Liens permitted under Section 8.04 of the LC Credit Agreement, and has the corporate, unlimited liability company, limited liability company or partnership, as applicable, power and authority to grant to the Agent the security interest in such Collateral pursuant hereto. The execution and delivery by such Grantor of this Security Agreement have been duly authorized by corporate, unlimited liability company, limited liability company, limited partnership or partnership, as applicable, proceedings or actions, and this Security Agreement constitutes a legal, valid and binding obligation of such Grantor and creates a security interest which is enforceable against such Grantor in all Collateral it now owns or hereafter acquires, except (a)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 When financing statements have been filed in the appropriate offices against such Grantor in the locations listed in </w:t>
      </w:r>
      <w:r>
        <w:rPr>
          <w:rFonts w:ascii="Arial" w:cs="Arial" w:eastAsia="Arial" w:hAnsi="Arial"/>
          <w:sz w:val="16"/>
          <w:szCs w:val="16"/>
          <w:u w:val="single" w:color="auto"/>
          <w:color w:val="000000"/>
        </w:rPr>
        <w:t>Exhibit “E”</w:t>
      </w:r>
      <w:r>
        <w:rPr>
          <w:rFonts w:ascii="Arial" w:cs="Arial" w:eastAsia="Arial" w:hAnsi="Arial"/>
          <w:sz w:val="16"/>
          <w:szCs w:val="16"/>
          <w:color w:val="000000"/>
        </w:rPr>
        <w:t>, the Agent shall have a perfected security interest (with the priority set forth in the Intercreditor Agreement and subject only to Liens permitted by Section 8.04 of the LC Credit Agreement) in the Collateral of each Grantor to the extent such security interest can be perfected by the filing of a financing statement under the PPSA. Each Grantor confirms that value has been given by the Secured Parties to such Grantor, that such Grantor has rights in, or the power to transfer rights in, its Collateral existing as of the date of this Security Agreement or the date of any Security Agreement Supplement, as applicable, and that such Grantor and the Agent have not agreed to postpone the time for attachment of any security interest created by this Security Agreement to any of the Collateral of such Grantor.</w:t>
      </w:r>
    </w:p>
    <w:p>
      <w:pPr>
        <w:spacing w:after="0" w:line="3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Conflicting Laws and Contracts</w:t>
      </w:r>
      <w:r>
        <w:rPr>
          <w:rFonts w:ascii="Arial" w:cs="Arial" w:eastAsia="Arial" w:hAnsi="Arial"/>
          <w:sz w:val="18"/>
          <w:szCs w:val="18"/>
          <w:color w:val="000000"/>
        </w:rPr>
        <w:t>. Neither the execution and delivery by such Grantor of this Security Agreement, the creation and</w:t>
      </w:r>
      <w:r>
        <w:rPr>
          <w:rFonts w:ascii="Arial" w:cs="Arial" w:eastAsia="Arial" w:hAnsi="Arial"/>
          <w:sz w:val="18"/>
          <w:szCs w:val="18"/>
          <w:color w:val="010000"/>
        </w:rPr>
        <w:t xml:space="preserve"> </w:t>
      </w:r>
      <w:r>
        <w:rPr>
          <w:rFonts w:ascii="Arial" w:cs="Arial" w:eastAsia="Arial" w:hAnsi="Arial"/>
          <w:sz w:val="18"/>
          <w:szCs w:val="18"/>
          <w:color w:val="000000"/>
        </w:rPr>
        <w:t xml:space="preserve">perfection of the security interest in the Collateral granted hereunder, nor compliance with the terms and provisions hereof (a) will breach or violate any applicable Requirement of Law binding on such Grantor, (b) will result in any breach or violation of, or constitute a default under, or result in the creation or imposition of (or the obligation to create or impose) any Lien prohibited under the LC Credit Agreement, upon any of its property or assets pursuant to the terms of (i) the ABL Credit Agreement, the Exit Senior Notes or the Exit Senior Notes Indenture or (ii) any other indenture, agreement or other instrument to which such Grantor is a party or by which any property or asset of it is bound or to which it is subject, except for breaches, violations and defaults under clauses (a) and </w:t>
      </w:r>
      <w:r>
        <w:rPr>
          <w:rFonts w:ascii="Arial" w:cs="Arial" w:eastAsia="Arial" w:hAnsi="Arial"/>
          <w:sz w:val="18"/>
          <w:szCs w:val="18"/>
          <w:u w:val="single" w:color="auto"/>
          <w:color w:val="000000"/>
        </w:rPr>
        <w:t>(b)(ii)</w:t>
      </w:r>
      <w:r>
        <w:rPr>
          <w:rFonts w:ascii="Arial" w:cs="Arial" w:eastAsia="Arial" w:hAnsi="Arial"/>
          <w:sz w:val="18"/>
          <w:szCs w:val="18"/>
          <w:color w:val="000000"/>
        </w:rPr>
        <w:t xml:space="preserve"> that collectively for the Grantors would not have a Material Adverse Effect, or (c) will violate any provision of such Grantor’s charter, articles or certificate of incorporation or formation, memorandum of association, partnership agreement, by-laws or operating agreement (or similar constitutive document).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5" w:name="page766"/>
    <w:bookmarkEnd w:id="765"/>
    <w:p>
      <w:pPr>
        <w:jc w:val="both"/>
        <w:ind w:firstLine="648"/>
        <w:spacing w:after="0" w:line="277"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Principal Location</w:t>
      </w:r>
      <w:r>
        <w:rPr>
          <w:rFonts w:ascii="Arial" w:cs="Arial" w:eastAsia="Arial" w:hAnsi="Arial"/>
          <w:sz w:val="18"/>
          <w:szCs w:val="18"/>
          <w:color w:val="000000"/>
        </w:rPr>
        <w:t>. Such Grantor’s mailing address and the location of its place of business (if it has only one) or its chief executive</w:t>
      </w:r>
      <w:r>
        <w:rPr>
          <w:rFonts w:ascii="Arial" w:cs="Arial" w:eastAsia="Arial" w:hAnsi="Arial"/>
          <w:sz w:val="18"/>
          <w:szCs w:val="18"/>
          <w:color w:val="010000"/>
        </w:rPr>
        <w:t xml:space="preserve"> </w:t>
      </w:r>
      <w:r>
        <w:rPr>
          <w:rFonts w:ascii="Arial" w:cs="Arial" w:eastAsia="Arial" w:hAnsi="Arial"/>
          <w:sz w:val="18"/>
          <w:szCs w:val="18"/>
          <w:color w:val="000000"/>
        </w:rPr>
        <w:t xml:space="preserve">office (if it has more than one place of business), are disclosed, as of the applicable Determination Date, in </w:t>
      </w:r>
      <w:r>
        <w:rPr>
          <w:rFonts w:ascii="Arial" w:cs="Arial" w:eastAsia="Arial" w:hAnsi="Arial"/>
          <w:sz w:val="18"/>
          <w:szCs w:val="18"/>
          <w:u w:val="single" w:color="auto"/>
          <w:color w:val="000000"/>
        </w:rPr>
        <w:t>Exhibit “A”</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010000"/>
        </w:rPr>
        <w:t xml:space="preserve">3.4. </w:t>
      </w:r>
      <w:r>
        <w:rPr>
          <w:rFonts w:ascii="Arial" w:cs="Arial" w:eastAsia="Arial" w:hAnsi="Arial"/>
          <w:sz w:val="17"/>
          <w:szCs w:val="17"/>
          <w:u w:val="single" w:color="auto"/>
          <w:color w:val="000000"/>
        </w:rPr>
        <w:t>Property Locations</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Exhibit “A”</w:t>
      </w:r>
      <w:r>
        <w:rPr>
          <w:rFonts w:ascii="Arial" w:cs="Arial" w:eastAsia="Arial" w:hAnsi="Arial"/>
          <w:sz w:val="17"/>
          <w:szCs w:val="17"/>
          <w:color w:val="010000"/>
        </w:rPr>
        <w:t xml:space="preserve"> </w:t>
      </w:r>
      <w:r>
        <w:rPr>
          <w:rFonts w:ascii="Arial" w:cs="Arial" w:eastAsia="Arial" w:hAnsi="Arial"/>
          <w:sz w:val="17"/>
          <w:szCs w:val="17"/>
          <w:color w:val="000000"/>
        </w:rPr>
        <w:t>lists, as of the applicable Determination Date, all of such Grantor’s locations where Inventory and</w:t>
      </w:r>
      <w:r>
        <w:rPr>
          <w:rFonts w:ascii="Arial" w:cs="Arial" w:eastAsia="Arial" w:hAnsi="Arial"/>
          <w:sz w:val="17"/>
          <w:szCs w:val="17"/>
          <w:color w:val="010000"/>
        </w:rPr>
        <w:t xml:space="preserve"> </w:t>
      </w:r>
      <w:r>
        <w:rPr>
          <w:rFonts w:ascii="Arial" w:cs="Arial" w:eastAsia="Arial" w:hAnsi="Arial"/>
          <w:sz w:val="17"/>
          <w:szCs w:val="17"/>
          <w:color w:val="000000"/>
        </w:rPr>
        <w:t xml:space="preserve">Equipment constituting Collateral are located (other than any such location where the book value of all Inventory and Equipment located thereon does not exceed $10,000,000). Such </w:t>
      </w:r>
      <w:r>
        <w:rPr>
          <w:rFonts w:ascii="Arial" w:cs="Arial" w:eastAsia="Arial" w:hAnsi="Arial"/>
          <w:sz w:val="17"/>
          <w:szCs w:val="17"/>
          <w:u w:val="single" w:color="auto"/>
          <w:color w:val="000000"/>
        </w:rPr>
        <w:t>Exhibit “A”</w:t>
      </w:r>
      <w:r>
        <w:rPr>
          <w:rFonts w:ascii="Arial" w:cs="Arial" w:eastAsia="Arial" w:hAnsi="Arial"/>
          <w:sz w:val="17"/>
          <w:szCs w:val="17"/>
          <w:color w:val="000000"/>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No Other Names; Etc.</w:t>
      </w:r>
      <w:r>
        <w:rPr>
          <w:rFonts w:ascii="Arial" w:cs="Arial" w:eastAsia="Arial" w:hAnsi="Arial"/>
          <w:sz w:val="18"/>
          <w:szCs w:val="18"/>
          <w:color w:val="010000"/>
        </w:rPr>
        <w:t xml:space="preserve"> </w:t>
      </w:r>
      <w:r>
        <w:rPr>
          <w:rFonts w:ascii="Arial" w:cs="Arial" w:eastAsia="Arial" w:hAnsi="Arial"/>
          <w:sz w:val="18"/>
          <w:szCs w:val="18"/>
          <w:color w:val="000000"/>
        </w:rPr>
        <w:t>Within the five-year period ending as of the date such Person becomes a Grantor hereunder, such Grantor has not</w:t>
      </w:r>
      <w:r>
        <w:rPr>
          <w:rFonts w:ascii="Arial" w:cs="Arial" w:eastAsia="Arial" w:hAnsi="Arial"/>
          <w:sz w:val="18"/>
          <w:szCs w:val="18"/>
          <w:color w:val="010000"/>
        </w:rPr>
        <w:t xml:space="preserve"> </w:t>
      </w:r>
      <w:r>
        <w:rPr>
          <w:rFonts w:ascii="Arial" w:cs="Arial" w:eastAsia="Arial" w:hAnsi="Arial"/>
          <w:sz w:val="18"/>
          <w:szCs w:val="18"/>
          <w:color w:val="000000"/>
        </w:rPr>
        <w:t xml:space="preserve">conducted business under any other name, changed its jurisdiction of organization or incorporation, merged with or into or consolidated or amalgamated with any other Person, except as disclosed in </w:t>
      </w:r>
      <w:r>
        <w:rPr>
          <w:rFonts w:ascii="Arial" w:cs="Arial" w:eastAsia="Arial" w:hAnsi="Arial"/>
          <w:sz w:val="18"/>
          <w:szCs w:val="18"/>
          <w:u w:val="single" w:color="auto"/>
          <w:color w:val="000000"/>
        </w:rPr>
        <w:t>Exhibit “A”</w:t>
      </w:r>
      <w:r>
        <w:rPr>
          <w:rFonts w:ascii="Arial" w:cs="Arial" w:eastAsia="Arial" w:hAnsi="Arial"/>
          <w:sz w:val="18"/>
          <w:szCs w:val="18"/>
          <w:color w:val="000000"/>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or incorporation as of the date such Person becomes a Grantor hereunder.</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Accounts and Chattel Paper</w:t>
      </w:r>
      <w:r>
        <w:rPr>
          <w:rFonts w:ascii="Arial" w:cs="Arial" w:eastAsia="Arial" w:hAnsi="Arial"/>
          <w:sz w:val="18"/>
          <w:szCs w:val="18"/>
          <w:color w:val="000000"/>
        </w:rPr>
        <w:t>. The names of the obligors, amounts owing, due dates and other information with respect to the Accounts</w:t>
      </w:r>
      <w:r>
        <w:rPr>
          <w:rFonts w:ascii="Arial" w:cs="Arial" w:eastAsia="Arial" w:hAnsi="Arial"/>
          <w:sz w:val="18"/>
          <w:szCs w:val="18"/>
          <w:color w:val="010000"/>
        </w:rPr>
        <w:t xml:space="preserve"> </w:t>
      </w:r>
      <w:r>
        <w:rPr>
          <w:rFonts w:ascii="Arial" w:cs="Arial" w:eastAsia="Arial" w:hAnsi="Arial"/>
          <w:sz w:val="18"/>
          <w:szCs w:val="18"/>
          <w:color w:val="000000"/>
        </w:rPr>
        <w:t>and Chattel Paper owned by such Grantor and constituting Collateral are and will be correctly stated in all material respects in all records of such Grantor relating thereto and in all invoices and reports with respect thereto furnished to the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3.7. </w:t>
      </w:r>
      <w:r>
        <w:rPr>
          <w:rFonts w:ascii="Arial" w:cs="Arial" w:eastAsia="Arial" w:hAnsi="Arial"/>
          <w:sz w:val="18"/>
          <w:szCs w:val="18"/>
          <w:u w:val="single" w:color="auto"/>
          <w:color w:val="000000"/>
        </w:rPr>
        <w:t>No Financing Statements, Security Agreements</w:t>
      </w:r>
      <w:r>
        <w:rPr>
          <w:rFonts w:ascii="Arial" w:cs="Arial" w:eastAsia="Arial" w:hAnsi="Arial"/>
          <w:sz w:val="18"/>
          <w:szCs w:val="18"/>
          <w:color w:val="000000"/>
        </w:rPr>
        <w:t>. No financing statement or security agreement describing all or any portion of the</w:t>
      </w:r>
      <w:r>
        <w:rPr>
          <w:rFonts w:ascii="Arial" w:cs="Arial" w:eastAsia="Arial" w:hAnsi="Arial"/>
          <w:sz w:val="18"/>
          <w:szCs w:val="18"/>
          <w:color w:val="010000"/>
        </w:rPr>
        <w:t xml:space="preserve"> </w:t>
      </w:r>
      <w:r>
        <w:rPr>
          <w:rFonts w:ascii="Arial" w:cs="Arial" w:eastAsia="Arial" w:hAnsi="Arial"/>
          <w:sz w:val="18"/>
          <w:szCs w:val="18"/>
          <w:color w:val="000000"/>
        </w:rPr>
        <w:t xml:space="preserve">Collateral (other than a financing statement or security agreement that has lapsed or been terminated) naming such Grantor as debtor has been filed or is of record in any jurisdiction except financing statements (i) naming the Agent on behalf of the Secured Parties as the secured party and (ii) in respect of Liens permitted by Section 8.04 of the LC Credit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nothing herein shall be deemed to constitute an agreement to subordinate any of the Liens of the Agent under the Loan Documents to any Liens otherwise permitted under Section 8.04 of the LC Credit Agreement or except as set forth in the Intercreditor Agreement.</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3.8. </w:t>
      </w:r>
      <w:r>
        <w:rPr>
          <w:rFonts w:ascii="Arial" w:cs="Arial" w:eastAsia="Arial" w:hAnsi="Arial"/>
          <w:sz w:val="18"/>
          <w:szCs w:val="18"/>
          <w:u w:val="single" w:color="auto"/>
          <w:color w:val="000000"/>
        </w:rPr>
        <w:t>Serial Number Goods</w:t>
      </w:r>
      <w:r>
        <w:rPr>
          <w:rFonts w:ascii="Arial" w:cs="Arial" w:eastAsia="Arial" w:hAnsi="Arial"/>
          <w:sz w:val="18"/>
          <w:szCs w:val="18"/>
          <w:color w:val="000000"/>
        </w:rPr>
        <w:t>. None of the Collateral owned by such Grantor constitutes serial number goods except for those identified in Part</w:t>
      </w:r>
      <w:r>
        <w:rPr>
          <w:rFonts w:ascii="Arial" w:cs="Arial" w:eastAsia="Arial" w:hAnsi="Arial"/>
          <w:sz w:val="18"/>
          <w:szCs w:val="18"/>
          <w:color w:val="010000"/>
        </w:rPr>
        <w:t xml:space="preserve"> </w:t>
      </w:r>
      <w:r>
        <w:rPr>
          <w:rFonts w:ascii="Arial" w:cs="Arial" w:eastAsia="Arial" w:hAnsi="Arial"/>
          <w:sz w:val="18"/>
          <w:szCs w:val="18"/>
          <w:color w:val="000000"/>
        </w:rPr>
        <w:t xml:space="preserve">A of </w:t>
      </w:r>
      <w:r>
        <w:rPr>
          <w:rFonts w:ascii="Arial" w:cs="Arial" w:eastAsia="Arial" w:hAnsi="Arial"/>
          <w:sz w:val="18"/>
          <w:szCs w:val="18"/>
          <w:u w:val="single" w:color="auto"/>
          <w:color w:val="000000"/>
        </w:rPr>
        <w:t>Exhibit “B”</w:t>
      </w:r>
      <w:r>
        <w:rPr>
          <w:rFonts w:ascii="Arial" w:cs="Arial" w:eastAsia="Arial" w:hAnsi="Arial"/>
          <w:sz w:val="18"/>
          <w:szCs w:val="18"/>
          <w:color w:val="000000"/>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6" w:name="page767"/>
    <w:bookmarkEnd w:id="766"/>
    <w:p>
      <w:pPr>
        <w:jc w:val="both"/>
        <w:ind w:firstLine="648"/>
        <w:spacing w:after="0" w:line="277" w:lineRule="auto"/>
        <w:rPr>
          <w:sz w:val="20"/>
          <w:szCs w:val="20"/>
          <w:color w:val="auto"/>
        </w:rPr>
      </w:pPr>
      <w:r>
        <w:rPr>
          <w:rFonts w:ascii="Arial" w:cs="Arial" w:eastAsia="Arial" w:hAnsi="Arial"/>
          <w:sz w:val="18"/>
          <w:szCs w:val="18"/>
          <w:color w:val="010000"/>
        </w:rPr>
        <w:t xml:space="preserve">3.9. </w:t>
      </w:r>
      <w:r>
        <w:rPr>
          <w:rFonts w:ascii="Arial" w:cs="Arial" w:eastAsia="Arial" w:hAnsi="Arial"/>
          <w:sz w:val="18"/>
          <w:szCs w:val="18"/>
          <w:u w:val="single" w:color="auto"/>
          <w:color w:val="000000"/>
        </w:rPr>
        <w:t>Organization Number; Jurisdiction of Organization</w:t>
      </w:r>
      <w:r>
        <w:rPr>
          <w:rFonts w:ascii="Arial" w:cs="Arial" w:eastAsia="Arial" w:hAnsi="Arial"/>
          <w:sz w:val="18"/>
          <w:szCs w:val="18"/>
          <w:color w:val="000000"/>
        </w:rPr>
        <w:t>. Such Grantor’s jurisdiction of organization, type of organization and organization</w:t>
      </w:r>
      <w:r>
        <w:rPr>
          <w:rFonts w:ascii="Arial" w:cs="Arial" w:eastAsia="Arial" w:hAnsi="Arial"/>
          <w:sz w:val="18"/>
          <w:szCs w:val="18"/>
          <w:color w:val="010000"/>
        </w:rPr>
        <w:t xml:space="preserve"> </w:t>
      </w:r>
      <w:r>
        <w:rPr>
          <w:rFonts w:ascii="Arial" w:cs="Arial" w:eastAsia="Arial" w:hAnsi="Arial"/>
          <w:sz w:val="18"/>
          <w:szCs w:val="18"/>
          <w:color w:val="000000"/>
        </w:rPr>
        <w:t xml:space="preserve">identification number (if any) are, as of the applicable Determination Date, listed in </w:t>
      </w:r>
      <w:r>
        <w:rPr>
          <w:rFonts w:ascii="Arial" w:cs="Arial" w:eastAsia="Arial" w:hAnsi="Arial"/>
          <w:sz w:val="18"/>
          <w:szCs w:val="18"/>
          <w:u w:val="single" w:color="auto"/>
          <w:color w:val="000000"/>
        </w:rPr>
        <w:t>Exhibit “G”</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3.10. </w:t>
      </w:r>
      <w:r>
        <w:rPr>
          <w:rFonts w:ascii="Arial" w:cs="Arial" w:eastAsia="Arial" w:hAnsi="Arial"/>
          <w:sz w:val="17"/>
          <w:szCs w:val="17"/>
          <w:u w:val="single" w:color="auto"/>
          <w:color w:val="000000"/>
        </w:rPr>
        <w:t>Pledged Securities and Other Investment Property</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Exhibit “D”</w:t>
      </w:r>
      <w:r>
        <w:rPr>
          <w:rFonts w:ascii="Arial" w:cs="Arial" w:eastAsia="Arial" w:hAnsi="Arial"/>
          <w:sz w:val="17"/>
          <w:szCs w:val="17"/>
          <w:color w:val="010000"/>
        </w:rPr>
        <w:t xml:space="preserve"> </w:t>
      </w:r>
      <w:r>
        <w:rPr>
          <w:rFonts w:ascii="Arial" w:cs="Arial" w:eastAsia="Arial" w:hAnsi="Arial"/>
          <w:sz w:val="17"/>
          <w:szCs w:val="17"/>
          <w:color w:val="000000"/>
        </w:rPr>
        <w:t>sets forth, as of the applicable Determination Date, a complete and</w:t>
      </w:r>
      <w:r>
        <w:rPr>
          <w:rFonts w:ascii="Arial" w:cs="Arial" w:eastAsia="Arial" w:hAnsi="Arial"/>
          <w:sz w:val="17"/>
          <w:szCs w:val="17"/>
          <w:color w:val="010000"/>
        </w:rPr>
        <w:t xml:space="preserve"> </w:t>
      </w:r>
      <w:r>
        <w:rPr>
          <w:rFonts w:ascii="Arial" w:cs="Arial" w:eastAsia="Arial" w:hAnsi="Arial"/>
          <w:sz w:val="17"/>
          <w:szCs w:val="17"/>
          <w:color w:val="000000"/>
        </w:rPr>
        <w:t xml:space="preserve">accurate list of the Instruments (other than Intercompany Instruments), Securities and other Investment Property constituting Collateral and delivered to the Agent. Each Grantor is the direct and beneficial owner of each Instrument, Security and other type of Investment Property listed in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as being owned by it, free and clear of any Liens, except for the security interest granted to the Agent for the benefit of the Secured Parties hereunder or as permitted by Section 8.04 of the LC Credit Agreement. Each Grantor further represents and warrants that (i) all Pledged Collateral owned by it constituting Capital Stock has been (to the extent such concepts are relevant with respect to such Pledged Collateral) duly authorized and validly issued, are fully paid and, except in the case of ULC Shares, non-assessable and constitute, as of the applicable Determination Date, the percentage of the issued and outstanding shares of stock (or other Capital Stock) of the respective issuers thereof indicated in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hereto and (ii) all such Pledged Collateral held by a Securities Intermediary (including in a Securities Account) is covered by a Control Agreement among such Grantor, the securities intermediary and the Agent pursuant to which the Agent has Control to the extent required by </w:t>
      </w:r>
      <w:r>
        <w:rPr>
          <w:rFonts w:ascii="Arial" w:cs="Arial" w:eastAsia="Arial" w:hAnsi="Arial"/>
          <w:sz w:val="17"/>
          <w:szCs w:val="17"/>
          <w:u w:val="single" w:color="auto"/>
          <w:color w:val="000000"/>
        </w:rPr>
        <w:t>Section 4.5</w:t>
      </w:r>
      <w:r>
        <w:rPr>
          <w:rFonts w:ascii="Arial" w:cs="Arial" w:eastAsia="Arial" w:hAnsi="Arial"/>
          <w:sz w:val="17"/>
          <w:szCs w:val="17"/>
          <w:color w:val="000000"/>
        </w:rPr>
        <w:t xml:space="preserve">. In addition, each Grantor hereby represents and warrants that (x) no partnership agreement or operating agreement (or similar constitutive document) with respect to Pledged Collateral in respect of a limited liability company or partnership provides that such Pledged Collateral constitute securities governed by the STA as in effect in any relevant jurisdiction and (y) no Collateral constitutes Certificated Securities, except as otherwise indicated on </w:t>
      </w:r>
      <w:r>
        <w:rPr>
          <w:rFonts w:ascii="Arial" w:cs="Arial" w:eastAsia="Arial" w:hAnsi="Arial"/>
          <w:sz w:val="17"/>
          <w:szCs w:val="17"/>
          <w:u w:val="single" w:color="auto"/>
          <w:color w:val="000000"/>
        </w:rPr>
        <w:t>Exhibit “D”</w:t>
      </w:r>
      <w:r>
        <w:rPr>
          <w:rFonts w:ascii="Arial" w:cs="Arial" w:eastAsia="Arial" w:hAnsi="Arial"/>
          <w:sz w:val="17"/>
          <w:szCs w:val="17"/>
          <w:color w:val="000000"/>
        </w:rPr>
        <w:t>. Each Grantor covenants that for so long as this Security Agreement is in effect, it shall not permit any of its Subsidiaries whose Capital Stock is Pledged Collateral (the “</w:t>
      </w:r>
      <w:r>
        <w:rPr>
          <w:rFonts w:ascii="Arial" w:cs="Arial" w:eastAsia="Arial" w:hAnsi="Arial"/>
          <w:sz w:val="17"/>
          <w:szCs w:val="17"/>
          <w:u w:val="single" w:color="auto"/>
          <w:color w:val="000000"/>
        </w:rPr>
        <w:t>Acknowledgment Parties</w:t>
      </w:r>
      <w:r>
        <w:rPr>
          <w:rFonts w:ascii="Arial" w:cs="Arial" w:eastAsia="Arial" w:hAnsi="Arial"/>
          <w:sz w:val="17"/>
          <w:szCs w:val="17"/>
          <w:color w:val="000000"/>
        </w:rPr>
        <w:t xml:space="preserve">”) (I) except as otherwise indicated on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to cause such Capital Stock to become Certificated Securities, or (II) except as otherwise indicated on </w:t>
      </w:r>
      <w:r>
        <w:rPr>
          <w:rFonts w:ascii="Arial" w:cs="Arial" w:eastAsia="Arial" w:hAnsi="Arial"/>
          <w:sz w:val="17"/>
          <w:szCs w:val="17"/>
          <w:u w:val="single" w:color="auto"/>
          <w:color w:val="000000"/>
        </w:rPr>
        <w:t>Exhibit “D”</w:t>
      </w:r>
      <w:r>
        <w:rPr>
          <w:rFonts w:ascii="Arial" w:cs="Arial" w:eastAsia="Arial" w:hAnsi="Arial"/>
          <w:sz w:val="17"/>
          <w:szCs w:val="17"/>
          <w:color w:val="000000"/>
        </w:rPr>
        <w:t xml:space="preserve">, for any such Subsidiaries that are limited liability companies or partnerships, to elect that its membership interests constitute securities governed by the STA as in effect in any relevant jurisdiction without the consent of all pledgees of such membership interests or the delivery of any applicable limited liability company certificate or control agreement necessary to perfect each such pledgee's interests in the applicable membership interests. Each Grantor further agrees to cause each Acknowledgment Party, other than any Acknowledgment Party that is a ULC, to execute and deliver an acknowledgment substantially in the form of </w:t>
      </w:r>
      <w:r>
        <w:rPr>
          <w:rFonts w:ascii="Arial" w:cs="Arial" w:eastAsia="Arial" w:hAnsi="Arial"/>
          <w:sz w:val="17"/>
          <w:szCs w:val="17"/>
          <w:u w:val="single" w:color="auto"/>
          <w:color w:val="000000"/>
        </w:rPr>
        <w:t>Exhibit</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“L”</w:t>
      </w:r>
      <w:r>
        <w:rPr>
          <w:rFonts w:ascii="Arial" w:cs="Arial" w:eastAsia="Arial" w:hAnsi="Arial"/>
          <w:sz w:val="17"/>
          <w:szCs w:val="17"/>
          <w:color w:val="000000"/>
        </w:rPr>
        <w:t xml:space="preserve"> hereto promptly upon such party becoming an Acknowledgment Party.</w:t>
      </w:r>
    </w:p>
    <w:p>
      <w:pPr>
        <w:spacing w:after="0" w:line="188"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010000"/>
        </w:rPr>
        <w:t>3.11.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972"/>
        <w:spacing w:after="0" w:line="271" w:lineRule="auto"/>
        <w:rPr>
          <w:sz w:val="20"/>
          <w:szCs w:val="20"/>
          <w:color w:val="auto"/>
        </w:rPr>
      </w:pPr>
      <w:r>
        <w:rPr>
          <w:rFonts w:ascii="Arial" w:cs="Arial" w:eastAsia="Arial" w:hAnsi="Arial"/>
          <w:sz w:val="17"/>
          <w:szCs w:val="17"/>
          <w:color w:val="010000"/>
        </w:rPr>
        <w:t xml:space="preserve">3.11.1 </w:t>
      </w:r>
      <w:r>
        <w:rPr>
          <w:rFonts w:ascii="Arial" w:cs="Arial" w:eastAsia="Arial" w:hAnsi="Arial"/>
          <w:sz w:val="17"/>
          <w:szCs w:val="17"/>
          <w:u w:val="single" w:color="auto"/>
          <w:color w:val="000000"/>
        </w:rPr>
        <w:t>Exhibit “B”</w:t>
      </w:r>
      <w:r>
        <w:rPr>
          <w:rFonts w:ascii="Arial" w:cs="Arial" w:eastAsia="Arial" w:hAnsi="Arial"/>
          <w:sz w:val="17"/>
          <w:szCs w:val="17"/>
          <w:color w:val="010000"/>
        </w:rPr>
        <w:t xml:space="preserve"> </w:t>
      </w:r>
      <w:r>
        <w:rPr>
          <w:rFonts w:ascii="Arial" w:cs="Arial" w:eastAsia="Arial" w:hAnsi="Arial"/>
          <w:sz w:val="17"/>
          <w:szCs w:val="17"/>
          <w:color w:val="000000"/>
        </w:rPr>
        <w:t>contains a complete and accurate listing as of the applicable Determination Date of all of the below-described</w:t>
      </w:r>
      <w:r>
        <w:rPr>
          <w:rFonts w:ascii="Arial" w:cs="Arial" w:eastAsia="Arial" w:hAnsi="Arial"/>
          <w:sz w:val="17"/>
          <w:szCs w:val="17"/>
          <w:color w:val="010000"/>
        </w:rPr>
        <w:t xml:space="preserve"> </w:t>
      </w:r>
      <w:r>
        <w:rPr>
          <w:rFonts w:ascii="Arial" w:cs="Arial" w:eastAsia="Arial" w:hAnsi="Arial"/>
          <w:sz w:val="17"/>
          <w:szCs w:val="17"/>
          <w:color w:val="000000"/>
        </w:rPr>
        <w:t xml:space="preserve">Specified Intellectual Property of each of the Grantors: (i) state, provincial, U.S., Canadian and foreign trademark registrations, and applications for trademark registration, (ii) U.S., Canadian and foreign patents and patent applications, together with all reissuances, continuations, continuations in part, revisions, extensions, and reexaminations thereof, (iii) U.S., Canadian and foreign copyright registrations and applications for registration, (iv) Exclusive Copyright Licenses, (v) foreign industrial design registrations and industrial design applications, and (vi) domain names. All of the U.S. and Canadian registrations, applications for registration or applications for issuance of such Specified Intellectual Property are valid and subsisting, in good standing and, subject to </w:t>
      </w:r>
      <w:r>
        <w:rPr>
          <w:rFonts w:ascii="Arial" w:cs="Arial" w:eastAsia="Arial" w:hAnsi="Arial"/>
          <w:sz w:val="17"/>
          <w:szCs w:val="17"/>
          <w:u w:val="single" w:color="auto"/>
          <w:color w:val="000000"/>
        </w:rPr>
        <w:t>Section 3.11.10</w:t>
      </w:r>
      <w:r>
        <w:rPr>
          <w:rFonts w:ascii="Arial" w:cs="Arial" w:eastAsia="Arial" w:hAnsi="Arial"/>
          <w:sz w:val="17"/>
          <w:szCs w:val="17"/>
          <w:color w:val="000000"/>
        </w:rPr>
        <w:t>, are recorded or in the process of being recorded in the name of the applicable Grantor, except as could not be reasonably expected to result in a Material Adverse Effect.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7" w:name="page768"/>
    <w:bookmarkEnd w:id="767"/>
    <w:p>
      <w:pPr>
        <w:jc w:val="both"/>
        <w:ind w:firstLine="972"/>
        <w:spacing w:after="0" w:line="264" w:lineRule="auto"/>
        <w:rPr>
          <w:sz w:val="20"/>
          <w:szCs w:val="20"/>
          <w:color w:val="auto"/>
        </w:rPr>
      </w:pPr>
      <w:r>
        <w:rPr>
          <w:rFonts w:ascii="Arial" w:cs="Arial" w:eastAsia="Arial" w:hAnsi="Arial"/>
          <w:sz w:val="18"/>
          <w:szCs w:val="18"/>
          <w:color w:val="010000"/>
        </w:rPr>
        <w:t xml:space="preserve">3.11.2 </w:t>
      </w:r>
      <w:r>
        <w:rPr>
          <w:rFonts w:ascii="Arial" w:cs="Arial" w:eastAsia="Arial" w:hAnsi="Arial"/>
          <w:sz w:val="18"/>
          <w:szCs w:val="18"/>
          <w:color w:val="000000"/>
        </w:rPr>
        <w:t>Such Specific Intellectual Property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Exhibit B</w:t>
      </w:r>
      <w:r>
        <w:rPr>
          <w:rFonts w:ascii="Arial" w:cs="Arial" w:eastAsia="Arial" w:hAnsi="Arial"/>
          <w:sz w:val="18"/>
          <w:szCs w:val="18"/>
          <w:color w:val="010000"/>
        </w:rPr>
        <w:t xml:space="preserve"> </w:t>
      </w:r>
      <w:r>
        <w:rPr>
          <w:rFonts w:ascii="Arial" w:cs="Arial" w:eastAsia="Arial" w:hAnsi="Arial"/>
          <w:sz w:val="18"/>
          <w:szCs w:val="18"/>
          <w:color w:val="000000"/>
        </w:rPr>
        <w:t>is valid, subsisting, unexpired (where registered) and enforceable and has</w:t>
      </w:r>
      <w:r>
        <w:rPr>
          <w:rFonts w:ascii="Arial" w:cs="Arial" w:eastAsia="Arial" w:hAnsi="Arial"/>
          <w:sz w:val="18"/>
          <w:szCs w:val="18"/>
          <w:color w:val="010000"/>
        </w:rPr>
        <w:t xml:space="preserve"> </w:t>
      </w:r>
      <w:r>
        <w:rPr>
          <w:rFonts w:ascii="Arial" w:cs="Arial" w:eastAsia="Arial" w:hAnsi="Arial"/>
          <w:sz w:val="18"/>
          <w:szCs w:val="18"/>
          <w:color w:val="000000"/>
        </w:rPr>
        <w:t>not been abandoned or adjudged invalid or unenforceable, in whole or in part, except as could not be reasonably expected to result in a Material Adverse Effect.</w:t>
      </w:r>
    </w:p>
    <w:p>
      <w:pPr>
        <w:spacing w:after="0" w:line="18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010000"/>
        </w:rPr>
        <w:t xml:space="preserve">3.11.3 </w:t>
      </w:r>
      <w:r>
        <w:rPr>
          <w:rFonts w:ascii="Arial" w:cs="Arial" w:eastAsia="Arial" w:hAnsi="Arial"/>
          <w:sz w:val="17"/>
          <w:szCs w:val="17"/>
          <w:color w:val="000000"/>
        </w:rPr>
        <w:t>Subject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3.11.10</w:t>
      </w:r>
      <w:r>
        <w:rPr>
          <w:rFonts w:ascii="Arial" w:cs="Arial" w:eastAsia="Arial" w:hAnsi="Arial"/>
          <w:sz w:val="17"/>
          <w:szCs w:val="17"/>
          <w:color w:val="000000"/>
        </w:rPr>
        <w:t>, (i) no Person other than the respective Grantor (or any other Grantor) has any right or interest</w:t>
      </w:r>
      <w:r>
        <w:rPr>
          <w:rFonts w:ascii="Arial" w:cs="Arial" w:eastAsia="Arial" w:hAnsi="Arial"/>
          <w:sz w:val="17"/>
          <w:szCs w:val="17"/>
          <w:color w:val="010000"/>
        </w:rPr>
        <w:t xml:space="preserve"> </w:t>
      </w:r>
      <w:r>
        <w:rPr>
          <w:rFonts w:ascii="Arial" w:cs="Arial" w:eastAsia="Arial" w:hAnsi="Arial"/>
          <w:sz w:val="17"/>
          <w:szCs w:val="17"/>
          <w:color w:val="000000"/>
        </w:rPr>
        <w:t>of any kind or nature in or to the Specified Intellectual Property owned by such Grantor, including any right to sell, license, lease, transfer, distribute, use or otherwise exploit such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78"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010000"/>
        </w:rPr>
        <w:t xml:space="preserve">3.11.4 </w:t>
      </w:r>
      <w:r>
        <w:rPr>
          <w:rFonts w:ascii="Arial" w:cs="Arial" w:eastAsia="Arial" w:hAnsi="Arial"/>
          <w:sz w:val="17"/>
          <w:szCs w:val="17"/>
          <w:color w:val="000000"/>
        </w:rPr>
        <w:t>Each Grantor has taken or caused to be taken steps so that none of its material Specified Intellectual Property, the value of</w:t>
      </w:r>
      <w:r>
        <w:rPr>
          <w:rFonts w:ascii="Arial" w:cs="Arial" w:eastAsia="Arial" w:hAnsi="Arial"/>
          <w:sz w:val="17"/>
          <w:szCs w:val="17"/>
          <w:color w:val="010000"/>
        </w:rPr>
        <w:t xml:space="preserve"> </w:t>
      </w:r>
      <w:r>
        <w:rPr>
          <w:rFonts w:ascii="Arial" w:cs="Arial" w:eastAsia="Arial" w:hAnsi="Arial"/>
          <w:sz w:val="17"/>
          <w:szCs w:val="17"/>
          <w:color w:val="000000"/>
        </w:rPr>
        <w:t>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 customary confidentiality and nondisclosure agreements with the Grantors or such Affiliate owners, as applicable.</w:t>
      </w:r>
    </w:p>
    <w:p>
      <w:pPr>
        <w:spacing w:after="0" w:line="17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010000"/>
        </w:rPr>
        <w:t xml:space="preserve">3.11.5 </w:t>
      </w:r>
      <w:r>
        <w:rPr>
          <w:rFonts w:ascii="Arial" w:cs="Arial" w:eastAsia="Arial" w:hAnsi="Arial"/>
          <w:sz w:val="18"/>
          <w:szCs w:val="18"/>
          <w:color w:val="000000"/>
        </w:rPr>
        <w:t>To each Grantor’s knowledge, no Person has violated, infringed upon or breached, or is currently violating, infringing</w:t>
      </w:r>
      <w:r>
        <w:rPr>
          <w:rFonts w:ascii="Arial" w:cs="Arial" w:eastAsia="Arial" w:hAnsi="Arial"/>
          <w:sz w:val="18"/>
          <w:szCs w:val="18"/>
          <w:color w:val="010000"/>
        </w:rPr>
        <w:t xml:space="preserve"> </w:t>
      </w:r>
      <w:r>
        <w:rPr>
          <w:rFonts w:ascii="Arial" w:cs="Arial" w:eastAsia="Arial" w:hAnsi="Arial"/>
          <w:sz w:val="18"/>
          <w:szCs w:val="18"/>
          <w:color w:val="000000"/>
        </w:rPr>
        <w:t>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8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3.11.6 </w:t>
      </w:r>
      <w:r>
        <w:rPr>
          <w:rFonts w:ascii="Arial" w:cs="Arial" w:eastAsia="Arial" w:hAnsi="Arial"/>
          <w:sz w:val="18"/>
          <w:szCs w:val="18"/>
          <w:color w:val="000000"/>
        </w:rPr>
        <w:t>No settlement or consents, covenants not to sue, nonassertion assurances, or releases have been entered into by any</w:t>
      </w:r>
      <w:r>
        <w:rPr>
          <w:rFonts w:ascii="Arial" w:cs="Arial" w:eastAsia="Arial" w:hAnsi="Arial"/>
          <w:sz w:val="18"/>
          <w:szCs w:val="18"/>
          <w:color w:val="010000"/>
        </w:rPr>
        <w:t xml:space="preserve"> </w:t>
      </w:r>
      <w:r>
        <w:rPr>
          <w:rFonts w:ascii="Arial" w:cs="Arial" w:eastAsia="Arial" w:hAnsi="Arial"/>
          <w:sz w:val="18"/>
          <w:szCs w:val="18"/>
          <w:color w:val="000000"/>
        </w:rPr>
        <w:t>Grantor or to which any Grantor is bound that adversely affects its rights to own or use any Specified Intellectual Property except as could not be reasonably expected to result in a Material Adverse Effect, in each case individually or in the aggregate.</w:t>
      </w:r>
    </w:p>
    <w:p>
      <w:pPr>
        <w:spacing w:after="0" w:line="181"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010000"/>
        </w:rPr>
        <w:t xml:space="preserve">3.11.7 </w:t>
      </w:r>
      <w:r>
        <w:rPr>
          <w:rFonts w:ascii="Arial" w:cs="Arial" w:eastAsia="Arial" w:hAnsi="Arial"/>
          <w:sz w:val="17"/>
          <w:szCs w:val="17"/>
          <w:color w:val="000000"/>
        </w:rPr>
        <w:t>No Grantor has received any written notice that remains outstanding challenging the validity, enforceability, or ownership</w:t>
      </w:r>
      <w:r>
        <w:rPr>
          <w:rFonts w:ascii="Arial" w:cs="Arial" w:eastAsia="Arial" w:hAnsi="Arial"/>
          <w:sz w:val="17"/>
          <w:szCs w:val="17"/>
          <w:color w:val="010000"/>
        </w:rPr>
        <w:t xml:space="preserve"> </w:t>
      </w:r>
      <w:r>
        <w:rPr>
          <w:rFonts w:ascii="Arial" w:cs="Arial" w:eastAsia="Arial" w:hAnsi="Arial"/>
          <w:sz w:val="17"/>
          <w:szCs w:val="17"/>
          <w:color w:val="000000"/>
        </w:rPr>
        <w:t>of any Specified Intellectual Property except where those challenges could not reasonably be expected to result in a Material Adverse Effect, and to such Grantor’s knowledge at the date hereof there are no facts upon which such a challenge could be made.</w:t>
      </w:r>
    </w:p>
    <w:p>
      <w:pPr>
        <w:spacing w:after="0" w:line="38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768" w:name="page769"/>
    <w:bookmarkEnd w:id="768"/>
    <w:p>
      <w:pPr>
        <w:jc w:val="both"/>
        <w:ind w:left="660" w:right="20" w:firstLine="972"/>
        <w:spacing w:after="0" w:line="264" w:lineRule="auto"/>
        <w:rPr>
          <w:sz w:val="20"/>
          <w:szCs w:val="20"/>
          <w:color w:val="auto"/>
        </w:rPr>
      </w:pPr>
      <w:r>
        <w:rPr>
          <w:rFonts w:ascii="Arial" w:cs="Arial" w:eastAsia="Arial" w:hAnsi="Arial"/>
          <w:sz w:val="18"/>
          <w:szCs w:val="18"/>
          <w:color w:val="010000"/>
        </w:rPr>
        <w:t xml:space="preserve">3.11.8 </w:t>
      </w:r>
      <w:r>
        <w:rPr>
          <w:rFonts w:ascii="Arial" w:cs="Arial" w:eastAsia="Arial" w:hAnsi="Arial"/>
          <w:sz w:val="18"/>
          <w:szCs w:val="18"/>
          <w:color w:val="000000"/>
        </w:rPr>
        <w:t>Each Grantor owns directly or is entitled to use, by license or otherwise, all Specified Intellectual Property necessary for</w:t>
      </w:r>
      <w:r>
        <w:rPr>
          <w:rFonts w:ascii="Arial" w:cs="Arial" w:eastAsia="Arial" w:hAnsi="Arial"/>
          <w:sz w:val="18"/>
          <w:szCs w:val="18"/>
          <w:color w:val="010000"/>
        </w:rPr>
        <w:t xml:space="preserve"> </w:t>
      </w:r>
      <w:r>
        <w:rPr>
          <w:rFonts w:ascii="Arial" w:cs="Arial" w:eastAsia="Arial" w:hAnsi="Arial"/>
          <w:sz w:val="18"/>
          <w:szCs w:val="18"/>
          <w:color w:val="000000"/>
        </w:rPr>
        <w:t>the conduct of such Grantor’s business, and the conduct of each Grantor’s business does not infringe upon the Intellectual Property of any other Person, except as could not reasonably be expected to result in a Material Adverse Effect.</w:t>
      </w:r>
    </w:p>
    <w:p>
      <w:pPr>
        <w:spacing w:after="0" w:line="181" w:lineRule="exact"/>
        <w:rPr>
          <w:sz w:val="20"/>
          <w:szCs w:val="20"/>
          <w:color w:val="auto"/>
        </w:rPr>
      </w:pPr>
    </w:p>
    <w:p>
      <w:pPr>
        <w:jc w:val="both"/>
        <w:ind w:left="660" w:right="20" w:firstLine="972"/>
        <w:spacing w:after="0" w:line="277" w:lineRule="auto"/>
        <w:rPr>
          <w:sz w:val="20"/>
          <w:szCs w:val="20"/>
          <w:color w:val="auto"/>
        </w:rPr>
      </w:pPr>
      <w:r>
        <w:rPr>
          <w:rFonts w:ascii="Arial" w:cs="Arial" w:eastAsia="Arial" w:hAnsi="Arial"/>
          <w:sz w:val="18"/>
          <w:szCs w:val="18"/>
          <w:color w:val="010000"/>
        </w:rPr>
        <w:t xml:space="preserve">3.11.9 </w:t>
      </w:r>
      <w:r>
        <w:rPr>
          <w:rFonts w:ascii="Arial" w:cs="Arial" w:eastAsia="Arial" w:hAnsi="Arial"/>
          <w:sz w:val="18"/>
          <w:szCs w:val="18"/>
          <w:color w:val="000000"/>
        </w:rPr>
        <w:t>The consummation of the transactions contemplated by the Loan Documents will not result in the termination or material</w:t>
      </w:r>
      <w:r>
        <w:rPr>
          <w:rFonts w:ascii="Arial" w:cs="Arial" w:eastAsia="Arial" w:hAnsi="Arial"/>
          <w:sz w:val="18"/>
          <w:szCs w:val="18"/>
          <w:color w:val="010000"/>
        </w:rPr>
        <w:t xml:space="preserve"> </w:t>
      </w:r>
      <w:r>
        <w:rPr>
          <w:rFonts w:ascii="Arial" w:cs="Arial" w:eastAsia="Arial" w:hAnsi="Arial"/>
          <w:sz w:val="18"/>
          <w:szCs w:val="18"/>
          <w:color w:val="000000"/>
        </w:rPr>
        <w:t>impairment of any material Intellectual Property owned by such Grantor.</w:t>
      </w:r>
    </w:p>
    <w:p>
      <w:pPr>
        <w:spacing w:after="0" w:line="170" w:lineRule="exact"/>
        <w:rPr>
          <w:sz w:val="20"/>
          <w:szCs w:val="20"/>
          <w:color w:val="auto"/>
        </w:rPr>
      </w:pPr>
    </w:p>
    <w:p>
      <w:pPr>
        <w:jc w:val="both"/>
        <w:ind w:left="660" w:firstLine="972"/>
        <w:spacing w:after="0" w:line="277" w:lineRule="auto"/>
        <w:rPr>
          <w:sz w:val="20"/>
          <w:szCs w:val="20"/>
          <w:color w:val="auto"/>
        </w:rPr>
      </w:pPr>
      <w:r>
        <w:rPr>
          <w:rFonts w:ascii="Arial" w:cs="Arial" w:eastAsia="Arial" w:hAnsi="Arial"/>
          <w:sz w:val="18"/>
          <w:szCs w:val="18"/>
          <w:color w:val="010000"/>
        </w:rPr>
        <w:t xml:space="preserve">3.11.10 </w:t>
      </w:r>
      <w:r>
        <w:rPr>
          <w:rFonts w:ascii="Arial" w:cs="Arial" w:eastAsia="Arial" w:hAnsi="Arial"/>
          <w:sz w:val="18"/>
          <w:szCs w:val="18"/>
          <w:color w:val="000000"/>
        </w:rPr>
        <w:t>Each party hereto acknowledges that certain Specified Intellectual Property is owned in part by the Grantors and in part by</w:t>
      </w:r>
      <w:r>
        <w:rPr>
          <w:rFonts w:ascii="Arial" w:cs="Arial" w:eastAsia="Arial" w:hAnsi="Arial"/>
          <w:sz w:val="18"/>
          <w:szCs w:val="18"/>
          <w:color w:val="010000"/>
        </w:rPr>
        <w:t xml:space="preserve"> </w:t>
      </w:r>
      <w:r>
        <w:rPr>
          <w:rFonts w:ascii="Arial" w:cs="Arial" w:eastAsia="Arial" w:hAnsi="Arial"/>
          <w:sz w:val="18"/>
          <w:szCs w:val="18"/>
          <w:color w:val="000000"/>
        </w:rPr>
        <w:t xml:space="preserve">Affiliates of the Grantors, in each case as scheduled on </w:t>
      </w:r>
      <w:r>
        <w:rPr>
          <w:rFonts w:ascii="Arial" w:cs="Arial" w:eastAsia="Arial" w:hAnsi="Arial"/>
          <w:sz w:val="18"/>
          <w:szCs w:val="18"/>
          <w:u w:val="single" w:color="auto"/>
          <w:color w:val="000000"/>
        </w:rPr>
        <w:t>Exhibit “B”</w:t>
      </w:r>
      <w:r>
        <w:rPr>
          <w:rFonts w:ascii="Arial" w:cs="Arial" w:eastAsia="Arial" w:hAnsi="Arial"/>
          <w:sz w:val="18"/>
          <w:szCs w:val="18"/>
          <w:color w:val="000000"/>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3.12. </w:t>
      </w:r>
      <w:r>
        <w:rPr>
          <w:rFonts w:ascii="Arial" w:cs="Arial" w:eastAsia="Arial" w:hAnsi="Arial"/>
          <w:sz w:val="18"/>
          <w:szCs w:val="18"/>
          <w:u w:val="single" w:color="auto"/>
          <w:color w:val="000000"/>
        </w:rPr>
        <w:t>Specified Deposit Accounts and Securities Accounts</w:t>
      </w:r>
      <w:r>
        <w:rPr>
          <w:rFonts w:ascii="Arial" w:cs="Arial" w:eastAsia="Arial" w:hAnsi="Arial"/>
          <w:sz w:val="18"/>
          <w:szCs w:val="18"/>
          <w:color w:val="000000"/>
        </w:rPr>
        <w:t>. All of such Grantor’s Specified Deposit Accounts and Securities Accounts as of</w:t>
      </w:r>
      <w:r>
        <w:rPr>
          <w:rFonts w:ascii="Arial" w:cs="Arial" w:eastAsia="Arial" w:hAnsi="Arial"/>
          <w:sz w:val="18"/>
          <w:szCs w:val="18"/>
          <w:color w:val="010000"/>
        </w:rPr>
        <w:t xml:space="preserve"> </w:t>
      </w:r>
      <w:r>
        <w:rPr>
          <w:rFonts w:ascii="Arial" w:cs="Arial" w:eastAsia="Arial" w:hAnsi="Arial"/>
          <w:sz w:val="18"/>
          <w:szCs w:val="18"/>
          <w:color w:val="000000"/>
        </w:rPr>
        <w:t xml:space="preserve">the applicable Determination Date are listed on </w:t>
      </w:r>
      <w:r>
        <w:rPr>
          <w:rFonts w:ascii="Arial" w:cs="Arial" w:eastAsia="Arial" w:hAnsi="Arial"/>
          <w:sz w:val="18"/>
          <w:szCs w:val="18"/>
          <w:u w:val="single" w:color="auto"/>
          <w:color w:val="000000"/>
        </w:rPr>
        <w:t>Exhibit “H”</w:t>
      </w:r>
      <w:r>
        <w:rPr>
          <w:rFonts w:ascii="Arial" w:cs="Arial" w:eastAsia="Arial" w:hAnsi="Arial"/>
          <w:sz w:val="18"/>
          <w:szCs w:val="18"/>
          <w:color w:val="000000"/>
        </w:rPr>
        <w:t>.</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3.13.</w:t>
      </w:r>
      <w:r>
        <w:rPr>
          <w:sz w:val="20"/>
          <w:szCs w:val="20"/>
          <w:color w:val="auto"/>
        </w:rPr>
        <w:tab/>
      </w:r>
      <w:r>
        <w:rPr>
          <w:rFonts w:ascii="Arial" w:cs="Arial" w:eastAsia="Arial" w:hAnsi="Arial"/>
          <w:sz w:val="16"/>
          <w:szCs w:val="16"/>
          <w:u w:val="single" w:color="auto"/>
          <w:color w:val="auto"/>
        </w:rPr>
        <w:t>Consents and Transfer Restrictions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972"/>
        <w:spacing w:after="0" w:line="254" w:lineRule="auto"/>
        <w:rPr>
          <w:sz w:val="20"/>
          <w:szCs w:val="20"/>
          <w:color w:val="auto"/>
        </w:rPr>
      </w:pPr>
      <w:r>
        <w:rPr>
          <w:rFonts w:ascii="Arial" w:cs="Arial" w:eastAsia="Arial" w:hAnsi="Arial"/>
          <w:sz w:val="18"/>
          <w:szCs w:val="18"/>
          <w:color w:val="010000"/>
        </w:rPr>
        <w:t xml:space="preserve">3.13.1 </w:t>
      </w:r>
      <w:r>
        <w:rPr>
          <w:rFonts w:ascii="Arial" w:cs="Arial" w:eastAsia="Arial" w:hAnsi="Arial"/>
          <w:sz w:val="18"/>
          <w:szCs w:val="18"/>
          <w:color w:val="000000"/>
        </w:rPr>
        <w:t>Except for any consent that has been obtained and is in full force and effect, no consent of any Person (including any</w:t>
      </w:r>
      <w:r>
        <w:rPr>
          <w:rFonts w:ascii="Arial" w:cs="Arial" w:eastAsia="Arial" w:hAnsi="Arial"/>
          <w:sz w:val="18"/>
          <w:szCs w:val="18"/>
          <w:color w:val="010000"/>
        </w:rPr>
        <w:t xml:space="preserve"> </w:t>
      </w:r>
      <w:r>
        <w:rPr>
          <w:rFonts w:ascii="Arial" w:cs="Arial" w:eastAsia="Arial" w:hAnsi="Arial"/>
          <w:sz w:val="18"/>
          <w:szCs w:val="18"/>
          <w:color w:val="000000"/>
        </w:rPr>
        <w:t>counterparty with respect to any Contract, any account debtor with respect to any Account, or any Governmental Authority with respect to any Permit) is required, or is purported to be required, for the execution, delivery, performance and enforcement of this Security Agreement (this representation being given without reference to the Excluded Assets) provided that the enforcement of any security interest in ULC Shares may be subject to restrictions on transfer in the constitutive documents governing the issuer ULC. For the purposes of complying with any transfer restrictions contained in the organizational documents of any Subsidiary, such Grantor hereby irrevocably consents to the transfer of such Grantor's Pledged Collateral of such Subsidiary, provided that this consent shall not constitute approval of transfer for the purposes of the constitutive documents governing the issuer ULC.</w:t>
      </w:r>
    </w:p>
    <w:p>
      <w:pPr>
        <w:spacing w:after="0" w:line="192" w:lineRule="exact"/>
        <w:rPr>
          <w:sz w:val="20"/>
          <w:szCs w:val="20"/>
          <w:color w:val="auto"/>
        </w:rPr>
      </w:pPr>
    </w:p>
    <w:p>
      <w:pPr>
        <w:jc w:val="both"/>
        <w:ind w:left="660" w:firstLine="972"/>
        <w:spacing w:after="0" w:line="257" w:lineRule="auto"/>
        <w:rPr>
          <w:sz w:val="20"/>
          <w:szCs w:val="20"/>
          <w:color w:val="auto"/>
        </w:rPr>
      </w:pPr>
      <w:r>
        <w:rPr>
          <w:rFonts w:ascii="Arial" w:cs="Arial" w:eastAsia="Arial" w:hAnsi="Arial"/>
          <w:sz w:val="18"/>
          <w:szCs w:val="18"/>
          <w:color w:val="010000"/>
        </w:rPr>
        <w:t xml:space="preserve">3.13.2 </w:t>
      </w:r>
      <w:r>
        <w:rPr>
          <w:rFonts w:ascii="Arial" w:cs="Arial" w:eastAsia="Arial" w:hAnsi="Arial"/>
          <w:sz w:val="18"/>
          <w:szCs w:val="18"/>
          <w:color w:val="000000"/>
        </w:rPr>
        <w:t>No order ceasing or suspending trading in, or prohibiting the transfer of the Pledged Collateral has been issued and no</w:t>
      </w:r>
      <w:r>
        <w:rPr>
          <w:rFonts w:ascii="Arial" w:cs="Arial" w:eastAsia="Arial" w:hAnsi="Arial"/>
          <w:sz w:val="18"/>
          <w:szCs w:val="18"/>
          <w:color w:val="010000"/>
        </w:rPr>
        <w:t xml:space="preserve"> </w:t>
      </w:r>
      <w:r>
        <w:rPr>
          <w:rFonts w:ascii="Arial" w:cs="Arial" w:eastAsia="Arial" w:hAnsi="Arial"/>
          <w:sz w:val="18"/>
          <w:szCs w:val="18"/>
          <w:color w:val="000000"/>
        </w:rPr>
        <w:t>proceedings for this purpose have been instituted, nor does such Grantor have any reason to believe that any such proceedings are pending, contemplated or threatened, and the Pledged Collateral is not subject to any escrow or other agreement, arrangement, commitment or understanding, prohibiting the transfer of the Pledged Collateral, including pursuant to applicable securities laws or the rules, regulations or policies of any marketplace on which the Pledged Collateral is listed, posted or traded.</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3.14. </w:t>
      </w:r>
      <w:r>
        <w:rPr>
          <w:rFonts w:ascii="Arial" w:cs="Arial" w:eastAsia="Arial" w:hAnsi="Arial"/>
          <w:sz w:val="18"/>
          <w:szCs w:val="18"/>
          <w:u w:val="single" w:color="auto"/>
          <w:color w:val="000000"/>
        </w:rPr>
        <w:t>No Consumer Goods</w:t>
      </w:r>
      <w:r>
        <w:rPr>
          <w:rFonts w:ascii="Arial" w:cs="Arial" w:eastAsia="Arial" w:hAnsi="Arial"/>
          <w:sz w:val="18"/>
          <w:szCs w:val="18"/>
          <w:color w:val="000000"/>
        </w:rPr>
        <w:t>. Such Grantor does not own any Consumer Goods which are material in value or which are material to the</w:t>
      </w:r>
      <w:r>
        <w:rPr>
          <w:rFonts w:ascii="Arial" w:cs="Arial" w:eastAsia="Arial" w:hAnsi="Arial"/>
          <w:sz w:val="18"/>
          <w:szCs w:val="18"/>
          <w:color w:val="010000"/>
        </w:rPr>
        <w:t xml:space="preserve"> </w:t>
      </w:r>
      <w:r>
        <w:rPr>
          <w:rFonts w:ascii="Arial" w:cs="Arial" w:eastAsia="Arial" w:hAnsi="Arial"/>
          <w:sz w:val="18"/>
          <w:szCs w:val="18"/>
          <w:color w:val="000000"/>
        </w:rPr>
        <w:t>business, operations, property, condition or prospects (financial or otherwise) of such Grantor.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9" w:name="page770"/>
    <w:bookmarkEnd w:id="769"/>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010000"/>
              </w:rPr>
              <w:t>4.1.</w:t>
            </w:r>
          </w:p>
        </w:tc>
        <w:tc>
          <w:tcPr>
            <w:tcW w:w="1420" w:type="dxa"/>
            <w:vAlign w:val="bottom"/>
            <w:gridSpan w:val="2"/>
          </w:tcPr>
          <w:p>
            <w:pPr>
              <w:spacing w:after="0"/>
              <w:rPr>
                <w:sz w:val="20"/>
                <w:szCs w:val="20"/>
                <w:color w:val="auto"/>
              </w:rPr>
            </w:pPr>
            <w:r>
              <w:rPr>
                <w:rFonts w:ascii="Arial" w:cs="Arial" w:eastAsia="Arial" w:hAnsi="Arial"/>
                <w:sz w:val="18"/>
                <w:szCs w:val="18"/>
                <w:color w:val="auto"/>
              </w:rPr>
              <w:t>General.</w:t>
            </w:r>
          </w:p>
        </w:tc>
        <w:tc>
          <w:tcPr>
            <w:tcW w:w="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412"/>
        </w:trPr>
        <w:tc>
          <w:tcPr>
            <w:tcW w:w="80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10000"/>
              </w:rPr>
              <w:t>4.1.1</w:t>
            </w:r>
          </w:p>
        </w:tc>
        <w:tc>
          <w:tcPr>
            <w:tcW w:w="840" w:type="dxa"/>
            <w:vAlign w:val="bottom"/>
          </w:tcPr>
          <w:p>
            <w:pPr>
              <w:spacing w:after="0"/>
              <w:rPr>
                <w:sz w:val="24"/>
                <w:szCs w:val="24"/>
                <w:color w:val="auto"/>
              </w:rPr>
            </w:pPr>
          </w:p>
        </w:tc>
        <w:tc>
          <w:tcPr>
            <w:tcW w:w="8540" w:type="dxa"/>
            <w:vAlign w:val="bottom"/>
            <w:gridSpan w:val="3"/>
          </w:tcPr>
          <w:p>
            <w:pPr>
              <w:jc w:val="right"/>
              <w:spacing w:after="0"/>
              <w:rPr>
                <w:sz w:val="20"/>
                <w:szCs w:val="20"/>
                <w:color w:val="auto"/>
              </w:rPr>
            </w:pPr>
            <w:r>
              <w:rPr>
                <w:rFonts w:ascii="Arial" w:cs="Arial" w:eastAsia="Arial" w:hAnsi="Arial"/>
                <w:sz w:val="18"/>
                <w:szCs w:val="18"/>
                <w:color w:val="auto"/>
                <w:w w:val="92"/>
              </w:rPr>
              <w:t>Records. Each Grantor shall keep and maintain, in a manner consistent with prudent business practices, reasonably</w:t>
            </w:r>
          </w:p>
        </w:tc>
      </w:tr>
      <w:tr>
        <w:trPr>
          <w:trHeight w:val="20"/>
        </w:trPr>
        <w:tc>
          <w:tcPr>
            <w:tcW w:w="222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10760" w:type="dxa"/>
            <w:vAlign w:val="bottom"/>
            <w:gridSpan w:val="6"/>
          </w:tcPr>
          <w:p>
            <w:pPr>
              <w:spacing w:after="0"/>
              <w:rPr>
                <w:sz w:val="20"/>
                <w:szCs w:val="20"/>
                <w:color w:val="auto"/>
              </w:rPr>
            </w:pPr>
            <w:r>
              <w:rPr>
                <w:rFonts w:ascii="Arial" w:cs="Arial" w:eastAsia="Arial" w:hAnsi="Arial"/>
                <w:sz w:val="18"/>
                <w:szCs w:val="18"/>
                <w:color w:val="auto"/>
              </w:rPr>
              <w:t>complete, accurate and proper books and records with respect to the Collateral owned by such Grantor.</w:t>
            </w:r>
          </w:p>
        </w:tc>
      </w:tr>
      <w:tr>
        <w:trPr>
          <w:trHeight w:val="392"/>
        </w:trPr>
        <w:tc>
          <w:tcPr>
            <w:tcW w:w="8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10000"/>
              </w:rPr>
              <w:t>4.1.2</w:t>
            </w:r>
          </w:p>
        </w:tc>
        <w:tc>
          <w:tcPr>
            <w:tcW w:w="840" w:type="dxa"/>
            <w:vAlign w:val="bottom"/>
          </w:tcPr>
          <w:p>
            <w:pPr>
              <w:spacing w:after="0"/>
              <w:rPr>
                <w:sz w:val="24"/>
                <w:szCs w:val="24"/>
                <w:color w:val="auto"/>
              </w:rPr>
            </w:pPr>
          </w:p>
        </w:tc>
        <w:tc>
          <w:tcPr>
            <w:tcW w:w="85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Financing Statements and Other Actions; Defense of Title. Each Grantor hereby authorizes the Agent to file, and if</w:t>
            </w: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 xml:space="preserve">requested will execute and deliver to the Agent, all financing statements describing the Collateral owned by such Grantor and other documents and take such other actions as may from time to time reasonably be requested by the Agent in order to maintain a perfected security interest with the priority set forth in the Intercreditor Agreement in and Lien on, and, if applicable, Control of, the Collateral owned by such Grantor, subject to Liens permitted under Section 8.04 of the LC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be deemed to constitute an agreement to subordinate any of the Liens of the Agent under the Loan Documents to any Liens otherwise permitted under Section 8.04 of the LC Credit Agreement. Such financing statements may describe the Collateral in the same manner as described herein or may contain an indication or description of Collateral that describes such Collateral in any other manner as the Agent may reasonably determine is necessary, advisable or prudent to ensure the perfection of the security interest in the Collateral granted to the Agent herein, including, without limitation, describing such property as “all assets of the debtor whether now owned or hereafter acquired and wheresoever located, including all accessions thereto and proceeds thereof” or an equivalent formulation. Each Grantor will take any and all actions reasonably necessary to defend title to the Collateral owned by such Grantor against all persons and to defend the security interest of the Agent in such Collateral and the priority thereof against any Lien, in each case, not expressly permitted hereunder or under the LC Credit Agreement.</w:t>
      </w:r>
    </w:p>
    <w:p>
      <w:pPr>
        <w:spacing w:after="0" w:line="180" w:lineRule="exact"/>
        <w:rPr>
          <w:sz w:val="20"/>
          <w:szCs w:val="20"/>
          <w:color w:val="auto"/>
        </w:rPr>
      </w:pPr>
    </w:p>
    <w:p>
      <w:pPr>
        <w:ind w:left="1620"/>
        <w:spacing w:after="0"/>
        <w:tabs>
          <w:tab w:leader="none" w:pos="2820" w:val="left"/>
        </w:tabs>
        <w:rPr>
          <w:sz w:val="20"/>
          <w:szCs w:val="20"/>
          <w:color w:val="auto"/>
        </w:rPr>
      </w:pPr>
      <w:r>
        <w:rPr>
          <w:rFonts w:ascii="Arial" w:cs="Arial" w:eastAsia="Arial" w:hAnsi="Arial"/>
          <w:sz w:val="18"/>
          <w:szCs w:val="18"/>
          <w:color w:val="010000"/>
        </w:rPr>
        <w:t>4.1.3</w:t>
      </w:r>
      <w:r>
        <w:rPr>
          <w:sz w:val="20"/>
          <w:szCs w:val="20"/>
          <w:color w:val="auto"/>
        </w:rPr>
        <w:tab/>
      </w:r>
      <w:r>
        <w:rPr>
          <w:rFonts w:ascii="Arial" w:cs="Arial" w:eastAsia="Arial" w:hAnsi="Arial"/>
          <w:sz w:val="16"/>
          <w:szCs w:val="16"/>
          <w:u w:val="single" w:color="auto"/>
          <w:color w:val="auto"/>
        </w:rPr>
        <w:t>Change in Corporate Existence, Type or Jurisdiction of Organization, Location, Name</w:t>
      </w:r>
      <w:r>
        <w:rPr>
          <w:rFonts w:ascii="Arial" w:cs="Arial" w:eastAsia="Arial" w:hAnsi="Arial"/>
          <w:sz w:val="16"/>
          <w:szCs w:val="16"/>
          <w:color w:val="auto"/>
        </w:rPr>
        <w:t>. Each Grantor will, except as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otherwise permitted by the LC Credit Agreement:</w:t>
      </w:r>
    </w:p>
    <w:p>
      <w:pPr>
        <w:spacing w:after="0" w:line="211" w:lineRule="exact"/>
        <w:rPr>
          <w:sz w:val="20"/>
          <w:szCs w:val="20"/>
          <w:color w:val="auto"/>
        </w:rPr>
      </w:pPr>
    </w:p>
    <w:p>
      <w:pPr>
        <w:ind w:left="2580" w:hanging="546"/>
        <w:spacing w:after="0"/>
        <w:tabs>
          <w:tab w:leader="none" w:pos="2580" w:val="left"/>
        </w:tabs>
        <w:numPr>
          <w:ilvl w:val="0"/>
          <w:numId w:val="859"/>
        </w:numPr>
        <w:rPr>
          <w:rFonts w:ascii="Arial" w:cs="Arial" w:eastAsia="Arial" w:hAnsi="Arial"/>
          <w:sz w:val="18"/>
          <w:szCs w:val="18"/>
          <w:color w:val="010000"/>
        </w:rPr>
      </w:pPr>
      <w:r>
        <w:rPr>
          <w:rFonts w:ascii="Arial" w:cs="Arial" w:eastAsia="Arial" w:hAnsi="Arial"/>
          <w:sz w:val="18"/>
          <w:szCs w:val="18"/>
          <w:color w:val="auto"/>
        </w:rPr>
        <w:t>preserve its existence and corporate structure as in effect on the Effective Date;</w:t>
      </w:r>
    </w:p>
    <w:p>
      <w:pPr>
        <w:spacing w:after="0" w:line="225" w:lineRule="exact"/>
        <w:rPr>
          <w:rFonts w:ascii="Arial" w:cs="Arial" w:eastAsia="Arial" w:hAnsi="Arial"/>
          <w:sz w:val="18"/>
          <w:szCs w:val="18"/>
          <w:color w:val="010000"/>
        </w:rPr>
      </w:pPr>
    </w:p>
    <w:p>
      <w:pPr>
        <w:ind w:left="2580" w:hanging="546"/>
        <w:spacing w:after="0"/>
        <w:tabs>
          <w:tab w:leader="none" w:pos="2580" w:val="left"/>
        </w:tabs>
        <w:numPr>
          <w:ilvl w:val="0"/>
          <w:numId w:val="859"/>
        </w:numPr>
        <w:rPr>
          <w:rFonts w:ascii="Arial" w:cs="Arial" w:eastAsia="Arial" w:hAnsi="Arial"/>
          <w:sz w:val="18"/>
          <w:szCs w:val="18"/>
          <w:color w:val="010000"/>
        </w:rPr>
      </w:pPr>
      <w:r>
        <w:rPr>
          <w:rFonts w:ascii="Arial" w:cs="Arial" w:eastAsia="Arial" w:hAnsi="Arial"/>
          <w:sz w:val="18"/>
          <w:szCs w:val="18"/>
          <w:color w:val="auto"/>
        </w:rPr>
        <w:t>not change its name or jurisdiction of organization or incorporation;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70" w:name="page771"/>
    <w:bookmarkEnd w:id="770"/>
    <w:p>
      <w:pPr>
        <w:ind w:left="2580" w:right="20" w:hanging="546"/>
        <w:spacing w:after="0" w:line="277" w:lineRule="auto"/>
        <w:tabs>
          <w:tab w:leader="none" w:pos="2580" w:val="left"/>
        </w:tabs>
        <w:numPr>
          <w:ilvl w:val="0"/>
          <w:numId w:val="860"/>
        </w:numPr>
        <w:rPr>
          <w:rFonts w:ascii="Arial" w:cs="Arial" w:eastAsia="Arial" w:hAnsi="Arial"/>
          <w:sz w:val="18"/>
          <w:szCs w:val="18"/>
          <w:color w:val="010000"/>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2580" w:hanging="546"/>
        <w:spacing w:after="0"/>
        <w:tabs>
          <w:tab w:leader="none" w:pos="2580" w:val="left"/>
        </w:tabs>
        <w:numPr>
          <w:ilvl w:val="0"/>
          <w:numId w:val="860"/>
        </w:numPr>
        <w:rPr>
          <w:rFonts w:ascii="Arial" w:cs="Arial" w:eastAsia="Arial" w:hAnsi="Arial"/>
          <w:sz w:val="18"/>
          <w:szCs w:val="18"/>
          <w:color w:val="010000"/>
        </w:rPr>
      </w:pPr>
      <w:r>
        <w:rPr>
          <w:rFonts w:ascii="Arial" w:cs="Arial" w:eastAsia="Arial" w:hAnsi="Arial"/>
          <w:sz w:val="18"/>
          <w:szCs w:val="18"/>
          <w:color w:val="auto"/>
        </w:rPr>
        <w:t>not change its taxpayer identification number (if any) or its mailing address,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in each such case, such Grantor shall have given the Agent not less than 10 days’ (or such shorter period as the Agent may agree) prior written notice of such event or occurrence.</w:t>
      </w:r>
    </w:p>
    <w:p>
      <w:pPr>
        <w:spacing w:after="0" w:line="170" w:lineRule="exact"/>
        <w:rPr>
          <w:sz w:val="20"/>
          <w:szCs w:val="20"/>
          <w:color w:val="auto"/>
        </w:rPr>
      </w:pPr>
    </w:p>
    <w:p>
      <w:pPr>
        <w:jc w:val="both"/>
        <w:ind w:left="660" w:firstLine="972"/>
        <w:spacing w:after="0" w:line="297" w:lineRule="auto"/>
        <w:rPr>
          <w:sz w:val="20"/>
          <w:szCs w:val="20"/>
          <w:color w:val="auto"/>
        </w:rPr>
      </w:pPr>
      <w:r>
        <w:rPr>
          <w:rFonts w:ascii="Arial" w:cs="Arial" w:eastAsia="Arial" w:hAnsi="Arial"/>
          <w:sz w:val="16"/>
          <w:szCs w:val="16"/>
          <w:color w:val="010000"/>
        </w:rPr>
        <w:t xml:space="preserve">4.1.4 </w:t>
      </w:r>
      <w:r>
        <w:rPr>
          <w:rFonts w:ascii="Arial" w:cs="Arial" w:eastAsia="Arial" w:hAnsi="Arial"/>
          <w:sz w:val="16"/>
          <w:szCs w:val="16"/>
          <w:u w:val="single" w:color="auto"/>
          <w:color w:val="000000"/>
        </w:rPr>
        <w:t>Other Financing Statements</w:t>
      </w:r>
      <w:r>
        <w:rPr>
          <w:rFonts w:ascii="Arial" w:cs="Arial" w:eastAsia="Arial" w:hAnsi="Arial"/>
          <w:sz w:val="16"/>
          <w:szCs w:val="16"/>
          <w:color w:val="000000"/>
        </w:rPr>
        <w:t>. No Grantor will suffer to exist or authorize the filing of any financing statement naming it as</w:t>
      </w:r>
      <w:r>
        <w:rPr>
          <w:rFonts w:ascii="Arial" w:cs="Arial" w:eastAsia="Arial" w:hAnsi="Arial"/>
          <w:sz w:val="16"/>
          <w:szCs w:val="16"/>
          <w:color w:val="010000"/>
        </w:rPr>
        <w:t xml:space="preserve"> </w:t>
      </w:r>
      <w:r>
        <w:rPr>
          <w:rFonts w:ascii="Arial" w:cs="Arial" w:eastAsia="Arial" w:hAnsi="Arial"/>
          <w:sz w:val="16"/>
          <w:szCs w:val="16"/>
          <w:color w:val="000000"/>
        </w:rPr>
        <w:t xml:space="preserve">debtor covering all or any portion of the Collateral owned by such Grantor, except any financing statement authorized under </w:t>
      </w:r>
      <w:r>
        <w:rPr>
          <w:rFonts w:ascii="Arial" w:cs="Arial" w:eastAsia="Arial" w:hAnsi="Arial"/>
          <w:sz w:val="16"/>
          <w:szCs w:val="16"/>
          <w:u w:val="single" w:color="auto"/>
          <w:color w:val="000000"/>
        </w:rPr>
        <w:t>Section 4.1.2</w:t>
      </w:r>
      <w:r>
        <w:rPr>
          <w:rFonts w:ascii="Arial" w:cs="Arial" w:eastAsia="Arial" w:hAnsi="Arial"/>
          <w:sz w:val="16"/>
          <w:szCs w:val="16"/>
          <w:color w:val="000000"/>
        </w:rPr>
        <w:t xml:space="preserve"> hereof or in respect of a Lien permitted under Section 8.04 of the LC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16"/>
          <w:szCs w:val="16"/>
          <w:u w:val="single" w:color="auto"/>
          <w:color w:val="000000"/>
        </w:rPr>
        <w:t>Section 8.13</w:t>
      </w:r>
      <w:r>
        <w:rPr>
          <w:rFonts w:ascii="Arial" w:cs="Arial" w:eastAsia="Arial" w:hAnsi="Arial"/>
          <w:sz w:val="16"/>
          <w:szCs w:val="16"/>
          <w:color w:val="000000"/>
        </w:rPr>
        <w:t xml:space="preserve"> hereof. without the prior written consent of the Agent.</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00" w:type="dxa"/>
            <w:vAlign w:val="bottom"/>
          </w:tcPr>
          <w:p>
            <w:pPr>
              <w:jc w:val="right"/>
              <w:ind w:right="450"/>
              <w:spacing w:after="0"/>
              <w:rPr>
                <w:sz w:val="20"/>
                <w:szCs w:val="20"/>
                <w:color w:val="auto"/>
              </w:rPr>
            </w:pPr>
            <w:r>
              <w:rPr>
                <w:rFonts w:ascii="Arial" w:cs="Arial" w:eastAsia="Arial" w:hAnsi="Arial"/>
                <w:sz w:val="18"/>
                <w:szCs w:val="18"/>
                <w:color w:val="010000"/>
                <w:w w:val="79"/>
              </w:rPr>
              <w:t>4.2.</w:t>
            </w:r>
          </w:p>
        </w:tc>
        <w:tc>
          <w:tcPr>
            <w:tcW w:w="120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580" w:type="dxa"/>
            <w:vAlign w:val="bottom"/>
          </w:tcPr>
          <w:p>
            <w:pPr>
              <w:spacing w:after="0"/>
              <w:rPr>
                <w:sz w:val="17"/>
                <w:szCs w:val="17"/>
                <w:color w:val="auto"/>
              </w:rPr>
            </w:pPr>
          </w:p>
        </w:tc>
        <w:tc>
          <w:tcPr>
            <w:tcW w:w="6180" w:type="dxa"/>
            <w:vAlign w:val="bottom"/>
          </w:tcPr>
          <w:p>
            <w:pPr>
              <w:spacing w:after="0"/>
              <w:rPr>
                <w:sz w:val="17"/>
                <w:szCs w:val="17"/>
                <w:color w:val="auto"/>
              </w:rPr>
            </w:pPr>
          </w:p>
        </w:tc>
      </w:tr>
      <w:tr>
        <w:trPr>
          <w:trHeight w:val="412"/>
        </w:trPr>
        <w:tc>
          <w:tcPr>
            <w:tcW w:w="800" w:type="dxa"/>
            <w:vAlign w:val="bottom"/>
          </w:tcPr>
          <w:p>
            <w:pPr>
              <w:spacing w:after="0"/>
              <w:rPr>
                <w:sz w:val="24"/>
                <w:szCs w:val="24"/>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010000"/>
              </w:rPr>
              <w:t>4.2.1</w:t>
            </w:r>
          </w:p>
        </w:tc>
        <w:tc>
          <w:tcPr>
            <w:tcW w:w="3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91"/>
              </w:rPr>
              <w:t>Certain Agreements on Receivables. After the occurrence and during the continuation of an Event of Default, no Grantor</w:t>
            </w:r>
          </w:p>
        </w:tc>
      </w:tr>
      <w:tr>
        <w:trPr>
          <w:trHeight w:val="20"/>
        </w:trPr>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will make or agree to make any discount, credit, rebate or other reduction in the original amount owing on a Receivable or accept in satisfaction of a Receivable less than the original amount thereof, except as permitted by the LC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LC Credit Agreement.</w:t>
      </w:r>
    </w:p>
    <w:p>
      <w:pPr>
        <w:spacing w:after="0" w:line="188" w:lineRule="exact"/>
        <w:rPr>
          <w:sz w:val="20"/>
          <w:szCs w:val="20"/>
          <w:color w:val="auto"/>
        </w:rPr>
      </w:pPr>
    </w:p>
    <w:p>
      <w:pPr>
        <w:jc w:val="both"/>
        <w:ind w:left="660" w:firstLine="972"/>
        <w:spacing w:after="0" w:line="264" w:lineRule="auto"/>
        <w:rPr>
          <w:sz w:val="20"/>
          <w:szCs w:val="20"/>
          <w:color w:val="auto"/>
        </w:rPr>
      </w:pPr>
      <w:r>
        <w:rPr>
          <w:rFonts w:ascii="Arial" w:cs="Arial" w:eastAsia="Arial" w:hAnsi="Arial"/>
          <w:sz w:val="18"/>
          <w:szCs w:val="18"/>
          <w:color w:val="010000"/>
        </w:rPr>
        <w:t xml:space="preserve">4.2.2 </w:t>
      </w:r>
      <w:r>
        <w:rPr>
          <w:rFonts w:ascii="Arial" w:cs="Arial" w:eastAsia="Arial" w:hAnsi="Arial"/>
          <w:sz w:val="18"/>
          <w:szCs w:val="18"/>
          <w:u w:val="single" w:color="auto"/>
          <w:color w:val="000000"/>
        </w:rPr>
        <w:t>Collection of Receivables</w:t>
      </w:r>
      <w:r>
        <w:rPr>
          <w:rFonts w:ascii="Arial" w:cs="Arial" w:eastAsia="Arial" w:hAnsi="Arial"/>
          <w:sz w:val="18"/>
          <w:szCs w:val="18"/>
          <w:color w:val="000000"/>
        </w:rPr>
        <w:t>. Except as otherwise provided in this Security Agreement or as otherwise permitted under the</w:t>
      </w:r>
      <w:r>
        <w:rPr>
          <w:rFonts w:ascii="Arial" w:cs="Arial" w:eastAsia="Arial" w:hAnsi="Arial"/>
          <w:sz w:val="18"/>
          <w:szCs w:val="18"/>
          <w:color w:val="010000"/>
        </w:rPr>
        <w:t xml:space="preserve"> </w:t>
      </w:r>
      <w:r>
        <w:rPr>
          <w:rFonts w:ascii="Arial" w:cs="Arial" w:eastAsia="Arial" w:hAnsi="Arial"/>
          <w:sz w:val="18"/>
          <w:szCs w:val="18"/>
          <w:color w:val="000000"/>
        </w:rPr>
        <w:t>LC Credit Agreement, each Grantor will use commercially reasonable efforts to collect and enforce, at such Grantor’s sole expense, all amounts due or hereafter due to such Grantor under the Receivables owned by such Grantor.</w:t>
      </w:r>
    </w:p>
    <w:p>
      <w:pPr>
        <w:spacing w:after="0" w:line="181" w:lineRule="exact"/>
        <w:rPr>
          <w:sz w:val="20"/>
          <w:szCs w:val="20"/>
          <w:color w:val="auto"/>
        </w:rPr>
      </w:pPr>
    </w:p>
    <w:p>
      <w:pPr>
        <w:jc w:val="both"/>
        <w:ind w:left="660" w:firstLine="972"/>
        <w:spacing w:after="0" w:line="264" w:lineRule="auto"/>
        <w:rPr>
          <w:sz w:val="20"/>
          <w:szCs w:val="20"/>
          <w:color w:val="auto"/>
        </w:rPr>
      </w:pPr>
      <w:r>
        <w:rPr>
          <w:rFonts w:ascii="Arial" w:cs="Arial" w:eastAsia="Arial" w:hAnsi="Arial"/>
          <w:sz w:val="18"/>
          <w:szCs w:val="18"/>
          <w:color w:val="010000"/>
        </w:rPr>
        <w:t xml:space="preserve">4.2.3 </w:t>
      </w:r>
      <w:r>
        <w:rPr>
          <w:rFonts w:ascii="Arial" w:cs="Arial" w:eastAsia="Arial" w:hAnsi="Arial"/>
          <w:sz w:val="18"/>
          <w:szCs w:val="18"/>
          <w:u w:val="single" w:color="auto"/>
          <w:color w:val="000000"/>
        </w:rPr>
        <w:t>Delivery of Invoices</w:t>
      </w:r>
      <w:r>
        <w:rPr>
          <w:rFonts w:ascii="Arial" w:cs="Arial" w:eastAsia="Arial" w:hAnsi="Arial"/>
          <w:sz w:val="18"/>
          <w:szCs w:val="18"/>
          <w:color w:val="000000"/>
        </w:rPr>
        <w:t>. Each Grantor will deliver to the Agent promptly upon its request after the occurrence and during the</w:t>
      </w:r>
      <w:r>
        <w:rPr>
          <w:rFonts w:ascii="Arial" w:cs="Arial" w:eastAsia="Arial" w:hAnsi="Arial"/>
          <w:sz w:val="18"/>
          <w:szCs w:val="18"/>
          <w:color w:val="010000"/>
        </w:rPr>
        <w:t xml:space="preserve"> </w:t>
      </w:r>
      <w:r>
        <w:rPr>
          <w:rFonts w:ascii="Arial" w:cs="Arial" w:eastAsia="Arial" w:hAnsi="Arial"/>
          <w:sz w:val="18"/>
          <w:szCs w:val="18"/>
          <w:color w:val="000000"/>
        </w:rPr>
        <w:t>continuance of an Event of Default duplicate invoices with respect to each Account owned by such Grantor and, if requested by the Agent, bearing such language of assignment as the Agent shall reasonably specify.</w:t>
      </w:r>
    </w:p>
    <w:p>
      <w:pPr>
        <w:spacing w:after="0" w:line="181" w:lineRule="exact"/>
        <w:rPr>
          <w:sz w:val="20"/>
          <w:szCs w:val="20"/>
          <w:color w:val="auto"/>
        </w:rPr>
      </w:pPr>
    </w:p>
    <w:p>
      <w:pPr>
        <w:jc w:val="both"/>
        <w:ind w:left="660" w:firstLine="972"/>
        <w:spacing w:after="0" w:line="297" w:lineRule="auto"/>
        <w:rPr>
          <w:sz w:val="20"/>
          <w:szCs w:val="20"/>
          <w:color w:val="auto"/>
        </w:rPr>
      </w:pPr>
      <w:r>
        <w:rPr>
          <w:rFonts w:ascii="Arial" w:cs="Arial" w:eastAsia="Arial" w:hAnsi="Arial"/>
          <w:sz w:val="16"/>
          <w:szCs w:val="16"/>
          <w:color w:val="010000"/>
        </w:rPr>
        <w:t xml:space="preserve">4.2.4 </w:t>
      </w:r>
      <w:r>
        <w:rPr>
          <w:rFonts w:ascii="Arial" w:cs="Arial" w:eastAsia="Arial" w:hAnsi="Arial"/>
          <w:sz w:val="16"/>
          <w:szCs w:val="16"/>
          <w:u w:val="single" w:color="auto"/>
          <w:color w:val="000000"/>
        </w:rPr>
        <w:t>Disclosure of Counterclaim on Receivables</w:t>
      </w:r>
      <w:r>
        <w:rPr>
          <w:rFonts w:ascii="Arial" w:cs="Arial" w:eastAsia="Arial" w:hAnsi="Arial"/>
          <w:sz w:val="16"/>
          <w:szCs w:val="16"/>
          <w:color w:val="000000"/>
        </w:rPr>
        <w:t>. After the occurrence and during the continuation of an Event of Default, if (i)</w:t>
      </w:r>
      <w:r>
        <w:rPr>
          <w:rFonts w:ascii="Arial" w:cs="Arial" w:eastAsia="Arial" w:hAnsi="Arial"/>
          <w:sz w:val="16"/>
          <w:szCs w:val="16"/>
          <w:color w:val="010000"/>
        </w:rPr>
        <w:t xml:space="preserve"> </w:t>
      </w:r>
      <w:r>
        <w:rPr>
          <w:rFonts w:ascii="Arial" w:cs="Arial" w:eastAsia="Arial" w:hAnsi="Arial"/>
          <w:sz w:val="16"/>
          <w:szCs w:val="16"/>
          <w:color w:val="000000"/>
        </w:rPr>
        <w:t>any discount, credit or agreement to make a rebate or to otherwise reduce the amount owing on a Receivable owned by such Grantor exists or (ii) to the knowledge of such Grantor, any dispute, setoff, claim, counterclaim or defense exists or has been asserted or threatened with respect to a Receivable, such Grantor will disclose such fact to the Agent in writing in connection with the inspection by the Agent of any record of such Grantor relating to such Receivable and in connection with any invoice or report furnished by such Grantor to the Agent relating to such Receivable.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1" w:name="page772"/>
    <w:bookmarkEnd w:id="771"/>
    <w:p>
      <w:pPr>
        <w:jc w:val="both"/>
        <w:ind w:left="660" w:firstLine="972"/>
        <w:spacing w:after="0" w:line="297" w:lineRule="auto"/>
        <w:rPr>
          <w:sz w:val="20"/>
          <w:szCs w:val="20"/>
          <w:color w:val="auto"/>
        </w:rPr>
      </w:pPr>
      <w:r>
        <w:rPr>
          <w:rFonts w:ascii="Arial" w:cs="Arial" w:eastAsia="Arial" w:hAnsi="Arial"/>
          <w:sz w:val="16"/>
          <w:szCs w:val="16"/>
          <w:color w:val="010000"/>
        </w:rPr>
        <w:t xml:space="preserve">4.2.5 </w:t>
      </w:r>
      <w:r>
        <w:rPr>
          <w:rFonts w:ascii="Arial" w:cs="Arial" w:eastAsia="Arial" w:hAnsi="Arial"/>
          <w:sz w:val="16"/>
          <w:szCs w:val="16"/>
          <w:u w:val="single" w:color="auto"/>
          <w:color w:val="000000"/>
        </w:rPr>
        <w:t>Account Verification</w:t>
      </w:r>
      <w:r>
        <w:rPr>
          <w:rFonts w:ascii="Arial" w:cs="Arial" w:eastAsia="Arial" w:hAnsi="Arial"/>
          <w:sz w:val="16"/>
          <w:szCs w:val="16"/>
          <w:color w:val="000000"/>
        </w:rPr>
        <w:t>. Each Grantor will, and will cause each of its Subsidiaries to, permit Agent, in Agent's name or in</w:t>
      </w:r>
      <w:r>
        <w:rPr>
          <w:rFonts w:ascii="Arial" w:cs="Arial" w:eastAsia="Arial" w:hAnsi="Arial"/>
          <w:sz w:val="16"/>
          <w:szCs w:val="16"/>
          <w:color w:val="010000"/>
        </w:rPr>
        <w:t xml:space="preserve"> </w:t>
      </w:r>
      <w:r>
        <w:rPr>
          <w:rFonts w:ascii="Arial" w:cs="Arial" w:eastAsia="Arial" w:hAnsi="Arial"/>
          <w:sz w:val="16"/>
          <w:szCs w:val="16"/>
          <w:color w:val="000000"/>
        </w:rPr>
        <w:t>the name or a nominee of Agent, after the occurrence and during the continuation of an Event of Default, to verify the validity, amount or any other matter relating to any Account, by mail, telephone, facsimile transmission or other electronic means of transmission or otherwise. Further, at the reasonable request of Agent, each Grantor will, and will cause each of its Subsidiaries to, send requests for verification of Accounts or, after the occurrence and during the continuance of an Event of Default, send notices of assignment of Accounts to Account Debtors and other obligors.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4.3. </w:t>
      </w:r>
      <w:r>
        <w:rPr>
          <w:rFonts w:ascii="Arial" w:cs="Arial" w:eastAsia="Arial" w:hAnsi="Arial"/>
          <w:sz w:val="18"/>
          <w:szCs w:val="18"/>
          <w:u w:val="single" w:color="auto"/>
          <w:color w:val="000000"/>
        </w:rPr>
        <w:t>Maintenance of Goods</w:t>
      </w:r>
      <w:r>
        <w:rPr>
          <w:rFonts w:ascii="Arial" w:cs="Arial" w:eastAsia="Arial" w:hAnsi="Arial"/>
          <w:sz w:val="18"/>
          <w:szCs w:val="18"/>
          <w:color w:val="000000"/>
        </w:rPr>
        <w:t>. Each Grantor will do all things reasonably necessary to maintain, preserve, protect and keep the Inventory and the</w:t>
      </w:r>
      <w:r>
        <w:rPr>
          <w:rFonts w:ascii="Arial" w:cs="Arial" w:eastAsia="Arial" w:hAnsi="Arial"/>
          <w:sz w:val="18"/>
          <w:szCs w:val="18"/>
          <w:color w:val="010000"/>
        </w:rPr>
        <w:t xml:space="preserve"> </w:t>
      </w:r>
      <w:r>
        <w:rPr>
          <w:rFonts w:ascii="Arial" w:cs="Arial" w:eastAsia="Arial" w:hAnsi="Arial"/>
          <w:sz w:val="18"/>
          <w:szCs w:val="18"/>
          <w:color w:val="000000"/>
        </w:rPr>
        <w:t>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Instruments, Securities, Chattel Paper, Documents of Title and Pledged Deposits</w:t>
      </w:r>
      <w:r>
        <w:rPr>
          <w:rFonts w:ascii="Arial" w:cs="Arial" w:eastAsia="Arial" w:hAnsi="Arial"/>
          <w:sz w:val="17"/>
          <w:szCs w:val="17"/>
          <w:color w:val="000000"/>
        </w:rPr>
        <w:t>. Each Grantor will (i) deliver to the Agent immediately</w:t>
      </w:r>
      <w:r>
        <w:rPr>
          <w:rFonts w:ascii="Arial" w:cs="Arial" w:eastAsia="Arial" w:hAnsi="Arial"/>
          <w:sz w:val="17"/>
          <w:szCs w:val="17"/>
          <w:color w:val="010000"/>
        </w:rPr>
        <w:t xml:space="preserve"> </w:t>
      </w:r>
      <w:r>
        <w:rPr>
          <w:rFonts w:ascii="Arial" w:cs="Arial" w:eastAsia="Arial" w:hAnsi="Arial"/>
          <w:sz w:val="17"/>
          <w:szCs w:val="17"/>
          <w:color w:val="000000"/>
        </w:rPr>
        <w:t xml:space="preserve">upon execution of this Security Agreement the originals of all Chattel Paper and Instruments (other than Intercompany Instruments;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such Intercompany Instruments shall not be delivered to any Person which is not a Grantor, the ABL Collateral Agent or the Agent), in each case, to the extent evidencing amounts in excess of $5,000,000 individually, or $10,000,000 in the aggregate, and constituting Collateral (if any then exist) and Securities constituting Collateral (to the extent certificated),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 hold in trust for the Agent upon receipt and promptly thereafter deliver to the Agent any Chattel Paper and Instruments (other than Intercompany Instruments;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such Intercompany Instruments shall not be delivered to any Person who is not a Grantor, the ABL Collateral Agent or the Agent), in each case, to the extent evidencing amounts in excess of $5,000,000 individually or $10,000,000 in the aggregate, and constituting Collateral (if any then exist) and Securities (to the extent certificated),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each Grantor shall be deemed to have complied with this requirement to the extent that the ABL Collateral Agent has received such Chattel Paper, Instruments or Securities as bailee of the Agent in a manner consistent with the Intercreditor Agreement, (iii) upon the designation by a Grantor of any Pledged Deposits (as set forth in the definition thereof) as Collateral, deliver to the Agent such Pledged Deposits which are evidenced by certificates included in the Collateral endorsed in blank, marked with such legends and assigned as the Agent shall reasonably specify,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each Grantor shall be deemed to have complied with this requirement to the extent that the ABL Collateral Agent has received such certificates as a bailee of the Agent in a manner consistent with the Intercreditor Agreement, (iv) upon the Agent’s request, after the occurrence and during the continuation of an Event of Default (subject to the terms of the Intercreditor Agreement), deliver to the Agent (and thereafter hold in trust for the Agent upon receipt and promptly deliver to the Agent) any Document of Title evidencing or constituting Collateral, and (v) upon the Agent’s request, deliver to the Agent, promptly after the delivery of a Compliance Certificate, a duly executed amendment to this Security Agreement, in the form of </w:t>
      </w:r>
      <w:r>
        <w:rPr>
          <w:rFonts w:ascii="Arial" w:cs="Arial" w:eastAsia="Arial" w:hAnsi="Arial"/>
          <w:sz w:val="17"/>
          <w:szCs w:val="17"/>
          <w:u w:val="single" w:color="auto"/>
          <w:color w:val="000000"/>
        </w:rPr>
        <w:t>Exhibit “I”</w:t>
      </w:r>
      <w:r>
        <w:rPr>
          <w:rFonts w:ascii="Arial" w:cs="Arial" w:eastAsia="Arial" w:hAnsi="Arial"/>
          <w:sz w:val="17"/>
          <w:szCs w:val="17"/>
          <w:color w:val="000000"/>
        </w:rPr>
        <w:t xml:space="preserve"> hereto (the “</w:t>
      </w:r>
      <w:r>
        <w:rPr>
          <w:rFonts w:ascii="Arial" w:cs="Arial" w:eastAsia="Arial" w:hAnsi="Arial"/>
          <w:sz w:val="17"/>
          <w:szCs w:val="17"/>
          <w:u w:val="single" w:color="auto"/>
          <w:color w:val="000000"/>
        </w:rPr>
        <w:t>Amendment</w:t>
      </w:r>
      <w:r>
        <w:rPr>
          <w:rFonts w:ascii="Arial" w:cs="Arial" w:eastAsia="Arial" w:hAnsi="Arial"/>
          <w:sz w:val="17"/>
          <w:szCs w:val="17"/>
          <w:color w:val="000000"/>
        </w:rPr>
        <w:t>”), pursuant to which such Grantor will specify such additional Collateral pledged hereunder. Such Grantor hereby authorizes the Agent to attach each Amendment to this Security Agreement and agrees that all additional Collateral owned by it set forth in such Amendments shall be considered to be part of the Collateral.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2" w:name="page773"/>
    <w:bookmarkEnd w:id="772"/>
    <w:p>
      <w:pPr>
        <w:jc w:val="both"/>
        <w:ind w:firstLine="648"/>
        <w:spacing w:after="0" w:line="269" w:lineRule="auto"/>
        <w:rPr>
          <w:sz w:val="20"/>
          <w:szCs w:val="20"/>
          <w:color w:val="auto"/>
        </w:rPr>
      </w:pPr>
      <w:r>
        <w:rPr>
          <w:rFonts w:ascii="Arial" w:cs="Arial" w:eastAsia="Arial" w:hAnsi="Arial"/>
          <w:sz w:val="17"/>
          <w:szCs w:val="17"/>
          <w:color w:val="010000"/>
        </w:rPr>
        <w:t xml:space="preserve">4.5. </w:t>
      </w:r>
      <w:r>
        <w:rPr>
          <w:rFonts w:ascii="Arial" w:cs="Arial" w:eastAsia="Arial" w:hAnsi="Arial"/>
          <w:sz w:val="17"/>
          <w:szCs w:val="17"/>
          <w:u w:val="single" w:color="auto"/>
          <w:color w:val="000000"/>
        </w:rPr>
        <w:t>Uncertificated Securities and Certain Other Investment Property</w:t>
      </w:r>
      <w:r>
        <w:rPr>
          <w:rFonts w:ascii="Arial" w:cs="Arial" w:eastAsia="Arial" w:hAnsi="Arial"/>
          <w:sz w:val="17"/>
          <w:szCs w:val="17"/>
          <w:color w:val="000000"/>
        </w:rPr>
        <w:t>. Each Grantor will, following the reasonable request of the Agent (and</w:t>
      </w:r>
      <w:r>
        <w:rPr>
          <w:rFonts w:ascii="Arial" w:cs="Arial" w:eastAsia="Arial" w:hAnsi="Arial"/>
          <w:sz w:val="17"/>
          <w:szCs w:val="17"/>
          <w:color w:val="010000"/>
        </w:rPr>
        <w:t xml:space="preserve"> </w:t>
      </w:r>
      <w:r>
        <w:rPr>
          <w:rFonts w:ascii="Arial" w:cs="Arial" w:eastAsia="Arial" w:hAnsi="Arial"/>
          <w:sz w:val="17"/>
          <w:szCs w:val="17"/>
          <w:color w:val="000000"/>
        </w:rPr>
        <w:t>after the occurrence and during the continuation of an Event of Default, will permit the Agent to) from time to time to cause the appropriate issuers (and, if held with a Securities Intermediary, such Securities Intermediary) of Uncertificated Securities or other types of Investment Property owned by such Grantor and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Agent granted pursuant to this Security Agreement. With respect to Investment Property having a value in excess of $5,000,000 individually or $10,000,000 in the aggregate and constituting Collateral owned by such Grantor held with a Futures Intermediary or Securities Intermediary (including in a Securities Account), such Grantor shall, within 30 days following the Effective Date or such later date on which it becomes a Grantor hereunder (in each case, or such later date as may be agreed to by the Agent in its sole discretion), cause such Futures Intermediary or Securities Intermediary to enter into a Control Agreement with the Agent in form and substance reasonably satisfactory to the Agent, in order to give the Agent Control (subject to the terms of the Intercreditor Agreement) of such Investment Property.</w:t>
      </w:r>
    </w:p>
    <w:p>
      <w:pPr>
        <w:spacing w:after="0" w:line="18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u w:val="single" w:color="auto"/>
          <w:color w:val="auto"/>
        </w:rPr>
        <w:t>Stock and Other Ownership Interests</w:t>
      </w:r>
      <w:r>
        <w:rPr>
          <w:rFonts w:ascii="Arial" w:cs="Arial" w:eastAsia="Arial" w:hAnsi="Arial"/>
          <w:sz w:val="16"/>
          <w:szCs w:val="16"/>
          <w:color w:val="auto"/>
        </w:rPr>
        <w:t>.</w:t>
      </w:r>
    </w:p>
    <w:p>
      <w:pPr>
        <w:spacing w:after="0" w:line="225" w:lineRule="exact"/>
        <w:rPr>
          <w:sz w:val="20"/>
          <w:szCs w:val="20"/>
          <w:color w:val="auto"/>
        </w:rPr>
      </w:pPr>
    </w:p>
    <w:p>
      <w:pPr>
        <w:ind w:left="1620"/>
        <w:spacing w:after="0"/>
        <w:tabs>
          <w:tab w:leader="none" w:pos="2780" w:val="left"/>
        </w:tabs>
        <w:rPr>
          <w:sz w:val="20"/>
          <w:szCs w:val="20"/>
          <w:color w:val="auto"/>
        </w:rPr>
      </w:pPr>
      <w:r>
        <w:rPr>
          <w:rFonts w:ascii="Arial" w:cs="Arial" w:eastAsia="Arial" w:hAnsi="Arial"/>
          <w:sz w:val="18"/>
          <w:szCs w:val="18"/>
          <w:color w:val="010000"/>
        </w:rPr>
        <w:t>4.6.1</w:t>
      </w:r>
      <w:r>
        <w:rPr>
          <w:sz w:val="20"/>
          <w:szCs w:val="20"/>
          <w:color w:val="auto"/>
        </w:rPr>
        <w:tab/>
      </w:r>
      <w:r>
        <w:rPr>
          <w:rFonts w:ascii="Arial" w:cs="Arial" w:eastAsia="Arial" w:hAnsi="Arial"/>
          <w:sz w:val="16"/>
          <w:szCs w:val="16"/>
          <w:u w:val="single" w:color="auto"/>
          <w:color w:val="auto"/>
        </w:rPr>
        <w:t>Registration of Pledged Securities and other Investment Property</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4.6.4 </w:t>
      </w:r>
      <w:r>
        <w:rPr>
          <w:rFonts w:ascii="Arial" w:cs="Arial" w:eastAsia="Arial" w:hAnsi="Arial"/>
          <w:sz w:val="16"/>
          <w:szCs w:val="16"/>
          <w:color w:val="auto"/>
        </w:rPr>
        <w:t>hereof in the case of ULC</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Shares, each Grantor will permit any registrable Collateral owned by such Grantor to be registered in the name of the Agent or its nominee at any time at the option of the Required Lenders following the occurrence and during the continuance of an Event of Default and without any further consent of such Grantor.</w:t>
      </w:r>
    </w:p>
    <w:p>
      <w:pPr>
        <w:spacing w:after="0" w:line="190" w:lineRule="exact"/>
        <w:rPr>
          <w:sz w:val="20"/>
          <w:szCs w:val="20"/>
          <w:color w:val="auto"/>
        </w:rPr>
      </w:pPr>
    </w:p>
    <w:p>
      <w:pPr>
        <w:jc w:val="both"/>
        <w:ind w:left="660" w:firstLine="972"/>
        <w:spacing w:after="0" w:line="259" w:lineRule="auto"/>
        <w:rPr>
          <w:sz w:val="20"/>
          <w:szCs w:val="20"/>
          <w:color w:val="auto"/>
        </w:rPr>
      </w:pPr>
      <w:r>
        <w:rPr>
          <w:rFonts w:ascii="Arial" w:cs="Arial" w:eastAsia="Arial" w:hAnsi="Arial"/>
          <w:sz w:val="18"/>
          <w:szCs w:val="18"/>
          <w:color w:val="010000"/>
        </w:rPr>
        <w:t xml:space="preserve">4.6.2 </w:t>
      </w:r>
      <w:r>
        <w:rPr>
          <w:rFonts w:ascii="Arial" w:cs="Arial" w:eastAsia="Arial" w:hAnsi="Arial"/>
          <w:sz w:val="18"/>
          <w:szCs w:val="18"/>
          <w:u w:val="single" w:color="auto"/>
          <w:color w:val="000000"/>
        </w:rPr>
        <w:t>Exercise of Rights in Pledged Securities</w:t>
      </w:r>
      <w:r>
        <w:rPr>
          <w:rFonts w:ascii="Arial" w:cs="Arial" w:eastAsia="Arial" w:hAnsi="Arial"/>
          <w:sz w:val="18"/>
          <w:szCs w:val="18"/>
          <w:color w:val="000000"/>
        </w:rPr>
        <w:t>. Subject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4.6.4</w:t>
      </w:r>
      <w:r>
        <w:rPr>
          <w:rFonts w:ascii="Arial" w:cs="Arial" w:eastAsia="Arial" w:hAnsi="Arial"/>
          <w:sz w:val="18"/>
          <w:szCs w:val="18"/>
          <w:color w:val="010000"/>
        </w:rPr>
        <w:t xml:space="preserve"> </w:t>
      </w:r>
      <w:r>
        <w:rPr>
          <w:rFonts w:ascii="Arial" w:cs="Arial" w:eastAsia="Arial" w:hAnsi="Arial"/>
          <w:sz w:val="18"/>
          <w:szCs w:val="18"/>
          <w:color w:val="000000"/>
        </w:rPr>
        <w:t>hereof in the case of ULC Shares, each Grantor will</w:t>
      </w:r>
      <w:r>
        <w:rPr>
          <w:rFonts w:ascii="Arial" w:cs="Arial" w:eastAsia="Arial" w:hAnsi="Arial"/>
          <w:sz w:val="18"/>
          <w:szCs w:val="18"/>
          <w:color w:val="010000"/>
        </w:rPr>
        <w:t xml:space="preserve"> </w:t>
      </w:r>
      <w:r>
        <w:rPr>
          <w:rFonts w:ascii="Arial" w:cs="Arial" w:eastAsia="Arial" w:hAnsi="Arial"/>
          <w:sz w:val="18"/>
          <w:szCs w:val="18"/>
          <w:color w:val="000000"/>
        </w:rPr>
        <w:t>permit the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pacing w:after="0" w:line="187" w:lineRule="exact"/>
        <w:rPr>
          <w:sz w:val="20"/>
          <w:szCs w:val="20"/>
          <w:color w:val="auto"/>
        </w:rPr>
      </w:pPr>
    </w:p>
    <w:p>
      <w:pPr>
        <w:jc w:val="both"/>
        <w:ind w:left="660" w:firstLine="972"/>
        <w:spacing w:after="0" w:line="273" w:lineRule="auto"/>
        <w:rPr>
          <w:sz w:val="20"/>
          <w:szCs w:val="20"/>
          <w:color w:val="auto"/>
        </w:rPr>
      </w:pPr>
      <w:r>
        <w:rPr>
          <w:rFonts w:ascii="Arial" w:cs="Arial" w:eastAsia="Arial" w:hAnsi="Arial"/>
          <w:sz w:val="17"/>
          <w:szCs w:val="17"/>
          <w:color w:val="010000"/>
        </w:rPr>
        <w:t xml:space="preserve">4.6.3 </w:t>
      </w:r>
      <w:r>
        <w:rPr>
          <w:rFonts w:ascii="Arial" w:cs="Arial" w:eastAsia="Arial" w:hAnsi="Arial"/>
          <w:sz w:val="17"/>
          <w:szCs w:val="17"/>
          <w:u w:val="single" w:color="auto"/>
          <w:color w:val="000000"/>
        </w:rPr>
        <w:t>Transfer Restrictions</w:t>
      </w:r>
      <w:r>
        <w:rPr>
          <w:rFonts w:ascii="Arial" w:cs="Arial" w:eastAsia="Arial" w:hAnsi="Arial"/>
          <w:sz w:val="17"/>
          <w:szCs w:val="17"/>
          <w:color w:val="000000"/>
        </w:rPr>
        <w:t>. If the organizational documents of any Subsidiary (other than a ULC) restrict the transfer of the</w:t>
      </w:r>
      <w:r>
        <w:rPr>
          <w:rFonts w:ascii="Arial" w:cs="Arial" w:eastAsia="Arial" w:hAnsi="Arial"/>
          <w:sz w:val="17"/>
          <w:szCs w:val="17"/>
          <w:color w:val="010000"/>
        </w:rPr>
        <w:t xml:space="preserve"> </w:t>
      </w:r>
      <w:r>
        <w:rPr>
          <w:rFonts w:ascii="Arial" w:cs="Arial" w:eastAsia="Arial" w:hAnsi="Arial"/>
          <w:sz w:val="17"/>
          <w:szCs w:val="17"/>
          <w:color w:val="000000"/>
        </w:rPr>
        <w:t>Securities of such Subsidiary, then such Grantor shall deliver to the Agent a certified copy of a resolution of the directors, shareholders, unitholders or partners of such Subsidiary, as applicable, consenting to the transfer(s) contemplated by this Security Agreement, including any prospective transfer of the Pledged Collateral of such Grantor by the Agent upon a realization on the Liens hereunder. For greater certainty, the Agent shall have no right under any circumstance to vote ULC Shares or receive dividends from any ULC until such time as notice is given to the applicable Grantor and further steps are taken so as to register the Agent as the holder of the applicable ULC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773" w:name="page774"/>
    <w:bookmarkEnd w:id="773"/>
    <w:p>
      <w:pPr>
        <w:jc w:val="both"/>
        <w:ind w:firstLine="972"/>
        <w:spacing w:after="0" w:line="284" w:lineRule="auto"/>
        <w:rPr>
          <w:sz w:val="20"/>
          <w:szCs w:val="20"/>
          <w:color w:val="auto"/>
        </w:rPr>
      </w:pPr>
      <w:r>
        <w:rPr>
          <w:rFonts w:ascii="Arial" w:cs="Arial" w:eastAsia="Arial" w:hAnsi="Arial"/>
          <w:sz w:val="16"/>
          <w:szCs w:val="16"/>
          <w:color w:val="010000"/>
        </w:rPr>
        <w:t xml:space="preserve">4.6.4 </w:t>
      </w:r>
      <w:r>
        <w:rPr>
          <w:rFonts w:ascii="Arial" w:cs="Arial" w:eastAsia="Arial" w:hAnsi="Arial"/>
          <w:sz w:val="16"/>
          <w:szCs w:val="16"/>
          <w:u w:val="single" w:color="auto"/>
          <w:color w:val="000000"/>
        </w:rPr>
        <w:t>ULC Shares</w:t>
      </w:r>
      <w:r>
        <w:rPr>
          <w:rFonts w:ascii="Arial" w:cs="Arial" w:eastAsia="Arial" w:hAnsi="Arial"/>
          <w:sz w:val="16"/>
          <w:szCs w:val="16"/>
          <w:color w:val="000000"/>
        </w:rPr>
        <w:t>. Each Grantor acknowledges that certain of the Collateral of such Grantor may now or in the future consist</w:t>
      </w:r>
      <w:r>
        <w:rPr>
          <w:rFonts w:ascii="Arial" w:cs="Arial" w:eastAsia="Arial" w:hAnsi="Arial"/>
          <w:sz w:val="16"/>
          <w:szCs w:val="16"/>
          <w:color w:val="010000"/>
        </w:rPr>
        <w:t xml:space="preserve"> </w:t>
      </w:r>
      <w:r>
        <w:rPr>
          <w:rFonts w:ascii="Arial" w:cs="Arial" w:eastAsia="Arial" w:hAnsi="Arial"/>
          <w:sz w:val="16"/>
          <w:szCs w:val="16"/>
          <w:color w:val="000000"/>
        </w:rPr>
        <w:t>of ULC Shares, and that it is the intention of the Agent and each Grantor that neither the Agent nor any other Secured Party should under any circumstances prior to realization thereon be held to be a “member” or a “shareholder”, as applicable, of a ULC for the purposes of any ULC Laws. Therefore, notwithstanding any provision to the contrary contained in this Security Agreement, the LC Credit Agreement or any other Loan Document, where a Grantor is the registered owner of ULC Shares which are Collateral of such Grantor, such Grantor shall remain the sole registered owner of such ULC Shares until such time as such ULC Shares are effectively transferred into the name of the Agent, any other Secured Party, or any other Person on the books and records of the applicable ULC. Accordingly, each Grantor shall be entitled to receive and retain for its own account any dividend on or other distribution, if any, with respect to such ULC Shares (except for any dividend or distribution comprised of Security Certificates pledged of such Grantor, which shall be delivered to the Agent to hold hereunder) and shall have the right to vote such ULC Shares and to control the direction, management and policies of the applicable ULC to the same extent as such Grantor would if such ULC Shares were not pledged to the Agent pursuant hereto. Nothing in this Security Agreement, the LC Credit Agreement or any other Loan Document is intended to, and nothing in this Security Agreement, the LC Credit Agreement or any other Loan Document shall, constitute the Agent, any other Secured Party, or any other Person other than the applicable Grantor, a member or shareholder of a ULC for the purposes of any ULC Laws (whether listed or unlisted, registered or beneficial), until such time as notice is given to such Grantor and further steps are taken pursuant hereto or thereto so as to register the Agent, any other Secured Party, or such other Person, as specified in such notice, as the holder of the ULC Shares. To the extent any provision hereof would have the effect of constituting the Agent or any other Secured Party as a member or a shareholder, as applicable, of any ULC prior to such time, such provision shall be severed herefrom and shall be ineffective with respect to ULC Shares which are Collateral of any Grantor without otherwise invalidating or rendering unenforceable this Security Agreement or invalidating or rendering unenforceable such provision insofar as it relates to Collateral of any Grantor which is not ULC Shares. Except upon the exercise of rights of the Agent to sell, transfer or otherwise dispose of ULC Shares in accordance with this Security Agreement, each Grantor shall not cause or permit, or enable a Subsidiary that is a ULC to cause or permit, the Agent or any other Secured Party to: (a) be registered as a shareholder or member of such Subsidiary; (b) have any notation entered in their favour in the share register of such Subsidiary; (c) be held out as shareholders or members of such Subsidiary; (d) receive, directly or indirectly, any dividends, property or other distributions from such Subsidiary by reason of the Agent holding a Lien over the ULC Shares; or (e) act as a shareholder of such Subsidiary, or exercise any rights of a shareholder including the right to attend a meeting of shareholders of such Subsidiary or to vote its ULC Shares.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774" w:name="page775"/>
    <w:bookmarkEnd w:id="774"/>
    <w:p>
      <w:pPr>
        <w:jc w:val="both"/>
        <w:ind w:firstLine="648"/>
        <w:spacing w:after="0" w:line="255" w:lineRule="auto"/>
        <w:rPr>
          <w:sz w:val="20"/>
          <w:szCs w:val="20"/>
          <w:color w:val="auto"/>
        </w:rPr>
      </w:pPr>
      <w:r>
        <w:rPr>
          <w:rFonts w:ascii="Arial" w:cs="Arial" w:eastAsia="Arial" w:hAnsi="Arial"/>
          <w:sz w:val="18"/>
          <w:szCs w:val="18"/>
          <w:color w:val="010000"/>
        </w:rPr>
        <w:t xml:space="preserve">4.7. </w:t>
      </w:r>
      <w:r>
        <w:rPr>
          <w:rFonts w:ascii="Arial" w:cs="Arial" w:eastAsia="Arial" w:hAnsi="Arial"/>
          <w:sz w:val="18"/>
          <w:szCs w:val="18"/>
          <w:u w:val="single" w:color="auto"/>
          <w:color w:val="000000"/>
        </w:rPr>
        <w:t>Specified Deposit Accounts</w:t>
      </w:r>
      <w:r>
        <w:rPr>
          <w:rFonts w:ascii="Arial" w:cs="Arial" w:eastAsia="Arial" w:hAnsi="Arial"/>
          <w:sz w:val="18"/>
          <w:szCs w:val="18"/>
          <w:color w:val="000000"/>
        </w:rPr>
        <w:t>. Each Grantor will cause each bank or other financial institution in which it maintains a Specified Deposit</w:t>
      </w:r>
      <w:r>
        <w:rPr>
          <w:rFonts w:ascii="Arial" w:cs="Arial" w:eastAsia="Arial" w:hAnsi="Arial"/>
          <w:sz w:val="18"/>
          <w:szCs w:val="18"/>
          <w:color w:val="010000"/>
        </w:rPr>
        <w:t xml:space="preserve"> </w:t>
      </w:r>
      <w:r>
        <w:rPr>
          <w:rFonts w:ascii="Arial" w:cs="Arial" w:eastAsia="Arial" w:hAnsi="Arial"/>
          <w:sz w:val="18"/>
          <w:szCs w:val="18"/>
          <w:color w:val="000000"/>
        </w:rPr>
        <w:t>Account to enter into a Control Agreement with the Agent and the ABL Collateral Agent, in form and substance reasonably satisfactory to the Agent in order to give the Agent Control (subject to the terms of the Intercreditor Agreement) of the Specified Deposit Account within 60 days following the Effective Date or such later date on which it becomes a Grantor hereunder (in each case, or such later date as may be agreed to by the Agent in its sole discretion). In the case of deposits maintained with Lenders, the terms of such Control Agreement shall be subject to the provisions of the LC Credit Agreement regarding setoffs.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4.8. </w:t>
      </w:r>
      <w:r>
        <w:rPr>
          <w:rFonts w:ascii="Arial" w:cs="Arial" w:eastAsia="Arial" w:hAnsi="Arial"/>
          <w:sz w:val="18"/>
          <w:szCs w:val="18"/>
          <w:u w:val="single" w:color="auto"/>
          <w:color w:val="000000"/>
        </w:rPr>
        <w:t>Letter of Credit Rights</w:t>
      </w:r>
      <w:r>
        <w:rPr>
          <w:rFonts w:ascii="Arial" w:cs="Arial" w:eastAsia="Arial" w:hAnsi="Arial"/>
          <w:sz w:val="18"/>
          <w:szCs w:val="18"/>
          <w:color w:val="000000"/>
        </w:rPr>
        <w:t>. Each Grantor will, upon the Agent’s request, cause each issuer of a letter of credit in excess of $5,000,000</w:t>
      </w:r>
      <w:r>
        <w:rPr>
          <w:rFonts w:ascii="Arial" w:cs="Arial" w:eastAsia="Arial" w:hAnsi="Arial"/>
          <w:sz w:val="18"/>
          <w:szCs w:val="18"/>
          <w:color w:val="010000"/>
        </w:rPr>
        <w:t xml:space="preserve"> </w:t>
      </w:r>
      <w:r>
        <w:rPr>
          <w:rFonts w:ascii="Arial" w:cs="Arial" w:eastAsia="Arial" w:hAnsi="Arial"/>
          <w:sz w:val="18"/>
          <w:szCs w:val="18"/>
          <w:color w:val="000000"/>
        </w:rPr>
        <w:t>individually or in the aggregate to consent to the assignment of proceeds of such letter of credit in order to give the Agent Control (subject to the terms of the Intercreditor Agreement) of the Letter of Credit Rights to such letter of credit, to the extent possible under applicable law.</w:t>
      </w:r>
    </w:p>
    <w:p>
      <w:pPr>
        <w:spacing w:after="0" w:line="18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4.9.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972"/>
        <w:spacing w:after="0" w:line="287" w:lineRule="auto"/>
        <w:rPr>
          <w:sz w:val="20"/>
          <w:szCs w:val="20"/>
          <w:color w:val="auto"/>
        </w:rPr>
      </w:pPr>
      <w:r>
        <w:rPr>
          <w:rFonts w:ascii="Arial" w:cs="Arial" w:eastAsia="Arial" w:hAnsi="Arial"/>
          <w:sz w:val="16"/>
          <w:szCs w:val="16"/>
          <w:color w:val="010000"/>
        </w:rPr>
        <w:t xml:space="preserve">4.9.1 </w:t>
      </w:r>
      <w:r>
        <w:rPr>
          <w:rFonts w:ascii="Arial" w:cs="Arial" w:eastAsia="Arial" w:hAnsi="Arial"/>
          <w:sz w:val="16"/>
          <w:szCs w:val="16"/>
          <w:color w:val="000000"/>
        </w:rPr>
        <w:t>If, after the date hereof, any Grantor obtains rights to, including, but not limited to filing and acceptance of a statement of</w:t>
      </w:r>
      <w:r>
        <w:rPr>
          <w:rFonts w:ascii="Arial" w:cs="Arial" w:eastAsia="Arial" w:hAnsi="Arial"/>
          <w:sz w:val="16"/>
          <w:szCs w:val="16"/>
          <w:color w:val="010000"/>
        </w:rPr>
        <w:t xml:space="preserve"> </w:t>
      </w:r>
      <w:r>
        <w:rPr>
          <w:rFonts w:ascii="Arial" w:cs="Arial" w:eastAsia="Arial" w:hAnsi="Arial"/>
          <w:sz w:val="16"/>
          <w:szCs w:val="16"/>
          <w:color w:val="000000"/>
        </w:rPr>
        <w:t xml:space="preserve">use or an amendment to allege use with the United States Patent and Trademark Office or the Canadian Intellectual Property Office, or applies for or seeks registration of, any new Patent, Trademark, Copyright or Industrial Design in addition to the Patents, Trademarks, Copyrights and Industrial Designs described in </w:t>
      </w:r>
      <w:r>
        <w:rPr>
          <w:rFonts w:ascii="Arial" w:cs="Arial" w:eastAsia="Arial" w:hAnsi="Arial"/>
          <w:sz w:val="16"/>
          <w:szCs w:val="16"/>
          <w:u w:val="single" w:color="auto"/>
          <w:color w:val="000000"/>
        </w:rPr>
        <w:t>Exhibit "B"</w:t>
      </w:r>
      <w:r>
        <w:rPr>
          <w:rFonts w:ascii="Arial" w:cs="Arial" w:eastAsia="Arial" w:hAnsi="Arial"/>
          <w:sz w:val="16"/>
          <w:szCs w:val="16"/>
          <w:color w:val="000000"/>
        </w:rPr>
        <w:t xml:space="preserve">, then to the extent the foregoing constitutes Specified Intellectual Property, such Grantor agrees promptly and within 60 days following the date on which financial statements are required to be delivered pursuant to Section 7.01(a) and/or Section 7.01(b) of the LC Credit Agreement, to execute and deliver to the Agent any supplement to this Security Agreement or any other document reasonably requested by the Agent to evidence such security interest in a form appropriate for recording in the applicable federal office. In the event the applicable Grantor does not comply with the above deadline, each Grantor also hereby authorizes the Agent to (i) modify this Security Agreement unilaterally by amending </w:t>
      </w:r>
      <w:r>
        <w:rPr>
          <w:rFonts w:ascii="Arial" w:cs="Arial" w:eastAsia="Arial" w:hAnsi="Arial"/>
          <w:sz w:val="16"/>
          <w:szCs w:val="16"/>
          <w:u w:val="single" w:color="auto"/>
          <w:color w:val="000000"/>
        </w:rPr>
        <w:t>Exhibit "B"</w:t>
      </w:r>
      <w:r>
        <w:rPr>
          <w:rFonts w:ascii="Arial" w:cs="Arial" w:eastAsia="Arial" w:hAnsi="Arial"/>
          <w:sz w:val="16"/>
          <w:szCs w:val="16"/>
          <w:color w:val="000000"/>
        </w:rPr>
        <w:t xml:space="preserve"> to include any future Patents, Trademarks, Copyrights and/or Industrial Designs constituting Specified Intellectual Property of which such Grantor is required to notify the Agent pursuant hereto and (ii) record, in addition to and not in substitution for this Security Agreement, a duplicate original of this Security Agreement (or other registrable notice) containing in </w:t>
      </w:r>
      <w:r>
        <w:rPr>
          <w:rFonts w:ascii="Arial" w:cs="Arial" w:eastAsia="Arial" w:hAnsi="Arial"/>
          <w:sz w:val="16"/>
          <w:szCs w:val="16"/>
          <w:u w:val="single" w:color="auto"/>
          <w:color w:val="000000"/>
        </w:rPr>
        <w:t>Exhibit "B"</w:t>
      </w:r>
      <w:r>
        <w:rPr>
          <w:rFonts w:ascii="Arial" w:cs="Arial" w:eastAsia="Arial" w:hAnsi="Arial"/>
          <w:sz w:val="16"/>
          <w:szCs w:val="16"/>
          <w:color w:val="000000"/>
        </w:rPr>
        <w:t xml:space="preserve"> a description of such future registrations and applications for Patents, Trademarks, Copyrights and/or Industrial Designs constituting Specified Intellectual Property.</w:t>
      </w:r>
    </w:p>
    <w:p>
      <w:pPr>
        <w:spacing w:after="0" w:line="169" w:lineRule="exact"/>
        <w:rPr>
          <w:sz w:val="20"/>
          <w:szCs w:val="20"/>
          <w:color w:val="auto"/>
        </w:rPr>
      </w:pPr>
    </w:p>
    <w:p>
      <w:pPr>
        <w:jc w:val="both"/>
        <w:ind w:left="660" w:firstLine="972"/>
        <w:spacing w:after="0" w:line="270" w:lineRule="auto"/>
        <w:rPr>
          <w:sz w:val="20"/>
          <w:szCs w:val="20"/>
          <w:color w:val="auto"/>
        </w:rPr>
      </w:pPr>
      <w:r>
        <w:rPr>
          <w:rFonts w:ascii="Arial" w:cs="Arial" w:eastAsia="Arial" w:hAnsi="Arial"/>
          <w:sz w:val="17"/>
          <w:szCs w:val="17"/>
          <w:color w:val="010000"/>
        </w:rPr>
        <w:t xml:space="preserve">4.9.2 </w:t>
      </w:r>
      <w:r>
        <w:rPr>
          <w:rFonts w:ascii="Arial" w:cs="Arial" w:eastAsia="Arial" w:hAnsi="Arial"/>
          <w:sz w:val="17"/>
          <w:szCs w:val="17"/>
          <w:color w:val="000000"/>
        </w:rPr>
        <w:t>As of the applicable Determination Date, no Grantor has any interest in, or title to, any Intellectual Property registration</w:t>
      </w:r>
      <w:r>
        <w:rPr>
          <w:rFonts w:ascii="Arial" w:cs="Arial" w:eastAsia="Arial" w:hAnsi="Arial"/>
          <w:sz w:val="17"/>
          <w:szCs w:val="17"/>
          <w:color w:val="010000"/>
        </w:rPr>
        <w:t xml:space="preserve"> </w:t>
      </w:r>
      <w:r>
        <w:rPr>
          <w:rFonts w:ascii="Arial" w:cs="Arial" w:eastAsia="Arial" w:hAnsi="Arial"/>
          <w:sz w:val="17"/>
          <w:szCs w:val="17"/>
          <w:color w:val="000000"/>
        </w:rPr>
        <w:t xml:space="preserve">or applications, except as set forth in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As of the applicable Determination Date, this Security Agreement is effective to create a valid and continuing Lien on each Grantor’s interest in its Intellectual Property and, upon timely filing of the IP Short Form with respect to Copyrights with the United States Copyright Office and filing of the IP Short Form with respect to Patents and the IP Short Form with respect to Trademarks with the United States Patent and Trademark Office, or a Notice of Security Interest with the Canadian Intellectual Property Office, and the filing of appropriate financing statements in the jurisdictions listed in </w:t>
      </w:r>
      <w:r>
        <w:rPr>
          <w:rFonts w:ascii="Arial" w:cs="Arial" w:eastAsia="Arial" w:hAnsi="Arial"/>
          <w:sz w:val="17"/>
          <w:szCs w:val="17"/>
          <w:u w:val="single" w:color="auto"/>
          <w:color w:val="000000"/>
        </w:rPr>
        <w:t>Exhibit “E”</w:t>
      </w:r>
      <w:r>
        <w:rPr>
          <w:rFonts w:ascii="Arial" w:cs="Arial" w:eastAsia="Arial" w:hAnsi="Arial"/>
          <w:sz w:val="17"/>
          <w:szCs w:val="17"/>
          <w:color w:val="000000"/>
        </w:rPr>
        <w:t xml:space="preserve"> hereto, all action necessary or desirable to protect and perfect the security interest in, to and on each Grantor’s interest in Patents, Trademarks, Copyrights or Industrial Designs that are set forth in </w:t>
      </w:r>
      <w:r>
        <w:rPr>
          <w:rFonts w:ascii="Arial" w:cs="Arial" w:eastAsia="Arial" w:hAnsi="Arial"/>
          <w:sz w:val="17"/>
          <w:szCs w:val="17"/>
          <w:u w:val="single" w:color="auto"/>
          <w:color w:val="000000"/>
        </w:rPr>
        <w:t>Exhibit “B”</w:t>
      </w:r>
      <w:r>
        <w:rPr>
          <w:rFonts w:ascii="Arial" w:cs="Arial" w:eastAsia="Arial" w:hAnsi="Arial"/>
          <w:sz w:val="17"/>
          <w:szCs w:val="17"/>
          <w:color w:val="000000"/>
        </w:rPr>
        <w:t xml:space="preserve"> as of the applicable Determination Date shall have been taken and such perfected security interest shall be enforceable as such as against any and all creditors of and purchasers from any Grantor.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5" w:name="page776"/>
    <w:bookmarkEnd w:id="775"/>
    <w:p>
      <w:pPr>
        <w:jc w:val="both"/>
        <w:ind w:firstLine="648"/>
        <w:spacing w:after="0" w:line="257" w:lineRule="auto"/>
        <w:rPr>
          <w:sz w:val="20"/>
          <w:szCs w:val="20"/>
          <w:color w:val="auto"/>
        </w:rPr>
      </w:pPr>
      <w:r>
        <w:rPr>
          <w:rFonts w:ascii="Arial" w:cs="Arial" w:eastAsia="Arial" w:hAnsi="Arial"/>
          <w:sz w:val="18"/>
          <w:szCs w:val="18"/>
          <w:color w:val="010000"/>
        </w:rPr>
        <w:t xml:space="preserve">4.11. </w:t>
      </w:r>
      <w:r>
        <w:rPr>
          <w:rFonts w:ascii="Arial" w:cs="Arial" w:eastAsia="Arial" w:hAnsi="Arial"/>
          <w:sz w:val="18"/>
          <w:szCs w:val="18"/>
          <w:u w:val="single" w:color="auto"/>
          <w:color w:val="000000"/>
        </w:rPr>
        <w:t>Updating of Exhibits to Security Agreement</w:t>
      </w:r>
      <w:r>
        <w:rPr>
          <w:rFonts w:ascii="Arial" w:cs="Arial" w:eastAsia="Arial" w:hAnsi="Arial"/>
          <w:sz w:val="18"/>
          <w:szCs w:val="18"/>
          <w:color w:val="000000"/>
        </w:rPr>
        <w:t>. The Borrowers will provide to the Agent, concurrently with the delivery of each</w:t>
      </w:r>
      <w:r>
        <w:rPr>
          <w:rFonts w:ascii="Arial" w:cs="Arial" w:eastAsia="Arial" w:hAnsi="Arial"/>
          <w:sz w:val="18"/>
          <w:szCs w:val="18"/>
          <w:color w:val="010000"/>
        </w:rPr>
        <w:t xml:space="preserve"> </w:t>
      </w:r>
      <w:r>
        <w:rPr>
          <w:rFonts w:ascii="Arial" w:cs="Arial" w:eastAsia="Arial" w:hAnsi="Arial"/>
          <w:sz w:val="18"/>
          <w:szCs w:val="18"/>
          <w:color w:val="000000"/>
        </w:rPr>
        <w:t>Compliance Certificate required by Section 7.01(e) of the LC Credit Agreement, updated versions of the Exhibits to this Security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there have been no changes to any such Exhibits since the previous updating thereof required hereby, the Borrowers shall indicate that there has been “no change” to the applicable Exhibit(s)). Any reference to any Exhibit herein shall mean such Exhibit after giving effect to any updates thereof by the Borrowers or such Grantor pursuant to this </w:t>
      </w:r>
      <w:r>
        <w:rPr>
          <w:rFonts w:ascii="Arial" w:cs="Arial" w:eastAsia="Arial" w:hAnsi="Arial"/>
          <w:sz w:val="18"/>
          <w:szCs w:val="18"/>
          <w:u w:val="single" w:color="auto"/>
          <w:color w:val="000000"/>
        </w:rPr>
        <w:t>Section 4.11</w:t>
      </w:r>
      <w:r>
        <w:rPr>
          <w:rFonts w:ascii="Arial" w:cs="Arial" w:eastAsia="Arial" w:hAnsi="Arial"/>
          <w:sz w:val="18"/>
          <w:szCs w:val="18"/>
          <w:color w:val="000000"/>
        </w:rPr>
        <w:t xml:space="preserve"> or otherwise.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900" w:type="dxa"/>
            <w:vAlign w:val="bottom"/>
          </w:tcPr>
          <w:p>
            <w:pPr>
              <w:jc w:val="center"/>
              <w:ind w:right="2450"/>
              <w:spacing w:after="0"/>
              <w:rPr>
                <w:sz w:val="20"/>
                <w:szCs w:val="20"/>
                <w:color w:val="auto"/>
              </w:rPr>
            </w:pPr>
            <w:r>
              <w:rPr>
                <w:rFonts w:ascii="Arial" w:cs="Arial" w:eastAsia="Arial" w:hAnsi="Arial"/>
                <w:sz w:val="18"/>
                <w:szCs w:val="18"/>
                <w:color w:val="auto"/>
                <w:w w:val="98"/>
              </w:rPr>
              <w:t>ARTICLE V</w:t>
            </w:r>
          </w:p>
        </w:tc>
      </w:tr>
      <w:tr>
        <w:trPr>
          <w:trHeight w:val="432"/>
        </w:trPr>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00" w:type="dxa"/>
            <w:vAlign w:val="bottom"/>
          </w:tcPr>
          <w:p>
            <w:pPr>
              <w:jc w:val="center"/>
              <w:ind w:right="2450"/>
              <w:spacing w:after="0"/>
              <w:rPr>
                <w:sz w:val="20"/>
                <w:szCs w:val="20"/>
                <w:color w:val="auto"/>
              </w:rPr>
            </w:pPr>
            <w:r>
              <w:rPr>
                <w:rFonts w:ascii="Arial" w:cs="Arial" w:eastAsia="Arial" w:hAnsi="Arial"/>
                <w:sz w:val="18"/>
                <w:szCs w:val="18"/>
                <w:color w:val="auto"/>
                <w:w w:val="97"/>
              </w:rPr>
              <w:t>DEFAULT</w:t>
            </w:r>
          </w:p>
        </w:tc>
      </w:tr>
      <w:tr>
        <w:trPr>
          <w:trHeight w:val="392"/>
        </w:trPr>
        <w:tc>
          <w:tcPr>
            <w:tcW w:w="800" w:type="dxa"/>
            <w:vAlign w:val="bottom"/>
          </w:tcPr>
          <w:p>
            <w:pPr>
              <w:jc w:val="right"/>
              <w:ind w:right="450"/>
              <w:spacing w:after="0"/>
              <w:rPr>
                <w:sz w:val="20"/>
                <w:szCs w:val="20"/>
                <w:color w:val="auto"/>
              </w:rPr>
            </w:pPr>
            <w:r>
              <w:rPr>
                <w:rFonts w:ascii="Arial" w:cs="Arial" w:eastAsia="Arial" w:hAnsi="Arial"/>
                <w:sz w:val="18"/>
                <w:szCs w:val="18"/>
                <w:color w:val="010000"/>
                <w:w w:val="79"/>
              </w:rPr>
              <w:t>5.1.</w:t>
            </w:r>
          </w:p>
        </w:tc>
        <w:tc>
          <w:tcPr>
            <w:tcW w:w="1060" w:type="dxa"/>
            <w:vAlign w:val="bottom"/>
            <w:gridSpan w:val="2"/>
          </w:tcPr>
          <w:p>
            <w:pPr>
              <w:spacing w:after="0"/>
              <w:rPr>
                <w:sz w:val="20"/>
                <w:szCs w:val="20"/>
                <w:color w:val="auto"/>
              </w:rPr>
            </w:pPr>
            <w:r>
              <w:rPr>
                <w:rFonts w:ascii="Arial" w:cs="Arial" w:eastAsia="Arial" w:hAnsi="Arial"/>
                <w:sz w:val="18"/>
                <w:szCs w:val="18"/>
                <w:color w:val="auto"/>
              </w:rPr>
              <w:t>Remedies.</w:t>
            </w:r>
          </w:p>
        </w:tc>
        <w:tc>
          <w:tcPr>
            <w:tcW w:w="8900" w:type="dxa"/>
            <w:vAlign w:val="bottom"/>
          </w:tcPr>
          <w:p>
            <w:pPr>
              <w:spacing w:after="0"/>
              <w:rPr>
                <w:sz w:val="24"/>
                <w:szCs w:val="24"/>
                <w:color w:val="auto"/>
              </w:rPr>
            </w:pPr>
          </w:p>
        </w:tc>
      </w:tr>
      <w:tr>
        <w:trPr>
          <w:trHeight w:val="453"/>
        </w:trPr>
        <w:tc>
          <w:tcPr>
            <w:tcW w:w="800" w:type="dxa"/>
            <w:vAlign w:val="bottom"/>
          </w:tcPr>
          <w:p>
            <w:pPr>
              <w:spacing w:after="0"/>
              <w:rPr>
                <w:sz w:val="24"/>
                <w:szCs w:val="24"/>
                <w:color w:val="auto"/>
              </w:rPr>
            </w:pP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010000"/>
              </w:rPr>
              <w:t>5.1.1</w:t>
            </w:r>
          </w:p>
        </w:tc>
        <w:tc>
          <w:tcPr>
            <w:tcW w:w="340" w:type="dxa"/>
            <w:vAlign w:val="bottom"/>
          </w:tcPr>
          <w:p>
            <w:pPr>
              <w:spacing w:after="0"/>
              <w:rPr>
                <w:sz w:val="24"/>
                <w:szCs w:val="24"/>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w w:val="94"/>
              </w:rPr>
              <w:t>Upon the occurrence and during the continuation of an Event of Default, the Agent may, and at the direction of the</w:t>
            </w:r>
          </w:p>
        </w:tc>
      </w:tr>
    </w:tbl>
    <w:p>
      <w:pPr>
        <w:ind w:left="660"/>
        <w:spacing w:after="0"/>
        <w:rPr>
          <w:sz w:val="20"/>
          <w:szCs w:val="20"/>
          <w:color w:val="auto"/>
        </w:rPr>
      </w:pPr>
      <w:r>
        <w:rPr>
          <w:rFonts w:ascii="Arial" w:cs="Arial" w:eastAsia="Arial" w:hAnsi="Arial"/>
          <w:sz w:val="18"/>
          <w:szCs w:val="18"/>
          <w:color w:val="auto"/>
        </w:rPr>
        <w:t>Required Lenders shall, subject to the Intercreditor Agreement, exercise any or all of the following rights and remedies:</w:t>
      </w:r>
    </w:p>
    <w:p>
      <w:pPr>
        <w:spacing w:after="0" w:line="211" w:lineRule="exact"/>
        <w:rPr>
          <w:sz w:val="20"/>
          <w:szCs w:val="20"/>
          <w:color w:val="auto"/>
        </w:rPr>
      </w:pPr>
    </w:p>
    <w:p>
      <w:pPr>
        <w:jc w:val="both"/>
        <w:ind w:left="1420" w:hanging="683"/>
        <w:spacing w:after="0" w:line="264" w:lineRule="auto"/>
        <w:tabs>
          <w:tab w:leader="none" w:pos="1420" w:val="left"/>
        </w:tabs>
        <w:numPr>
          <w:ilvl w:val="0"/>
          <w:numId w:val="86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ULC Shares, those rights and remedies provided in this Security Agreement, the LC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not be understood to limit any rights or remedies available to the Agent and the Secured Parties prior to an Event of Default.</w:t>
      </w:r>
    </w:p>
    <w:p>
      <w:pPr>
        <w:spacing w:after="0" w:line="181" w:lineRule="exact"/>
        <w:rPr>
          <w:rFonts w:ascii="Arial" w:cs="Arial" w:eastAsia="Arial" w:hAnsi="Arial"/>
          <w:sz w:val="18"/>
          <w:szCs w:val="18"/>
          <w:color w:val="010000"/>
        </w:rPr>
      </w:pPr>
    </w:p>
    <w:p>
      <w:pPr>
        <w:jc w:val="both"/>
        <w:ind w:left="1420" w:hanging="683"/>
        <w:spacing w:after="0" w:line="264" w:lineRule="auto"/>
        <w:tabs>
          <w:tab w:leader="none" w:pos="1420" w:val="left"/>
        </w:tabs>
        <w:numPr>
          <w:ilvl w:val="0"/>
          <w:numId w:val="861"/>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4.6.4</w:t>
      </w:r>
      <w:r>
        <w:rPr>
          <w:rFonts w:ascii="Arial" w:cs="Arial" w:eastAsia="Arial" w:hAnsi="Arial"/>
          <w:sz w:val="18"/>
          <w:szCs w:val="18"/>
          <w:color w:val="auto"/>
        </w:rPr>
        <w:t xml:space="preserve"> hereof in the case of ULC Shares, those rights and remedies available to a secured party under the PPSA (whether or not the PPSA applies to the affected Collateral) or under any other applicable law when a debtor is in default under a security agreement.</w:t>
      </w:r>
    </w:p>
    <w:p>
      <w:pPr>
        <w:spacing w:after="0" w:line="181" w:lineRule="exact"/>
        <w:rPr>
          <w:rFonts w:ascii="Arial" w:cs="Arial" w:eastAsia="Arial" w:hAnsi="Arial"/>
          <w:sz w:val="18"/>
          <w:szCs w:val="18"/>
          <w:color w:val="010000"/>
        </w:rPr>
      </w:pPr>
    </w:p>
    <w:p>
      <w:pPr>
        <w:ind w:left="1420" w:hanging="683"/>
        <w:spacing w:after="0" w:line="277" w:lineRule="auto"/>
        <w:tabs>
          <w:tab w:leader="none" w:pos="1420" w:val="left"/>
        </w:tabs>
        <w:numPr>
          <w:ilvl w:val="0"/>
          <w:numId w:val="861"/>
        </w:numPr>
        <w:rPr>
          <w:rFonts w:ascii="Arial" w:cs="Arial" w:eastAsia="Arial" w:hAnsi="Arial"/>
          <w:sz w:val="18"/>
          <w:szCs w:val="18"/>
          <w:color w:val="010000"/>
        </w:rPr>
      </w:pPr>
      <w:r>
        <w:rPr>
          <w:rFonts w:ascii="Arial" w:cs="Arial" w:eastAsia="Arial" w:hAnsi="Arial"/>
          <w:sz w:val="18"/>
          <w:szCs w:val="18"/>
          <w:color w:val="auto"/>
        </w:rPr>
        <w:t>Give notice of sole control or any other instruction under any Control Agreement or other control agreement with any Securities Intermediary and take any action therein with respect to such Collateral.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76" w:name="page777"/>
    <w:bookmarkEnd w:id="776"/>
    <w:p>
      <w:pPr>
        <w:jc w:val="both"/>
        <w:ind w:left="760" w:hanging="683"/>
        <w:spacing w:after="0" w:line="255" w:lineRule="auto"/>
        <w:tabs>
          <w:tab w:leader="none" w:pos="760" w:val="left"/>
        </w:tabs>
        <w:numPr>
          <w:ilvl w:val="0"/>
          <w:numId w:val="862"/>
        </w:numPr>
        <w:rPr>
          <w:rFonts w:ascii="Arial" w:cs="Arial" w:eastAsia="Arial" w:hAnsi="Arial"/>
          <w:sz w:val="18"/>
          <w:szCs w:val="18"/>
          <w:color w:val="010000"/>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Agent may deem commercially reasonable.</w:t>
      </w:r>
    </w:p>
    <w:p>
      <w:pPr>
        <w:spacing w:after="0" w:line="189" w:lineRule="exact"/>
        <w:rPr>
          <w:rFonts w:ascii="Arial" w:cs="Arial" w:eastAsia="Arial" w:hAnsi="Arial"/>
          <w:sz w:val="18"/>
          <w:szCs w:val="18"/>
          <w:color w:val="010000"/>
        </w:rPr>
      </w:pPr>
    </w:p>
    <w:p>
      <w:pPr>
        <w:jc w:val="both"/>
        <w:ind w:left="760" w:hanging="683"/>
        <w:spacing w:after="0" w:line="297" w:lineRule="auto"/>
        <w:tabs>
          <w:tab w:leader="none" w:pos="760" w:val="left"/>
        </w:tabs>
        <w:numPr>
          <w:ilvl w:val="0"/>
          <w:numId w:val="862"/>
        </w:numPr>
        <w:rPr>
          <w:rFonts w:ascii="Arial" w:cs="Arial" w:eastAsia="Arial" w:hAnsi="Arial"/>
          <w:sz w:val="16"/>
          <w:szCs w:val="16"/>
          <w:color w:val="010000"/>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4.6.4</w:t>
      </w:r>
      <w:r>
        <w:rPr>
          <w:rFonts w:ascii="Arial" w:cs="Arial" w:eastAsia="Arial" w:hAnsi="Arial"/>
          <w:sz w:val="16"/>
          <w:szCs w:val="16"/>
          <w:color w:val="auto"/>
        </w:rPr>
        <w:t xml:space="preserve"> hereof in the case of ULC Shares, 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and to otherwise act with respect to the Pledged Collateral as though the Agent was the outright owner thereof.</w:t>
      </w:r>
    </w:p>
    <w:p>
      <w:pPr>
        <w:spacing w:after="0" w:line="158" w:lineRule="exact"/>
        <w:rPr>
          <w:rFonts w:ascii="Arial" w:cs="Arial" w:eastAsia="Arial" w:hAnsi="Arial"/>
          <w:sz w:val="16"/>
          <w:szCs w:val="16"/>
          <w:color w:val="010000"/>
        </w:rPr>
      </w:pPr>
    </w:p>
    <w:p>
      <w:pPr>
        <w:jc w:val="both"/>
        <w:ind w:left="760" w:hanging="683"/>
        <w:spacing w:after="0" w:line="273" w:lineRule="auto"/>
        <w:tabs>
          <w:tab w:leader="none" w:pos="760" w:val="left"/>
        </w:tabs>
        <w:numPr>
          <w:ilvl w:val="0"/>
          <w:numId w:val="862"/>
        </w:numPr>
        <w:rPr>
          <w:rFonts w:ascii="Arial" w:cs="Arial" w:eastAsia="Arial" w:hAnsi="Arial"/>
          <w:sz w:val="17"/>
          <w:szCs w:val="17"/>
          <w:color w:val="010000"/>
        </w:rPr>
      </w:pPr>
      <w:r>
        <w:rPr>
          <w:rFonts w:ascii="Arial" w:cs="Arial" w:eastAsia="Arial" w:hAnsi="Arial"/>
          <w:sz w:val="17"/>
          <w:szCs w:val="17"/>
          <w:color w:val="auto"/>
        </w:rPr>
        <w:t xml:space="preserve">Appoint by instrument in writing one or more Receivers of any or all Grantors or any or all of the Collateral of any or all Grantors with such rights, powers and authority (including any or all of the rights, powers and authority of the Administrative Agent under this Security Agreement, subject to </w:t>
      </w:r>
      <w:r>
        <w:rPr>
          <w:rFonts w:ascii="Arial" w:cs="Arial" w:eastAsia="Arial" w:hAnsi="Arial"/>
          <w:sz w:val="17"/>
          <w:szCs w:val="17"/>
          <w:u w:val="single" w:color="auto"/>
          <w:color w:val="auto"/>
        </w:rPr>
        <w:t>Section 4.6.4</w:t>
      </w:r>
      <w:r>
        <w:rPr>
          <w:rFonts w:ascii="Arial" w:cs="Arial" w:eastAsia="Arial" w:hAnsi="Arial"/>
          <w:sz w:val="17"/>
          <w:szCs w:val="17"/>
          <w:color w:val="auto"/>
        </w:rPr>
        <w:t xml:space="preserve"> hereof in the case of ULC Shares) as may be provided for in the instrument of appointment or any supplemental instrument, and remove and replace any such Receiver from time to time. To the extent permitted by applicable law, any Receiver appointed by the Agent will (for purposes relating to the responsibility for the Receiver's acts or omissions) be considered to be the agent of any such Grantor and not of the Agent or any of the other Secured Parties.</w:t>
      </w:r>
    </w:p>
    <w:p>
      <w:pPr>
        <w:spacing w:after="0" w:line="178" w:lineRule="exact"/>
        <w:rPr>
          <w:rFonts w:ascii="Arial" w:cs="Arial" w:eastAsia="Arial" w:hAnsi="Arial"/>
          <w:sz w:val="17"/>
          <w:szCs w:val="17"/>
          <w:color w:val="010000"/>
        </w:rPr>
      </w:pPr>
    </w:p>
    <w:p>
      <w:pPr>
        <w:ind w:left="760" w:hanging="683"/>
        <w:spacing w:after="0" w:line="277" w:lineRule="auto"/>
        <w:tabs>
          <w:tab w:leader="none" w:pos="760" w:val="left"/>
        </w:tabs>
        <w:numPr>
          <w:ilvl w:val="0"/>
          <w:numId w:val="862"/>
        </w:numPr>
        <w:rPr>
          <w:rFonts w:ascii="Arial" w:cs="Arial" w:eastAsia="Arial" w:hAnsi="Arial"/>
          <w:sz w:val="18"/>
          <w:szCs w:val="18"/>
          <w:color w:val="010000"/>
        </w:rPr>
      </w:pPr>
      <w:r>
        <w:rPr>
          <w:rFonts w:ascii="Arial" w:cs="Arial" w:eastAsia="Arial" w:hAnsi="Arial"/>
          <w:sz w:val="18"/>
          <w:szCs w:val="18"/>
          <w:color w:val="auto"/>
        </w:rPr>
        <w:t>Obtain from any court of competent jurisdiction an order for the appointment of a Receiver of any or all Grantors or of any or all of the Collateral of any or all Grantors.</w:t>
      </w:r>
    </w:p>
    <w:p>
      <w:pPr>
        <w:spacing w:after="0" w:line="170"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5.1.2 </w:t>
      </w:r>
      <w:r>
        <w:rPr>
          <w:rFonts w:ascii="Arial" w:cs="Arial" w:eastAsia="Arial" w:hAnsi="Arial"/>
          <w:sz w:val="18"/>
          <w:szCs w:val="18"/>
          <w:color w:val="000000"/>
        </w:rPr>
        <w:t>The Agent, on behalf of the Secured Parties, shall comply with any applicable provincial, territorial or federal law</w:t>
      </w:r>
      <w:r>
        <w:rPr>
          <w:rFonts w:ascii="Arial" w:cs="Arial" w:eastAsia="Arial" w:hAnsi="Arial"/>
          <w:sz w:val="18"/>
          <w:szCs w:val="18"/>
          <w:color w:val="010000"/>
        </w:rPr>
        <w:t xml:space="preserve"> </w:t>
      </w:r>
      <w:r>
        <w:rPr>
          <w:rFonts w:ascii="Arial" w:cs="Arial" w:eastAsia="Arial" w:hAnsi="Arial"/>
          <w:sz w:val="18"/>
          <w:szCs w:val="18"/>
          <w:color w:val="000000"/>
        </w:rPr>
        <w:t>requirements in connection with a disposition of the Collateral, and such compliance will not be considered to adversely affect the commercial reasonableness of any sale of the Collateral.</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010000"/>
        </w:rPr>
        <w:t xml:space="preserve">5.1.3 </w:t>
      </w:r>
      <w:r>
        <w:rPr>
          <w:rFonts w:ascii="Arial" w:cs="Arial" w:eastAsia="Arial" w:hAnsi="Arial"/>
          <w:sz w:val="18"/>
          <w:szCs w:val="18"/>
          <w:color w:val="000000"/>
        </w:rPr>
        <w:t>The Agent shall have the right upon any such public sale or sales and, to the extent permitted by law, upon any such</w:t>
      </w:r>
      <w:r>
        <w:rPr>
          <w:rFonts w:ascii="Arial" w:cs="Arial" w:eastAsia="Arial" w:hAnsi="Arial"/>
          <w:sz w:val="18"/>
          <w:szCs w:val="18"/>
          <w:color w:val="010000"/>
        </w:rPr>
        <w:t xml:space="preserve"> </w:t>
      </w:r>
      <w:r>
        <w:rPr>
          <w:rFonts w:ascii="Arial" w:cs="Arial" w:eastAsia="Arial" w:hAnsi="Arial"/>
          <w:sz w:val="18"/>
          <w:szCs w:val="18"/>
          <w:color w:val="000000"/>
        </w:rPr>
        <w:t>private sale or sales, to purchase for the benefit of the Agent and the other Secured Parties, the whole or any part of the Collateral so sold, free of any right of equity redemption, which equity redemption the Grantor hereby expressly releases.</w:t>
      </w:r>
    </w:p>
    <w:p>
      <w:pPr>
        <w:spacing w:after="0" w:line="18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010000"/>
        </w:rPr>
        <w:t xml:space="preserve">5.1.4 </w:t>
      </w:r>
      <w:r>
        <w:rPr>
          <w:rFonts w:ascii="Arial" w:cs="Arial" w:eastAsia="Arial" w:hAnsi="Arial"/>
          <w:sz w:val="18"/>
          <w:szCs w:val="18"/>
          <w:color w:val="000000"/>
        </w:rPr>
        <w:t>Until the Agent is able to effect a sale, lease, or other disposition of Collateral, the Agent shall have the right to hold or</w:t>
      </w:r>
      <w:r>
        <w:rPr>
          <w:rFonts w:ascii="Arial" w:cs="Arial" w:eastAsia="Arial" w:hAnsi="Arial"/>
          <w:sz w:val="18"/>
          <w:szCs w:val="18"/>
          <w:color w:val="010000"/>
        </w:rPr>
        <w:t xml:space="preserve"> </w:t>
      </w:r>
      <w:r>
        <w:rPr>
          <w:rFonts w:ascii="Arial" w:cs="Arial" w:eastAsia="Arial" w:hAnsi="Arial"/>
          <w:sz w:val="18"/>
          <w:szCs w:val="18"/>
          <w:color w:val="000000"/>
        </w:rPr>
        <w:t>use Collateral, or any part thereof, to the extent that it deems appropriate for the purpose of preserving Collateral or its value or for any other purpose deemed appropriate by the Agent. The Agent may, if it so elects, seek the appointment of a receiver or keeper to take possession of Collateral and to enforce any of the Agent’s remedies (for the benefit of the Agent and other Secured Parties), with respect to such appointment without prior notice or hearing as to such appointment.</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777" w:name="page778"/>
    <w:bookmarkEnd w:id="777"/>
    <w:p>
      <w:pPr>
        <w:jc w:val="both"/>
        <w:ind w:left="660" w:firstLine="972"/>
        <w:spacing w:after="0" w:line="270" w:lineRule="auto"/>
        <w:rPr>
          <w:sz w:val="20"/>
          <w:szCs w:val="20"/>
          <w:color w:val="auto"/>
        </w:rPr>
      </w:pPr>
      <w:r>
        <w:rPr>
          <w:rFonts w:ascii="Arial" w:cs="Arial" w:eastAsia="Arial" w:hAnsi="Arial"/>
          <w:sz w:val="17"/>
          <w:szCs w:val="17"/>
          <w:color w:val="010000"/>
        </w:rPr>
        <w:t xml:space="preserve">5.1.5 </w:t>
      </w:r>
      <w:r>
        <w:rPr>
          <w:rFonts w:ascii="Arial" w:cs="Arial" w:eastAsia="Arial" w:hAnsi="Arial"/>
          <w:sz w:val="17"/>
          <w:szCs w:val="17"/>
          <w:color w:val="000000"/>
        </w:rPr>
        <w:t>Notwithstanding the foregoing, neither the Agent nor any other Secured Party shall be required to (i) make any demand</w:t>
      </w:r>
      <w:r>
        <w:rPr>
          <w:rFonts w:ascii="Arial" w:cs="Arial" w:eastAsia="Arial" w:hAnsi="Arial"/>
          <w:sz w:val="17"/>
          <w:szCs w:val="17"/>
          <w:color w:val="010000"/>
        </w:rPr>
        <w:t xml:space="preserve"> </w:t>
      </w:r>
      <w:r>
        <w:rPr>
          <w:rFonts w:ascii="Arial" w:cs="Arial" w:eastAsia="Arial" w:hAnsi="Arial"/>
          <w:sz w:val="17"/>
          <w:szCs w:val="17"/>
          <w:color w:val="000000"/>
        </w:rPr>
        <w:t>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 To the extent that it lawfully may, each Grantor hereby agrees that it will not invoke any law relating to the marshaling of collateral which might cause delay in or impede the enforcement of Agent's rights and remedies under this Security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182" w:lineRule="exact"/>
        <w:rPr>
          <w:sz w:val="20"/>
          <w:szCs w:val="20"/>
          <w:color w:val="auto"/>
        </w:rPr>
      </w:pPr>
    </w:p>
    <w:p>
      <w:pPr>
        <w:jc w:val="both"/>
        <w:ind w:left="660" w:firstLine="972"/>
        <w:spacing w:after="0" w:line="255" w:lineRule="auto"/>
        <w:rPr>
          <w:sz w:val="20"/>
          <w:szCs w:val="20"/>
          <w:color w:val="auto"/>
        </w:rPr>
      </w:pPr>
      <w:r>
        <w:rPr>
          <w:rFonts w:ascii="Arial" w:cs="Arial" w:eastAsia="Arial" w:hAnsi="Arial"/>
          <w:sz w:val="18"/>
          <w:szCs w:val="18"/>
          <w:color w:val="010000"/>
        </w:rPr>
        <w:t xml:space="preserve">5.1.6 </w:t>
      </w:r>
      <w:r>
        <w:rPr>
          <w:rFonts w:ascii="Arial" w:cs="Arial" w:eastAsia="Arial" w:hAnsi="Arial"/>
          <w:sz w:val="18"/>
          <w:szCs w:val="18"/>
          <w:color w:val="000000"/>
        </w:rPr>
        <w:t>Each Grantor recognizes that the Agent may be unable to effect a public sale of any or all the Pledged Collateral and may</w:t>
      </w:r>
      <w:r>
        <w:rPr>
          <w:rFonts w:ascii="Arial" w:cs="Arial" w:eastAsia="Arial" w:hAnsi="Arial"/>
          <w:sz w:val="18"/>
          <w:szCs w:val="18"/>
          <w:color w:val="010000"/>
        </w:rPr>
        <w:t xml:space="preserve"> </w:t>
      </w:r>
      <w:r>
        <w:rPr>
          <w:rFonts w:ascii="Arial" w:cs="Arial" w:eastAsia="Arial" w:hAnsi="Arial"/>
          <w:sz w:val="18"/>
          <w:szCs w:val="18"/>
          <w:color w:val="000000"/>
        </w:rPr>
        <w:t xml:space="preserve">be compelled to resort to one or more private sales thereof in accordance with </w:t>
      </w:r>
      <w:r>
        <w:rPr>
          <w:rFonts w:ascii="Arial" w:cs="Arial" w:eastAsia="Arial" w:hAnsi="Arial"/>
          <w:sz w:val="18"/>
          <w:szCs w:val="18"/>
          <w:u w:val="single" w:color="auto"/>
          <w:color w:val="000000"/>
        </w:rPr>
        <w:t>Section 5.1.1</w:t>
      </w:r>
      <w:r>
        <w:rPr>
          <w:rFonts w:ascii="Arial" w:cs="Arial" w:eastAsia="Arial" w:hAnsi="Arial"/>
          <w:sz w:val="18"/>
          <w:szCs w:val="18"/>
          <w:color w:val="000000"/>
        </w:rPr>
        <w:t xml:space="preserve"> above. Each Grantor also acknowledges that any private sale may result in prices and other terms less favourable to the seller than if such sale were a public sale and, notwithstanding such circumstances, agrees that any such private sale shall not be deemed to have been made in a commercially unreasonable manner solely by virtue of such sale being private. The Agent shall be under no obligation to delay a sale of any of the Pledged Collateral for the period of time necessary to permit any Grantor or the issuer of the Pledged Collateral to register such securities for public sale under applicable securities laws, even if the applicable Grantor and the issuer would agree to do so.</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Grantors’ Obligations Upon Default</w:t>
      </w:r>
      <w:r>
        <w:rPr>
          <w:rFonts w:ascii="Arial" w:cs="Arial" w:eastAsia="Arial" w:hAnsi="Arial"/>
          <w:sz w:val="18"/>
          <w:szCs w:val="18"/>
          <w:color w:val="000000"/>
        </w:rPr>
        <w:t>. Upon the written request of the Agent after the occurrence and during the continuation of an Event</w:t>
      </w:r>
      <w:r>
        <w:rPr>
          <w:rFonts w:ascii="Arial" w:cs="Arial" w:eastAsia="Arial" w:hAnsi="Arial"/>
          <w:sz w:val="18"/>
          <w:szCs w:val="18"/>
          <w:color w:val="010000"/>
        </w:rPr>
        <w:t xml:space="preserve"> </w:t>
      </w:r>
      <w:r>
        <w:rPr>
          <w:rFonts w:ascii="Arial" w:cs="Arial" w:eastAsia="Arial" w:hAnsi="Arial"/>
          <w:sz w:val="18"/>
          <w:szCs w:val="18"/>
          <w:color w:val="000000"/>
        </w:rPr>
        <w:t>of Default, subject to the Intercreditor Agreement, each Grantor will:</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980" w:type="dxa"/>
            <w:vAlign w:val="bottom"/>
          </w:tcPr>
          <w:p>
            <w:pPr>
              <w:jc w:val="right"/>
              <w:ind w:right="570"/>
              <w:spacing w:after="0"/>
              <w:rPr>
                <w:sz w:val="20"/>
                <w:szCs w:val="20"/>
                <w:color w:val="auto"/>
              </w:rPr>
            </w:pPr>
            <w:r>
              <w:rPr>
                <w:rFonts w:ascii="Arial" w:cs="Arial" w:eastAsia="Arial" w:hAnsi="Arial"/>
                <w:sz w:val="18"/>
                <w:szCs w:val="18"/>
                <w:color w:val="010000"/>
              </w:rPr>
              <w:t>5.2.1</w:t>
            </w:r>
          </w:p>
        </w:tc>
        <w:tc>
          <w:tcPr>
            <w:tcW w:w="180" w:type="dxa"/>
            <w:vAlign w:val="bottom"/>
          </w:tcPr>
          <w:p>
            <w:pPr>
              <w:spacing w:after="0"/>
              <w:rPr>
                <w:sz w:val="17"/>
                <w:szCs w:val="17"/>
                <w:color w:val="auto"/>
              </w:rPr>
            </w:pPr>
          </w:p>
        </w:tc>
        <w:tc>
          <w:tcPr>
            <w:tcW w:w="8600" w:type="dxa"/>
            <w:vAlign w:val="bottom"/>
            <w:gridSpan w:val="3"/>
          </w:tcPr>
          <w:p>
            <w:pPr>
              <w:jc w:val="right"/>
              <w:spacing w:after="0"/>
              <w:rPr>
                <w:sz w:val="20"/>
                <w:szCs w:val="20"/>
                <w:color w:val="auto"/>
              </w:rPr>
            </w:pPr>
            <w:r>
              <w:rPr>
                <w:rFonts w:ascii="Arial" w:cs="Arial" w:eastAsia="Arial" w:hAnsi="Arial"/>
                <w:sz w:val="18"/>
                <w:szCs w:val="18"/>
                <w:color w:val="auto"/>
                <w:w w:val="93"/>
              </w:rPr>
              <w:t>Assembly of Collateral. Assemble and make available to the Agent the Collateral and all books and records relating</w:t>
            </w:r>
          </w:p>
        </w:tc>
      </w:tr>
      <w:tr>
        <w:trPr>
          <w:trHeight w:val="20"/>
        </w:trPr>
        <w:tc>
          <w:tcPr>
            <w:tcW w:w="216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37"/>
        </w:trPr>
        <w:tc>
          <w:tcPr>
            <w:tcW w:w="10760" w:type="dxa"/>
            <w:vAlign w:val="bottom"/>
            <w:gridSpan w:val="5"/>
          </w:tcPr>
          <w:p>
            <w:pPr>
              <w:jc w:val="right"/>
              <w:ind w:right="6200"/>
              <w:spacing w:after="0"/>
              <w:rPr>
                <w:sz w:val="20"/>
                <w:szCs w:val="20"/>
                <w:color w:val="auto"/>
              </w:rPr>
            </w:pPr>
            <w:r>
              <w:rPr>
                <w:rFonts w:ascii="Arial" w:cs="Arial" w:eastAsia="Arial" w:hAnsi="Arial"/>
                <w:sz w:val="18"/>
                <w:szCs w:val="18"/>
                <w:color w:val="auto"/>
                <w:w w:val="90"/>
              </w:rPr>
              <w:t>thereto at any place or places specified in writing by the Agent.</w:t>
            </w:r>
          </w:p>
        </w:tc>
      </w:tr>
      <w:tr>
        <w:trPr>
          <w:trHeight w:val="392"/>
        </w:trPr>
        <w:tc>
          <w:tcPr>
            <w:tcW w:w="1980" w:type="dxa"/>
            <w:vAlign w:val="bottom"/>
          </w:tcPr>
          <w:p>
            <w:pPr>
              <w:jc w:val="right"/>
              <w:ind w:right="570"/>
              <w:spacing w:after="0"/>
              <w:rPr>
                <w:sz w:val="20"/>
                <w:szCs w:val="20"/>
                <w:color w:val="auto"/>
              </w:rPr>
            </w:pPr>
            <w:r>
              <w:rPr>
                <w:rFonts w:ascii="Arial" w:cs="Arial" w:eastAsia="Arial" w:hAnsi="Arial"/>
                <w:sz w:val="18"/>
                <w:szCs w:val="18"/>
                <w:color w:val="010000"/>
              </w:rPr>
              <w:t>5.2.2</w:t>
            </w:r>
          </w:p>
        </w:tc>
        <w:tc>
          <w:tcPr>
            <w:tcW w:w="8780" w:type="dxa"/>
            <w:vAlign w:val="bottom"/>
            <w:gridSpan w:val="4"/>
          </w:tcPr>
          <w:p>
            <w:pPr>
              <w:jc w:val="right"/>
              <w:spacing w:after="0"/>
              <w:rPr>
                <w:sz w:val="20"/>
                <w:szCs w:val="20"/>
                <w:color w:val="auto"/>
              </w:rPr>
            </w:pPr>
            <w:r>
              <w:rPr>
                <w:rFonts w:ascii="Arial" w:cs="Arial" w:eastAsia="Arial" w:hAnsi="Arial"/>
                <w:sz w:val="18"/>
                <w:szCs w:val="18"/>
                <w:color w:val="auto"/>
                <w:w w:val="88"/>
              </w:rPr>
              <w:t>Secured Party Access. Permit the Agent, by the Agent’s representatives and agents, to enter, occupy and use any premises</w:t>
            </w:r>
          </w:p>
        </w:tc>
      </w:tr>
      <w:tr>
        <w:trPr>
          <w:trHeight w:val="20"/>
        </w:trPr>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78" w:name="page779"/>
    <w:bookmarkEnd w:id="778"/>
    <w:p>
      <w:pPr>
        <w:jc w:val="both"/>
        <w:ind w:left="660" w:firstLine="972"/>
        <w:spacing w:after="0" w:line="279" w:lineRule="auto"/>
        <w:rPr>
          <w:sz w:val="20"/>
          <w:szCs w:val="20"/>
          <w:color w:val="auto"/>
        </w:rPr>
      </w:pPr>
      <w:r>
        <w:rPr>
          <w:rFonts w:ascii="Arial" w:cs="Arial" w:eastAsia="Arial" w:hAnsi="Arial"/>
          <w:sz w:val="17"/>
          <w:szCs w:val="17"/>
          <w:color w:val="010000"/>
        </w:rPr>
        <w:t xml:space="preserve">5.2.3 </w:t>
      </w:r>
      <w:r>
        <w:rPr>
          <w:rFonts w:ascii="Arial" w:cs="Arial" w:eastAsia="Arial" w:hAnsi="Arial"/>
          <w:sz w:val="17"/>
          <w:szCs w:val="17"/>
          <w:color w:val="000000"/>
        </w:rPr>
        <w:t>Prepare and file, or cause an issuer of Pledged Collateral to prepare and file, with any applicable securities regulatory</w:t>
      </w:r>
      <w:r>
        <w:rPr>
          <w:rFonts w:ascii="Arial" w:cs="Arial" w:eastAsia="Arial" w:hAnsi="Arial"/>
          <w:sz w:val="17"/>
          <w:szCs w:val="17"/>
          <w:color w:val="010000"/>
        </w:rPr>
        <w:t xml:space="preserve"> </w:t>
      </w:r>
      <w:r>
        <w:rPr>
          <w:rFonts w:ascii="Arial" w:cs="Arial" w:eastAsia="Arial" w:hAnsi="Arial"/>
          <w:sz w:val="17"/>
          <w:szCs w:val="17"/>
          <w:color w:val="000000"/>
        </w:rPr>
        <w:t>authority or other government agency, registration statements, a prospectus and such other documentation in connection with the Pledged Collateral as the Agent may request, all in form and substance reasonably satisfactory to the Agent, and furnish to the Agent, or cause an issuer of Pledged Collateral to furnish to the Agent, any information regarding the Pledged Collateral in such detail as the Agent may specify.</w:t>
      </w:r>
    </w:p>
    <w:p>
      <w:pPr>
        <w:spacing w:after="0" w:line="171" w:lineRule="exact"/>
        <w:rPr>
          <w:sz w:val="20"/>
          <w:szCs w:val="20"/>
          <w:color w:val="auto"/>
        </w:rPr>
      </w:pPr>
    </w:p>
    <w:p>
      <w:pPr>
        <w:jc w:val="both"/>
        <w:ind w:left="660" w:firstLine="972"/>
        <w:spacing w:after="0" w:line="264" w:lineRule="auto"/>
        <w:rPr>
          <w:sz w:val="20"/>
          <w:szCs w:val="20"/>
          <w:color w:val="auto"/>
        </w:rPr>
      </w:pPr>
      <w:r>
        <w:rPr>
          <w:rFonts w:ascii="Arial" w:cs="Arial" w:eastAsia="Arial" w:hAnsi="Arial"/>
          <w:sz w:val="18"/>
          <w:szCs w:val="18"/>
          <w:color w:val="010000"/>
        </w:rPr>
        <w:t xml:space="preserve">5.2.4 </w:t>
      </w:r>
      <w:r>
        <w:rPr>
          <w:rFonts w:ascii="Arial" w:cs="Arial" w:eastAsia="Arial" w:hAnsi="Arial"/>
          <w:sz w:val="18"/>
          <w:szCs w:val="18"/>
          <w:color w:val="000000"/>
        </w:rPr>
        <w:t>Subject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4.6.4</w:t>
      </w:r>
      <w:r>
        <w:rPr>
          <w:rFonts w:ascii="Arial" w:cs="Arial" w:eastAsia="Arial" w:hAnsi="Arial"/>
          <w:sz w:val="18"/>
          <w:szCs w:val="18"/>
          <w:color w:val="010000"/>
        </w:rPr>
        <w:t xml:space="preserve"> </w:t>
      </w:r>
      <w:r>
        <w:rPr>
          <w:rFonts w:ascii="Arial" w:cs="Arial" w:eastAsia="Arial" w:hAnsi="Arial"/>
          <w:sz w:val="18"/>
          <w:szCs w:val="18"/>
          <w:color w:val="000000"/>
        </w:rPr>
        <w:t>hereof in the case of ULC Shares, take, or cause an issuer of Pledged Collateral to take, any and</w:t>
      </w:r>
      <w:r>
        <w:rPr>
          <w:rFonts w:ascii="Arial" w:cs="Arial" w:eastAsia="Arial" w:hAnsi="Arial"/>
          <w:sz w:val="18"/>
          <w:szCs w:val="18"/>
          <w:color w:val="010000"/>
        </w:rPr>
        <w:t xml:space="preserve"> </w:t>
      </w:r>
      <w:r>
        <w:rPr>
          <w:rFonts w:ascii="Arial" w:cs="Arial" w:eastAsia="Arial" w:hAnsi="Arial"/>
          <w:sz w:val="18"/>
          <w:szCs w:val="18"/>
          <w:color w:val="000000"/>
        </w:rPr>
        <w:t>all actions necessary to register or qualify the Pledged Collateral to enable the Agent to consummate a public sale or other disposition of the Pledged Collateral.</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5.3. </w:t>
      </w:r>
      <w:r>
        <w:rPr>
          <w:rFonts w:ascii="Arial" w:cs="Arial" w:eastAsia="Arial" w:hAnsi="Arial"/>
          <w:sz w:val="16"/>
          <w:szCs w:val="16"/>
          <w:u w:val="single" w:color="auto"/>
          <w:color w:val="000000"/>
        </w:rPr>
        <w:t>License</w:t>
      </w:r>
      <w:r>
        <w:rPr>
          <w:rFonts w:ascii="Arial" w:cs="Arial" w:eastAsia="Arial" w:hAnsi="Arial"/>
          <w:sz w:val="16"/>
          <w:szCs w:val="16"/>
          <w:color w:val="000000"/>
        </w:rPr>
        <w:t>. The Agent is hereby granted a sublicenseable license or other right to use, following the occurrence and during the continuance</w:t>
      </w:r>
      <w:r>
        <w:rPr>
          <w:rFonts w:ascii="Arial" w:cs="Arial" w:eastAsia="Arial" w:hAnsi="Arial"/>
          <w:sz w:val="16"/>
          <w:szCs w:val="16"/>
          <w:color w:val="010000"/>
        </w:rPr>
        <w:t xml:space="preserve"> </w:t>
      </w:r>
      <w:r>
        <w:rPr>
          <w:rFonts w:ascii="Arial" w:cs="Arial" w:eastAsia="Arial" w:hAnsi="Arial"/>
          <w:sz w:val="16"/>
          <w:szCs w:val="16"/>
          <w:color w:val="000000"/>
        </w:rPr>
        <w:t>of an Event of Default and, subject to the Intercreditor Agreement, without charge, each Grantor’s Intellectual Property and to access all media and materials containing same. In addition, each Grantor hereby irrevocably agrees that the Agent may, following the occurrence and during the continuance of an Event of Default, subject to the Intercreditor Agreement, sell any of such Grantor’s Inventory constituting Collateral directly to any person, including without limitation persons who have previously purchased such Grantor’s Inventory from such Grantor and in connection with any such sale or other enforcement of the Agent’s rights under this Security Agreement, may sell such Inventory which bears any trademark owned by or licensed to such Grantor and any such Inventory that is covered by any copyright owned by or licensed to such Grantor and the Agent may (but shall have no obligation to) finish any work in process and affix any Trademark owned by or licensed to such Grantor and sell such Inventory as provided herein.</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Remedies Cumulative</w:t>
      </w:r>
      <w:r>
        <w:rPr>
          <w:rFonts w:ascii="Arial" w:cs="Arial" w:eastAsia="Arial" w:hAnsi="Arial"/>
          <w:sz w:val="17"/>
          <w:szCs w:val="17"/>
          <w:color w:val="000000"/>
        </w:rPr>
        <w:t>. Each right, power, and remedy of Agent or any other Secured Party as provided for in this Security Agreement,</w:t>
      </w:r>
      <w:r>
        <w:rPr>
          <w:rFonts w:ascii="Arial" w:cs="Arial" w:eastAsia="Arial" w:hAnsi="Arial"/>
          <w:sz w:val="17"/>
          <w:szCs w:val="17"/>
          <w:color w:val="010000"/>
        </w:rPr>
        <w:t xml:space="preserve"> </w:t>
      </w:r>
      <w:r>
        <w:rPr>
          <w:rFonts w:ascii="Arial" w:cs="Arial" w:eastAsia="Arial" w:hAnsi="Arial"/>
          <w:sz w:val="17"/>
          <w:szCs w:val="17"/>
          <w:color w:val="000000"/>
        </w:rPr>
        <w:t>the other Loan Documents, any Swap Agreements or any Banking Services Agreements now or hereafter existing at law or in equity or by statute or otherwise shall be cumulative and concurrent and shall be in addition to every other right, power, or remedy provided for in this Security Agreement, the other Loan Documents, any Swap Agreements or any Banking Services Agreements now or hereafter existing at law or in equity or by statute or otherwise, and the exercise or beginning of the exercise by Agent or any other Secured Party of any one or more of such rights, powers, or remedies shall not preclude the simultaneous or later exercise by Agent or such other Secured Parties of any or all such other rights, powers, or remedies.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79" w:name="page780"/>
    <w:bookmarkEnd w:id="779"/>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WAIVERS, AMENDMENTS AND REMEDIES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No delay or omission of the Agent or any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Agent and each Grantor, and then only to the extent in such writing specifically set forth,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addition of any Subsidiary as a Grantor hereunder by execution of a Security Agreement Supplement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(with such modifications as shall be acceptable to the Agent) shall not require receipt of any consent from or execution of any documentation by any other Grantor party hereto. All rights and remedies contained in this Security Agreement or by law afforded shall be cumulative and all shall be available to the Agent and the Secured Parties until the Secured Obligations have been paid in full.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PROCEEDS; COLLECTION OF RECEIVABLES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7.1. </w:t>
      </w:r>
      <w:r>
        <w:rPr>
          <w:rFonts w:ascii="Arial" w:cs="Arial" w:eastAsia="Arial" w:hAnsi="Arial"/>
          <w:sz w:val="18"/>
          <w:szCs w:val="18"/>
          <w:u w:val="single" w:color="auto"/>
          <w:color w:val="000000"/>
        </w:rPr>
        <w:t>Lockboxes</w:t>
      </w:r>
      <w:r>
        <w:rPr>
          <w:rFonts w:ascii="Arial" w:cs="Arial" w:eastAsia="Arial" w:hAnsi="Arial"/>
          <w:sz w:val="18"/>
          <w:szCs w:val="18"/>
          <w:color w:val="000000"/>
        </w:rPr>
        <w:t>. Upon request of the Agent after the occurrence and during the continuation of an Event of Default and subject to the</w:t>
      </w:r>
      <w:r>
        <w:rPr>
          <w:rFonts w:ascii="Arial" w:cs="Arial" w:eastAsia="Arial" w:hAnsi="Arial"/>
          <w:sz w:val="18"/>
          <w:szCs w:val="18"/>
          <w:color w:val="010000"/>
        </w:rPr>
        <w:t xml:space="preserve"> </w:t>
      </w:r>
      <w:r>
        <w:rPr>
          <w:rFonts w:ascii="Arial" w:cs="Arial" w:eastAsia="Arial" w:hAnsi="Arial"/>
          <w:sz w:val="18"/>
          <w:szCs w:val="18"/>
          <w:color w:val="000000"/>
        </w:rPr>
        <w:t>Intercreditor Agreement, each Grantor shall execute and deliver to the Agent irrevocable lockbox agreements in the form provided by or otherwise reasonably acceptable to the Agent, which agreements, if so required by the Agent, shall be accompanied by an acknowledgment by the bank where the lockbox is located of the Lien of the Agent granted hereunder and of irrevocable instructions to wire all amounts collected therein to a special collateral account at the Agent.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7.2. </w:t>
      </w:r>
      <w:r>
        <w:rPr>
          <w:rFonts w:ascii="Arial" w:cs="Arial" w:eastAsia="Arial" w:hAnsi="Arial"/>
          <w:sz w:val="17"/>
          <w:szCs w:val="17"/>
          <w:u w:val="single" w:color="auto"/>
          <w:color w:val="000000"/>
        </w:rPr>
        <w:t>Collection of Receivables</w:t>
      </w:r>
      <w:r>
        <w:rPr>
          <w:rFonts w:ascii="Arial" w:cs="Arial" w:eastAsia="Arial" w:hAnsi="Arial"/>
          <w:sz w:val="17"/>
          <w:szCs w:val="17"/>
          <w:color w:val="000000"/>
        </w:rPr>
        <w:t>. The Agent may at any time after the occurrence and during the continuation of an Event of Default and subject</w:t>
      </w:r>
      <w:r>
        <w:rPr>
          <w:rFonts w:ascii="Arial" w:cs="Arial" w:eastAsia="Arial" w:hAnsi="Arial"/>
          <w:sz w:val="17"/>
          <w:szCs w:val="17"/>
          <w:color w:val="010000"/>
        </w:rPr>
        <w:t xml:space="preserve"> </w:t>
      </w:r>
      <w:r>
        <w:rPr>
          <w:rFonts w:ascii="Arial" w:cs="Arial" w:eastAsia="Arial" w:hAnsi="Arial"/>
          <w:sz w:val="17"/>
          <w:szCs w:val="17"/>
          <w:color w:val="000000"/>
        </w:rPr>
        <w:t xml:space="preserve">to the Intercreditor Agreement, by giving each Grantor written notice, elect to require that the Receivables be paid directly to the Agent for the benefit of the Secured Parties. In such event, subject to the Intercreditor Agreement, each Grantor shall, and shall permit the Agent to, promptly notify the account debtors or obligors under the Receivables owned by such Grantor of the Agent’s interest therein and direct such account debtors or obligors to make payment of all amounts then or thereafter due under such Receivables directly to the Agent. Upon receipt of any such notice from the Agent, each Grantor shall thereafter during the continuation of any Event of Default and subject to the Intercreditor Agreement hold in trust for the Agent, on behalf of the Secured Parties, all amounts and proceeds received by it with respect to the Receivables and Other Collateral and immediately and at all times thereafter deliver to the Agent all such amounts and proceeds in the same form as so received, whether by cash, check, draft or otherwise, with any necessary endorsements. The Agent shall hold and apply funds so received as provided by the terms of </w:t>
      </w:r>
      <w:r>
        <w:rPr>
          <w:rFonts w:ascii="Arial" w:cs="Arial" w:eastAsia="Arial" w:hAnsi="Arial"/>
          <w:sz w:val="17"/>
          <w:szCs w:val="17"/>
          <w:u w:val="single" w:color="auto"/>
          <w:color w:val="000000"/>
        </w:rPr>
        <w:t>Sections 7.3</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7.4</w:t>
      </w:r>
      <w:r>
        <w:rPr>
          <w:rFonts w:ascii="Arial" w:cs="Arial" w:eastAsia="Arial" w:hAnsi="Arial"/>
          <w:sz w:val="17"/>
          <w:szCs w:val="17"/>
          <w:color w:val="000000"/>
        </w:rPr>
        <w:t xml:space="preserve"> hereof.</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7.3. </w:t>
      </w:r>
      <w:r>
        <w:rPr>
          <w:rFonts w:ascii="Arial" w:cs="Arial" w:eastAsia="Arial" w:hAnsi="Arial"/>
          <w:sz w:val="18"/>
          <w:szCs w:val="18"/>
          <w:u w:val="single" w:color="auto"/>
          <w:color w:val="000000"/>
        </w:rPr>
        <w:t>Special Collateral Account</w:t>
      </w:r>
      <w:r>
        <w:rPr>
          <w:rFonts w:ascii="Arial" w:cs="Arial" w:eastAsia="Arial" w:hAnsi="Arial"/>
          <w:sz w:val="18"/>
          <w:szCs w:val="18"/>
          <w:color w:val="000000"/>
        </w:rPr>
        <w:t>. Upon the occurrence and during the continuation of an Event of Default and subject to the Intercreditor</w:t>
      </w:r>
      <w:r>
        <w:rPr>
          <w:rFonts w:ascii="Arial" w:cs="Arial" w:eastAsia="Arial" w:hAnsi="Arial"/>
          <w:sz w:val="18"/>
          <w:szCs w:val="18"/>
          <w:color w:val="010000"/>
        </w:rPr>
        <w:t xml:space="preserve"> </w:t>
      </w:r>
      <w:r>
        <w:rPr>
          <w:rFonts w:ascii="Arial" w:cs="Arial" w:eastAsia="Arial" w:hAnsi="Arial"/>
          <w:sz w:val="18"/>
          <w:szCs w:val="18"/>
          <w:color w:val="000000"/>
        </w:rPr>
        <w:t>Agreement, the Agent may require, by giving the Grantors written notice, that all cash proceeds of the Collateral to be deposited in a special non- interest bearing cash collateral account with the Agent and held there as security for the Secured Obligations. No Grantor shall have any control whatsoever over such cash collateral account. The Agent shall from time to time deposit the collected balances in such cash collateral account into the applicable Grantor’s general operating account with the Agent. Subject to the Intercreditor Agreement, if any Event of Default has occurred and is continuing, the Agent may (and shall, at the direction of the Required Lenders), from time to time, apply the collected balances in such cash collateral account to the payment of the Secured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80" w:name="page781"/>
    <w:bookmarkEnd w:id="780"/>
    <w:p>
      <w:pPr>
        <w:jc w:val="both"/>
        <w:ind w:firstLine="648"/>
        <w:spacing w:after="0" w:line="277" w:lineRule="auto"/>
        <w:rPr>
          <w:sz w:val="20"/>
          <w:szCs w:val="20"/>
          <w:color w:val="auto"/>
        </w:rPr>
      </w:pPr>
      <w:r>
        <w:rPr>
          <w:rFonts w:ascii="Arial" w:cs="Arial" w:eastAsia="Arial" w:hAnsi="Arial"/>
          <w:sz w:val="18"/>
          <w:szCs w:val="18"/>
          <w:color w:val="010000"/>
        </w:rPr>
        <w:t xml:space="preserve">7.4. </w:t>
      </w:r>
      <w:r>
        <w:rPr>
          <w:rFonts w:ascii="Arial" w:cs="Arial" w:eastAsia="Arial" w:hAnsi="Arial"/>
          <w:sz w:val="18"/>
          <w:szCs w:val="18"/>
          <w:u w:val="single" w:color="auto"/>
          <w:color w:val="000000"/>
        </w:rPr>
        <w:t>Application of Proceeds</w:t>
      </w:r>
      <w:r>
        <w:rPr>
          <w:rFonts w:ascii="Arial" w:cs="Arial" w:eastAsia="Arial" w:hAnsi="Arial"/>
          <w:sz w:val="18"/>
          <w:szCs w:val="18"/>
          <w:color w:val="000000"/>
        </w:rPr>
        <w:t>. Subject to the Intercreditor Agreement, the proceeds of the Collateral shall be applied by the Agent to payment</w:t>
      </w:r>
      <w:r>
        <w:rPr>
          <w:rFonts w:ascii="Arial" w:cs="Arial" w:eastAsia="Arial" w:hAnsi="Arial"/>
          <w:sz w:val="18"/>
          <w:szCs w:val="18"/>
          <w:color w:val="010000"/>
        </w:rPr>
        <w:t xml:space="preserve"> </w:t>
      </w:r>
      <w:r>
        <w:rPr>
          <w:rFonts w:ascii="Arial" w:cs="Arial" w:eastAsia="Arial" w:hAnsi="Arial"/>
          <w:sz w:val="18"/>
          <w:szCs w:val="18"/>
          <w:color w:val="000000"/>
        </w:rPr>
        <w:t>of the Secured Obligations of the Grantors, as provided under Sections 4.01 and 9.04 of the LC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010000"/>
        </w:rPr>
        <w:t xml:space="preserve">8.1. </w:t>
      </w:r>
      <w:r>
        <w:rPr>
          <w:rFonts w:ascii="Arial" w:cs="Arial" w:eastAsia="Arial" w:hAnsi="Arial"/>
          <w:sz w:val="17"/>
          <w:szCs w:val="17"/>
          <w:u w:val="single" w:color="auto"/>
          <w:color w:val="000000"/>
        </w:rPr>
        <w:t>Notice of Disposition of Collateral; Condition of Collateral</w:t>
      </w:r>
      <w:r>
        <w:rPr>
          <w:rFonts w:ascii="Arial" w:cs="Arial" w:eastAsia="Arial" w:hAnsi="Arial"/>
          <w:sz w:val="17"/>
          <w:szCs w:val="17"/>
          <w:color w:val="000000"/>
        </w:rPr>
        <w:t>. Each Grantor hereby waives notice of the time and place of any public sale or</w:t>
      </w:r>
      <w:r>
        <w:rPr>
          <w:rFonts w:ascii="Arial" w:cs="Arial" w:eastAsia="Arial" w:hAnsi="Arial"/>
          <w:sz w:val="17"/>
          <w:szCs w:val="17"/>
          <w:color w:val="010000"/>
        </w:rPr>
        <w:t xml:space="preserve"> </w:t>
      </w:r>
      <w:r>
        <w:rPr>
          <w:rFonts w:ascii="Arial" w:cs="Arial" w:eastAsia="Arial" w:hAnsi="Arial"/>
          <w:sz w:val="17"/>
          <w:szCs w:val="17"/>
          <w:color w:val="000000"/>
        </w:rPr>
        <w:t xml:space="preserve">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7"/>
          <w:szCs w:val="17"/>
          <w:u w:val="single" w:color="auto"/>
          <w:color w:val="000000"/>
        </w:rPr>
        <w:t>Article IX</w:t>
      </w:r>
      <w:r>
        <w:rPr>
          <w:rFonts w:ascii="Arial" w:cs="Arial" w:eastAsia="Arial" w:hAnsi="Arial"/>
          <w:sz w:val="17"/>
          <w:szCs w:val="17"/>
          <w:color w:val="000000"/>
        </w:rPr>
        <w:t>, at least 10 days prior to (i) the date of any such public sale or (ii) the time after which any such private sale or other disposition may be made. To the maximum extent permitted by applicable law, each Grantor waives all claims, damages, and demands against the Agent or any other Secured Party arising out of the repossession, retention or sale of the Collateral, except such as arise solely out of the gross negligence or willful misconduct of the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81" w:name="page782"/>
    <w:bookmarkEnd w:id="781"/>
    <w:p>
      <w:pPr>
        <w:jc w:val="both"/>
        <w:ind w:firstLine="648"/>
        <w:spacing w:after="0" w:line="284" w:lineRule="auto"/>
        <w:rPr>
          <w:sz w:val="20"/>
          <w:szCs w:val="20"/>
          <w:color w:val="auto"/>
        </w:rPr>
      </w:pPr>
      <w:r>
        <w:rPr>
          <w:rFonts w:ascii="Arial" w:cs="Arial" w:eastAsia="Arial" w:hAnsi="Arial"/>
          <w:sz w:val="16"/>
          <w:szCs w:val="16"/>
          <w:color w:val="010000"/>
        </w:rPr>
        <w:t xml:space="preserve">8.2. </w:t>
      </w:r>
      <w:r>
        <w:rPr>
          <w:rFonts w:ascii="Arial" w:cs="Arial" w:eastAsia="Arial" w:hAnsi="Arial"/>
          <w:sz w:val="16"/>
          <w:szCs w:val="16"/>
          <w:u w:val="single" w:color="auto"/>
          <w:color w:val="000000"/>
        </w:rPr>
        <w:t>Limitation on Agent’s and other Secured Parties’ Duty with Respect to the Collateral</w:t>
      </w:r>
      <w:r>
        <w:rPr>
          <w:rFonts w:ascii="Arial" w:cs="Arial" w:eastAsia="Arial" w:hAnsi="Arial"/>
          <w:sz w:val="16"/>
          <w:szCs w:val="16"/>
          <w:color w:val="000000"/>
        </w:rPr>
        <w:t>. The Agent shall have no obligation to clean-up or</w:t>
      </w:r>
      <w:r>
        <w:rPr>
          <w:rFonts w:ascii="Arial" w:cs="Arial" w:eastAsia="Arial" w:hAnsi="Arial"/>
          <w:sz w:val="16"/>
          <w:szCs w:val="16"/>
          <w:color w:val="010000"/>
        </w:rPr>
        <w:t xml:space="preserve"> </w:t>
      </w:r>
      <w:r>
        <w:rPr>
          <w:rFonts w:ascii="Arial" w:cs="Arial" w:eastAsia="Arial" w:hAnsi="Arial"/>
          <w:sz w:val="16"/>
          <w:szCs w:val="16"/>
          <w:color w:val="000000"/>
        </w:rPr>
        <w:t xml:space="preserve">otherwise prepare the Collateral for sale. The Agent and each other Secured Party shall use reasonable care with respect to the Collateral in its possession or under its control (or in the possession or under the care of any agent, employee, officer, nominee or other representative of the Agent or such other Secured Party). Neither the Agent nor any other Secured Party shall have any other duty as to any Collateral in its possession or control or in the possession or control of any agent or nominee of the Agent or such other Secured Party, or any income thereon or as to the preservation of rights against prior parties or any other rights pertaining thereto. To the extent that applicable law imposes duties on the Agent to exercise remedies in a commercially reasonable manner, each Grantor acknowledges and agrees that it is commercially reasonable for the Agent (i) to fail to incur expenses deemed significant by the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Agent against risks of loss, collection or disposition of Collateral or to provide to the Agent a guaranteed return from the collection or disposition of Collateral, or (xii) to the extent deemed appropriate by the Agent, to obtain the services of other brokers, investment bankers, consultants and other professionals to assist the Agent in the collection or disposition of any of the Collateral. Each Grantor acknowledges that the purpose of this </w:t>
      </w:r>
      <w:r>
        <w:rPr>
          <w:rFonts w:ascii="Arial" w:cs="Arial" w:eastAsia="Arial" w:hAnsi="Arial"/>
          <w:sz w:val="16"/>
          <w:szCs w:val="16"/>
          <w:u w:val="single" w:color="auto"/>
          <w:color w:val="000000"/>
        </w:rPr>
        <w:t>Section 8.2</w:t>
      </w:r>
      <w:r>
        <w:rPr>
          <w:rFonts w:ascii="Arial" w:cs="Arial" w:eastAsia="Arial" w:hAnsi="Arial"/>
          <w:sz w:val="16"/>
          <w:szCs w:val="16"/>
          <w:color w:val="000000"/>
        </w:rPr>
        <w:t xml:space="preserve"> is to provide non-exhaustive indications of what actions or omissions by the Agent would be commercially reasonable in the Agent’s exercise of remedies against the Collateral and that other actions or omissions by the Agent shall not be deemed commercially unreasonable solely on account of not being indicated in this </w:t>
      </w:r>
      <w:r>
        <w:rPr>
          <w:rFonts w:ascii="Arial" w:cs="Arial" w:eastAsia="Arial" w:hAnsi="Arial"/>
          <w:sz w:val="16"/>
          <w:szCs w:val="16"/>
          <w:u w:val="single" w:color="auto"/>
          <w:color w:val="000000"/>
        </w:rPr>
        <w:t>Section 8.2</w:t>
      </w:r>
      <w:r>
        <w:rPr>
          <w:rFonts w:ascii="Arial" w:cs="Arial" w:eastAsia="Arial" w:hAnsi="Arial"/>
          <w:sz w:val="16"/>
          <w:szCs w:val="16"/>
          <w:color w:val="000000"/>
        </w:rPr>
        <w:t xml:space="preserve">. Without limitation upon the foregoing, nothing contained in this </w:t>
      </w:r>
      <w:r>
        <w:rPr>
          <w:rFonts w:ascii="Arial" w:cs="Arial" w:eastAsia="Arial" w:hAnsi="Arial"/>
          <w:sz w:val="16"/>
          <w:szCs w:val="16"/>
          <w:u w:val="single" w:color="auto"/>
          <w:color w:val="000000"/>
        </w:rPr>
        <w:t>Section 8.2</w:t>
      </w:r>
      <w:r>
        <w:rPr>
          <w:rFonts w:ascii="Arial" w:cs="Arial" w:eastAsia="Arial" w:hAnsi="Arial"/>
          <w:sz w:val="16"/>
          <w:szCs w:val="16"/>
          <w:color w:val="000000"/>
        </w:rPr>
        <w:t xml:space="preserve"> shall be construed to grant any rights to any Grantor or to impose any duties on the Agent that would not have been granted or imposed by this Security Agreement or by applicable law in the absence of this </w:t>
      </w:r>
      <w:r>
        <w:rPr>
          <w:rFonts w:ascii="Arial" w:cs="Arial" w:eastAsia="Arial" w:hAnsi="Arial"/>
          <w:sz w:val="16"/>
          <w:szCs w:val="16"/>
          <w:u w:val="single" w:color="auto"/>
          <w:color w:val="000000"/>
        </w:rPr>
        <w:t>Section 8.2</w:t>
      </w:r>
      <w:r>
        <w:rPr>
          <w:rFonts w:ascii="Arial" w:cs="Arial" w:eastAsia="Arial" w:hAnsi="Arial"/>
          <w:sz w:val="16"/>
          <w:szCs w:val="16"/>
          <w:color w:val="000000"/>
        </w:rPr>
        <w:t>.</w:t>
      </w:r>
    </w:p>
    <w:p>
      <w:pPr>
        <w:spacing w:after="0" w:line="3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010000"/>
        </w:rPr>
        <w:t xml:space="preserve">8.3. </w:t>
      </w:r>
      <w:r>
        <w:rPr>
          <w:rFonts w:ascii="Arial" w:cs="Arial" w:eastAsia="Arial" w:hAnsi="Arial"/>
          <w:sz w:val="16"/>
          <w:szCs w:val="16"/>
          <w:u w:val="single" w:color="auto"/>
          <w:color w:val="000000"/>
        </w:rPr>
        <w:t>Compromises and Collection of Collateral</w:t>
      </w:r>
      <w:r>
        <w:rPr>
          <w:rFonts w:ascii="Arial" w:cs="Arial" w:eastAsia="Arial" w:hAnsi="Arial"/>
          <w:sz w:val="16"/>
          <w:szCs w:val="16"/>
          <w:color w:val="000000"/>
        </w:rPr>
        <w:t>. Each Grantor and the Agent recognize that setoffs, counterclaims, defenses and other claims</w:t>
      </w:r>
      <w:r>
        <w:rPr>
          <w:rFonts w:ascii="Arial" w:cs="Arial" w:eastAsia="Arial" w:hAnsi="Arial"/>
          <w:sz w:val="16"/>
          <w:szCs w:val="16"/>
          <w:color w:val="010000"/>
        </w:rPr>
        <w:t xml:space="preserve"> </w:t>
      </w:r>
      <w:r>
        <w:rPr>
          <w:rFonts w:ascii="Arial" w:cs="Arial" w:eastAsia="Arial" w:hAnsi="Arial"/>
          <w:sz w:val="16"/>
          <w:szCs w:val="16"/>
          <w:color w:val="000000"/>
        </w:rPr>
        <w:t>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subject to applicable bankruptcy laws, that the Agent may at any time and from time to time, if an Event of Default has occurred and is continuing, and subject to the Intercreditor Agreement, compromise with the obligor on any Receivable, accept in full payment of any Receivable such amount as the Agent in its sole discretion shall determine or abandon any Receivable, and any such action by the Agent shall be commercially reasonable so long as the Agent acts in good faith based on information known to it at the time it takes any such action.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8.4. </w:t>
      </w:r>
      <w:r>
        <w:rPr>
          <w:rFonts w:ascii="Arial" w:cs="Arial" w:eastAsia="Arial" w:hAnsi="Arial"/>
          <w:sz w:val="18"/>
          <w:szCs w:val="18"/>
          <w:u w:val="single" w:color="auto"/>
          <w:color w:val="000000"/>
        </w:rPr>
        <w:t>Secured Party Performance of Grantor’s Obligations</w:t>
      </w:r>
      <w:r>
        <w:rPr>
          <w:rFonts w:ascii="Arial" w:cs="Arial" w:eastAsia="Arial" w:hAnsi="Arial"/>
          <w:sz w:val="18"/>
          <w:szCs w:val="18"/>
          <w:color w:val="000000"/>
        </w:rPr>
        <w:t>. Without having any obligation to do so, the Agent may perform or pay any</w:t>
      </w:r>
      <w:r>
        <w:rPr>
          <w:rFonts w:ascii="Arial" w:cs="Arial" w:eastAsia="Arial" w:hAnsi="Arial"/>
          <w:sz w:val="18"/>
          <w:szCs w:val="18"/>
          <w:color w:val="010000"/>
        </w:rPr>
        <w:t xml:space="preserve"> </w:t>
      </w:r>
      <w:r>
        <w:rPr>
          <w:rFonts w:ascii="Arial" w:cs="Arial" w:eastAsia="Arial" w:hAnsi="Arial"/>
          <w:sz w:val="18"/>
          <w:szCs w:val="18"/>
          <w:color w:val="000000"/>
        </w:rPr>
        <w:t xml:space="preserve">obligation which any Grantor has agreed to perform or pay in this Security Agreement and fails to so perform or pay and such Grantor shall reimburse the Agent for any reasonable and documented amounts paid by the Agent pursuant to this </w:t>
      </w:r>
      <w:r>
        <w:rPr>
          <w:rFonts w:ascii="Arial" w:cs="Arial" w:eastAsia="Arial" w:hAnsi="Arial"/>
          <w:sz w:val="18"/>
          <w:szCs w:val="18"/>
          <w:u w:val="single" w:color="auto"/>
          <w:color w:val="000000"/>
        </w:rPr>
        <w:t>Section 8.4</w:t>
      </w:r>
      <w:r>
        <w:rPr>
          <w:rFonts w:ascii="Arial" w:cs="Arial" w:eastAsia="Arial" w:hAnsi="Arial"/>
          <w:sz w:val="18"/>
          <w:szCs w:val="18"/>
          <w:color w:val="000000"/>
        </w:rPr>
        <w:t>. Each Grantor’s obligation to reimburse the Agent pursuant to the preceding sentence shall be a Secured Obligation payable on demand.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2" w:name="page783"/>
    <w:bookmarkEnd w:id="782"/>
    <w:p>
      <w:pPr>
        <w:jc w:val="both"/>
        <w:ind w:firstLine="648"/>
        <w:spacing w:after="0" w:line="268" w:lineRule="auto"/>
        <w:rPr>
          <w:sz w:val="20"/>
          <w:szCs w:val="20"/>
          <w:color w:val="auto"/>
        </w:rPr>
      </w:pPr>
      <w:r>
        <w:rPr>
          <w:rFonts w:ascii="Arial" w:cs="Arial" w:eastAsia="Arial" w:hAnsi="Arial"/>
          <w:sz w:val="17"/>
          <w:szCs w:val="17"/>
          <w:color w:val="010000"/>
        </w:rPr>
        <w:t xml:space="preserve">8.5. </w:t>
      </w:r>
      <w:r>
        <w:rPr>
          <w:rFonts w:ascii="Arial" w:cs="Arial" w:eastAsia="Arial" w:hAnsi="Arial"/>
          <w:sz w:val="17"/>
          <w:szCs w:val="17"/>
          <w:u w:val="single" w:color="auto"/>
          <w:color w:val="000000"/>
        </w:rPr>
        <w:t>Authorization for Secured Party to Take Certain Action</w:t>
      </w:r>
      <w:r>
        <w:rPr>
          <w:rFonts w:ascii="Arial" w:cs="Arial" w:eastAsia="Arial" w:hAnsi="Arial"/>
          <w:sz w:val="17"/>
          <w:szCs w:val="17"/>
          <w:color w:val="000000"/>
        </w:rPr>
        <w:t>. Each Grantor irrevocably authorizes the Agent at any time and from time to time</w:t>
      </w:r>
      <w:r>
        <w:rPr>
          <w:rFonts w:ascii="Arial" w:cs="Arial" w:eastAsia="Arial" w:hAnsi="Arial"/>
          <w:sz w:val="17"/>
          <w:szCs w:val="17"/>
          <w:color w:val="010000"/>
        </w:rPr>
        <w:t xml:space="preserve"> </w:t>
      </w:r>
      <w:r>
        <w:rPr>
          <w:rFonts w:ascii="Arial" w:cs="Arial" w:eastAsia="Arial" w:hAnsi="Arial"/>
          <w:sz w:val="17"/>
          <w:szCs w:val="17"/>
          <w:color w:val="000000"/>
        </w:rPr>
        <w:t xml:space="preserve">in the sole discretion of the Agent and appoints the Agent as its attorney in fact (i) to execute on behalf of such Grantor as debtor and to file financing statements necessary or desirable in the Agent’s sole discretion to perfect and to maintain the perfection and priority of the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Agent in its sole discretion deems necessary or desirable to perfect and to maintain the perfection and priority of the Agent’s security interest in the Collateral, (iv) to contact and enter into one or more agreements with the issuers of Uncertificated Securities which are Collateral owned by such Grantor and which are Securities or with financial intermediaries holding other Investment Property which is Collateral as may be necessary or advisable to give the Agent Control (subject to the Intercreditor Agreement) over such Securities or other Investment Property, (v) solely to the extent an Event of Default has occurred and is continuing, to enforce payment of the Instruments, Accounts and Receivables constituting Collateral in the name of the Agent or such Grantor, (vi) solely to the extent an Event of Default has occurred and is continuing, to apply the proceeds of any Collateral received by the Agent to the Secured Obligations as provided in Article VII and (vii) to discharge past due taxes, assessments, charges, fees or Liens on the Collateral (except for such Liens as are specifically permitted hereunder or under any other Loan Document), and each Grantor agrees to reimburse the Agent on demand for any reasonable and documented payment made or any reasonable and documented expense incurred by the Agent in connection therewith,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this authorization shall not relieve any Grantor of any of its obligations under this Security Agreement or under the LC Credit Agreement.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8.6. </w:t>
      </w:r>
      <w:r>
        <w:rPr>
          <w:rFonts w:ascii="Arial" w:cs="Arial" w:eastAsia="Arial" w:hAnsi="Arial"/>
          <w:sz w:val="17"/>
          <w:szCs w:val="17"/>
          <w:u w:val="single" w:color="auto"/>
          <w:color w:val="000000"/>
        </w:rPr>
        <w:t>Specific Performance of Certain Covenants</w:t>
      </w:r>
      <w:r>
        <w:rPr>
          <w:rFonts w:ascii="Arial" w:cs="Arial" w:eastAsia="Arial" w:hAnsi="Arial"/>
          <w:sz w:val="17"/>
          <w:szCs w:val="17"/>
          <w:color w:val="000000"/>
        </w:rPr>
        <w:t>. Each Grantor acknowledges and agrees that a breach of any of the covenants contained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5.2</w:t>
      </w:r>
      <w:r>
        <w:rPr>
          <w:rFonts w:ascii="Arial" w:cs="Arial" w:eastAsia="Arial" w:hAnsi="Arial"/>
          <w:sz w:val="17"/>
          <w:szCs w:val="17"/>
          <w:color w:val="000000"/>
        </w:rPr>
        <w:t xml:space="preserve">, or in </w:t>
      </w:r>
      <w:r>
        <w:rPr>
          <w:rFonts w:ascii="Arial" w:cs="Arial" w:eastAsia="Arial" w:hAnsi="Arial"/>
          <w:sz w:val="17"/>
          <w:szCs w:val="17"/>
          <w:u w:val="single" w:color="auto"/>
          <w:color w:val="000000"/>
        </w:rPr>
        <w:t>Article VII</w:t>
      </w:r>
      <w:r>
        <w:rPr>
          <w:rFonts w:ascii="Arial" w:cs="Arial" w:eastAsia="Arial" w:hAnsi="Arial"/>
          <w:sz w:val="17"/>
          <w:szCs w:val="17"/>
          <w:color w:val="000000"/>
        </w:rPr>
        <w:t xml:space="preserve"> hereof will cause irreparable injury to the Agent and the other Secured Parties, that the Agent and the other Secured Parties have no adequate remedy at law in respect of such breaches and therefore agrees, without limiting the right of the Agent or the other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17"/>
          <w:szCs w:val="17"/>
          <w:u w:val="single" w:color="auto"/>
          <w:color w:val="000000"/>
        </w:rPr>
        <w:t>Section 8.6</w:t>
      </w:r>
      <w:r>
        <w:rPr>
          <w:rFonts w:ascii="Arial" w:cs="Arial" w:eastAsia="Arial" w:hAnsi="Arial"/>
          <w:sz w:val="17"/>
          <w:szCs w:val="17"/>
          <w:color w:val="000000"/>
        </w:rPr>
        <w:t xml:space="preserve"> shall be specifically enforceable against the Grantors.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8.7. </w:t>
      </w:r>
      <w:r>
        <w:rPr>
          <w:rFonts w:ascii="Arial" w:cs="Arial" w:eastAsia="Arial" w:hAnsi="Arial"/>
          <w:sz w:val="18"/>
          <w:szCs w:val="18"/>
          <w:u w:val="single" w:color="auto"/>
          <w:color w:val="000000"/>
        </w:rPr>
        <w:t>Use and Possession of Certain Premises</w:t>
      </w:r>
      <w:r>
        <w:rPr>
          <w:rFonts w:ascii="Arial" w:cs="Arial" w:eastAsia="Arial" w:hAnsi="Arial"/>
          <w:sz w:val="18"/>
          <w:szCs w:val="18"/>
          <w:color w:val="000000"/>
        </w:rPr>
        <w:t>. Upon the occurrence and during the continuation of an Event of Default, subject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Intercreditor Agreement, the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18"/>
          <w:szCs w:val="18"/>
          <w:u w:val="single" w:color="auto"/>
          <w:color w:val="000000"/>
        </w:rPr>
        <w:t>Section 8.2</w:t>
      </w:r>
      <w:r>
        <w:rPr>
          <w:rFonts w:ascii="Arial" w:cs="Arial" w:eastAsia="Arial" w:hAnsi="Arial"/>
          <w:sz w:val="18"/>
          <w:szCs w:val="18"/>
          <w:color w:val="000000"/>
        </w:rPr>
        <w:t xml:space="preserve"> hereof in all respects.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8.8. </w:t>
      </w:r>
      <w:r>
        <w:rPr>
          <w:rFonts w:ascii="Arial" w:cs="Arial" w:eastAsia="Arial" w:hAnsi="Arial"/>
          <w:sz w:val="18"/>
          <w:szCs w:val="18"/>
          <w:u w:val="single" w:color="auto"/>
          <w:color w:val="000000"/>
        </w:rPr>
        <w:t>Reinstatement</w:t>
      </w:r>
      <w:r>
        <w:rPr>
          <w:rFonts w:ascii="Arial" w:cs="Arial" w:eastAsia="Arial" w:hAnsi="Arial"/>
          <w:sz w:val="18"/>
          <w:szCs w:val="18"/>
          <w:color w:val="000000"/>
        </w:rPr>
        <w:t>. This Security Agreement shall remain in full force and effect and continue to be effective should any petition be filed by</w:t>
      </w:r>
      <w:r>
        <w:rPr>
          <w:rFonts w:ascii="Arial" w:cs="Arial" w:eastAsia="Arial" w:hAnsi="Arial"/>
          <w:sz w:val="18"/>
          <w:szCs w:val="18"/>
          <w:color w:val="010000"/>
        </w:rPr>
        <w:t xml:space="preserve"> </w:t>
      </w:r>
      <w:r>
        <w:rPr>
          <w:rFonts w:ascii="Arial" w:cs="Arial" w:eastAsia="Arial" w:hAnsi="Arial"/>
          <w:sz w:val="18"/>
          <w:szCs w:val="18"/>
          <w:color w:val="000000"/>
        </w:rPr>
        <w:t>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“unjust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83" w:name="page784"/>
    <w:bookmarkEnd w:id="783"/>
    <w:p>
      <w:pPr>
        <w:jc w:val="both"/>
        <w:ind w:firstLine="648"/>
        <w:spacing w:after="0" w:line="255" w:lineRule="auto"/>
        <w:rPr>
          <w:sz w:val="20"/>
          <w:szCs w:val="20"/>
          <w:color w:val="auto"/>
        </w:rPr>
      </w:pPr>
      <w:r>
        <w:rPr>
          <w:rFonts w:ascii="Arial" w:cs="Arial" w:eastAsia="Arial" w:hAnsi="Arial"/>
          <w:sz w:val="18"/>
          <w:szCs w:val="18"/>
          <w:color w:val="010000"/>
        </w:rPr>
        <w:t xml:space="preserve">8.9. </w:t>
      </w:r>
      <w:r>
        <w:rPr>
          <w:rFonts w:ascii="Arial" w:cs="Arial" w:eastAsia="Arial" w:hAnsi="Arial"/>
          <w:sz w:val="18"/>
          <w:szCs w:val="18"/>
          <w:u w:val="single" w:color="auto"/>
          <w:color w:val="000000"/>
        </w:rPr>
        <w:t>Benefit of Agreement</w:t>
      </w:r>
      <w:r>
        <w:rPr>
          <w:rFonts w:ascii="Arial" w:cs="Arial" w:eastAsia="Arial" w:hAnsi="Arial"/>
          <w:sz w:val="18"/>
          <w:szCs w:val="18"/>
          <w:color w:val="000000"/>
        </w:rPr>
        <w:t>. The terms and provisions of this Security Agreement shall be binding upon and inure to the benefit of the</w:t>
      </w:r>
      <w:r>
        <w:rPr>
          <w:rFonts w:ascii="Arial" w:cs="Arial" w:eastAsia="Arial" w:hAnsi="Arial"/>
          <w:sz w:val="18"/>
          <w:szCs w:val="18"/>
          <w:color w:val="010000"/>
        </w:rPr>
        <w:t xml:space="preserve"> </w:t>
      </w:r>
      <w:r>
        <w:rPr>
          <w:rFonts w:ascii="Arial" w:cs="Arial" w:eastAsia="Arial" w:hAnsi="Arial"/>
          <w:sz w:val="18"/>
          <w:szCs w:val="18"/>
          <w:color w:val="000000"/>
        </w:rPr>
        <w:t xml:space="preserve">Grantors, the Agent and the Secured Parties and their respective successors and assigns (including all persons who become bound as a debtor to this Security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Grantors shall not have the right to assign their rights or delegate their obligations under this Security Agreement or any interest herein, except as permitted under the LC Credit Agreement. No sales of participations, assignments, transfers, or other dispositions of any agreement governing the Secured Obligations or any portion thereof or interest therein shall in any manner impair the Lien granted to the Agent, for the benefit of the Agent and the other Secured Parties, hereunder.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8.10. </w:t>
      </w:r>
      <w:r>
        <w:rPr>
          <w:rFonts w:ascii="Arial" w:cs="Arial" w:eastAsia="Arial" w:hAnsi="Arial"/>
          <w:sz w:val="18"/>
          <w:szCs w:val="18"/>
          <w:u w:val="single" w:color="auto"/>
          <w:color w:val="000000"/>
        </w:rPr>
        <w:t>Survival of Representations</w:t>
      </w:r>
      <w:r>
        <w:rPr>
          <w:rFonts w:ascii="Arial" w:cs="Arial" w:eastAsia="Arial" w:hAnsi="Arial"/>
          <w:sz w:val="18"/>
          <w:szCs w:val="18"/>
          <w:color w:val="000000"/>
        </w:rPr>
        <w:t>. All representations and warranties of the Grantors contained in this Security Agreement shall survive the</w:t>
      </w:r>
      <w:r>
        <w:rPr>
          <w:rFonts w:ascii="Arial" w:cs="Arial" w:eastAsia="Arial" w:hAnsi="Arial"/>
          <w:sz w:val="18"/>
          <w:szCs w:val="18"/>
          <w:color w:val="010000"/>
        </w:rPr>
        <w:t xml:space="preserve"> </w:t>
      </w:r>
      <w:r>
        <w:rPr>
          <w:rFonts w:ascii="Arial" w:cs="Arial" w:eastAsia="Arial" w:hAnsi="Arial"/>
          <w:sz w:val="18"/>
          <w:szCs w:val="18"/>
          <w:color w:val="000000"/>
        </w:rPr>
        <w:t>execution and delivery of this Security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010000"/>
        </w:rPr>
        <w:t xml:space="preserve">8.11. </w:t>
      </w:r>
      <w:r>
        <w:rPr>
          <w:rFonts w:ascii="Arial" w:cs="Arial" w:eastAsia="Arial" w:hAnsi="Arial"/>
          <w:sz w:val="17"/>
          <w:szCs w:val="17"/>
          <w:u w:val="single" w:color="auto"/>
          <w:color w:val="000000"/>
        </w:rPr>
        <w:t>Taxes and Expenses</w:t>
      </w:r>
      <w:r>
        <w:rPr>
          <w:rFonts w:ascii="Arial" w:cs="Arial" w:eastAsia="Arial" w:hAnsi="Arial"/>
          <w:sz w:val="17"/>
          <w:szCs w:val="17"/>
          <w:color w:val="000000"/>
        </w:rPr>
        <w:t>. To the extent required by Section 4.02 of the LC Credit Agreement, any Other Taxes payable or ruled payable by a</w:t>
      </w:r>
      <w:r>
        <w:rPr>
          <w:rFonts w:ascii="Arial" w:cs="Arial" w:eastAsia="Arial" w:hAnsi="Arial"/>
          <w:sz w:val="17"/>
          <w:szCs w:val="17"/>
          <w:color w:val="010000"/>
        </w:rPr>
        <w:t xml:space="preserve"> </w:t>
      </w:r>
      <w:r>
        <w:rPr>
          <w:rFonts w:ascii="Arial" w:cs="Arial" w:eastAsia="Arial" w:hAnsi="Arial"/>
          <w:sz w:val="17"/>
          <w:szCs w:val="17"/>
          <w:color w:val="000000"/>
        </w:rPr>
        <w:t>Governmental Authority in respect of this Security Agreement shall be paid by the applicable Grantor. The Grantors shall reimburse the Agent for any and all of its reasonable out-of-pocket expenses (including reasonable external legal, auditors’ and accountants’ fees) if and to the extent the Borrowers are required to reimburse such amounts under Section 11.03 of the LC Credit Agreement. Any and all costs and expenses incurred by the Grantors in the performance of actions required pursuant to the terms hereof shall be borne solely by the Grantors.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8.12. </w:t>
      </w:r>
      <w:r>
        <w:rPr>
          <w:rFonts w:ascii="Arial" w:cs="Arial" w:eastAsia="Arial" w:hAnsi="Arial"/>
          <w:sz w:val="18"/>
          <w:szCs w:val="18"/>
          <w:u w:val="single" w:color="auto"/>
          <w:color w:val="000000"/>
        </w:rPr>
        <w:t>Headings</w:t>
      </w:r>
      <w:r>
        <w:rPr>
          <w:rFonts w:ascii="Arial" w:cs="Arial" w:eastAsia="Arial" w:hAnsi="Arial"/>
          <w:sz w:val="18"/>
          <w:szCs w:val="18"/>
          <w:color w:val="000000"/>
        </w:rPr>
        <w:t>. The title of and section headings in this Security Agreement are for convenience of reference only, and shall not govern the</w:t>
      </w:r>
      <w:r>
        <w:rPr>
          <w:rFonts w:ascii="Arial" w:cs="Arial" w:eastAsia="Arial" w:hAnsi="Arial"/>
          <w:sz w:val="18"/>
          <w:szCs w:val="18"/>
          <w:color w:val="010000"/>
        </w:rPr>
        <w:t xml:space="preserve"> </w:t>
      </w:r>
      <w:r>
        <w:rPr>
          <w:rFonts w:ascii="Arial" w:cs="Arial" w:eastAsia="Arial" w:hAnsi="Arial"/>
          <w:sz w:val="18"/>
          <w:szCs w:val="18"/>
          <w:color w:val="000000"/>
        </w:rPr>
        <w:t>interpretation of any of the terms and provisions of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8.13. </w:t>
      </w:r>
      <w:r>
        <w:rPr>
          <w:rFonts w:ascii="Arial" w:cs="Arial" w:eastAsia="Arial" w:hAnsi="Arial"/>
          <w:sz w:val="18"/>
          <w:szCs w:val="18"/>
          <w:u w:val="single" w:color="auto"/>
          <w:color w:val="000000"/>
        </w:rPr>
        <w:t>Termination</w:t>
      </w:r>
      <w:r>
        <w:rPr>
          <w:rFonts w:ascii="Arial" w:cs="Arial" w:eastAsia="Arial" w:hAnsi="Arial"/>
          <w:sz w:val="18"/>
          <w:szCs w:val="18"/>
          <w:color w:val="000000"/>
        </w:rPr>
        <w:t>. This Security Agreement shall continue in effect (notwithstanding the fact that from time to time there may be no Secured</w:t>
      </w:r>
      <w:r>
        <w:rPr>
          <w:rFonts w:ascii="Arial" w:cs="Arial" w:eastAsia="Arial" w:hAnsi="Arial"/>
          <w:sz w:val="18"/>
          <w:szCs w:val="18"/>
          <w:color w:val="010000"/>
        </w:rPr>
        <w:t xml:space="preserve"> </w:t>
      </w:r>
      <w:r>
        <w:rPr>
          <w:rFonts w:ascii="Arial" w:cs="Arial" w:eastAsia="Arial" w:hAnsi="Arial"/>
          <w:sz w:val="18"/>
          <w:szCs w:val="18"/>
          <w:color w:val="000000"/>
        </w:rPr>
        <w:t>Obligations outstanding) until Payment in Full. Notwithstanding the foregoing, the obligations of any individual Grantor under this Security Agreement shall automatically terminate to the extent provided in and in accordance with Section 11.23 of the LC Credit Agreement.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010000"/>
        </w:rPr>
        <w:t xml:space="preserve">8.14.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This Security Agreement and the other Loan Documents constitute the entire contract among the parties relating to the</w:t>
      </w:r>
      <w:r>
        <w:rPr>
          <w:rFonts w:ascii="Arial" w:cs="Arial" w:eastAsia="Arial" w:hAnsi="Arial"/>
          <w:sz w:val="17"/>
          <w:szCs w:val="17"/>
          <w:color w:val="010000"/>
        </w:rPr>
        <w:t xml:space="preserve"> </w:t>
      </w:r>
      <w:r>
        <w:rPr>
          <w:rFonts w:ascii="Arial" w:cs="Arial" w:eastAsia="Arial" w:hAnsi="Arial"/>
          <w:sz w:val="17"/>
          <w:szCs w:val="17"/>
          <w:color w:val="000000"/>
        </w:rPr>
        <w:t>subject matter hereof and supersede any and all previous agreements and understandings, oral or written, relating to the subject matter hereof.</w:t>
      </w:r>
    </w:p>
    <w:p>
      <w:pPr>
        <w:spacing w:after="0" w:line="14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8.15.</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4" w:name="page785"/>
    <w:bookmarkEnd w:id="784"/>
    <w:p>
      <w:pPr>
        <w:jc w:val="both"/>
        <w:ind w:firstLine="972"/>
        <w:spacing w:after="0" w:line="282" w:lineRule="auto"/>
        <w:rPr>
          <w:sz w:val="20"/>
          <w:szCs w:val="20"/>
          <w:color w:val="auto"/>
        </w:rPr>
      </w:pPr>
      <w:r>
        <w:rPr>
          <w:rFonts w:ascii="Arial" w:cs="Arial" w:eastAsia="Arial" w:hAnsi="Arial"/>
          <w:sz w:val="18"/>
          <w:szCs w:val="18"/>
          <w:b w:val="1"/>
          <w:bCs w:val="1"/>
          <w:color w:val="010000"/>
        </w:rPr>
        <w:t xml:space="preserve">8.15.1 </w:t>
      </w:r>
      <w:r>
        <w:rPr>
          <w:rFonts w:ascii="Arial" w:cs="Arial" w:eastAsia="Arial" w:hAnsi="Arial"/>
          <w:sz w:val="18"/>
          <w:szCs w:val="18"/>
          <w:b w:val="1"/>
          <w:bCs w:val="1"/>
          <w:color w:val="000000"/>
        </w:rPr>
        <w:t>THIS SECURITY AGREEMENT SHALL BE CONSTRUED IN ACCORDANCE WITH AND GOVERNED BY</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THE LAWS OF THE PROVINCE OF ALBERTA AND THE FEDERAL LAWS OF CANADA APPLICABLE THEREIN.</w:t>
      </w:r>
    </w:p>
    <w:p>
      <w:pPr>
        <w:spacing w:after="0" w:line="166"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010000"/>
        </w:rPr>
        <w:t xml:space="preserve">8.15.2 </w:t>
      </w:r>
      <w:r>
        <w:rPr>
          <w:rFonts w:ascii="Arial" w:cs="Arial" w:eastAsia="Arial" w:hAnsi="Arial"/>
          <w:sz w:val="17"/>
          <w:szCs w:val="17"/>
          <w:color w:val="000000"/>
        </w:rPr>
        <w:t>Each Grantor hereby irrevocably and unconditionally submits, for itself and its property, to the non-exclusive jurisdiction</w:t>
      </w:r>
      <w:r>
        <w:rPr>
          <w:rFonts w:ascii="Arial" w:cs="Arial" w:eastAsia="Arial" w:hAnsi="Arial"/>
          <w:sz w:val="17"/>
          <w:szCs w:val="17"/>
          <w:color w:val="010000"/>
        </w:rPr>
        <w:t xml:space="preserve"> </w:t>
      </w:r>
      <w:r>
        <w:rPr>
          <w:rFonts w:ascii="Arial" w:cs="Arial" w:eastAsia="Arial" w:hAnsi="Arial"/>
          <w:sz w:val="17"/>
          <w:szCs w:val="17"/>
          <w:color w:val="000000"/>
        </w:rPr>
        <w:t xml:space="preserve">of the courts of the Province of Alberta in any suit,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w:t>
      </w:r>
      <w:r>
        <w:rPr>
          <w:rFonts w:ascii="Arial" w:cs="Arial" w:eastAsia="Arial" w:hAnsi="Arial"/>
          <w:sz w:val="17"/>
          <w:szCs w:val="17"/>
          <w:u w:val="single" w:color="auto"/>
          <w:color w:val="000000"/>
        </w:rPr>
        <w:t>Section 8.15</w:t>
      </w:r>
      <w:r>
        <w:rPr>
          <w:rFonts w:ascii="Arial" w:cs="Arial" w:eastAsia="Arial" w:hAnsi="Arial"/>
          <w:sz w:val="17"/>
          <w:szCs w:val="17"/>
          <w:color w:val="000000"/>
        </w:rPr>
        <w:t>) affect any right that any Secured Party may otherwise have to bring any suit, action or proceeding relating to this Security Agreement or any other Loan Document against any Grantor or its properties in the courts of any jurisdiction.</w:t>
      </w:r>
    </w:p>
    <w:p>
      <w:pPr>
        <w:spacing w:after="0" w:line="17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010000"/>
        </w:rPr>
        <w:t xml:space="preserve">8.15.3 </w:t>
      </w:r>
      <w:r>
        <w:rPr>
          <w:rFonts w:ascii="Arial" w:cs="Arial" w:eastAsia="Arial" w:hAnsi="Arial"/>
          <w:sz w:val="17"/>
          <w:szCs w:val="17"/>
          <w:color w:val="000000"/>
        </w:rPr>
        <w:t>Each Grantor hereby irrevocably and unconditionally waives, to the fullest extent it may legally and effectively do so, any</w:t>
      </w:r>
      <w:r>
        <w:rPr>
          <w:rFonts w:ascii="Arial" w:cs="Arial" w:eastAsia="Arial" w:hAnsi="Arial"/>
          <w:sz w:val="17"/>
          <w:szCs w:val="17"/>
          <w:color w:val="010000"/>
        </w:rPr>
        <w:t xml:space="preserve"> </w:t>
      </w:r>
      <w:r>
        <w:rPr>
          <w:rFonts w:ascii="Arial" w:cs="Arial" w:eastAsia="Arial" w:hAnsi="Arial"/>
          <w:sz w:val="17"/>
          <w:szCs w:val="17"/>
          <w:color w:val="000000"/>
        </w:rPr>
        <w:t xml:space="preserve">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7"/>
          <w:szCs w:val="17"/>
          <w:u w:val="single" w:color="auto"/>
          <w:color w:val="000000"/>
        </w:rPr>
        <w:t>Section 8.15.2</w:t>
      </w:r>
      <w:r>
        <w:rPr>
          <w:rFonts w:ascii="Arial" w:cs="Arial" w:eastAsia="Arial" w:hAnsi="Arial"/>
          <w:sz w:val="17"/>
          <w:szCs w:val="17"/>
          <w:color w:val="000000"/>
        </w:rPr>
        <w:t>. Each Grantor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010000"/>
        </w:rPr>
        <w:t xml:space="preserve">8.15.4 </w:t>
      </w:r>
      <w:r>
        <w:rPr>
          <w:rFonts w:ascii="Arial" w:cs="Arial" w:eastAsia="Arial" w:hAnsi="Arial"/>
          <w:sz w:val="17"/>
          <w:szCs w:val="17"/>
          <w:color w:val="000000"/>
        </w:rPr>
        <w:t>Each party to this Security Agreement irrevocably consents to service of process in the manner provided for notices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IX</w:t>
      </w:r>
      <w:r>
        <w:rPr>
          <w:rFonts w:ascii="Arial" w:cs="Arial" w:eastAsia="Arial" w:hAnsi="Arial"/>
          <w:sz w:val="17"/>
          <w:szCs w:val="17"/>
          <w:color w:val="000000"/>
        </w:rPr>
        <w:t xml:space="preserve"> of this Security Agreement other than by facsimile. Nothing in this Security Agreement or any other Loan Document will affect the right of any party to this Security Agreement to serve process in any other manner permitted by law. Notwithstanding any other provision of this Security Agreement, each Grantor hereby irrevocably designates CT Corporation System, 28 Liberty Street, New York, New York 10005, as the designee, appointee and agent of such Grantor to receive, for and on behalf of such Grantor, service of process in the State of New York in any suit, action or proceeding arising out of or relating to this Security Agreement or any other Loan Document.</w:t>
      </w:r>
    </w:p>
    <w:p>
      <w:pPr>
        <w:spacing w:after="0" w:line="17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010000"/>
        </w:rPr>
        <w:t xml:space="preserve">8.15.5 </w:t>
      </w:r>
      <w:r>
        <w:rPr>
          <w:rFonts w:ascii="Arial" w:cs="Arial" w:eastAsia="Arial" w:hAnsi="Arial"/>
          <w:sz w:val="18"/>
          <w:szCs w:val="18"/>
          <w:color w:val="000000"/>
        </w:rPr>
        <w:t>Each Grantor agrees that any suit, action or proceeding brought by any Grantor or any of their respective Subsidiaries</w:t>
      </w:r>
      <w:r>
        <w:rPr>
          <w:rFonts w:ascii="Arial" w:cs="Arial" w:eastAsia="Arial" w:hAnsi="Arial"/>
          <w:sz w:val="18"/>
          <w:szCs w:val="18"/>
          <w:color w:val="010000"/>
        </w:rPr>
        <w:t xml:space="preserve"> </w:t>
      </w:r>
      <w:r>
        <w:rPr>
          <w:rFonts w:ascii="Arial" w:cs="Arial" w:eastAsia="Arial" w:hAnsi="Arial"/>
          <w:sz w:val="18"/>
          <w:szCs w:val="18"/>
          <w:color w:val="000000"/>
        </w:rPr>
        <w:t>relating to this Security Agreement or any other Loan Document against the Agent, any other Secured Party or any of their respective Affiliates shall be brought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785" w:name="page786"/>
    <w:bookmarkEnd w:id="785"/>
    <w:p>
      <w:pPr>
        <w:jc w:val="both"/>
        <w:ind w:left="660" w:firstLine="972"/>
        <w:spacing w:after="0" w:line="255" w:lineRule="auto"/>
        <w:rPr>
          <w:sz w:val="20"/>
          <w:szCs w:val="20"/>
          <w:color w:val="auto"/>
        </w:rPr>
      </w:pPr>
      <w:r>
        <w:rPr>
          <w:rFonts w:ascii="Arial" w:cs="Arial" w:eastAsia="Arial" w:hAnsi="Arial"/>
          <w:sz w:val="18"/>
          <w:szCs w:val="18"/>
          <w:color w:val="010000"/>
        </w:rPr>
        <w:t xml:space="preserve">8.15.6 </w:t>
      </w:r>
      <w:r>
        <w:rPr>
          <w:rFonts w:ascii="Arial" w:cs="Arial" w:eastAsia="Arial" w:hAnsi="Arial"/>
          <w:sz w:val="18"/>
          <w:szCs w:val="18"/>
          <w:color w:val="000000"/>
        </w:rPr>
        <w:t>The Agent hereby irrevocably and unconditionally submits, for itself and its property, to the non-exclusive jurisdiction of</w:t>
      </w:r>
      <w:r>
        <w:rPr>
          <w:rFonts w:ascii="Arial" w:cs="Arial" w:eastAsia="Arial" w:hAnsi="Arial"/>
          <w:sz w:val="18"/>
          <w:szCs w:val="18"/>
          <w:color w:val="010000"/>
        </w:rPr>
        <w:t xml:space="preserve"> </w:t>
      </w:r>
      <w:r>
        <w:rPr>
          <w:rFonts w:ascii="Arial" w:cs="Arial" w:eastAsia="Arial" w:hAnsi="Arial"/>
          <w:sz w:val="18"/>
          <w:szCs w:val="18"/>
          <w:color w:val="000000"/>
        </w:rPr>
        <w:t>the courts of the Province of Alberta in any suit, action or proceeding arising out of or relating to this Security Agreement or any other Loan Document, or for recognition or enforcement of any judgment, and each of the parties hereto hereby irrevocably and unconditionally agrees that all claims in respect of any such action or proceeding may be heard and determined in such court. Each of the parties hereto agrees that a final, non-appealable judgment in any such action or proceeding shall be conclusive and may be enforced in other jurisdictions by suit on the judgment or in any other manner provided by law.</w:t>
      </w:r>
    </w:p>
    <w:p>
      <w:pPr>
        <w:spacing w:after="0" w:line="193" w:lineRule="exact"/>
        <w:rPr>
          <w:sz w:val="20"/>
          <w:szCs w:val="20"/>
          <w:color w:val="auto"/>
        </w:rPr>
      </w:pPr>
    </w:p>
    <w:p>
      <w:pPr>
        <w:jc w:val="both"/>
        <w:ind w:left="660" w:firstLine="972"/>
        <w:spacing w:after="0" w:line="279" w:lineRule="auto"/>
        <w:rPr>
          <w:sz w:val="20"/>
          <w:szCs w:val="20"/>
          <w:color w:val="auto"/>
        </w:rPr>
      </w:pPr>
      <w:r>
        <w:rPr>
          <w:rFonts w:ascii="Arial" w:cs="Arial" w:eastAsia="Arial" w:hAnsi="Arial"/>
          <w:sz w:val="17"/>
          <w:szCs w:val="17"/>
          <w:color w:val="010000"/>
        </w:rPr>
        <w:t xml:space="preserve">8.15.7 </w:t>
      </w:r>
      <w:r>
        <w:rPr>
          <w:rFonts w:ascii="Arial" w:cs="Arial" w:eastAsia="Arial" w:hAnsi="Arial"/>
          <w:sz w:val="17"/>
          <w:szCs w:val="17"/>
          <w:color w:val="000000"/>
        </w:rPr>
        <w:t>The Agent hereby irrevocably and unconditionally waives, to the fullest extent it may legally and effectively do so, any</w:t>
      </w:r>
      <w:r>
        <w:rPr>
          <w:rFonts w:ascii="Arial" w:cs="Arial" w:eastAsia="Arial" w:hAnsi="Arial"/>
          <w:sz w:val="17"/>
          <w:szCs w:val="17"/>
          <w:color w:val="010000"/>
        </w:rPr>
        <w:t xml:space="preserve"> </w:t>
      </w:r>
      <w:r>
        <w:rPr>
          <w:rFonts w:ascii="Arial" w:cs="Arial" w:eastAsia="Arial" w:hAnsi="Arial"/>
          <w:sz w:val="17"/>
          <w:szCs w:val="17"/>
          <w:color w:val="000000"/>
        </w:rPr>
        <w:t xml:space="preserve">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7"/>
          <w:szCs w:val="17"/>
          <w:u w:val="single" w:color="auto"/>
          <w:color w:val="000000"/>
        </w:rPr>
        <w:t>Section 8.15.2</w:t>
      </w:r>
      <w:r>
        <w:rPr>
          <w:rFonts w:ascii="Arial" w:cs="Arial" w:eastAsia="Arial" w:hAnsi="Arial"/>
          <w:sz w:val="17"/>
          <w:szCs w:val="17"/>
          <w:color w:val="000000"/>
        </w:rPr>
        <w:t>. The Agent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jc w:val="both"/>
        <w:ind w:left="660" w:firstLine="972"/>
        <w:spacing w:after="0" w:line="286" w:lineRule="auto"/>
        <w:rPr>
          <w:sz w:val="20"/>
          <w:szCs w:val="20"/>
          <w:color w:val="auto"/>
        </w:rPr>
      </w:pPr>
      <w:r>
        <w:rPr>
          <w:rFonts w:ascii="Arial" w:cs="Arial" w:eastAsia="Arial" w:hAnsi="Arial"/>
          <w:sz w:val="17"/>
          <w:szCs w:val="17"/>
          <w:color w:val="010000"/>
        </w:rPr>
        <w:t xml:space="preserve">8.15.8 </w:t>
      </w:r>
      <w:r>
        <w:rPr>
          <w:rFonts w:ascii="Arial" w:cs="Arial" w:eastAsia="Arial" w:hAnsi="Arial"/>
          <w:sz w:val="17"/>
          <w:szCs w:val="17"/>
          <w:color w:val="000000"/>
        </w:rPr>
        <w:t>To the extent that any Grantor has or hereafter may acquire any immunity from jurisdiction of any court or from set-off or</w:t>
      </w:r>
      <w:r>
        <w:rPr>
          <w:rFonts w:ascii="Arial" w:cs="Arial" w:eastAsia="Arial" w:hAnsi="Arial"/>
          <w:sz w:val="17"/>
          <w:szCs w:val="17"/>
          <w:color w:val="010000"/>
        </w:rPr>
        <w:t xml:space="preserve"> </w:t>
      </w:r>
      <w:r>
        <w:rPr>
          <w:rFonts w:ascii="Arial" w:cs="Arial" w:eastAsia="Arial" w:hAnsi="Arial"/>
          <w:sz w:val="17"/>
          <w:szCs w:val="17"/>
          <w:color w:val="000000"/>
        </w:rPr>
        <w:t>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66" w:lineRule="exact"/>
        <w:rPr>
          <w:sz w:val="20"/>
          <w:szCs w:val="20"/>
          <w:color w:val="auto"/>
        </w:rPr>
      </w:pPr>
    </w:p>
    <w:p>
      <w:pPr>
        <w:jc w:val="both"/>
        <w:ind w:left="660" w:firstLine="972"/>
        <w:spacing w:after="0" w:line="253" w:lineRule="auto"/>
        <w:rPr>
          <w:sz w:val="20"/>
          <w:szCs w:val="20"/>
          <w:color w:val="auto"/>
        </w:rPr>
      </w:pPr>
      <w:r>
        <w:rPr>
          <w:rFonts w:ascii="Arial" w:cs="Arial" w:eastAsia="Arial" w:hAnsi="Arial"/>
          <w:sz w:val="18"/>
          <w:szCs w:val="18"/>
          <w:color w:val="010000"/>
        </w:rPr>
        <w:t xml:space="preserve">8.15.9 </w:t>
      </w:r>
      <w:r>
        <w:rPr>
          <w:rFonts w:ascii="Arial" w:cs="Arial" w:eastAsia="Arial" w:hAnsi="Arial"/>
          <w:sz w:val="18"/>
          <w:szCs w:val="18"/>
          <w:color w:val="000000"/>
        </w:rPr>
        <w:t>EACH PARTY HERETO HEREBY WAIVES, TO THE FULLEST EXTENT PERMITTED BY APPLICABLE LAW,</w:t>
      </w:r>
      <w:r>
        <w:rPr>
          <w:rFonts w:ascii="Arial" w:cs="Arial" w:eastAsia="Arial" w:hAnsi="Arial"/>
          <w:sz w:val="18"/>
          <w:szCs w:val="18"/>
          <w:color w:val="010000"/>
        </w:rPr>
        <w:t xml:space="preserve"> </w:t>
      </w:r>
      <w:r>
        <w:rPr>
          <w:rFonts w:ascii="Arial" w:cs="Arial" w:eastAsia="Arial" w:hAnsi="Arial"/>
          <w:sz w:val="18"/>
          <w:szCs w:val="18"/>
          <w:color w:val="000000"/>
        </w:rPr>
        <w:t>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8.16. </w:t>
      </w:r>
      <w:r>
        <w:rPr>
          <w:rFonts w:ascii="Arial" w:cs="Arial" w:eastAsia="Arial" w:hAnsi="Arial"/>
          <w:sz w:val="18"/>
          <w:szCs w:val="18"/>
          <w:u w:val="single" w:color="auto"/>
          <w:color w:val="000000"/>
        </w:rPr>
        <w:t>Indemnity</w:t>
      </w:r>
      <w:r>
        <w:rPr>
          <w:rFonts w:ascii="Arial" w:cs="Arial" w:eastAsia="Arial" w:hAnsi="Arial"/>
          <w:sz w:val="18"/>
          <w:szCs w:val="18"/>
          <w:color w:val="000000"/>
        </w:rPr>
        <w:t>. Each Grantor hereby agrees, jointly with the other Grantors and severally, to indemnify the Agent and the Secured Parties in</w:t>
      </w:r>
      <w:r>
        <w:rPr>
          <w:rFonts w:ascii="Arial" w:cs="Arial" w:eastAsia="Arial" w:hAnsi="Arial"/>
          <w:sz w:val="18"/>
          <w:szCs w:val="18"/>
          <w:color w:val="010000"/>
        </w:rPr>
        <w:t xml:space="preserve"> </w:t>
      </w:r>
      <w:r>
        <w:rPr>
          <w:rFonts w:ascii="Arial" w:cs="Arial" w:eastAsia="Arial" w:hAnsi="Arial"/>
          <w:sz w:val="18"/>
          <w:szCs w:val="18"/>
          <w:color w:val="000000"/>
        </w:rPr>
        <w:t xml:space="preserve">accordance with Section 11.04 of the LC Credit Agreement, </w:t>
      </w:r>
      <w:r>
        <w:rPr>
          <w:rFonts w:ascii="Arial" w:cs="Arial" w:eastAsia="Arial" w:hAnsi="Arial"/>
          <w:sz w:val="18"/>
          <w:szCs w:val="18"/>
          <w:i w:val="1"/>
          <w:iCs w:val="1"/>
          <w:color w:val="000000"/>
        </w:rPr>
        <w:t>mutatis mutandis</w:t>
      </w:r>
      <w:r>
        <w:rPr>
          <w:rFonts w:ascii="Arial" w:cs="Arial" w:eastAsia="Arial" w:hAnsi="Arial"/>
          <w:sz w:val="18"/>
          <w:szCs w:val="18"/>
          <w:color w:val="000000"/>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8.17. </w:t>
      </w:r>
      <w:r>
        <w:rPr>
          <w:rFonts w:ascii="Arial" w:cs="Arial" w:eastAsia="Arial" w:hAnsi="Arial"/>
          <w:sz w:val="18"/>
          <w:szCs w:val="18"/>
          <w:u w:val="single" w:color="auto"/>
          <w:color w:val="000000"/>
        </w:rPr>
        <w:t>Severability</w:t>
      </w:r>
      <w:r>
        <w:rPr>
          <w:rFonts w:ascii="Arial" w:cs="Arial" w:eastAsia="Arial" w:hAnsi="Arial"/>
          <w:sz w:val="18"/>
          <w:szCs w:val="18"/>
          <w:color w:val="000000"/>
        </w:rPr>
        <w:t>. Any provision in this Security Agreement that is held to be inoperative, unenforceable, not permissible, or invalid in any</w:t>
      </w:r>
      <w:r>
        <w:rPr>
          <w:rFonts w:ascii="Arial" w:cs="Arial" w:eastAsia="Arial" w:hAnsi="Arial"/>
          <w:sz w:val="18"/>
          <w:szCs w:val="18"/>
          <w:color w:val="010000"/>
        </w:rPr>
        <w:t xml:space="preserve"> </w:t>
      </w:r>
      <w:r>
        <w:rPr>
          <w:rFonts w:ascii="Arial" w:cs="Arial" w:eastAsia="Arial" w:hAnsi="Arial"/>
          <w:sz w:val="18"/>
          <w:szCs w:val="18"/>
          <w:color w:val="000000"/>
        </w:rPr>
        <w:t>jurisdiction shall, as to that jurisdiction, be inoperative, unenforceable, not permissible,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786" w:name="page787"/>
    <w:bookmarkEnd w:id="786"/>
    <w:p>
      <w:pPr>
        <w:jc w:val="both"/>
        <w:ind w:firstLine="648"/>
        <w:spacing w:after="0" w:line="271" w:lineRule="auto"/>
        <w:rPr>
          <w:sz w:val="20"/>
          <w:szCs w:val="20"/>
          <w:color w:val="auto"/>
        </w:rPr>
      </w:pPr>
      <w:r>
        <w:rPr>
          <w:rFonts w:ascii="Arial" w:cs="Arial" w:eastAsia="Arial" w:hAnsi="Arial"/>
          <w:sz w:val="17"/>
          <w:szCs w:val="17"/>
          <w:color w:val="010000"/>
        </w:rPr>
        <w:t xml:space="preserve">8.18. </w:t>
      </w:r>
      <w:r>
        <w:rPr>
          <w:rFonts w:ascii="Arial" w:cs="Arial" w:eastAsia="Arial" w:hAnsi="Arial"/>
          <w:sz w:val="17"/>
          <w:szCs w:val="17"/>
          <w:u w:val="single" w:color="auto"/>
          <w:color w:val="000000"/>
        </w:rPr>
        <w:t>Counterparts</w:t>
      </w:r>
      <w:r>
        <w:rPr>
          <w:rFonts w:ascii="Arial" w:cs="Arial" w:eastAsia="Arial" w:hAnsi="Arial"/>
          <w:sz w:val="17"/>
          <w:szCs w:val="17"/>
          <w:color w:val="000000"/>
        </w:rPr>
        <w:t>. This Security Agreement may be executed in counterparts (and by different parties hereto in different counterparts), each of</w:t>
      </w:r>
      <w:r>
        <w:rPr>
          <w:rFonts w:ascii="Arial" w:cs="Arial" w:eastAsia="Arial" w:hAnsi="Arial"/>
          <w:sz w:val="17"/>
          <w:szCs w:val="17"/>
          <w:color w:val="010000"/>
        </w:rPr>
        <w:t xml:space="preserve"> </w:t>
      </w:r>
      <w:r>
        <w:rPr>
          <w:rFonts w:ascii="Arial" w:cs="Arial" w:eastAsia="Arial" w:hAnsi="Arial"/>
          <w:sz w:val="17"/>
          <w:szCs w:val="17"/>
          <w:color w:val="000000"/>
        </w:rPr>
        <w:t xml:space="preserve">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w:t>
      </w:r>
      <w:r>
        <w:rPr>
          <w:rFonts w:ascii="Arial" w:cs="Arial" w:eastAsia="Arial" w:hAnsi="Arial"/>
          <w:sz w:val="17"/>
          <w:szCs w:val="17"/>
          <w:i w:val="1"/>
          <w:iCs w:val="1"/>
          <w:color w:val="000000"/>
        </w:rPr>
        <w:t>Electronic Transactions Act</w:t>
      </w:r>
      <w:r>
        <w:rPr>
          <w:rFonts w:ascii="Arial" w:cs="Arial" w:eastAsia="Arial" w:hAnsi="Arial"/>
          <w:sz w:val="17"/>
          <w:szCs w:val="17"/>
          <w:color w:val="000000"/>
        </w:rPr>
        <w:t xml:space="preserve"> (Alberta).</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010000"/>
        </w:rPr>
        <w:t xml:space="preserve">8.19. </w:t>
      </w:r>
      <w:r>
        <w:rPr>
          <w:rFonts w:ascii="Arial" w:cs="Arial" w:eastAsia="Arial" w:hAnsi="Arial"/>
          <w:sz w:val="17"/>
          <w:szCs w:val="17"/>
          <w:u w:val="single" w:color="auto"/>
          <w:color w:val="000000"/>
        </w:rPr>
        <w:t>Intercreditor Agreement</w:t>
      </w:r>
      <w:r>
        <w:rPr>
          <w:rFonts w:ascii="Arial" w:cs="Arial" w:eastAsia="Arial" w:hAnsi="Arial"/>
          <w:sz w:val="17"/>
          <w:szCs w:val="17"/>
          <w:color w:val="000000"/>
        </w:rPr>
        <w:t>. Notwithstanding anything herein to the contrary, the Lien and security interest granted to the Agent pursuant to</w:t>
      </w:r>
      <w:r>
        <w:rPr>
          <w:rFonts w:ascii="Arial" w:cs="Arial" w:eastAsia="Arial" w:hAnsi="Arial"/>
          <w:sz w:val="17"/>
          <w:szCs w:val="17"/>
          <w:color w:val="010000"/>
        </w:rPr>
        <w:t xml:space="preserve"> </w:t>
      </w:r>
      <w:r>
        <w:rPr>
          <w:rFonts w:ascii="Arial" w:cs="Arial" w:eastAsia="Arial" w:hAnsi="Arial"/>
          <w:sz w:val="17"/>
          <w:szCs w:val="17"/>
          <w:color w:val="000000"/>
        </w:rPr>
        <w:t xml:space="preserve">or in connection with this Security Agreement, and the exercise of any right or remedy by the Agent hereunder are subject to the provisions of the Intercreditor Agreement. In the event of any conflict between the terms of the Intercreditor Agreement and this Security Agreement, subject to </w:t>
      </w:r>
      <w:r>
        <w:rPr>
          <w:rFonts w:ascii="Arial" w:cs="Arial" w:eastAsia="Arial" w:hAnsi="Arial"/>
          <w:sz w:val="17"/>
          <w:szCs w:val="17"/>
          <w:u w:val="single" w:color="auto"/>
          <w:color w:val="000000"/>
        </w:rPr>
        <w:t>Section 4.6.4</w:t>
      </w:r>
      <w:r>
        <w:rPr>
          <w:rFonts w:ascii="Arial" w:cs="Arial" w:eastAsia="Arial" w:hAnsi="Arial"/>
          <w:sz w:val="17"/>
          <w:szCs w:val="17"/>
          <w:color w:val="000000"/>
        </w:rPr>
        <w:t xml:space="preserve"> hereof and any other limitation on rights of the Agent or other Secured Party with respect to ULC Shares hereunder, the terms of the Intercreditor Agreement shall control. For so long as the Intercreditor Agreement remains in effect, the delivery of any Collateral to the ABL Collateral Agent as required by the Intercreditor Agreement shall satisfy any delivery requirement with respect to such Collateral hereunder.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8.20. </w:t>
      </w:r>
      <w:r>
        <w:rPr>
          <w:rFonts w:ascii="Arial" w:cs="Arial" w:eastAsia="Arial" w:hAnsi="Arial"/>
          <w:sz w:val="18"/>
          <w:szCs w:val="18"/>
          <w:u w:val="single" w:color="auto"/>
          <w:color w:val="000000"/>
        </w:rPr>
        <w:t>Loan Document</w:t>
      </w:r>
      <w:r>
        <w:rPr>
          <w:rFonts w:ascii="Arial" w:cs="Arial" w:eastAsia="Arial" w:hAnsi="Arial"/>
          <w:sz w:val="18"/>
          <w:szCs w:val="18"/>
          <w:color w:val="000000"/>
        </w:rPr>
        <w:t>. This Security Agreement constitutes a Loan Document for all purposes under the LC Credit Agreement and all other</w:t>
      </w:r>
      <w:r>
        <w:rPr>
          <w:rFonts w:ascii="Arial" w:cs="Arial" w:eastAsia="Arial" w:hAnsi="Arial"/>
          <w:sz w:val="18"/>
          <w:szCs w:val="18"/>
          <w:color w:val="010000"/>
        </w:rPr>
        <w:t xml:space="preserve"> </w:t>
      </w:r>
      <w:r>
        <w:rPr>
          <w:rFonts w:ascii="Arial" w:cs="Arial" w:eastAsia="Arial" w:hAnsi="Arial"/>
          <w:sz w:val="18"/>
          <w:szCs w:val="18"/>
          <w:color w:val="000000"/>
        </w:rPr>
        <w:t>Loan Documents.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010000"/>
        </w:rPr>
        <w:t xml:space="preserve">8.21. </w:t>
      </w:r>
      <w:r>
        <w:rPr>
          <w:rFonts w:ascii="Arial" w:cs="Arial" w:eastAsia="Arial" w:hAnsi="Arial"/>
          <w:sz w:val="16"/>
          <w:szCs w:val="16"/>
          <w:u w:val="single" w:color="auto"/>
          <w:color w:val="000000"/>
        </w:rPr>
        <w:t>Further Assurances</w:t>
      </w:r>
      <w:r>
        <w:rPr>
          <w:rFonts w:ascii="Arial" w:cs="Arial" w:eastAsia="Arial" w:hAnsi="Arial"/>
          <w:sz w:val="16"/>
          <w:szCs w:val="16"/>
          <w:color w:val="000000"/>
        </w:rPr>
        <w:t>. Each Grantor shall, execute and deliver, or cause to be executed and delivered, to the Agent such documents,</w:t>
      </w:r>
      <w:r>
        <w:rPr>
          <w:rFonts w:ascii="Arial" w:cs="Arial" w:eastAsia="Arial" w:hAnsi="Arial"/>
          <w:sz w:val="16"/>
          <w:szCs w:val="16"/>
          <w:color w:val="010000"/>
        </w:rPr>
        <w:t xml:space="preserve"> </w:t>
      </w:r>
      <w:r>
        <w:rPr>
          <w:rFonts w:ascii="Arial" w:cs="Arial" w:eastAsia="Arial" w:hAnsi="Arial"/>
          <w:sz w:val="16"/>
          <w:szCs w:val="16"/>
          <w:color w:val="000000"/>
        </w:rPr>
        <w:t>agreements, instruments, forms and notices and will take or cause to be taken such further actions (including the filing and recording of financing statements and other documents serving notices of assignment and such other actions or deliveries of the type required by Section 5.01 of the LC Credit Agreement, as applicable), which may be required by law or which the Agent may, from time to time, reasonably request to carry out the terms and conditions of this Security Agreement and to ensure perfection and priority of the Liens created or intended to be created hereby, all at the expense of the Grantors.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9.1. </w:t>
      </w:r>
      <w:r>
        <w:rPr>
          <w:rFonts w:ascii="Arial" w:cs="Arial" w:eastAsia="Arial" w:hAnsi="Arial"/>
          <w:sz w:val="18"/>
          <w:szCs w:val="18"/>
          <w:u w:val="single" w:color="auto"/>
          <w:color w:val="000000"/>
        </w:rPr>
        <w:t>Sending Notices</w:t>
      </w:r>
      <w:r>
        <w:rPr>
          <w:rFonts w:ascii="Arial" w:cs="Arial" w:eastAsia="Arial" w:hAnsi="Arial"/>
          <w:sz w:val="18"/>
          <w:szCs w:val="18"/>
          <w:color w:val="000000"/>
        </w:rPr>
        <w:t>. All notices, requests and other communications to any party hereunder shall be given in the manner prescribed in</w:t>
      </w:r>
      <w:r>
        <w:rPr>
          <w:rFonts w:ascii="Arial" w:cs="Arial" w:eastAsia="Arial" w:hAnsi="Arial"/>
          <w:sz w:val="18"/>
          <w:szCs w:val="18"/>
          <w:color w:val="010000"/>
        </w:rPr>
        <w:t xml:space="preserve"> </w:t>
      </w:r>
      <w:r>
        <w:rPr>
          <w:rFonts w:ascii="Arial" w:cs="Arial" w:eastAsia="Arial" w:hAnsi="Arial"/>
          <w:sz w:val="18"/>
          <w:szCs w:val="18"/>
          <w:color w:val="000000"/>
        </w:rPr>
        <w:t>Section 11.02 of the LC Credit Agreement with respect to the Agent at its notice address therein and, with respect to any Grantor, in the care of Weatherford International, LLC, as provided and at the notice address set forth in the Credit Agreement, or such other address or telecopy number as such party may hereafter specify for such purpose in accordance with the provisions of Section 11.02 of the LC Credit Agreement. Any notice delivered to the Borrowers on behalf of the Grantors shall be deemed to have been delivered to all of the Grantors.</w:t>
      </w:r>
    </w:p>
    <w:p>
      <w:pPr>
        <w:spacing w:after="0" w:line="188" w:lineRule="exact"/>
        <w:rPr>
          <w:sz w:val="20"/>
          <w:szCs w:val="20"/>
          <w:color w:val="auto"/>
        </w:rPr>
      </w:pPr>
    </w:p>
    <w:p>
      <w:pPr>
        <w:ind w:left="100" w:right="20" w:firstLine="648"/>
        <w:spacing w:after="0" w:line="277" w:lineRule="auto"/>
        <w:rPr>
          <w:sz w:val="20"/>
          <w:szCs w:val="20"/>
          <w:color w:val="auto"/>
        </w:rPr>
      </w:pPr>
      <w:r>
        <w:rPr>
          <w:rFonts w:ascii="Arial" w:cs="Arial" w:eastAsia="Arial" w:hAnsi="Arial"/>
          <w:sz w:val="18"/>
          <w:szCs w:val="18"/>
          <w:color w:val="010000"/>
        </w:rPr>
        <w:t xml:space="preserve">9.2. </w:t>
      </w:r>
      <w:r>
        <w:rPr>
          <w:rFonts w:ascii="Arial" w:cs="Arial" w:eastAsia="Arial" w:hAnsi="Arial"/>
          <w:sz w:val="18"/>
          <w:szCs w:val="18"/>
          <w:u w:val="single" w:color="auto"/>
          <w:color w:val="000000"/>
        </w:rPr>
        <w:t>Change in Address for Notices</w:t>
      </w:r>
      <w:r>
        <w:rPr>
          <w:rFonts w:ascii="Arial" w:cs="Arial" w:eastAsia="Arial" w:hAnsi="Arial"/>
          <w:sz w:val="18"/>
          <w:szCs w:val="18"/>
          <w:color w:val="000000"/>
        </w:rPr>
        <w:t>. Each of the Grantors, the Agent and the Lenders may change the address for service of notice upon it by a</w:t>
      </w:r>
      <w:r>
        <w:rPr>
          <w:rFonts w:ascii="Arial" w:cs="Arial" w:eastAsia="Arial" w:hAnsi="Arial"/>
          <w:sz w:val="18"/>
          <w:szCs w:val="18"/>
          <w:color w:val="010000"/>
        </w:rPr>
        <w:t xml:space="preserve"> </w:t>
      </w:r>
      <w:r>
        <w:rPr>
          <w:rFonts w:ascii="Arial" w:cs="Arial" w:eastAsia="Arial" w:hAnsi="Arial"/>
          <w:sz w:val="18"/>
          <w:szCs w:val="18"/>
          <w:color w:val="000000"/>
        </w:rPr>
        <w:t>notice in writing to the other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Follow</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87" w:name="page788"/>
    <w:bookmarkEnd w:id="787"/>
    <w:p>
      <w:pPr>
        <w:spacing w:after="0"/>
        <w:rPr>
          <w:sz w:val="20"/>
          <w:szCs w:val="20"/>
          <w:color w:val="auto"/>
        </w:rPr>
      </w:pPr>
      <w:r>
        <w:rPr>
          <w:rFonts w:ascii="Arial" w:cs="Arial" w:eastAsia="Arial" w:hAnsi="Arial"/>
          <w:sz w:val="16"/>
          <w:szCs w:val="16"/>
          <w:color w:val="auto"/>
        </w:rPr>
        <w:t>IN WITNESS WHEREOF, each of the Grantors and the Agent have executed this Security Agreement as of the date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GRANTORS:</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WEATHERFORD CANADA LTD.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40487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WEATHERFORD (NOVA SCOTIA) ULC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40487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PRECISION ENERGY SERVICES ULC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40487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PRECISION ENERGY INTERNATIONAL LTD.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40487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PRECISION ENERGY SERVICES COLOMBIA LTD.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40487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443865</wp:posOffset>
            </wp:positionV>
            <wp:extent cx="724662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00"/>
          </w:cols>
          <w:pgMar w:left="980" w:top="1125" w:right="1119" w:bottom="1440" w:gutter="0" w:footer="0" w:header="0"/>
        </w:sectPr>
      </w:pPr>
    </w:p>
    <w:bookmarkStart w:id="788" w:name="page789"/>
    <w:bookmarkEnd w:id="788"/>
    <w:p>
      <w:pPr>
        <w:spacing w:after="0"/>
        <w:rPr>
          <w:sz w:val="20"/>
          <w:szCs w:val="20"/>
          <w:color w:val="auto"/>
        </w:rPr>
      </w:pPr>
      <w:r>
        <w:rPr>
          <w:rFonts w:ascii="Arial" w:cs="Arial" w:eastAsia="Arial" w:hAnsi="Arial"/>
          <w:sz w:val="18"/>
          <w:szCs w:val="18"/>
          <w:color w:val="auto"/>
        </w:rPr>
        <w:t>DEUTSCHE BANK TRUST COMPANY AMERICAS,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Signature Page to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789" w:name="page790"/>
    <w:bookmarkEnd w:id="789"/>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Prior names, jurisdiction of formation, place of business (if Grantor has only one place of business), chief executive office (if Grantor has more than one place of business), mergers and mailing address:</w:t>
      </w:r>
    </w:p>
    <w:p>
      <w:pPr>
        <w:spacing w:after="0" w:line="170" w:lineRule="exact"/>
        <w:rPr>
          <w:sz w:val="20"/>
          <w:szCs w:val="20"/>
          <w:color w:val="auto"/>
        </w:rPr>
      </w:pPr>
    </w:p>
    <w:p>
      <w:pPr>
        <w:ind w:left="840" w:hanging="643"/>
        <w:spacing w:after="0"/>
        <w:tabs>
          <w:tab w:leader="none" w:pos="84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No prior names.</w:t>
      </w:r>
    </w:p>
    <w:p>
      <w:pPr>
        <w:spacing w:after="0" w:line="225" w:lineRule="exact"/>
        <w:rPr>
          <w:rFonts w:ascii="Arial" w:cs="Arial" w:eastAsia="Arial" w:hAnsi="Arial"/>
          <w:sz w:val="18"/>
          <w:szCs w:val="18"/>
          <w:color w:val="auto"/>
        </w:rPr>
      </w:pPr>
    </w:p>
    <w:p>
      <w:pPr>
        <w:ind w:left="840" w:right="220" w:hanging="643"/>
        <w:spacing w:after="0" w:line="277" w:lineRule="auto"/>
        <w:tabs>
          <w:tab w:leader="none" w:pos="84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Jurisdiction of Formation: Alberta for each of Weatherford Canada Ltd., Precision Energy Services ULC, Precision Energy International Ltd. and Precision Energy Services Colombia Ltd., and Nova Scotia for Weatherford (Nova Scotia) ULC</w:t>
      </w:r>
    </w:p>
    <w:p>
      <w:pPr>
        <w:spacing w:after="0" w:line="197" w:lineRule="exact"/>
        <w:rPr>
          <w:rFonts w:ascii="Arial" w:cs="Arial" w:eastAsia="Arial" w:hAnsi="Arial"/>
          <w:sz w:val="18"/>
          <w:szCs w:val="18"/>
          <w:color w:val="auto"/>
        </w:rPr>
      </w:pPr>
    </w:p>
    <w:p>
      <w:pPr>
        <w:ind w:left="840" w:hanging="643"/>
        <w:spacing w:after="0"/>
        <w:tabs>
          <w:tab w:leader="none" w:pos="84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Chief Executive Office in Canada and mailing address for each of the Grantors:</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333 5th Avenue S.W., Suite 1200</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Calgary, Alberta T2P 3B6</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Attention: Legal Department - Canada</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Locations of Inventory and Equipment the net book value of which exceeds $10,000,000:</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40" w:type="dxa"/>
            <w:vAlign w:val="bottom"/>
            <w:tcBorders>
              <w:top w:val="single" w:sz="8" w:color="auto"/>
              <w:left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Address</w:t>
            </w:r>
          </w:p>
        </w:tc>
        <w:tc>
          <w:tcPr>
            <w:tcW w:w="240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City</w:t>
            </w:r>
          </w:p>
        </w:tc>
        <w:tc>
          <w:tcPr>
            <w:tcW w:w="15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Province</w:t>
            </w:r>
          </w:p>
        </w:tc>
        <w:tc>
          <w:tcPr>
            <w:tcW w:w="250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Owned or Leased</w:t>
            </w:r>
          </w:p>
        </w:tc>
      </w:tr>
      <w:tr>
        <w:trPr>
          <w:trHeight w:val="210"/>
        </w:trPr>
        <w:tc>
          <w:tcPr>
            <w:tcW w:w="4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2603 - 5th Street</w:t>
            </w:r>
          </w:p>
        </w:tc>
        <w:tc>
          <w:tcPr>
            <w:tcW w:w="2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NISKU</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Owned</w:t>
            </w:r>
          </w:p>
        </w:tc>
      </w:tr>
      <w:tr>
        <w:trPr>
          <w:trHeight w:val="210"/>
        </w:trPr>
        <w:tc>
          <w:tcPr>
            <w:tcW w:w="49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2801-84th Avenue</w:t>
            </w:r>
          </w:p>
        </w:tc>
        <w:tc>
          <w:tcPr>
            <w:tcW w:w="2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EDMONTON</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Owned</w:t>
            </w:r>
          </w:p>
        </w:tc>
      </w:tr>
      <w:tr>
        <w:trPr>
          <w:trHeight w:val="642"/>
        </w:trPr>
        <w:tc>
          <w:tcPr>
            <w:tcW w:w="4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A-1</w:t>
            </w:r>
          </w:p>
        </w:tc>
        <w:tc>
          <w:tcPr>
            <w:tcW w:w="1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90" w:name="page791"/>
    <w:bookmarkEnd w:id="790"/>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Sections 3.8, 3.11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4.11</w:t>
      </w:r>
      <w:r>
        <w:rPr>
          <w:rFonts w:ascii="Arial" w:cs="Arial" w:eastAsia="Arial" w:hAnsi="Arial"/>
          <w:sz w:val="17"/>
          <w:szCs w:val="17"/>
          <w:color w:val="auto"/>
        </w:rPr>
        <w:t xml:space="preserve"> of Security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Serial Number Goods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see list of serial number goods attached as Exhibit B-1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Patents, copyrights and trademarks: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 as Exhibit B-2.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791" w:name="page792"/>
    <w:bookmarkEnd w:id="791"/>
    <w:p>
      <w:pPr>
        <w:jc w:val="center"/>
        <w:ind w:right="-20"/>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9019"/>
          </w:cols>
          <w:pgMar w:left="1440" w:top="908"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[Reserved]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792" w:name="page793"/>
    <w:bookmarkEnd w:id="792"/>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Pledged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180" w:type="dxa"/>
            <w:vAlign w:val="bottom"/>
            <w:tcBorders>
              <w:top w:val="single" w:sz="8" w:color="auto"/>
              <w:left w:val="single" w:sz="8" w:color="auto"/>
              <w:right w:val="single" w:sz="8" w:color="auto"/>
            </w:tcBorders>
            <w:shd w:val="clear" w:color="auto" w:fill="F1F1F1"/>
          </w:tcPr>
          <w:p>
            <w:pPr>
              <w:spacing w:after="0"/>
              <w:rPr>
                <w:sz w:val="18"/>
                <w:szCs w:val="18"/>
                <w:color w:val="auto"/>
              </w:rPr>
            </w:pPr>
          </w:p>
        </w:tc>
        <w:tc>
          <w:tcPr>
            <w:tcW w:w="2600" w:type="dxa"/>
            <w:vAlign w:val="bottom"/>
            <w:tcBorders>
              <w:top w:val="single" w:sz="8" w:color="auto"/>
              <w:right w:val="single" w:sz="8" w:color="auto"/>
            </w:tcBorders>
            <w:shd w:val="clear" w:color="auto" w:fill="F1F1F1"/>
          </w:tcPr>
          <w:p>
            <w:pPr>
              <w:spacing w:after="0"/>
              <w:rPr>
                <w:sz w:val="18"/>
                <w:szCs w:val="18"/>
                <w:color w:val="auto"/>
              </w:rPr>
            </w:pPr>
          </w:p>
        </w:tc>
        <w:tc>
          <w:tcPr>
            <w:tcW w:w="1080" w:type="dxa"/>
            <w:vAlign w:val="bottom"/>
            <w:tcBorders>
              <w:top w:val="single" w:sz="8" w:color="auto"/>
              <w:right w:val="single" w:sz="8" w:color="auto"/>
            </w:tcBorders>
            <w:shd w:val="clear" w:color="auto" w:fill="F1F1F1"/>
          </w:tcPr>
          <w:p>
            <w:pPr>
              <w:spacing w:after="0"/>
              <w:rPr>
                <w:sz w:val="18"/>
                <w:szCs w:val="18"/>
                <w:color w:val="auto"/>
              </w:rPr>
            </w:pPr>
          </w:p>
        </w:tc>
        <w:tc>
          <w:tcPr>
            <w:tcW w:w="1260" w:type="dxa"/>
            <w:vAlign w:val="bottom"/>
            <w:tcBorders>
              <w:top w:val="single" w:sz="8" w:color="auto"/>
              <w:right w:val="single" w:sz="8" w:color="auto"/>
            </w:tcBorders>
            <w:shd w:val="clear" w:color="auto" w:fill="F1F1F1"/>
          </w:tcPr>
          <w:p>
            <w:pPr>
              <w:spacing w:after="0"/>
              <w:rPr>
                <w:sz w:val="18"/>
                <w:szCs w:val="18"/>
                <w:color w:val="auto"/>
              </w:rPr>
            </w:pPr>
          </w:p>
        </w:tc>
        <w:tc>
          <w:tcPr>
            <w:tcW w:w="1600" w:type="dxa"/>
            <w:vAlign w:val="bottom"/>
            <w:tcBorders>
              <w:top w:val="single" w:sz="8" w:color="auto"/>
              <w:right w:val="single" w:sz="8" w:color="auto"/>
            </w:tcBorders>
            <w:shd w:val="clear" w:color="auto" w:fill="F1F1F1"/>
          </w:tcPr>
          <w:p>
            <w:pPr>
              <w:spacing w:after="0"/>
              <w:rPr>
                <w:sz w:val="18"/>
                <w:szCs w:val="18"/>
                <w:color w:val="auto"/>
              </w:rPr>
            </w:pPr>
          </w:p>
        </w:tc>
        <w:tc>
          <w:tcPr>
            <w:tcW w:w="1460" w:type="dxa"/>
            <w:vAlign w:val="bottom"/>
            <w:tcBorders>
              <w:top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1240" w:type="dxa"/>
            <w:vAlign w:val="bottom"/>
            <w:tcBorders>
              <w:top w:val="single" w:sz="8" w:color="auto"/>
              <w:right w:val="single" w:sz="8" w:color="auto"/>
            </w:tcBorders>
            <w:shd w:val="clear" w:color="auto" w:fill="F1F1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shd w:val="clear" w:color="auto" w:fill="F1F1F1"/>
          </w:tcPr>
          <w:p>
            <w:pPr>
              <w:spacing w:after="0"/>
              <w:rPr>
                <w:sz w:val="18"/>
                <w:szCs w:val="18"/>
                <w:color w:val="auto"/>
              </w:rPr>
            </w:pPr>
          </w:p>
        </w:tc>
        <w:tc>
          <w:tcPr>
            <w:tcW w:w="2600" w:type="dxa"/>
            <w:vAlign w:val="bottom"/>
            <w:tcBorders>
              <w:right w:val="single" w:sz="8" w:color="auto"/>
            </w:tcBorders>
            <w:shd w:val="clear" w:color="auto" w:fill="F1F1F1"/>
          </w:tcPr>
          <w:p>
            <w:pPr>
              <w:spacing w:after="0"/>
              <w:rPr>
                <w:sz w:val="18"/>
                <w:szCs w:val="18"/>
                <w:color w:val="auto"/>
              </w:rPr>
            </w:pPr>
          </w:p>
        </w:tc>
        <w:tc>
          <w:tcPr>
            <w:tcW w:w="1080" w:type="dxa"/>
            <w:vAlign w:val="bottom"/>
            <w:tcBorders>
              <w:right w:val="single" w:sz="8" w:color="auto"/>
            </w:tcBorders>
            <w:shd w:val="clear" w:color="auto" w:fill="F1F1F1"/>
          </w:tcPr>
          <w:p>
            <w:pPr>
              <w:ind w:left="120"/>
              <w:spacing w:after="0"/>
              <w:rPr>
                <w:sz w:val="20"/>
                <w:szCs w:val="20"/>
                <w:color w:val="auto"/>
              </w:rPr>
            </w:pPr>
            <w:r>
              <w:rPr>
                <w:rFonts w:ascii="Arial" w:cs="Arial" w:eastAsia="Arial" w:hAnsi="Arial"/>
                <w:sz w:val="18"/>
                <w:szCs w:val="18"/>
                <w:b w:val="1"/>
                <w:bCs w:val="1"/>
                <w:color w:val="auto"/>
              </w:rPr>
              <w:t>Certificate</w:t>
            </w:r>
          </w:p>
        </w:tc>
        <w:tc>
          <w:tcPr>
            <w:tcW w:w="1260" w:type="dxa"/>
            <w:vAlign w:val="bottom"/>
            <w:tcBorders>
              <w:right w:val="single" w:sz="8" w:color="auto"/>
            </w:tcBorders>
            <w:shd w:val="clear" w:color="auto" w:fill="F1F1F1"/>
          </w:tcPr>
          <w:p>
            <w:pPr>
              <w:ind w:left="140"/>
              <w:spacing w:after="0"/>
              <w:rPr>
                <w:sz w:val="20"/>
                <w:szCs w:val="20"/>
                <w:color w:val="auto"/>
              </w:rPr>
            </w:pPr>
            <w:r>
              <w:rPr>
                <w:rFonts w:ascii="Arial" w:cs="Arial" w:eastAsia="Arial" w:hAnsi="Arial"/>
                <w:sz w:val="18"/>
                <w:szCs w:val="18"/>
                <w:b w:val="1"/>
                <w:bCs w:val="1"/>
                <w:color w:val="auto"/>
              </w:rPr>
              <w:t>Number of</w:t>
            </w:r>
          </w:p>
        </w:tc>
        <w:tc>
          <w:tcPr>
            <w:tcW w:w="1600" w:type="dxa"/>
            <w:vAlign w:val="bottom"/>
            <w:tcBorders>
              <w:right w:val="single" w:sz="8" w:color="auto"/>
            </w:tcBorders>
            <w:shd w:val="clear" w:color="auto" w:fill="F1F1F1"/>
          </w:tcPr>
          <w:p>
            <w:pPr>
              <w:spacing w:after="0"/>
              <w:rPr>
                <w:sz w:val="18"/>
                <w:szCs w:val="18"/>
                <w:color w:val="auto"/>
              </w:rPr>
            </w:pPr>
          </w:p>
        </w:tc>
        <w:tc>
          <w:tcPr>
            <w:tcW w:w="1460" w:type="dxa"/>
            <w:vAlign w:val="bottom"/>
            <w:tcBorders>
              <w:right w:val="single" w:sz="8" w:color="auto"/>
            </w:tcBorders>
            <w:shd w:val="clear" w:color="auto" w:fill="F1F1F1"/>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Borders>
              <w:right w:val="single" w:sz="8" w:color="auto"/>
            </w:tcBorders>
            <w:shd w:val="clear" w:color="auto" w:fill="F1F1F1"/>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left w:val="single" w:sz="8" w:color="auto"/>
              <w:bottom w:val="single" w:sz="8" w:color="auto"/>
              <w:right w:val="single" w:sz="8" w:color="auto"/>
            </w:tcBorders>
            <w:shd w:val="clear" w:color="auto" w:fill="F1F1F1"/>
          </w:tcPr>
          <w:p>
            <w:pPr>
              <w:ind w:left="600"/>
              <w:spacing w:after="0"/>
              <w:rPr>
                <w:sz w:val="20"/>
                <w:szCs w:val="20"/>
                <w:color w:val="auto"/>
              </w:rPr>
            </w:pPr>
            <w:r>
              <w:rPr>
                <w:rFonts w:ascii="Arial" w:cs="Arial" w:eastAsia="Arial" w:hAnsi="Arial"/>
                <w:sz w:val="18"/>
                <w:szCs w:val="18"/>
                <w:b w:val="1"/>
                <w:bCs w:val="1"/>
                <w:color w:val="auto"/>
              </w:rPr>
              <w:t>Name of Grantor</w:t>
            </w:r>
          </w:p>
        </w:tc>
        <w:tc>
          <w:tcPr>
            <w:tcW w:w="2600" w:type="dxa"/>
            <w:vAlign w:val="bottom"/>
            <w:tcBorders>
              <w:bottom w:val="single" w:sz="8" w:color="auto"/>
              <w:right w:val="single" w:sz="8" w:color="auto"/>
            </w:tcBorders>
            <w:shd w:val="clear" w:color="auto" w:fill="F1F1F1"/>
          </w:tcPr>
          <w:p>
            <w:pPr>
              <w:ind w:left="1060"/>
              <w:spacing w:after="0"/>
              <w:rPr>
                <w:sz w:val="20"/>
                <w:szCs w:val="20"/>
                <w:color w:val="auto"/>
              </w:rPr>
            </w:pPr>
            <w:r>
              <w:rPr>
                <w:rFonts w:ascii="Arial" w:cs="Arial" w:eastAsia="Arial" w:hAnsi="Arial"/>
                <w:sz w:val="18"/>
                <w:szCs w:val="18"/>
                <w:b w:val="1"/>
                <w:bCs w:val="1"/>
                <w:color w:val="auto"/>
              </w:rPr>
              <w:t>Issuer</w:t>
            </w:r>
          </w:p>
        </w:tc>
        <w:tc>
          <w:tcPr>
            <w:tcW w:w="1080" w:type="dxa"/>
            <w:vAlign w:val="bottom"/>
            <w:tcBorders>
              <w:bottom w:val="single" w:sz="8" w:color="auto"/>
              <w:right w:val="single" w:sz="8" w:color="auto"/>
            </w:tcBorders>
            <w:shd w:val="clear" w:color="auto" w:fill="F1F1F1"/>
          </w:tcPr>
          <w:p>
            <w:pPr>
              <w:ind w:left="120"/>
              <w:spacing w:after="0"/>
              <w:rPr>
                <w:sz w:val="20"/>
                <w:szCs w:val="20"/>
                <w:color w:val="auto"/>
              </w:rPr>
            </w:pPr>
            <w:r>
              <w:rPr>
                <w:rFonts w:ascii="Arial" w:cs="Arial" w:eastAsia="Arial" w:hAnsi="Arial"/>
                <w:sz w:val="18"/>
                <w:szCs w:val="18"/>
                <w:b w:val="1"/>
                <w:bCs w:val="1"/>
                <w:color w:val="auto"/>
              </w:rPr>
              <w:t>Number(s)</w:t>
            </w:r>
          </w:p>
        </w:tc>
        <w:tc>
          <w:tcPr>
            <w:tcW w:w="1260" w:type="dxa"/>
            <w:vAlign w:val="bottom"/>
            <w:tcBorders>
              <w:bottom w:val="single" w:sz="8" w:color="auto"/>
              <w:right w:val="single" w:sz="8" w:color="auto"/>
            </w:tcBorders>
            <w:shd w:val="clear" w:color="auto" w:fill="F1F1F1"/>
          </w:tcPr>
          <w:p>
            <w:pPr>
              <w:ind w:left="360"/>
              <w:spacing w:after="0"/>
              <w:rPr>
                <w:sz w:val="20"/>
                <w:szCs w:val="20"/>
                <w:color w:val="auto"/>
              </w:rPr>
            </w:pPr>
            <w:r>
              <w:rPr>
                <w:rFonts w:ascii="Arial" w:cs="Arial" w:eastAsia="Arial" w:hAnsi="Arial"/>
                <w:sz w:val="18"/>
                <w:szCs w:val="18"/>
                <w:b w:val="1"/>
                <w:bCs w:val="1"/>
                <w:color w:val="auto"/>
              </w:rPr>
              <w:t>Shares</w:t>
            </w:r>
          </w:p>
        </w:tc>
        <w:tc>
          <w:tcPr>
            <w:tcW w:w="1600" w:type="dxa"/>
            <w:vAlign w:val="bottom"/>
            <w:tcBorders>
              <w:bottom w:val="single" w:sz="8" w:color="auto"/>
              <w:right w:val="single" w:sz="8" w:color="auto"/>
            </w:tcBorders>
            <w:shd w:val="clear" w:color="auto" w:fill="F1F1F1"/>
          </w:tcPr>
          <w:p>
            <w:pPr>
              <w:ind w:left="260"/>
              <w:spacing w:after="0"/>
              <w:rPr>
                <w:sz w:val="20"/>
                <w:szCs w:val="20"/>
                <w:color w:val="auto"/>
              </w:rPr>
            </w:pPr>
            <w:r>
              <w:rPr>
                <w:rFonts w:ascii="Arial" w:cs="Arial" w:eastAsia="Arial" w:hAnsi="Arial"/>
                <w:sz w:val="18"/>
                <w:szCs w:val="18"/>
                <w:b w:val="1"/>
                <w:bCs w:val="1"/>
                <w:color w:val="auto"/>
              </w:rPr>
              <w:t>Class of Stock</w:t>
            </w:r>
          </w:p>
        </w:tc>
        <w:tc>
          <w:tcPr>
            <w:tcW w:w="1460" w:type="dxa"/>
            <w:vAlign w:val="bottom"/>
            <w:tcBorders>
              <w:bottom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Borders>
              <w:bottom w:val="single" w:sz="8" w:color="auto"/>
              <w:right w:val="single" w:sz="8" w:color="auto"/>
            </w:tcBorders>
            <w:shd w:val="clear" w:color="auto" w:fill="F1F1F1"/>
          </w:tcPr>
          <w:p>
            <w:pPr>
              <w:ind w:left="220"/>
              <w:spacing w:after="0"/>
              <w:rPr>
                <w:sz w:val="20"/>
                <w:szCs w:val="20"/>
                <w:color w:val="auto"/>
              </w:rPr>
            </w:pPr>
            <w:r>
              <w:rPr>
                <w:rFonts w:ascii="Arial" w:cs="Arial" w:eastAsia="Arial" w:hAnsi="Arial"/>
                <w:sz w:val="18"/>
                <w:szCs w:val="18"/>
                <w:b w:val="1"/>
                <w:bCs w:val="1"/>
                <w:color w:val="auto"/>
                <w:w w:val="98"/>
              </w:rPr>
              <w:t>Certificated</w:t>
            </w: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Weatherford Canada</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Precision Energy</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C-13</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448,374,124</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9"/>
              </w:rPr>
              <w:t>Common Shares</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Services ULC</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C-14</w:t>
            </w:r>
          </w:p>
        </w:tc>
        <w:tc>
          <w:tcPr>
            <w:tcW w:w="12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213,807,963</w:t>
            </w:r>
          </w:p>
        </w:tc>
        <w:tc>
          <w:tcPr>
            <w:tcW w:w="16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w w:val="99"/>
              </w:rPr>
              <w:t>Common Shares</w:t>
            </w:r>
          </w:p>
        </w:tc>
        <w:tc>
          <w:tcPr>
            <w:tcW w:w="14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C-15</w:t>
            </w:r>
          </w:p>
        </w:tc>
        <w:tc>
          <w:tcPr>
            <w:tcW w:w="1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246,686,606</w:t>
            </w:r>
          </w:p>
        </w:tc>
        <w:tc>
          <w:tcPr>
            <w:tcW w:w="16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9"/>
              </w:rPr>
              <w:t>Common Shares</w:t>
            </w:r>
          </w:p>
        </w:tc>
        <w:tc>
          <w:tcPr>
            <w:tcW w:w="14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Weatherford Canada</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Precision Energy Services</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9"/>
              </w:rPr>
              <w:t>Common Shares</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Colombia Ltd.</w:t>
            </w: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Precision Energy</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Precision Energy</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A-4</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Common Share</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Services ULC</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International Ltd.</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A-5</w:t>
            </w:r>
          </w:p>
        </w:tc>
        <w:tc>
          <w:tcPr>
            <w:tcW w:w="12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w:t>
            </w:r>
          </w:p>
        </w:tc>
        <w:tc>
          <w:tcPr>
            <w:tcW w:w="16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Common Share</w:t>
            </w:r>
          </w:p>
        </w:tc>
        <w:tc>
          <w:tcPr>
            <w:tcW w:w="14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1260" w:type="dxa"/>
            <w:vAlign w:val="bottom"/>
            <w:tcBorders>
              <w:bottom w:val="single" w:sz="8" w:color="auto"/>
              <w:right w:val="single" w:sz="8" w:color="auto"/>
            </w:tcBorders>
            <w:vMerge w:val="continue"/>
          </w:tcPr>
          <w:p>
            <w:pPr>
              <w:spacing w:after="0"/>
              <w:rPr>
                <w:sz w:val="18"/>
                <w:szCs w:val="18"/>
                <w:color w:val="auto"/>
              </w:rPr>
            </w:pPr>
          </w:p>
        </w:tc>
        <w:tc>
          <w:tcPr>
            <w:tcW w:w="1600" w:type="dxa"/>
            <w:vAlign w:val="bottom"/>
            <w:tcBorders>
              <w:bottom w:val="single" w:sz="8" w:color="auto"/>
              <w:right w:val="single" w:sz="8" w:color="auto"/>
            </w:tcBorders>
            <w:vMerge w:val="continue"/>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Weatherford Canada</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Weatherford (Nova</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9,980</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9"/>
              </w:rPr>
              <w:t>Common Shares</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Scotia) ULC</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w:t>
            </w:r>
          </w:p>
        </w:tc>
        <w:tc>
          <w:tcPr>
            <w:tcW w:w="12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16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w w:val="99"/>
              </w:rPr>
              <w:t>Common Shares</w:t>
            </w:r>
          </w:p>
        </w:tc>
        <w:tc>
          <w:tcPr>
            <w:tcW w:w="14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vMerge w:val="continue"/>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PA-2</w:t>
            </w:r>
          </w:p>
        </w:tc>
        <w:tc>
          <w:tcPr>
            <w:tcW w:w="1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1,738</w:t>
            </w:r>
          </w:p>
        </w:tc>
        <w:tc>
          <w:tcPr>
            <w:tcW w:w="16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7"/>
              </w:rPr>
              <w:t>Preferred Shares</w:t>
            </w:r>
          </w:p>
        </w:tc>
        <w:tc>
          <w:tcPr>
            <w:tcW w:w="14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Weatherford Canada</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Weatherford Australia</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 5</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Ordinary Share</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Holding Pty Limited</w:t>
            </w: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Weatherford Canada</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Weatherford Australia Pty</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 15</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1,114,258</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Ordinary Shares</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63.78998832%</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Limited</w:t>
            </w: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1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Precision Energy</w:t>
            </w:r>
          </w:p>
        </w:tc>
        <w:tc>
          <w:tcPr>
            <w:tcW w:w="2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Weatherford</w:t>
            </w:r>
          </w:p>
        </w:tc>
        <w:tc>
          <w:tcPr>
            <w:tcW w:w="10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52</w:t>
            </w:r>
          </w:p>
        </w:tc>
        <w:tc>
          <w:tcPr>
            <w:tcW w:w="1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14,912</w:t>
            </w:r>
          </w:p>
        </w:tc>
        <w:tc>
          <w:tcPr>
            <w:tcW w:w="16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9"/>
              </w:rPr>
              <w:t>Common Shares</w:t>
            </w: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0.00108443%</w:t>
            </w:r>
          </w:p>
        </w:tc>
        <w:tc>
          <w:tcPr>
            <w:tcW w:w="1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Services ULC</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International de</w:t>
            </w: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Argentina S.A.</w:t>
            </w:r>
          </w:p>
        </w:tc>
        <w:tc>
          <w:tcPr>
            <w:tcW w:w="10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2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2"/>
              </w:rPr>
              <w:t>D-1</w:t>
            </w: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0" w:right="239" w:bottom="1440" w:gutter="0" w:footer="0" w:header="0"/>
        </w:sectPr>
      </w:pPr>
    </w:p>
    <w:bookmarkStart w:id="793" w:name="page794"/>
    <w:bookmarkEnd w:id="7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gridSpan w:val="5"/>
          </w:tcPr>
          <w:p>
            <w:pPr>
              <w:jc w:val="center"/>
              <w:ind w:right="880"/>
              <w:spacing w:after="0"/>
              <w:rPr>
                <w:sz w:val="20"/>
                <w:szCs w:val="20"/>
                <w:color w:val="auto"/>
              </w:rPr>
            </w:pPr>
            <w:r>
              <w:rPr>
                <w:rFonts w:ascii="Arial" w:cs="Arial" w:eastAsia="Arial" w:hAnsi="Arial"/>
                <w:sz w:val="18"/>
                <w:szCs w:val="18"/>
                <w:color w:val="auto"/>
                <w:w w:val="94"/>
              </w:rPr>
              <w:t>B. BONDS:</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2"/>
        </w:trPr>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Face</w:t>
            </w:r>
          </w:p>
        </w:tc>
        <w:tc>
          <w:tcPr>
            <w:tcW w:w="11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w w:val="88"/>
              </w:rPr>
              <w:t>Grantor</w:t>
            </w:r>
          </w:p>
        </w:tc>
        <w:tc>
          <w:tcPr>
            <w:tcW w:w="3360" w:type="dxa"/>
            <w:vAlign w:val="bottom"/>
            <w:gridSpan w:val="3"/>
          </w:tcPr>
          <w:p>
            <w:pPr>
              <w:ind w:left="1400"/>
              <w:spacing w:after="0" w:line="196" w:lineRule="exact"/>
              <w:rPr>
                <w:sz w:val="20"/>
                <w:szCs w:val="20"/>
                <w:color w:val="auto"/>
              </w:rPr>
            </w:pPr>
            <w:r>
              <w:rPr>
                <w:rFonts w:ascii="Arial" w:cs="Arial" w:eastAsia="Arial" w:hAnsi="Arial"/>
                <w:sz w:val="18"/>
                <w:szCs w:val="18"/>
                <w:color w:val="auto"/>
              </w:rPr>
              <w:t>Issuer</w:t>
            </w: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Number</w:t>
            </w:r>
          </w:p>
        </w:tc>
        <w:tc>
          <w:tcPr>
            <w:tcW w:w="960" w:type="dxa"/>
            <w:vAlign w:val="bottom"/>
          </w:tcPr>
          <w:p>
            <w:pPr>
              <w:spacing w:after="0"/>
              <w:rPr>
                <w:sz w:val="17"/>
                <w:szCs w:val="17"/>
                <w:color w:val="auto"/>
              </w:rPr>
            </w:pPr>
          </w:p>
        </w:tc>
        <w:tc>
          <w:tcPr>
            <w:tcW w:w="1540" w:type="dxa"/>
            <w:vAlign w:val="bottom"/>
            <w:gridSpan w:val="4"/>
          </w:tcPr>
          <w:p>
            <w:pPr>
              <w:spacing w:after="0" w:line="196" w:lineRule="exact"/>
              <w:rPr>
                <w:sz w:val="20"/>
                <w:szCs w:val="20"/>
                <w:color w:val="auto"/>
              </w:rPr>
            </w:pPr>
            <w:r>
              <w:rPr>
                <w:rFonts w:ascii="Arial" w:cs="Arial" w:eastAsia="Arial" w:hAnsi="Arial"/>
                <w:sz w:val="18"/>
                <w:szCs w:val="18"/>
                <w:color w:val="auto"/>
              </w:rPr>
              <w:t>Amount</w:t>
            </w:r>
          </w:p>
        </w:tc>
        <w:tc>
          <w:tcPr>
            <w:tcW w:w="182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Coupon Rate</w:t>
            </w:r>
          </w:p>
        </w:tc>
        <w:tc>
          <w:tcPr>
            <w:tcW w:w="112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93"/>
              </w:rPr>
              <w:t>Maturity</w:t>
            </w:r>
          </w:p>
        </w:tc>
      </w:tr>
      <w:tr>
        <w:trPr>
          <w:trHeight w:val="453"/>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14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80" w:type="dxa"/>
            <w:vAlign w:val="bottom"/>
            <w:gridSpan w:val="7"/>
          </w:tcPr>
          <w:p>
            <w:pPr>
              <w:jc w:val="center"/>
              <w:ind w:left="10"/>
              <w:spacing w:after="0"/>
              <w:rPr>
                <w:sz w:val="20"/>
                <w:szCs w:val="20"/>
                <w:color w:val="auto"/>
              </w:rPr>
            </w:pPr>
            <w:r>
              <w:rPr>
                <w:rFonts w:ascii="Arial" w:cs="Arial" w:eastAsia="Arial" w:hAnsi="Arial"/>
                <w:sz w:val="18"/>
                <w:szCs w:val="18"/>
                <w:color w:val="auto"/>
                <w:w w:val="95"/>
              </w:rPr>
              <w:t>C. GOVERNMENT SECURITIES: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2"/>
        </w:trPr>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Face</w:t>
            </w:r>
          </w:p>
        </w:tc>
        <w:tc>
          <w:tcPr>
            <w:tcW w:w="120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w w:val="88"/>
              </w:rPr>
              <w:t>Grantor</w:t>
            </w:r>
          </w:p>
        </w:tc>
        <w:tc>
          <w:tcPr>
            <w:tcW w:w="140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w w:val="85"/>
              </w:rPr>
              <w:t>Issuer</w:t>
            </w:r>
          </w:p>
        </w:tc>
        <w:tc>
          <w:tcPr>
            <w:tcW w:w="1520" w:type="dxa"/>
            <w:vAlign w:val="bottom"/>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w w:val="90"/>
              </w:rPr>
              <w:t>Number</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gridSpan w:val="4"/>
          </w:tcPr>
          <w:p>
            <w:pPr>
              <w:spacing w:after="0" w:line="196" w:lineRule="exact"/>
              <w:rPr>
                <w:sz w:val="20"/>
                <w:szCs w:val="20"/>
                <w:color w:val="auto"/>
              </w:rPr>
            </w:pPr>
            <w:r>
              <w:rPr>
                <w:rFonts w:ascii="Arial" w:cs="Arial" w:eastAsia="Arial" w:hAnsi="Arial"/>
                <w:sz w:val="18"/>
                <w:szCs w:val="18"/>
                <w:color w:val="auto"/>
              </w:rPr>
              <w:t>Amount</w:t>
            </w:r>
          </w:p>
        </w:tc>
        <w:tc>
          <w:tcPr>
            <w:tcW w:w="182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Coupon Rate</w:t>
            </w:r>
          </w:p>
        </w:tc>
        <w:tc>
          <w:tcPr>
            <w:tcW w:w="112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93"/>
              </w:rPr>
              <w:t>Maturity</w:t>
            </w:r>
          </w:p>
        </w:tc>
      </w:tr>
      <w:tr>
        <w:trPr>
          <w:trHeight w:val="20"/>
        </w:trPr>
        <w:tc>
          <w:tcPr>
            <w:tcW w:w="5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 INSTRUMENTS, OTHER SECURITIES OR OTHER INVESTMENT PROPERTY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(CERTIFICATED AND UNCERTIFICATED):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Description of</w:t>
            </w:r>
          </w:p>
        </w:tc>
        <w:tc>
          <w:tcPr>
            <w:tcW w:w="2760" w:type="dxa"/>
            <w:vAlign w:val="bottom"/>
            <w:gridSpan w:val="2"/>
          </w:tcPr>
          <w:p>
            <w:pPr>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Grantor</w:t>
            </w:r>
          </w:p>
        </w:tc>
        <w:tc>
          <w:tcPr>
            <w:tcW w:w="2180" w:type="dxa"/>
            <w:vAlign w:val="bottom"/>
          </w:tcPr>
          <w:p>
            <w:pPr>
              <w:spacing w:after="0"/>
              <w:rPr>
                <w:sz w:val="20"/>
                <w:szCs w:val="20"/>
                <w:color w:val="auto"/>
              </w:rPr>
            </w:pPr>
            <w:r>
              <w:rPr>
                <w:rFonts w:ascii="Arial" w:cs="Arial" w:eastAsia="Arial" w:hAnsi="Arial"/>
                <w:sz w:val="18"/>
                <w:szCs w:val="18"/>
                <w:color w:val="auto"/>
              </w:rPr>
              <w:t>Issuer</w:t>
            </w:r>
          </w:p>
        </w:tc>
        <w:tc>
          <w:tcPr>
            <w:tcW w:w="54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Collateral</w:t>
            </w:r>
          </w:p>
        </w:tc>
        <w:tc>
          <w:tcPr>
            <w:tcW w:w="2760" w:type="dxa"/>
            <w:vAlign w:val="bottom"/>
            <w:gridSpan w:val="2"/>
          </w:tcPr>
          <w:p>
            <w:pPr>
              <w:spacing w:after="0"/>
              <w:rPr>
                <w:sz w:val="20"/>
                <w:szCs w:val="20"/>
                <w:color w:val="auto"/>
              </w:rPr>
            </w:pPr>
            <w:r>
              <w:rPr>
                <w:rFonts w:ascii="Arial" w:cs="Arial" w:eastAsia="Arial" w:hAnsi="Arial"/>
                <w:sz w:val="18"/>
                <w:szCs w:val="18"/>
                <w:color w:val="auto"/>
              </w:rPr>
              <w:t>Ownership Interest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Weatherford (Nova Scotia) ULC</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Weatherford (G.B.) LLP</w:t>
            </w: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99.9999996 Subscription Units</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99.9999996%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Canada Ltd.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Weatherford (G.B.) LLP</w:t>
            </w:r>
          </w:p>
        </w:tc>
        <w:tc>
          <w:tcPr>
            <w:tcW w:w="54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0.0000004 Subscription Units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0.0000004%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D-2</w:t>
            </w:r>
          </w:p>
        </w:tc>
        <w:tc>
          <w:tcPr>
            <w:tcW w:w="2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794" w:name="page795"/>
    <w:bookmarkEnd w:id="794"/>
    <w:p>
      <w:pPr>
        <w:jc w:val="center"/>
        <w:ind w:right="14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OFFICES IN WHICH FINANCING STATEMENTS WILL BE FILED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460" w:type="dxa"/>
            <w:vAlign w:val="bottom"/>
            <w:tcBorders>
              <w:top w:val="single" w:sz="8" w:color="auto"/>
              <w:left w:val="single" w:sz="8" w:color="auto"/>
            </w:tcBorders>
          </w:tcPr>
          <w:p>
            <w:pPr>
              <w:spacing w:after="0"/>
              <w:rPr>
                <w:sz w:val="23"/>
                <w:szCs w:val="23"/>
                <w:color w:val="auto"/>
              </w:rPr>
            </w:pPr>
          </w:p>
        </w:tc>
        <w:tc>
          <w:tcPr>
            <w:tcW w:w="1260" w:type="dxa"/>
            <w:vAlign w:val="bottom"/>
            <w:tcBorders>
              <w:top w:val="single" w:sz="8" w:color="auto"/>
              <w:right w:val="single" w:sz="8" w:color="auto"/>
            </w:tcBorders>
          </w:tcPr>
          <w:p>
            <w:pPr>
              <w:spacing w:after="0"/>
              <w:rPr>
                <w:sz w:val="23"/>
                <w:szCs w:val="23"/>
                <w:color w:val="auto"/>
              </w:rPr>
            </w:pP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JURISDICTION FOR FILING</w:t>
            </w:r>
          </w:p>
        </w:tc>
      </w:tr>
      <w:tr>
        <w:trPr>
          <w:trHeight w:val="216"/>
        </w:trPr>
        <w:tc>
          <w:tcPr>
            <w:tcW w:w="4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FINANCING STATEMENT AGAINST</w:t>
            </w:r>
          </w:p>
        </w:tc>
      </w:tr>
      <w:tr>
        <w:trPr>
          <w:trHeight w:val="234"/>
        </w:trPr>
        <w:tc>
          <w:tcPr>
            <w:tcW w:w="4460" w:type="dxa"/>
            <w:vAlign w:val="bottom"/>
            <w:tcBorders>
              <w:left w:val="single" w:sz="8" w:color="auto"/>
            </w:tcBorders>
          </w:tcPr>
          <w:p>
            <w:pPr>
              <w:ind w:left="2400"/>
              <w:spacing w:after="0"/>
              <w:rPr>
                <w:sz w:val="20"/>
                <w:szCs w:val="20"/>
                <w:color w:val="auto"/>
              </w:rPr>
            </w:pPr>
            <w:r>
              <w:rPr>
                <w:rFonts w:ascii="Arial" w:cs="Arial" w:eastAsia="Arial" w:hAnsi="Arial"/>
                <w:sz w:val="18"/>
                <w:szCs w:val="18"/>
                <w:b w:val="1"/>
                <w:bCs w:val="1"/>
                <w:color w:val="auto"/>
              </w:rPr>
              <w:t>GRANTOR</w:t>
            </w:r>
          </w:p>
        </w:tc>
        <w:tc>
          <w:tcPr>
            <w:tcW w:w="12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SUCH GRANTOR</w:t>
            </w:r>
          </w:p>
        </w:tc>
      </w:tr>
      <w:tr>
        <w:trPr>
          <w:trHeight w:val="54"/>
        </w:trPr>
        <w:tc>
          <w:tcPr>
            <w:tcW w:w="4460" w:type="dxa"/>
            <w:vAlign w:val="bottom"/>
            <w:tcBorders>
              <w:left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195"/>
        </w:trPr>
        <w:tc>
          <w:tcPr>
            <w:tcW w:w="4460" w:type="dxa"/>
            <w:vAlign w:val="bottom"/>
            <w:tcBorders>
              <w:left w:val="single" w:sz="8" w:color="auto"/>
            </w:tcBorders>
          </w:tcPr>
          <w:p>
            <w:pPr>
              <w:ind w:left="140"/>
              <w:spacing w:after="0" w:line="195" w:lineRule="exact"/>
              <w:rPr>
                <w:sz w:val="20"/>
                <w:szCs w:val="20"/>
                <w:color w:val="auto"/>
              </w:rPr>
            </w:pPr>
            <w:r>
              <w:rPr>
                <w:rFonts w:ascii="Arial" w:cs="Arial" w:eastAsia="Arial" w:hAnsi="Arial"/>
                <w:sz w:val="18"/>
                <w:szCs w:val="18"/>
                <w:color w:val="auto"/>
              </w:rPr>
              <w:t>Weatherford Canada Ltd.</w:t>
            </w:r>
          </w:p>
        </w:tc>
        <w:tc>
          <w:tcPr>
            <w:tcW w:w="126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 Nova Scotia, Saskatchewan, Ontario, Newfoundland and</w:t>
            </w:r>
          </w:p>
        </w:tc>
      </w:tr>
      <w:tr>
        <w:trPr>
          <w:trHeight w:val="230"/>
        </w:trPr>
        <w:tc>
          <w:tcPr>
            <w:tcW w:w="446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Labrador, British Columbia, Manitoba</w:t>
            </w:r>
          </w:p>
        </w:tc>
      </w:tr>
      <w:tr>
        <w:trPr>
          <w:trHeight w:val="195"/>
        </w:trPr>
        <w:tc>
          <w:tcPr>
            <w:tcW w:w="4460" w:type="dxa"/>
            <w:vAlign w:val="bottom"/>
            <w:tcBorders>
              <w:left w:val="single" w:sz="8" w:color="auto"/>
            </w:tcBorders>
          </w:tcPr>
          <w:p>
            <w:pPr>
              <w:ind w:left="140"/>
              <w:spacing w:after="0" w:line="195" w:lineRule="exact"/>
              <w:rPr>
                <w:sz w:val="20"/>
                <w:szCs w:val="20"/>
                <w:color w:val="auto"/>
              </w:rPr>
            </w:pPr>
            <w:r>
              <w:rPr>
                <w:rFonts w:ascii="Arial" w:cs="Arial" w:eastAsia="Arial" w:hAnsi="Arial"/>
                <w:sz w:val="18"/>
                <w:szCs w:val="18"/>
                <w:color w:val="auto"/>
              </w:rPr>
              <w:t>Precision Energy Services ULC</w:t>
            </w:r>
          </w:p>
        </w:tc>
        <w:tc>
          <w:tcPr>
            <w:tcW w:w="126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 Nova Scotia, Saskatchewan, Ontario, Newfoundland and</w:t>
            </w:r>
          </w:p>
        </w:tc>
      </w:tr>
      <w:tr>
        <w:trPr>
          <w:trHeight w:val="230"/>
        </w:trPr>
        <w:tc>
          <w:tcPr>
            <w:tcW w:w="446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Labrador, British Columbia, Manitoba</w:t>
            </w:r>
          </w:p>
        </w:tc>
      </w:tr>
      <w:tr>
        <w:trPr>
          <w:trHeight w:val="195"/>
        </w:trPr>
        <w:tc>
          <w:tcPr>
            <w:tcW w:w="4460" w:type="dxa"/>
            <w:vAlign w:val="bottom"/>
            <w:tcBorders>
              <w:left w:val="single" w:sz="8" w:color="auto"/>
            </w:tcBorders>
          </w:tcPr>
          <w:p>
            <w:pPr>
              <w:ind w:left="140"/>
              <w:spacing w:after="0" w:line="195" w:lineRule="exact"/>
              <w:rPr>
                <w:sz w:val="20"/>
                <w:szCs w:val="20"/>
                <w:color w:val="auto"/>
              </w:rPr>
            </w:pPr>
            <w:r>
              <w:rPr>
                <w:rFonts w:ascii="Arial" w:cs="Arial" w:eastAsia="Arial" w:hAnsi="Arial"/>
                <w:sz w:val="18"/>
                <w:szCs w:val="18"/>
                <w:color w:val="auto"/>
              </w:rPr>
              <w:t>Precision Energy International Ltd.</w:t>
            </w:r>
          </w:p>
        </w:tc>
        <w:tc>
          <w:tcPr>
            <w:tcW w:w="126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 Nova Scotia, Saskatchewan, Ontario, Newfoundland and</w:t>
            </w:r>
          </w:p>
        </w:tc>
      </w:tr>
      <w:tr>
        <w:trPr>
          <w:trHeight w:val="230"/>
        </w:trPr>
        <w:tc>
          <w:tcPr>
            <w:tcW w:w="446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Labrador, British Columbia, Manitoba</w:t>
            </w:r>
          </w:p>
        </w:tc>
      </w:tr>
      <w:tr>
        <w:trPr>
          <w:trHeight w:val="195"/>
        </w:trPr>
        <w:tc>
          <w:tcPr>
            <w:tcW w:w="4460" w:type="dxa"/>
            <w:vAlign w:val="bottom"/>
            <w:tcBorders>
              <w:left w:val="single" w:sz="8" w:color="auto"/>
            </w:tcBorders>
          </w:tcPr>
          <w:p>
            <w:pPr>
              <w:ind w:left="140"/>
              <w:spacing w:after="0" w:line="195" w:lineRule="exact"/>
              <w:rPr>
                <w:sz w:val="20"/>
                <w:szCs w:val="20"/>
                <w:color w:val="auto"/>
              </w:rPr>
            </w:pPr>
            <w:r>
              <w:rPr>
                <w:rFonts w:ascii="Arial" w:cs="Arial" w:eastAsia="Arial" w:hAnsi="Arial"/>
                <w:sz w:val="18"/>
                <w:szCs w:val="18"/>
                <w:color w:val="auto"/>
              </w:rPr>
              <w:t>Precision Energy Services Colombia Ltd.</w:t>
            </w:r>
          </w:p>
        </w:tc>
        <w:tc>
          <w:tcPr>
            <w:tcW w:w="126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 Nova Scotia, Saskatchewan, Ontario, Newfoundland and</w:t>
            </w:r>
          </w:p>
        </w:tc>
      </w:tr>
      <w:tr>
        <w:trPr>
          <w:trHeight w:val="230"/>
        </w:trPr>
        <w:tc>
          <w:tcPr>
            <w:tcW w:w="446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Labrador, British Columbia, Manitoba</w:t>
            </w:r>
          </w:p>
        </w:tc>
      </w:tr>
      <w:tr>
        <w:trPr>
          <w:trHeight w:val="195"/>
        </w:trPr>
        <w:tc>
          <w:tcPr>
            <w:tcW w:w="4460" w:type="dxa"/>
            <w:vAlign w:val="bottom"/>
            <w:tcBorders>
              <w:left w:val="single" w:sz="8" w:color="auto"/>
            </w:tcBorders>
          </w:tcPr>
          <w:p>
            <w:pPr>
              <w:ind w:left="140"/>
              <w:spacing w:after="0" w:line="195" w:lineRule="exact"/>
              <w:rPr>
                <w:sz w:val="20"/>
                <w:szCs w:val="20"/>
                <w:color w:val="auto"/>
              </w:rPr>
            </w:pPr>
            <w:r>
              <w:rPr>
                <w:rFonts w:ascii="Arial" w:cs="Arial" w:eastAsia="Arial" w:hAnsi="Arial"/>
                <w:sz w:val="18"/>
                <w:szCs w:val="18"/>
                <w:color w:val="auto"/>
              </w:rPr>
              <w:t>Weatherford (Nova Scotia) ULC</w:t>
            </w:r>
          </w:p>
        </w:tc>
        <w:tc>
          <w:tcPr>
            <w:tcW w:w="1260" w:type="dxa"/>
            <w:vAlign w:val="bottom"/>
            <w:tcBorders>
              <w:right w:val="single" w:sz="8" w:color="auto"/>
            </w:tcBorders>
          </w:tcPr>
          <w:p>
            <w:pPr>
              <w:spacing w:after="0"/>
              <w:rPr>
                <w:sz w:val="16"/>
                <w:szCs w:val="16"/>
                <w:color w:val="auto"/>
              </w:rPr>
            </w:pPr>
          </w:p>
        </w:tc>
        <w:tc>
          <w:tcPr>
            <w:tcW w:w="57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 Nova Scotia, Saskatchewan, Ontario, Newfoundland and</w:t>
            </w:r>
          </w:p>
        </w:tc>
      </w:tr>
      <w:tr>
        <w:trPr>
          <w:trHeight w:val="230"/>
        </w:trPr>
        <w:tc>
          <w:tcPr>
            <w:tcW w:w="446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Labrador, British Columbia, Manitoba</w:t>
            </w:r>
          </w:p>
        </w:tc>
      </w:tr>
      <w:tr>
        <w:trPr>
          <w:trHeight w:val="642"/>
        </w:trPr>
        <w:tc>
          <w:tcPr>
            <w:tcW w:w="44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E-1</w:t>
            </w:r>
          </w:p>
        </w:tc>
      </w:tr>
    </w:tbl>
    <w:p>
      <w:pPr>
        <w:sectPr>
          <w:pgSz w:w="11900" w:h="16838" w:orient="portrait"/>
          <w:cols w:equalWidth="0" w:num="1">
            <w:col w:w="11420"/>
          </w:cols>
          <w:pgMar w:left="240" w:top="908" w:right="239" w:bottom="1440" w:gutter="0" w:footer="0" w:header="0"/>
        </w:sectPr>
      </w:pPr>
    </w:p>
    <w:bookmarkStart w:id="795" w:name="page796"/>
    <w:bookmarkEnd w:id="795"/>
    <w:p>
      <w:pPr>
        <w:jc w:val="center"/>
        <w:ind w:right="-20"/>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10" w:right="1440" w:bottom="1440" w:gutter="0" w:footer="0" w:header="0"/>
        </w:sectPr>
      </w:pPr>
    </w:p>
    <w:bookmarkStart w:id="796" w:name="page797"/>
    <w:bookmarkEnd w:id="796"/>
    <w:p>
      <w:pPr>
        <w:jc w:val="center"/>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ORGANIZATION NUMBER; JURISDICTION OF INCORPORATION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0" w:type="dxa"/>
            <w:vAlign w:val="bottom"/>
            <w:tcBorders>
              <w:top w:val="single" w:sz="8" w:color="auto"/>
              <w:left w:val="single" w:sz="8" w:color="auto"/>
            </w:tcBorders>
          </w:tcPr>
          <w:p>
            <w:pPr>
              <w:spacing w:after="0"/>
              <w:rPr>
                <w:sz w:val="18"/>
                <w:szCs w:val="18"/>
                <w:color w:val="auto"/>
              </w:rPr>
            </w:pPr>
          </w:p>
        </w:tc>
        <w:tc>
          <w:tcPr>
            <w:tcW w:w="2540" w:type="dxa"/>
            <w:vAlign w:val="bottom"/>
            <w:tcBorders>
              <w:top w:val="single" w:sz="8" w:color="auto"/>
              <w:right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Jurisdiction of</w:t>
            </w:r>
          </w:p>
        </w:tc>
        <w:tc>
          <w:tcPr>
            <w:tcW w:w="2840" w:type="dxa"/>
            <w:vAlign w:val="bottom"/>
            <w:tcBorders>
              <w:top w:val="single" w:sz="8" w:color="auto"/>
              <w:right w:val="single" w:sz="8" w:color="auto"/>
            </w:tcBorders>
          </w:tcPr>
          <w:p>
            <w:pPr>
              <w:spacing w:after="0"/>
              <w:rPr>
                <w:sz w:val="18"/>
                <w:szCs w:val="18"/>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800"/>
              <w:spacing w:after="0"/>
              <w:rPr>
                <w:sz w:val="20"/>
                <w:szCs w:val="20"/>
                <w:color w:val="auto"/>
              </w:rPr>
            </w:pPr>
            <w:r>
              <w:rPr>
                <w:rFonts w:ascii="Arial" w:cs="Arial" w:eastAsia="Arial" w:hAnsi="Arial"/>
                <w:sz w:val="18"/>
                <w:szCs w:val="18"/>
                <w:b w:val="1"/>
                <w:bCs w:val="1"/>
                <w:color w:val="auto"/>
              </w:rPr>
              <w:t>Organization or</w:t>
            </w:r>
          </w:p>
        </w:tc>
        <w:tc>
          <w:tcPr>
            <w:tcW w:w="2840" w:type="dxa"/>
            <w:vAlign w:val="bottom"/>
            <w:tcBorders>
              <w:right w:val="single" w:sz="8" w:color="auto"/>
            </w:tcBorders>
          </w:tcPr>
          <w:p>
            <w:pPr>
              <w:spacing w:after="0"/>
              <w:rPr>
                <w:sz w:val="18"/>
                <w:szCs w:val="18"/>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tcPr>
          <w:p>
            <w:pPr>
              <w:ind w:left="640"/>
              <w:spacing w:after="0"/>
              <w:rPr>
                <w:sz w:val="20"/>
                <w:szCs w:val="20"/>
                <w:color w:val="auto"/>
              </w:rPr>
            </w:pPr>
            <w:r>
              <w:rPr>
                <w:rFonts w:ascii="Arial" w:cs="Arial" w:eastAsia="Arial" w:hAnsi="Arial"/>
                <w:sz w:val="18"/>
                <w:szCs w:val="18"/>
                <w:b w:val="1"/>
                <w:bCs w:val="1"/>
                <w:color w:val="auto"/>
              </w:rPr>
              <w:t>GRANTOR</w:t>
            </w:r>
          </w:p>
        </w:tc>
        <w:tc>
          <w:tcPr>
            <w:tcW w:w="2500" w:type="dxa"/>
            <w:vAlign w:val="bottom"/>
          </w:tcPr>
          <w:p>
            <w:pPr>
              <w:ind w:left="600"/>
              <w:spacing w:after="0"/>
              <w:rPr>
                <w:sz w:val="20"/>
                <w:szCs w:val="20"/>
                <w:color w:val="auto"/>
              </w:rPr>
            </w:pPr>
            <w:r>
              <w:rPr>
                <w:rFonts w:ascii="Arial" w:cs="Arial" w:eastAsia="Arial" w:hAnsi="Arial"/>
                <w:sz w:val="18"/>
                <w:szCs w:val="18"/>
                <w:b w:val="1"/>
                <w:bCs w:val="1"/>
                <w:color w:val="auto"/>
              </w:rPr>
              <w:t>Type of Organization</w:t>
            </w:r>
          </w:p>
        </w:tc>
        <w:tc>
          <w:tcPr>
            <w:tcW w:w="3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Incorporation</w:t>
            </w:r>
          </w:p>
        </w:tc>
        <w:tc>
          <w:tcPr>
            <w:tcW w:w="2840" w:type="dxa"/>
            <w:vAlign w:val="bottom"/>
            <w:tcBorders>
              <w:right w:val="single" w:sz="8" w:color="auto"/>
            </w:tcBorders>
          </w:tcPr>
          <w:p>
            <w:pPr>
              <w:ind w:left="560"/>
              <w:spacing w:after="0"/>
              <w:rPr>
                <w:sz w:val="20"/>
                <w:szCs w:val="20"/>
                <w:color w:val="auto"/>
              </w:rPr>
            </w:pPr>
            <w:r>
              <w:rPr>
                <w:rFonts w:ascii="Arial" w:cs="Arial" w:eastAsia="Arial" w:hAnsi="Arial"/>
                <w:sz w:val="18"/>
                <w:szCs w:val="18"/>
                <w:b w:val="1"/>
                <w:bCs w:val="1"/>
                <w:color w:val="auto"/>
              </w:rPr>
              <w:t>Organization Number</w:t>
            </w: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Weatherford Canada Ltd.</w:t>
            </w:r>
          </w:p>
        </w:tc>
        <w:tc>
          <w:tcPr>
            <w:tcW w:w="2500" w:type="dxa"/>
            <w:vAlign w:val="bottom"/>
          </w:tcPr>
          <w:p>
            <w:pPr>
              <w:ind w:left="120"/>
              <w:spacing w:after="0"/>
              <w:rPr>
                <w:sz w:val="20"/>
                <w:szCs w:val="20"/>
                <w:color w:val="auto"/>
              </w:rPr>
            </w:pPr>
            <w:r>
              <w:rPr>
                <w:rFonts w:ascii="Arial" w:cs="Arial" w:eastAsia="Arial" w:hAnsi="Arial"/>
                <w:sz w:val="18"/>
                <w:szCs w:val="18"/>
                <w:color w:val="auto"/>
              </w:rPr>
              <w:t>Corporation</w:t>
            </w:r>
          </w:p>
        </w:tc>
        <w:tc>
          <w:tcPr>
            <w:tcW w:w="3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Alberta</w:t>
            </w:r>
          </w:p>
        </w:tc>
        <w:tc>
          <w:tcPr>
            <w:tcW w:w="2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2010240824</w:t>
            </w:r>
          </w:p>
        </w:tc>
      </w:tr>
      <w:tr>
        <w:trPr>
          <w:trHeight w:val="67"/>
        </w:trPr>
        <w:tc>
          <w:tcPr>
            <w:tcW w:w="340" w:type="dxa"/>
            <w:vAlign w:val="bottom"/>
            <w:tcBorders>
              <w:left w:val="single" w:sz="8" w:color="auto"/>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5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Weatherford (Nova Scotia)</w:t>
            </w:r>
          </w:p>
        </w:tc>
        <w:tc>
          <w:tcPr>
            <w:tcW w:w="2500" w:type="dxa"/>
            <w:vAlign w:val="bottom"/>
          </w:tcPr>
          <w:p>
            <w:pPr>
              <w:ind w:left="120"/>
              <w:spacing w:after="0" w:line="195" w:lineRule="exact"/>
              <w:rPr>
                <w:sz w:val="20"/>
                <w:szCs w:val="20"/>
                <w:color w:val="auto"/>
              </w:rPr>
            </w:pPr>
            <w:r>
              <w:rPr>
                <w:rFonts w:ascii="Arial" w:cs="Arial" w:eastAsia="Arial" w:hAnsi="Arial"/>
                <w:sz w:val="18"/>
                <w:szCs w:val="18"/>
                <w:color w:val="auto"/>
              </w:rPr>
              <w:t>Unlimited liability company</w:t>
            </w:r>
          </w:p>
        </w:tc>
        <w:tc>
          <w:tcPr>
            <w:tcW w:w="3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Nova Scotia</w:t>
            </w:r>
          </w:p>
        </w:tc>
        <w:tc>
          <w:tcPr>
            <w:tcW w:w="28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3090913</w:t>
            </w:r>
          </w:p>
        </w:tc>
      </w:tr>
      <w:tr>
        <w:trPr>
          <w:trHeight w:val="230"/>
        </w:trPr>
        <w:tc>
          <w:tcPr>
            <w:tcW w:w="34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ULC</w:t>
            </w:r>
          </w:p>
        </w:tc>
        <w:tc>
          <w:tcPr>
            <w:tcW w:w="25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Precision Energy Services ULC</w:t>
            </w:r>
          </w:p>
        </w:tc>
        <w:tc>
          <w:tcPr>
            <w:tcW w:w="2500" w:type="dxa"/>
            <w:vAlign w:val="bottom"/>
          </w:tcPr>
          <w:p>
            <w:pPr>
              <w:ind w:left="120"/>
              <w:spacing w:after="0"/>
              <w:rPr>
                <w:sz w:val="20"/>
                <w:szCs w:val="20"/>
                <w:color w:val="auto"/>
              </w:rPr>
            </w:pPr>
            <w:r>
              <w:rPr>
                <w:rFonts w:ascii="Arial" w:cs="Arial" w:eastAsia="Arial" w:hAnsi="Arial"/>
                <w:sz w:val="18"/>
                <w:szCs w:val="18"/>
                <w:color w:val="auto"/>
              </w:rPr>
              <w:t>Unlimited liability corporation</w:t>
            </w:r>
          </w:p>
        </w:tc>
        <w:tc>
          <w:tcPr>
            <w:tcW w:w="3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Alberta</w:t>
            </w:r>
          </w:p>
        </w:tc>
        <w:tc>
          <w:tcPr>
            <w:tcW w:w="2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2011901994</w:t>
            </w:r>
          </w:p>
        </w:tc>
      </w:tr>
      <w:tr>
        <w:trPr>
          <w:trHeight w:val="67"/>
        </w:trPr>
        <w:tc>
          <w:tcPr>
            <w:tcW w:w="340" w:type="dxa"/>
            <w:vAlign w:val="bottom"/>
            <w:tcBorders>
              <w:left w:val="single" w:sz="8" w:color="auto"/>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25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Precision Energy International</w:t>
            </w:r>
          </w:p>
        </w:tc>
        <w:tc>
          <w:tcPr>
            <w:tcW w:w="2500" w:type="dxa"/>
            <w:vAlign w:val="bottom"/>
          </w:tcPr>
          <w:p>
            <w:pPr>
              <w:ind w:left="120"/>
              <w:spacing w:after="0" w:line="195" w:lineRule="exact"/>
              <w:rPr>
                <w:sz w:val="20"/>
                <w:szCs w:val="20"/>
                <w:color w:val="auto"/>
              </w:rPr>
            </w:pPr>
            <w:r>
              <w:rPr>
                <w:rFonts w:ascii="Arial" w:cs="Arial" w:eastAsia="Arial" w:hAnsi="Arial"/>
                <w:sz w:val="18"/>
                <w:szCs w:val="18"/>
                <w:color w:val="auto"/>
              </w:rPr>
              <w:t>Corporation</w:t>
            </w:r>
          </w:p>
        </w:tc>
        <w:tc>
          <w:tcPr>
            <w:tcW w:w="3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w:t>
            </w:r>
          </w:p>
        </w:tc>
        <w:tc>
          <w:tcPr>
            <w:tcW w:w="28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2011256845</w:t>
            </w:r>
          </w:p>
        </w:tc>
      </w:tr>
      <w:tr>
        <w:trPr>
          <w:trHeight w:val="230"/>
        </w:trPr>
        <w:tc>
          <w:tcPr>
            <w:tcW w:w="34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Ltd.</w:t>
            </w:r>
          </w:p>
        </w:tc>
        <w:tc>
          <w:tcPr>
            <w:tcW w:w="25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25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Precision Energy Services</w:t>
            </w:r>
          </w:p>
        </w:tc>
        <w:tc>
          <w:tcPr>
            <w:tcW w:w="2500" w:type="dxa"/>
            <w:vAlign w:val="bottom"/>
          </w:tcPr>
          <w:p>
            <w:pPr>
              <w:ind w:left="120"/>
              <w:spacing w:after="0" w:line="195" w:lineRule="exact"/>
              <w:rPr>
                <w:sz w:val="20"/>
                <w:szCs w:val="20"/>
                <w:color w:val="auto"/>
              </w:rPr>
            </w:pPr>
            <w:r>
              <w:rPr>
                <w:rFonts w:ascii="Arial" w:cs="Arial" w:eastAsia="Arial" w:hAnsi="Arial"/>
                <w:sz w:val="18"/>
                <w:szCs w:val="18"/>
                <w:color w:val="auto"/>
              </w:rPr>
              <w:t>Corporation</w:t>
            </w:r>
          </w:p>
        </w:tc>
        <w:tc>
          <w:tcPr>
            <w:tcW w:w="3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Alberta</w:t>
            </w:r>
          </w:p>
        </w:tc>
        <w:tc>
          <w:tcPr>
            <w:tcW w:w="284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206760704</w:t>
            </w:r>
          </w:p>
        </w:tc>
      </w:tr>
      <w:tr>
        <w:trPr>
          <w:trHeight w:val="230"/>
        </w:trPr>
        <w:tc>
          <w:tcPr>
            <w:tcW w:w="34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Colombia Ltd.</w:t>
            </w:r>
          </w:p>
        </w:tc>
        <w:tc>
          <w:tcPr>
            <w:tcW w:w="25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r>
      <w:tr>
        <w:trPr>
          <w:trHeight w:val="642"/>
        </w:trPr>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jc w:val="right"/>
              <w:ind w:right="2630"/>
              <w:spacing w:after="0"/>
              <w:rPr>
                <w:sz w:val="20"/>
                <w:szCs w:val="20"/>
                <w:color w:val="auto"/>
              </w:rPr>
            </w:pPr>
            <w:r>
              <w:rPr>
                <w:rFonts w:ascii="Arial" w:cs="Arial" w:eastAsia="Arial" w:hAnsi="Arial"/>
                <w:sz w:val="18"/>
                <w:szCs w:val="18"/>
                <w:color w:val="auto"/>
              </w:rPr>
              <w:t>G-1</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97" w:name="page798"/>
    <w:bookmarkEnd w:id="797"/>
    <w:p>
      <w:pPr>
        <w:jc w:val="center"/>
        <w:ind w:right="-1060"/>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SPECIFIED DEPOSIT ACCOUNTS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[Redacted.]</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SECURITIES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Name of Grantor</w:t>
            </w:r>
          </w:p>
        </w:tc>
        <w:tc>
          <w:tcPr>
            <w:tcW w:w="3780" w:type="dxa"/>
            <w:vAlign w:val="bottom"/>
          </w:tcPr>
          <w:p>
            <w:pPr>
              <w:ind w:left="920"/>
              <w:spacing w:after="0"/>
              <w:rPr>
                <w:sz w:val="20"/>
                <w:szCs w:val="20"/>
                <w:color w:val="auto"/>
              </w:rPr>
            </w:pPr>
            <w:r>
              <w:rPr>
                <w:rFonts w:ascii="Arial" w:cs="Arial" w:eastAsia="Arial" w:hAnsi="Arial"/>
                <w:sz w:val="18"/>
                <w:szCs w:val="18"/>
                <w:b w:val="1"/>
                <w:bCs w:val="1"/>
                <w:color w:val="auto"/>
              </w:rPr>
              <w:t>Name of Institution</w:t>
            </w:r>
          </w:p>
        </w:tc>
        <w:tc>
          <w:tcPr>
            <w:tcW w:w="2680" w:type="dxa"/>
            <w:vAlign w:val="bottom"/>
          </w:tcPr>
          <w:p>
            <w:pPr>
              <w:ind w:left="1360"/>
              <w:spacing w:after="0"/>
              <w:rPr>
                <w:sz w:val="20"/>
                <w:szCs w:val="20"/>
                <w:color w:val="auto"/>
              </w:rPr>
            </w:pPr>
            <w:r>
              <w:rPr>
                <w:rFonts w:ascii="Arial" w:cs="Arial" w:eastAsia="Arial" w:hAnsi="Arial"/>
                <w:sz w:val="18"/>
                <w:szCs w:val="18"/>
                <w:b w:val="1"/>
                <w:bCs w:val="1"/>
                <w:color w:val="auto"/>
                <w:w w:val="89"/>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-145415</wp:posOffset>
            </wp:positionV>
            <wp:extent cx="7246620" cy="3003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79"/>
          </w:cols>
          <w:pgMar w:left="380" w:top="909" w:right="1440" w:bottom="1440" w:gutter="0" w:footer="0" w:header="0"/>
        </w:sectPr>
      </w:pPr>
    </w:p>
    <w:bookmarkStart w:id="798" w:name="page799"/>
    <w:bookmarkEnd w:id="798"/>
    <w:p>
      <w:pPr>
        <w:jc w:val="center"/>
        <w:ind w:right="100"/>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Amendment, dated , 20 is delivered pursuant to Section 4.4 of the Security Agreement referred to below. All defined terms herein shall have the meanings ascribed thereto or incorporated by reference in the Security Agreement. The undersigned hereby certifies that the representations and warranties in Article III of the Security Agreement are and continue to be true and correct. The undersigned further agrees that this Amendment may be attached to that certain Canadian Security Agreement, dated December 13, 2019, between the undersigned, as the Grantors, and Deutsche Bank Trust Company Americas, as the Agent, (the “</w:t>
      </w:r>
      <w:r>
        <w:rPr>
          <w:rFonts w:ascii="Arial" w:cs="Arial" w:eastAsia="Arial" w:hAnsi="Arial"/>
          <w:sz w:val="17"/>
          <w:szCs w:val="17"/>
          <w:b w:val="1"/>
          <w:bCs w:val="1"/>
          <w:i w:val="1"/>
          <w:iCs w:val="1"/>
          <w:color w:val="auto"/>
        </w:rPr>
        <w:t>Security Agreement</w:t>
      </w:r>
      <w:r>
        <w:rPr>
          <w:rFonts w:ascii="Arial" w:cs="Arial" w:eastAsia="Arial" w:hAnsi="Arial"/>
          <w:sz w:val="17"/>
          <w:szCs w:val="17"/>
          <w:color w:val="auto"/>
        </w:rPr>
        <w:t xml:space="preserve">”) and that the Collateral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Amendment shall be and become a part of the Collateral referred to in said Security Agreement and shall secure all Secured Obligations referred to in said Security Agreement.</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325882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125" w:right="239" w:bottom="1440" w:gutter="0" w:footer="0" w:header="0"/>
        </w:sectPr>
      </w:pPr>
    </w:p>
    <w:bookmarkStart w:id="799" w:name="page800"/>
    <w:bookmarkEnd w:id="799"/>
    <w:p>
      <w:pPr>
        <w:jc w:val="center"/>
        <w:ind w:right="720"/>
        <w:spacing w:after="0"/>
        <w:rPr>
          <w:sz w:val="20"/>
          <w:szCs w:val="20"/>
          <w:color w:val="auto"/>
        </w:rPr>
      </w:pPr>
      <w:r>
        <w:rPr>
          <w:rFonts w:ascii="Arial" w:cs="Arial" w:eastAsia="Arial" w:hAnsi="Arial"/>
          <w:sz w:val="18"/>
          <w:szCs w:val="18"/>
          <w:color w:val="auto"/>
        </w:rPr>
        <w:t>SCHEDULE I TO AMENDMENT</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STOCKS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400" w:type="dxa"/>
            <w:vAlign w:val="bottom"/>
            <w:tcBorders>
              <w:top w:val="single" w:sz="8" w:color="auto"/>
              <w:left w:val="single" w:sz="8" w:color="auto"/>
            </w:tcBorders>
          </w:tcPr>
          <w:p>
            <w:pPr>
              <w:spacing w:after="0"/>
              <w:rPr>
                <w:sz w:val="18"/>
                <w:szCs w:val="18"/>
                <w:color w:val="auto"/>
              </w:rPr>
            </w:pPr>
          </w:p>
        </w:tc>
        <w:tc>
          <w:tcPr>
            <w:tcW w:w="460" w:type="dxa"/>
            <w:vAlign w:val="bottom"/>
            <w:tcBorders>
              <w:top w:val="single" w:sz="8" w:color="auto"/>
              <w:right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Percentage</w:t>
            </w:r>
          </w:p>
        </w:tc>
      </w:tr>
      <w:tr>
        <w:trPr>
          <w:trHeight w:val="216"/>
        </w:trPr>
        <w:tc>
          <w:tcPr>
            <w:tcW w:w="14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1860" w:type="dxa"/>
            <w:vAlign w:val="bottom"/>
            <w:tcBorders>
              <w:left w:val="single" w:sz="8" w:color="auto"/>
              <w:right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Name of</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rPr>
              <w:t>Certificate</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Borders>
              <w:right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88"/>
              </w:rPr>
              <w:t>Class of</w:t>
            </w:r>
          </w:p>
        </w:tc>
        <w:tc>
          <w:tcPr>
            <w:tcW w:w="260" w:type="dxa"/>
            <w:vAlign w:val="bottom"/>
          </w:tcPr>
          <w:p>
            <w:pPr>
              <w:spacing w:after="0"/>
              <w:rPr>
                <w:sz w:val="18"/>
                <w:szCs w:val="18"/>
                <w:color w:val="auto"/>
              </w:rPr>
            </w:pPr>
          </w:p>
        </w:tc>
        <w:tc>
          <w:tcPr>
            <w:tcW w:w="1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Outstanding</w:t>
            </w:r>
          </w:p>
        </w:tc>
      </w:tr>
      <w:tr>
        <w:trPr>
          <w:trHeight w:val="234"/>
        </w:trPr>
        <w:tc>
          <w:tcPr>
            <w:tcW w:w="18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Grantor</w:t>
            </w: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Issuer</w:t>
            </w:r>
          </w:p>
        </w:tc>
        <w:tc>
          <w:tcPr>
            <w:tcW w:w="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Number(s)</w:t>
            </w: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gridSpan w:val="2"/>
          </w:tcPr>
          <w:p>
            <w:pPr>
              <w:jc w:val="center"/>
              <w:ind w:right="41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14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4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480"/>
        </w:trPr>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6"/>
              </w:rPr>
              <w:t>BONDS</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1"/>
        </w:trPr>
        <w:tc>
          <w:tcPr>
            <w:tcW w:w="1860" w:type="dxa"/>
            <w:vAlign w:val="bottom"/>
            <w:tcBorders>
              <w:left w:val="single" w:sz="8" w:color="auto"/>
              <w:right w:val="single" w:sz="8" w:color="auto"/>
            </w:tcBorders>
            <w:gridSpan w:val="2"/>
          </w:tcPr>
          <w:p>
            <w:pPr>
              <w:ind w:left="620"/>
              <w:spacing w:after="0" w:line="191" w:lineRule="exact"/>
              <w:rPr>
                <w:sz w:val="20"/>
                <w:szCs w:val="20"/>
                <w:color w:val="auto"/>
              </w:rPr>
            </w:pPr>
            <w:r>
              <w:rPr>
                <w:rFonts w:ascii="Arial" w:cs="Arial" w:eastAsia="Arial" w:hAnsi="Arial"/>
                <w:sz w:val="18"/>
                <w:szCs w:val="18"/>
                <w:b w:val="1"/>
                <w:bCs w:val="1"/>
                <w:color w:val="auto"/>
              </w:rPr>
              <w:t>Name of</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right w:val="single" w:sz="8" w:color="auto"/>
            </w:tcBorders>
            <w:gridSpan w:val="3"/>
          </w:tcPr>
          <w:p>
            <w:pPr>
              <w:jc w:val="center"/>
              <w:ind w:right="230"/>
              <w:spacing w:after="0" w:line="191" w:lineRule="exact"/>
              <w:rPr>
                <w:sz w:val="20"/>
                <w:szCs w:val="20"/>
                <w:color w:val="auto"/>
              </w:rPr>
            </w:pPr>
            <w:r>
              <w:rPr>
                <w:rFonts w:ascii="Arial" w:cs="Arial" w:eastAsia="Arial" w:hAnsi="Arial"/>
                <w:sz w:val="18"/>
                <w:szCs w:val="18"/>
                <w:b w:val="1"/>
                <w:bCs w:val="1"/>
                <w:color w:val="auto"/>
                <w:w w:val="87"/>
              </w:rPr>
              <w:t>Face</w:t>
            </w:r>
          </w:p>
        </w:tc>
        <w:tc>
          <w:tcPr>
            <w:tcW w:w="400" w:type="dxa"/>
            <w:vAlign w:val="bottom"/>
          </w:tcPr>
          <w:p>
            <w:pPr>
              <w:spacing w:after="0"/>
              <w:rPr>
                <w:sz w:val="16"/>
                <w:szCs w:val="16"/>
                <w:color w:val="auto"/>
              </w:rPr>
            </w:pPr>
          </w:p>
        </w:tc>
        <w:tc>
          <w:tcPr>
            <w:tcW w:w="1420" w:type="dxa"/>
            <w:vAlign w:val="bottom"/>
            <w:tcBorders>
              <w:right w:val="single" w:sz="8" w:color="auto"/>
            </w:tcBorders>
            <w:gridSpan w:val="3"/>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Coupon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4"/>
        </w:trPr>
        <w:tc>
          <w:tcPr>
            <w:tcW w:w="18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Grantor</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Issuer</w:t>
            </w:r>
          </w:p>
        </w:tc>
        <w:tc>
          <w:tcPr>
            <w:tcW w:w="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gridSpan w:val="2"/>
          </w:tcPr>
          <w:p>
            <w:pPr>
              <w:jc w:val="center"/>
              <w:ind w:right="570"/>
              <w:spacing w:after="0"/>
              <w:rPr>
                <w:sz w:val="20"/>
                <w:szCs w:val="20"/>
                <w:color w:val="auto"/>
              </w:rPr>
            </w:pPr>
            <w:r>
              <w:rPr>
                <w:rFonts w:ascii="Arial" w:cs="Arial" w:eastAsia="Arial" w:hAnsi="Arial"/>
                <w:sz w:val="18"/>
                <w:szCs w:val="18"/>
                <w:b w:val="1"/>
                <w:bCs w:val="1"/>
                <w:color w:val="auto"/>
                <w:w w:val="92"/>
              </w:rPr>
              <w:t>Rate</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Maturity</w:t>
            </w:r>
          </w:p>
        </w:tc>
      </w:tr>
      <w:tr>
        <w:trPr>
          <w:trHeight w:val="210"/>
        </w:trPr>
        <w:tc>
          <w:tcPr>
            <w:tcW w:w="14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4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480"/>
        </w:trPr>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gridSpan w:val="10"/>
          </w:tcPr>
          <w:p>
            <w:pPr>
              <w:jc w:val="center"/>
              <w:ind w:right="540"/>
              <w:spacing w:after="0"/>
              <w:rPr>
                <w:sz w:val="20"/>
                <w:szCs w:val="20"/>
                <w:color w:val="auto"/>
              </w:rPr>
            </w:pPr>
            <w:r>
              <w:rPr>
                <w:rFonts w:ascii="Arial" w:cs="Arial" w:eastAsia="Arial" w:hAnsi="Arial"/>
                <w:sz w:val="18"/>
                <w:szCs w:val="18"/>
                <w:color w:val="auto"/>
                <w:w w:val="95"/>
              </w:rPr>
              <w:t>GOVERNMENT SECURITIES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1"/>
        </w:trPr>
        <w:tc>
          <w:tcPr>
            <w:tcW w:w="1400" w:type="dxa"/>
            <w:vAlign w:val="bottom"/>
            <w:tcBorders>
              <w:left w:val="single" w:sz="8" w:color="auto"/>
              <w:right w:val="single" w:sz="8" w:color="auto"/>
            </w:tcBorders>
          </w:tcPr>
          <w:p>
            <w:pPr>
              <w:ind w:left="400"/>
              <w:spacing w:after="0" w:line="191" w:lineRule="exact"/>
              <w:rPr>
                <w:sz w:val="20"/>
                <w:szCs w:val="20"/>
                <w:color w:val="auto"/>
              </w:rPr>
            </w:pPr>
            <w:r>
              <w:rPr>
                <w:rFonts w:ascii="Arial" w:cs="Arial" w:eastAsia="Arial" w:hAnsi="Arial"/>
                <w:sz w:val="18"/>
                <w:szCs w:val="18"/>
                <w:b w:val="1"/>
                <w:bCs w:val="1"/>
                <w:color w:val="auto"/>
              </w:rPr>
              <w:t>Name of</w:t>
            </w: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2"/>
              </w:rPr>
              <w:t>Face</w:t>
            </w: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60" w:type="dxa"/>
            <w:vAlign w:val="bottom"/>
            <w:gridSpan w:val="2"/>
          </w:tcPr>
          <w:p>
            <w:pPr>
              <w:ind w:left="440"/>
              <w:spacing w:after="0" w:line="191" w:lineRule="exact"/>
              <w:rPr>
                <w:sz w:val="20"/>
                <w:szCs w:val="20"/>
                <w:color w:val="auto"/>
              </w:rPr>
            </w:pPr>
            <w:r>
              <w:rPr>
                <w:rFonts w:ascii="Arial" w:cs="Arial" w:eastAsia="Arial" w:hAnsi="Arial"/>
                <w:sz w:val="18"/>
                <w:szCs w:val="18"/>
                <w:b w:val="1"/>
                <w:bCs w:val="1"/>
                <w:color w:val="auto"/>
              </w:rPr>
              <w:t>Coupon</w:t>
            </w:r>
          </w:p>
        </w:tc>
        <w:tc>
          <w:tcPr>
            <w:tcW w:w="2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4"/>
        </w:trPr>
        <w:tc>
          <w:tcPr>
            <w:tcW w:w="140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Grantor</w:t>
            </w: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Issuer</w:t>
            </w:r>
          </w:p>
        </w:tc>
        <w:tc>
          <w:tcPr>
            <w:tcW w:w="3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Number</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Type</w:t>
            </w: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1"/>
              </w:rPr>
              <w:t>Amount</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Maturity</w:t>
            </w:r>
          </w:p>
        </w:tc>
      </w:tr>
      <w:tr>
        <w:trPr>
          <w:trHeight w:val="210"/>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465"/>
        </w:trPr>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gridSpan w:val="11"/>
          </w:tcPr>
          <w:p>
            <w:pPr>
              <w:jc w:val="center"/>
              <w:ind w:right="40"/>
              <w:spacing w:after="0"/>
              <w:rPr>
                <w:sz w:val="20"/>
                <w:szCs w:val="20"/>
                <w:color w:val="auto"/>
              </w:rPr>
            </w:pPr>
            <w:r>
              <w:rPr>
                <w:rFonts w:ascii="Arial" w:cs="Arial" w:eastAsia="Arial" w:hAnsi="Arial"/>
                <w:sz w:val="18"/>
                <w:szCs w:val="18"/>
                <w:color w:val="auto"/>
                <w:w w:val="94"/>
              </w:rPr>
              <w:t>OTHER SECURITIES OR OTHER INVESTMENT PROPERTY</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gridSpan w:val="10"/>
          </w:tcPr>
          <w:p>
            <w:pPr>
              <w:jc w:val="center"/>
              <w:ind w:right="540"/>
              <w:spacing w:after="0"/>
              <w:rPr>
                <w:sz w:val="20"/>
                <w:szCs w:val="20"/>
                <w:color w:val="auto"/>
              </w:rPr>
            </w:pPr>
            <w:r>
              <w:rPr>
                <w:rFonts w:ascii="Arial" w:cs="Arial" w:eastAsia="Arial" w:hAnsi="Arial"/>
                <w:sz w:val="18"/>
                <w:szCs w:val="18"/>
                <w:color w:val="auto"/>
                <w:w w:val="96"/>
              </w:rPr>
              <w:t>(CERTIFICATED AND UNCERTIFICATED)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spacing w:after="0"/>
              <w:rPr>
                <w:sz w:val="18"/>
                <w:szCs w:val="18"/>
                <w:color w:val="auto"/>
              </w:rPr>
            </w:pPr>
          </w:p>
        </w:tc>
      </w:tr>
      <w:tr>
        <w:trPr>
          <w:trHeight w:val="191"/>
        </w:trPr>
        <w:tc>
          <w:tcPr>
            <w:tcW w:w="140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4"/>
          </w:tcPr>
          <w:p>
            <w:pPr>
              <w:jc w:val="center"/>
              <w:ind w:left="70"/>
              <w:spacing w:after="0" w:line="191" w:lineRule="exact"/>
              <w:rPr>
                <w:sz w:val="20"/>
                <w:szCs w:val="20"/>
                <w:color w:val="auto"/>
              </w:rPr>
            </w:pPr>
            <w:r>
              <w:rPr>
                <w:rFonts w:ascii="Arial" w:cs="Arial" w:eastAsia="Arial" w:hAnsi="Arial"/>
                <w:sz w:val="18"/>
                <w:szCs w:val="18"/>
                <w:b w:val="1"/>
                <w:bCs w:val="1"/>
                <w:color w:val="auto"/>
                <w:w w:val="89"/>
              </w:rPr>
              <w:t>Description of</w:t>
            </w:r>
          </w:p>
        </w:tc>
        <w:tc>
          <w:tcPr>
            <w:tcW w:w="4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right w:val="single" w:sz="8" w:color="auto"/>
            </w:tcBorders>
            <w:gridSpan w:val="4"/>
          </w:tcPr>
          <w:p>
            <w:pPr>
              <w:ind w:left="880"/>
              <w:spacing w:after="0" w:line="191" w:lineRule="exact"/>
              <w:rPr>
                <w:sz w:val="20"/>
                <w:szCs w:val="20"/>
                <w:color w:val="auto"/>
              </w:rPr>
            </w:pPr>
            <w:r>
              <w:rPr>
                <w:rFonts w:ascii="Arial" w:cs="Arial" w:eastAsia="Arial" w:hAnsi="Arial"/>
                <w:sz w:val="18"/>
                <w:szCs w:val="18"/>
                <w:b w:val="1"/>
                <w:bCs w:val="1"/>
                <w:color w:val="auto"/>
              </w:rPr>
              <w:t>Percentage</w:t>
            </w:r>
          </w:p>
        </w:tc>
      </w:tr>
      <w:tr>
        <w:trPr>
          <w:trHeight w:val="234"/>
        </w:trPr>
        <w:tc>
          <w:tcPr>
            <w:tcW w:w="2460" w:type="dxa"/>
            <w:vAlign w:val="bottom"/>
            <w:tcBorders>
              <w:left w:val="single" w:sz="8" w:color="auto"/>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Name of Grantor</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Issuer</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2"/>
              </w:rPr>
              <w:t>Collateral</w:t>
            </w:r>
          </w:p>
        </w:tc>
        <w:tc>
          <w:tcPr>
            <w:tcW w:w="4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Ownership Interest</w:t>
            </w:r>
          </w:p>
        </w:tc>
      </w:tr>
      <w:tr>
        <w:trPr>
          <w:trHeight w:val="210"/>
        </w:trPr>
        <w:tc>
          <w:tcPr>
            <w:tcW w:w="14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4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Add description of custody accounts or arrangements with securities intermediary, if applicable</w:t>
      </w:r>
      <w:r>
        <w:rPr>
          <w:rFonts w:ascii="Arial" w:cs="Arial" w:eastAsia="Arial" w:hAnsi="Arial"/>
          <w:sz w:val="18"/>
          <w:szCs w:val="18"/>
          <w:b w:val="1"/>
          <w:bCs w:val="1"/>
          <w:color w:val="auto"/>
        </w:rPr>
        <w:t>]</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SERIAL NUMBER GOODS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b w:val="1"/>
                <w:bCs w:val="1"/>
                <w:color w:val="auto"/>
              </w:rPr>
              <w:t>Name of Grantor</w:t>
            </w:r>
          </w:p>
        </w:tc>
        <w:tc>
          <w:tcPr>
            <w:tcW w:w="388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Description of Collateral</w:t>
            </w:r>
          </w:p>
        </w:tc>
        <w:tc>
          <w:tcPr>
            <w:tcW w:w="374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Serial Number</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00" w:name="page801"/>
    <w:bookmarkEnd w:id="800"/>
    <w:p>
      <w:pPr>
        <w:jc w:val="center"/>
        <w:ind w:right="-59"/>
        <w:spacing w:after="0"/>
        <w:rPr>
          <w:sz w:val="20"/>
          <w:szCs w:val="20"/>
          <w:color w:val="auto"/>
        </w:rPr>
      </w:pPr>
      <w:r>
        <w:rPr>
          <w:rFonts w:ascii="Arial" w:cs="Arial" w:eastAsia="Arial" w:hAnsi="Arial"/>
          <w:sz w:val="18"/>
          <w:szCs w:val="18"/>
          <w:color w:val="auto"/>
        </w:rPr>
        <w:t>Exhibit “J”</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Definition of “Patent Security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CONFIRMATORY GRANT IN U.S. PATENTS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CONFIRMATORY GRANT OF SECURITY INTEREST IN UNITED STATES PATENTS (the “</w:t>
      </w:r>
      <w:r>
        <w:rPr>
          <w:rFonts w:ascii="Arial" w:cs="Arial" w:eastAsia="Arial" w:hAnsi="Arial"/>
          <w:sz w:val="18"/>
          <w:szCs w:val="18"/>
          <w:u w:val="single" w:color="auto"/>
          <w:color w:val="auto"/>
        </w:rPr>
        <w:t>Confirmatory Grant</w:t>
      </w:r>
      <w:r>
        <w:rPr>
          <w:rFonts w:ascii="Arial" w:cs="Arial" w:eastAsia="Arial" w:hAnsi="Arial"/>
          <w:sz w:val="18"/>
          <w:szCs w:val="18"/>
          <w:color w:val="auto"/>
        </w:rPr>
        <w:t>”) is made effective as of [ ], 20 by and from the entities listed on the signature pages hereto (each such entity, together with any other entities that become party to this Confirmatory Grant, being individually referred to herein as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Grantors</w:t>
      </w:r>
      <w:r>
        <w:rPr>
          <w:rFonts w:ascii="Arial" w:cs="Arial" w:eastAsia="Arial" w:hAnsi="Arial"/>
          <w:sz w:val="18"/>
          <w:szCs w:val="18"/>
          <w:color w:val="auto"/>
        </w:rPr>
        <w:t>”), to and in favor of Deutsche Bank Trust Company Americas in its capacity as administrative agent (the “</w:t>
      </w:r>
      <w:r>
        <w:rPr>
          <w:rFonts w:ascii="Arial" w:cs="Arial" w:eastAsia="Arial" w:hAnsi="Arial"/>
          <w:sz w:val="18"/>
          <w:szCs w:val="18"/>
          <w:u w:val="single" w:color="auto"/>
          <w:color w:val="auto"/>
        </w:rPr>
        <w:t>Grantee</w:t>
      </w:r>
      <w:r>
        <w:rPr>
          <w:rFonts w:ascii="Arial" w:cs="Arial" w:eastAsia="Arial" w:hAnsi="Arial"/>
          <w:sz w:val="18"/>
          <w:szCs w:val="18"/>
          <w:color w:val="auto"/>
        </w:rPr>
        <w:t>”) for itself and on behalf and for the benefit of the other Secured Parties (as defined in the Credit Agreement referenced below).</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WHEREAS, the Grantors and the other grantors from time to time party thereto have entered into the Canadian Security Agreement dated as of December 13, 2019 (as the same may be further amended,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WHEREAS, the Grantors own certain Patents (as defined in the Security Agreement), including without limitation the Patents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Patents are issued or pending with the United States Patent and Trademark Office.</w:t>
      </w:r>
    </w:p>
    <w:p>
      <w:pPr>
        <w:spacing w:after="0" w:line="17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5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NOW</w:t>
      </w:r>
      <w:r>
        <w:rPr>
          <w:rFonts w:ascii="Arial" w:cs="Arial" w:eastAsia="Arial" w:hAnsi="Arial"/>
          <w:sz w:val="18"/>
          <w:szCs w:val="18"/>
          <w:b w:val="1"/>
          <w:bCs w:val="1"/>
          <w:color w:val="auto"/>
        </w:rPr>
        <w:t>,</w:t>
      </w:r>
      <w:r>
        <w:rPr>
          <w:rFonts w:ascii="Arial" w:cs="Arial" w:eastAsia="Arial" w:hAnsi="Arial"/>
          <w:sz w:val="18"/>
          <w:szCs w:val="18"/>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166" w:lineRule="exact"/>
        <w:rPr>
          <w:sz w:val="20"/>
          <w:szCs w:val="20"/>
          <w:color w:val="auto"/>
        </w:rPr>
      </w:pPr>
    </w:p>
    <w:p>
      <w:pPr>
        <w:ind w:left="1640" w:hanging="829"/>
        <w:spacing w:after="0"/>
        <w:tabs>
          <w:tab w:leader="none" w:pos="1640" w:val="left"/>
        </w:tabs>
        <w:numPr>
          <w:ilvl w:val="0"/>
          <w:numId w:val="86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not defined herein shall have the respective meanings given to them in the Credit Agreement.</w:t>
      </w:r>
    </w:p>
    <w:p>
      <w:pPr>
        <w:spacing w:after="0" w:line="236" w:lineRule="exact"/>
        <w:rPr>
          <w:rFonts w:ascii="Arial" w:cs="Arial" w:eastAsia="Arial" w:hAnsi="Arial"/>
          <w:sz w:val="17"/>
          <w:szCs w:val="17"/>
          <w:color w:val="auto"/>
        </w:rPr>
      </w:pPr>
    </w:p>
    <w:p>
      <w:pPr>
        <w:ind w:left="1640" w:hanging="829"/>
        <w:spacing w:after="0"/>
        <w:tabs>
          <w:tab w:leader="none" w:pos="1640" w:val="left"/>
        </w:tabs>
        <w:numPr>
          <w:ilvl w:val="0"/>
          <w:numId w:val="864"/>
        </w:numPr>
        <w:rPr>
          <w:rFonts w:ascii="Arial" w:cs="Arial" w:eastAsia="Arial" w:hAnsi="Arial"/>
          <w:sz w:val="18"/>
          <w:szCs w:val="18"/>
          <w:color w:val="auto"/>
        </w:rPr>
      </w:pPr>
      <w:r>
        <w:rPr>
          <w:rFonts w:ascii="Arial" w:cs="Arial" w:eastAsia="Arial" w:hAnsi="Arial"/>
          <w:sz w:val="18"/>
          <w:szCs w:val="18"/>
          <w:u w:val="single" w:color="auto"/>
          <w:color w:val="auto"/>
        </w:rPr>
        <w:t>The Security Interest.</w:t>
      </w:r>
    </w:p>
    <w:p>
      <w:pPr>
        <w:spacing w:after="0" w:line="225" w:lineRule="exact"/>
        <w:rPr>
          <w:rFonts w:ascii="Arial" w:cs="Arial" w:eastAsia="Arial" w:hAnsi="Arial"/>
          <w:sz w:val="18"/>
          <w:szCs w:val="18"/>
          <w:color w:val="auto"/>
        </w:rPr>
      </w:pPr>
    </w:p>
    <w:p>
      <w:pPr>
        <w:jc w:val="both"/>
        <w:ind w:left="100" w:firstLine="1294"/>
        <w:spacing w:after="0" w:line="255" w:lineRule="auto"/>
        <w:tabs>
          <w:tab w:leader="none" w:pos="1879" w:val="left"/>
        </w:tabs>
        <w:numPr>
          <w:ilvl w:val="1"/>
          <w:numId w:val="864"/>
        </w:numPr>
        <w:rPr>
          <w:rFonts w:ascii="Arial" w:cs="Arial" w:eastAsia="Arial" w:hAnsi="Arial"/>
          <w:sz w:val="18"/>
          <w:szCs w:val="18"/>
          <w:color w:val="auto"/>
        </w:rPr>
      </w:pPr>
      <w:r>
        <w:rPr>
          <w:rFonts w:ascii="Arial" w:cs="Arial" w:eastAsia="Arial" w:hAnsi="Arial"/>
          <w:sz w:val="18"/>
          <w:szCs w:val="18"/>
          <w:color w:val="auto"/>
        </w:rPr>
        <w:t xml:space="preserve">This Confirmatory Grant is made to secure the satisfactory performance and payment of the Secured Obligations. Upon Payment in Full, the Grantee shall promptly execute, acknowledge, and deliver to the Grantors all reasonably requested instruments in writing or otherwise, releasing the security interest in the Patents acquired under this Confirmatory Grant. Notwithstanding the foregoing, the security interest in the Patents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8"/>
          <w:szCs w:val="18"/>
          <w:u w:val="single" w:color="auto"/>
          <w:color w:val="auto"/>
        </w:rPr>
        <w:t>Section 11.01(e)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of the Credit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01" w:name="page802"/>
    <w:bookmarkEnd w:id="801"/>
    <w:p>
      <w:pPr>
        <w:jc w:val="both"/>
        <w:ind w:left="120" w:firstLine="1303"/>
        <w:spacing w:after="0" w:line="302" w:lineRule="auto"/>
        <w:tabs>
          <w:tab w:leader="none" w:pos="1910" w:val="left"/>
        </w:tabs>
        <w:numPr>
          <w:ilvl w:val="1"/>
          <w:numId w:val="865"/>
        </w:numPr>
        <w:rPr>
          <w:rFonts w:ascii="Arial" w:cs="Arial" w:eastAsia="Arial" w:hAnsi="Arial"/>
          <w:sz w:val="16"/>
          <w:szCs w:val="16"/>
          <w:color w:val="auto"/>
        </w:rPr>
      </w:pPr>
      <w:r>
        <w:rPr>
          <w:rFonts w:ascii="Arial" w:cs="Arial" w:eastAsia="Arial" w:hAnsi="Arial"/>
          <w:sz w:val="16"/>
          <w:szCs w:val="16"/>
          <w:color w:val="auto"/>
        </w:rPr>
        <w:t xml:space="preserve">Each Grantor hereby pledges, assigns and grants to the Grantee, on behalf of and for the benefit of the Secured Parties, a security interest in (1) all of such Grantor’s right, title and interest in and to the Patents now owned or hereafter acquired by such Grantor, including without limitation the Patents listed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A hereto, together with (2) all proceeds and products of the Patents, and (3) all causes of action arising prior to or after the date hereof for infringement or other violation of the Patents or unfair competition regarding the same (collectively, the “</w:t>
      </w:r>
      <w:r>
        <w:rPr>
          <w:rFonts w:ascii="Arial" w:cs="Arial" w:eastAsia="Arial" w:hAnsi="Arial"/>
          <w:sz w:val="16"/>
          <w:szCs w:val="16"/>
          <w:u w:val="single" w:color="auto"/>
          <w:color w:val="auto"/>
        </w:rPr>
        <w:t>Patent Collateral</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711"/>
        <w:spacing w:after="0" w:line="264" w:lineRule="auto"/>
        <w:tabs>
          <w:tab w:leader="none" w:pos="1983"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81" w:lineRule="exact"/>
        <w:rPr>
          <w:rFonts w:ascii="Arial" w:cs="Arial" w:eastAsia="Arial" w:hAnsi="Arial"/>
          <w:sz w:val="18"/>
          <w:szCs w:val="18"/>
          <w:color w:val="auto"/>
        </w:rPr>
      </w:pPr>
    </w:p>
    <w:p>
      <w:pPr>
        <w:jc w:val="both"/>
        <w:ind w:firstLine="711"/>
        <w:spacing w:after="0" w:line="312" w:lineRule="auto"/>
        <w:tabs>
          <w:tab w:leader="none" w:pos="1727" w:val="left"/>
        </w:tabs>
        <w:numPr>
          <w:ilvl w:val="0"/>
          <w:numId w:val="866"/>
        </w:numPr>
        <w:rPr>
          <w:rFonts w:ascii="Arial" w:cs="Arial" w:eastAsia="Arial" w:hAnsi="Arial"/>
          <w:sz w:val="16"/>
          <w:szCs w:val="16"/>
          <w:color w:val="auto"/>
        </w:rPr>
      </w:pPr>
      <w:r>
        <w:rPr>
          <w:rFonts w:ascii="Arial" w:cs="Arial" w:eastAsia="Arial" w:hAnsi="Arial"/>
          <w:sz w:val="16"/>
          <w:szCs w:val="16"/>
          <w:u w:val="single" w:color="auto"/>
          <w:color w:val="auto"/>
        </w:rPr>
        <w:t>Further Actions</w:t>
      </w:r>
      <w:r>
        <w:rPr>
          <w:rFonts w:ascii="Arial" w:cs="Arial" w:eastAsia="Arial" w:hAnsi="Arial"/>
          <w:sz w:val="16"/>
          <w:szCs w:val="16"/>
          <w:color w:val="auto"/>
        </w:rPr>
        <w:t>. The Grantors authorize and request that the Commissioner for Patents of the United States Patent and Trademark Office and any other applicable government officer record this Confirmatory Grant. The Grantors shall take any further actions, including executing any further documentation, necessary to record, perfect or effectuate this Confirmatory Grant and the Grantee’s security interest in the Patent Collateral.</w:t>
      </w:r>
    </w:p>
    <w:p>
      <w:pPr>
        <w:spacing w:after="0" w:line="146" w:lineRule="exact"/>
        <w:rPr>
          <w:rFonts w:ascii="Arial" w:cs="Arial" w:eastAsia="Arial" w:hAnsi="Arial"/>
          <w:sz w:val="16"/>
          <w:szCs w:val="16"/>
          <w:color w:val="auto"/>
        </w:rPr>
      </w:pPr>
    </w:p>
    <w:p>
      <w:pPr>
        <w:jc w:val="both"/>
        <w:ind w:firstLine="711"/>
        <w:spacing w:after="0" w:line="257" w:lineRule="auto"/>
        <w:tabs>
          <w:tab w:leader="none" w:pos="1700"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any Grantor shall obtain rights to any new Patents, the provisions of this Confirmatory Grant shall automatically apply thereto. Such Grantor hereby authorizes the Grantee, in consultation with such Grantor, to modify this Confirmatory Grant by amending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solely to include any such new Patents of such Grantor. Notwithstanding the foregoing, no failure to so modify this Confirmatory Grant or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in any way affect, invalidate or detract from the Grantee's continuing security interest in all Patent Collateral, whether or not listed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711"/>
        <w:spacing w:after="0" w:line="277" w:lineRule="auto"/>
        <w:tabs>
          <w:tab w:leader="none" w:pos="1605"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Confirmatory Grant and the rights and obligations of the parties hereto shall be governed by, and construed and interpreted in accordance with, the internal laws of the State of New York.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this Confirmatory Grant of Security Interest in United States Patents effective as of the date first written above.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[GRANTOR]</w:t>
      </w: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325882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8" w:right="239" w:bottom="1440" w:gutter="0" w:footer="0" w:header="0"/>
        </w:sectPr>
      </w:pPr>
    </w:p>
    <w:bookmarkStart w:id="802" w:name="page803"/>
    <w:bookmarkEnd w:id="802"/>
    <w:p>
      <w:pPr>
        <w:jc w:val="center"/>
        <w:ind w:right="-340"/>
        <w:spacing w:after="0"/>
        <w:rPr>
          <w:sz w:val="20"/>
          <w:szCs w:val="20"/>
          <w:color w:val="auto"/>
        </w:rPr>
      </w:pPr>
      <w:r>
        <w:rPr>
          <w:rFonts w:ascii="Arial" w:cs="Arial" w:eastAsia="Arial" w:hAnsi="Arial"/>
          <w:sz w:val="17"/>
          <w:szCs w:val="17"/>
          <w:color w:val="auto"/>
        </w:rPr>
        <w:t>CONFIRMATORY GRANT OF SECURITY INTEREST</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UNITED STATES PATENTS</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Exhibit A – SCHEDULE OF PATENTS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03" w:name="page804"/>
    <w:bookmarkEnd w:id="803"/>
    <w:p>
      <w:pPr>
        <w:jc w:val="center"/>
        <w:ind w:right="100"/>
        <w:spacing w:after="0"/>
        <w:rPr>
          <w:sz w:val="20"/>
          <w:szCs w:val="20"/>
          <w:color w:val="auto"/>
        </w:rPr>
      </w:pPr>
      <w:r>
        <w:rPr>
          <w:rFonts w:ascii="Arial" w:cs="Arial" w:eastAsia="Arial" w:hAnsi="Arial"/>
          <w:sz w:val="18"/>
          <w:szCs w:val="18"/>
          <w:color w:val="auto"/>
        </w:rPr>
        <w:t>Exhibit “K”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Definition of “Trademark Security Agreement”)</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CONFIRMATORY GRANT IN U.S. 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CONFIRMATORY GRANT OF SECURITY INTEREST IN UNITED STATES TRADEMARKS (the “</w:t>
      </w:r>
      <w:r>
        <w:rPr>
          <w:rFonts w:ascii="Arial" w:cs="Arial" w:eastAsia="Arial" w:hAnsi="Arial"/>
          <w:sz w:val="18"/>
          <w:szCs w:val="18"/>
          <w:u w:val="single" w:color="auto"/>
          <w:color w:val="auto"/>
        </w:rPr>
        <w:t>Confirmatory Grant</w:t>
      </w:r>
      <w:r>
        <w:rPr>
          <w:rFonts w:ascii="Arial" w:cs="Arial" w:eastAsia="Arial" w:hAnsi="Arial"/>
          <w:sz w:val="18"/>
          <w:szCs w:val="18"/>
          <w:color w:val="auto"/>
        </w:rPr>
        <w:t>”) is made effective as of [ ], 20 by and from the entities listed on the signature pages hereto (each such entity, together with any other entities that become party to this Confirmatory Grant, being individually referred to herein as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Grantors</w:t>
      </w:r>
      <w:r>
        <w:rPr>
          <w:rFonts w:ascii="Arial" w:cs="Arial" w:eastAsia="Arial" w:hAnsi="Arial"/>
          <w:sz w:val="18"/>
          <w:szCs w:val="18"/>
          <w:color w:val="auto"/>
        </w:rPr>
        <w:t>”), to and in favor of Deutsche Bank Trust Company Americas in its capacity as administrative agent (the “</w:t>
      </w:r>
      <w:r>
        <w:rPr>
          <w:rFonts w:ascii="Arial" w:cs="Arial" w:eastAsia="Arial" w:hAnsi="Arial"/>
          <w:sz w:val="18"/>
          <w:szCs w:val="18"/>
          <w:u w:val="single" w:color="auto"/>
          <w:color w:val="auto"/>
        </w:rPr>
        <w:t>Grantee</w:t>
      </w:r>
      <w:r>
        <w:rPr>
          <w:rFonts w:ascii="Arial" w:cs="Arial" w:eastAsia="Arial" w:hAnsi="Arial"/>
          <w:sz w:val="18"/>
          <w:szCs w:val="18"/>
          <w:color w:val="auto"/>
        </w:rPr>
        <w:t>”) for itself and on behalf and for the benefit of the other Secured Parties (as defined in the Credit Agreement referenced below).</w:t>
      </w:r>
    </w:p>
    <w:p>
      <w:pPr>
        <w:spacing w:after="0" w:line="188" w:lineRule="exact"/>
        <w:rPr>
          <w:sz w:val="20"/>
          <w:szCs w:val="20"/>
          <w:color w:val="auto"/>
        </w:rPr>
      </w:pPr>
    </w:p>
    <w:p>
      <w:pPr>
        <w:jc w:val="both"/>
        <w:ind w:left="120" w:firstLine="1297"/>
        <w:spacing w:after="0" w:line="257" w:lineRule="auto"/>
        <w:rPr>
          <w:sz w:val="20"/>
          <w:szCs w:val="20"/>
          <w:color w:val="auto"/>
        </w:rPr>
      </w:pPr>
      <w:r>
        <w:rPr>
          <w:rFonts w:ascii="Arial" w:cs="Arial" w:eastAsia="Arial" w:hAnsi="Arial"/>
          <w:sz w:val="18"/>
          <w:szCs w:val="18"/>
          <w:color w:val="auto"/>
        </w:rPr>
        <w:t>WHEREAS,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jc w:val="both"/>
        <w:ind w:left="120" w:right="20" w:firstLine="1297"/>
        <w:spacing w:after="0" w:line="342" w:lineRule="auto"/>
        <w:rPr>
          <w:sz w:val="20"/>
          <w:szCs w:val="20"/>
          <w:color w:val="auto"/>
        </w:rPr>
      </w:pPr>
      <w:r>
        <w:rPr>
          <w:rFonts w:ascii="Arial" w:cs="Arial" w:eastAsia="Arial" w:hAnsi="Arial"/>
          <w:sz w:val="16"/>
          <w:szCs w:val="16"/>
          <w:color w:val="auto"/>
        </w:rPr>
        <w:t>WHEREAS, the Grantors and the other grantors from time to time party thereto have entered into the Canadian Security Agreement dated as of December 13, 2019 (as the same may be amended,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124" w:lineRule="exact"/>
        <w:rPr>
          <w:sz w:val="20"/>
          <w:szCs w:val="20"/>
          <w:color w:val="auto"/>
        </w:rPr>
      </w:pPr>
    </w:p>
    <w:p>
      <w:pPr>
        <w:jc w:val="both"/>
        <w:ind w:left="120" w:firstLine="1297"/>
        <w:spacing w:after="0" w:line="308" w:lineRule="auto"/>
        <w:rPr>
          <w:sz w:val="20"/>
          <w:szCs w:val="20"/>
          <w:color w:val="auto"/>
        </w:rPr>
      </w:pPr>
      <w:r>
        <w:rPr>
          <w:rFonts w:ascii="Arial" w:cs="Arial" w:eastAsia="Arial" w:hAnsi="Arial"/>
          <w:sz w:val="17"/>
          <w:szCs w:val="17"/>
          <w:color w:val="auto"/>
        </w:rPr>
        <w:t xml:space="preserve">WHEREAS, the Grantors own certain Trademarks (as defined in the Security Agreement), including without limitation the Trademarks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Trademarks are pending or registered with the United States Patent and Trademark Office.</w:t>
      </w:r>
    </w:p>
    <w:p>
      <w:pPr>
        <w:spacing w:after="0" w:line="147" w:lineRule="exact"/>
        <w:rPr>
          <w:sz w:val="20"/>
          <w:szCs w:val="20"/>
          <w:color w:val="auto"/>
        </w:rPr>
      </w:pPr>
    </w:p>
    <w:p>
      <w:pPr>
        <w:jc w:val="both"/>
        <w:ind w:left="120" w:firstLine="1297"/>
        <w:spacing w:after="0" w:line="302" w:lineRule="auto"/>
        <w:rPr>
          <w:sz w:val="20"/>
          <w:szCs w:val="20"/>
          <w:color w:val="auto"/>
        </w:rPr>
      </w:pPr>
      <w:r>
        <w:rPr>
          <w:rFonts w:ascii="Arial" w:cs="Arial" w:eastAsia="Arial" w:hAnsi="Arial"/>
          <w:sz w:val="16"/>
          <w:szCs w:val="16"/>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50" w:lineRule="exact"/>
        <w:rPr>
          <w:sz w:val="20"/>
          <w:szCs w:val="20"/>
          <w:color w:val="auto"/>
        </w:rPr>
      </w:pPr>
    </w:p>
    <w:p>
      <w:pPr>
        <w:jc w:val="both"/>
        <w:ind w:left="120" w:firstLine="1297"/>
        <w:spacing w:after="0" w:line="282" w:lineRule="auto"/>
        <w:rPr>
          <w:sz w:val="20"/>
          <w:szCs w:val="20"/>
          <w:color w:val="auto"/>
        </w:rPr>
      </w:pPr>
      <w:r>
        <w:rPr>
          <w:rFonts w:ascii="Arial" w:cs="Arial" w:eastAsia="Arial" w:hAnsi="Arial"/>
          <w:sz w:val="18"/>
          <w:szCs w:val="18"/>
          <w:color w:val="auto"/>
        </w:rPr>
        <w:t>NOW</w:t>
      </w:r>
      <w:r>
        <w:rPr>
          <w:rFonts w:ascii="Arial" w:cs="Arial" w:eastAsia="Arial" w:hAnsi="Arial"/>
          <w:sz w:val="18"/>
          <w:szCs w:val="18"/>
          <w:b w:val="1"/>
          <w:bCs w:val="1"/>
          <w:color w:val="auto"/>
        </w:rPr>
        <w:t>,</w:t>
      </w:r>
      <w:r>
        <w:rPr>
          <w:rFonts w:ascii="Arial" w:cs="Arial" w:eastAsia="Arial" w:hAnsi="Arial"/>
          <w:sz w:val="18"/>
          <w:szCs w:val="18"/>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166" w:lineRule="exact"/>
        <w:rPr>
          <w:sz w:val="20"/>
          <w:szCs w:val="20"/>
          <w:color w:val="auto"/>
        </w:rPr>
      </w:pPr>
    </w:p>
    <w:p>
      <w:pPr>
        <w:ind w:left="1460" w:hanging="685"/>
        <w:spacing w:after="0"/>
        <w:tabs>
          <w:tab w:leader="none" w:pos="1460" w:val="left"/>
        </w:tabs>
        <w:numPr>
          <w:ilvl w:val="0"/>
          <w:numId w:val="86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not defined herein shall have the respective meanings given to them in the Credit Agreement.</w:t>
      </w:r>
    </w:p>
    <w:p>
      <w:pPr>
        <w:spacing w:after="0" w:line="236" w:lineRule="exact"/>
        <w:rPr>
          <w:rFonts w:ascii="Arial" w:cs="Arial" w:eastAsia="Arial" w:hAnsi="Arial"/>
          <w:sz w:val="17"/>
          <w:szCs w:val="17"/>
          <w:color w:val="auto"/>
        </w:rPr>
      </w:pPr>
    </w:p>
    <w:p>
      <w:pPr>
        <w:ind w:left="1420" w:hanging="648"/>
        <w:spacing w:after="0"/>
        <w:tabs>
          <w:tab w:leader="none" w:pos="1420" w:val="left"/>
        </w:tabs>
        <w:numPr>
          <w:ilvl w:val="0"/>
          <w:numId w:val="867"/>
        </w:numPr>
        <w:rPr>
          <w:rFonts w:ascii="Arial" w:cs="Arial" w:eastAsia="Arial" w:hAnsi="Arial"/>
          <w:sz w:val="18"/>
          <w:szCs w:val="18"/>
          <w:color w:val="auto"/>
        </w:rPr>
      </w:pPr>
      <w:r>
        <w:rPr>
          <w:rFonts w:ascii="Arial" w:cs="Arial" w:eastAsia="Arial" w:hAnsi="Arial"/>
          <w:sz w:val="18"/>
          <w:szCs w:val="18"/>
          <w:u w:val="single" w:color="auto"/>
          <w:color w:val="auto"/>
        </w:rPr>
        <w:t>The Security Interest.</w:t>
      </w:r>
    </w:p>
    <w:p>
      <w:pPr>
        <w:spacing w:after="0" w:line="225" w:lineRule="exact"/>
        <w:rPr>
          <w:rFonts w:ascii="Arial" w:cs="Arial" w:eastAsia="Arial" w:hAnsi="Arial"/>
          <w:sz w:val="18"/>
          <w:szCs w:val="18"/>
          <w:color w:val="auto"/>
        </w:rPr>
      </w:pPr>
    </w:p>
    <w:p>
      <w:pPr>
        <w:jc w:val="both"/>
        <w:ind w:left="120" w:firstLine="1303"/>
        <w:spacing w:after="0" w:line="255" w:lineRule="auto"/>
        <w:tabs>
          <w:tab w:leader="none" w:pos="2035" w:val="left"/>
        </w:tabs>
        <w:numPr>
          <w:ilvl w:val="1"/>
          <w:numId w:val="867"/>
        </w:numPr>
        <w:rPr>
          <w:rFonts w:ascii="Arial" w:cs="Arial" w:eastAsia="Arial" w:hAnsi="Arial"/>
          <w:sz w:val="18"/>
          <w:szCs w:val="18"/>
          <w:color w:val="auto"/>
        </w:rPr>
      </w:pPr>
      <w:r>
        <w:rPr>
          <w:rFonts w:ascii="Arial" w:cs="Arial" w:eastAsia="Arial" w:hAnsi="Arial"/>
          <w:sz w:val="18"/>
          <w:szCs w:val="18"/>
          <w:color w:val="auto"/>
        </w:rPr>
        <w:t xml:space="preserve">This Confirmatory Grant is made to secure the satisfactory performance and payment of all the Secured Obligations. Upon Payment in Full, the Grantee shall promptly execute, acknowledge, and deliver to the Grantors all reasonably requested instruments in writing or otherwise, releasing the security interest in the Trademarks acquired under this Confirmatory Grant. Notwithstanding the foregoing, the security interest in the Trademarks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8"/>
          <w:szCs w:val="18"/>
          <w:u w:val="single" w:color="auto"/>
          <w:color w:val="auto"/>
        </w:rPr>
        <w:t>Section 11.01(e)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of the Credit Agreement.</w:t>
      </w: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10" w:right="239" w:bottom="1440" w:gutter="0" w:footer="0" w:header="0"/>
        </w:sectPr>
      </w:pPr>
    </w:p>
    <w:bookmarkStart w:id="804" w:name="page805"/>
    <w:bookmarkEnd w:id="804"/>
    <w:p>
      <w:pPr>
        <w:jc w:val="both"/>
        <w:ind w:left="200" w:firstLine="1223"/>
        <w:spacing w:after="0" w:line="257" w:lineRule="auto"/>
        <w:tabs>
          <w:tab w:leader="none" w:pos="1924" w:val="left"/>
        </w:tabs>
        <w:numPr>
          <w:ilvl w:val="2"/>
          <w:numId w:val="868"/>
        </w:numPr>
        <w:rPr>
          <w:rFonts w:ascii="Arial" w:cs="Arial" w:eastAsia="Arial" w:hAnsi="Arial"/>
          <w:sz w:val="18"/>
          <w:szCs w:val="18"/>
          <w:color w:val="auto"/>
        </w:rPr>
      </w:pPr>
      <w:r>
        <w:rPr>
          <w:rFonts w:ascii="Arial" w:cs="Arial" w:eastAsia="Arial" w:hAnsi="Arial"/>
          <w:sz w:val="18"/>
          <w:szCs w:val="18"/>
          <w:color w:val="auto"/>
        </w:rPr>
        <w:t xml:space="preserve">Each Grantor hereby pledges, assigns and grants to the Grantee, on behalf of and for the benefit of the Secured Parties, a security interest in (1) all of such Grantor’s right, title and interest in and to the Trademarks now owned or hereafter acquired by such Grantor, including without limitation the Trademarks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together with (2) all proceeds and products of the Trademarks, (3) the goodwill associated with such Trademarks, and (4) all causes of action arising prior to or after the date hereof for infringement or other violation of the Trademarks or unfair competition regarding the same (collectively, the “</w:t>
      </w:r>
      <w:r>
        <w:rPr>
          <w:rFonts w:ascii="Arial" w:cs="Arial" w:eastAsia="Arial" w:hAnsi="Arial"/>
          <w:sz w:val="18"/>
          <w:szCs w:val="18"/>
          <w:u w:val="single" w:color="auto"/>
          <w:color w:val="auto"/>
        </w:rPr>
        <w:t>Trademark Collateral</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60" w:firstLine="568"/>
        <w:spacing w:after="0" w:line="264" w:lineRule="auto"/>
        <w:tabs>
          <w:tab w:leader="none" w:pos="1508" w:val="left"/>
        </w:tabs>
        <w:numPr>
          <w:ilvl w:val="0"/>
          <w:numId w:val="8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81" w:lineRule="exact"/>
        <w:rPr>
          <w:rFonts w:ascii="Arial" w:cs="Arial" w:eastAsia="Arial" w:hAnsi="Arial"/>
          <w:sz w:val="18"/>
          <w:szCs w:val="18"/>
          <w:color w:val="auto"/>
        </w:rPr>
      </w:pPr>
    </w:p>
    <w:p>
      <w:pPr>
        <w:jc w:val="both"/>
        <w:ind w:left="200" w:firstLine="575"/>
        <w:spacing w:after="0" w:line="312" w:lineRule="auto"/>
        <w:tabs>
          <w:tab w:leader="none" w:pos="1558" w:val="left"/>
        </w:tabs>
        <w:numPr>
          <w:ilvl w:val="1"/>
          <w:numId w:val="869"/>
        </w:numPr>
        <w:rPr>
          <w:rFonts w:ascii="Arial" w:cs="Arial" w:eastAsia="Arial" w:hAnsi="Arial"/>
          <w:sz w:val="16"/>
          <w:szCs w:val="16"/>
          <w:color w:val="auto"/>
        </w:rPr>
      </w:pPr>
      <w:r>
        <w:rPr>
          <w:rFonts w:ascii="Arial" w:cs="Arial" w:eastAsia="Arial" w:hAnsi="Arial"/>
          <w:sz w:val="16"/>
          <w:szCs w:val="16"/>
          <w:u w:val="single" w:color="auto"/>
          <w:color w:val="auto"/>
        </w:rPr>
        <w:t>Further Actions</w:t>
      </w:r>
      <w:r>
        <w:rPr>
          <w:rFonts w:ascii="Arial" w:cs="Arial" w:eastAsia="Arial" w:hAnsi="Arial"/>
          <w:sz w:val="16"/>
          <w:szCs w:val="16"/>
          <w:color w:val="auto"/>
        </w:rPr>
        <w:t>. The Grantors authorize and request that the Commissioner for Trademarks of the United States Patent and Trademark Office and any other applicable government officer record this Confirmatory Grant. The Grantors shall take any further actions, including executing any further documentation, necessary to record, perfect or effectuate this Confirmatory Grant and the Grantee’s security interest in the Trademark Collateral.</w:t>
      </w:r>
    </w:p>
    <w:p>
      <w:pPr>
        <w:spacing w:after="0" w:line="146" w:lineRule="exact"/>
        <w:rPr>
          <w:rFonts w:ascii="Arial" w:cs="Arial" w:eastAsia="Arial" w:hAnsi="Arial"/>
          <w:sz w:val="16"/>
          <w:szCs w:val="16"/>
          <w:color w:val="auto"/>
        </w:rPr>
      </w:pPr>
    </w:p>
    <w:p>
      <w:pPr>
        <w:jc w:val="both"/>
        <w:ind w:left="200" w:firstLine="575"/>
        <w:spacing w:after="0" w:line="257" w:lineRule="auto"/>
        <w:tabs>
          <w:tab w:leader="none" w:pos="1531" w:val="left"/>
        </w:tabs>
        <w:numPr>
          <w:ilvl w:val="1"/>
          <w:numId w:val="869"/>
        </w:numPr>
        <w:rPr>
          <w:rFonts w:ascii="Arial" w:cs="Arial" w:eastAsia="Arial" w:hAnsi="Arial"/>
          <w:sz w:val="18"/>
          <w:szCs w:val="18"/>
          <w:color w:val="auto"/>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any Grantor shall obtain rights to any new Trademarks, the provisions of this Confirmatory Grant shall automatically apply thereto. Such Grantor hereby authorizes the Grantee, in consultation with such Grantor, to modify this Confirmatory Grant by amending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solely to include any such new Trademarks of such Grantor. Notwithstanding the foregoing, no failure to so modify this Confirmatory Grant or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in any way affect, invalidate or detract from the Grantee's continuing security interest in all Trademark Collateral, whether or not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00" w:firstLine="575"/>
        <w:spacing w:after="0" w:line="277" w:lineRule="auto"/>
        <w:tabs>
          <w:tab w:leader="none" w:pos="1585" w:val="left"/>
        </w:tabs>
        <w:numPr>
          <w:ilvl w:val="1"/>
          <w:numId w:val="8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Confirmatory Grant and the rights and obligations of the parties hereto shall be governed by, and construed and interpreted in accordance with, the internal laws of the State of New York.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this Confirmatory Grant of Security Interest in United States Trademarks effective as of the date first written above.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[GRANTOR]</w:t>
      </w: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325882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125" w:right="239" w:bottom="1440" w:gutter="0" w:footer="0" w:header="0"/>
        </w:sectPr>
      </w:pPr>
    </w:p>
    <w:bookmarkStart w:id="805" w:name="page806"/>
    <w:bookmarkEnd w:id="805"/>
    <w:p>
      <w:pPr>
        <w:jc w:val="center"/>
        <w:ind w:right="-340"/>
        <w:spacing w:after="0"/>
        <w:rPr>
          <w:sz w:val="20"/>
          <w:szCs w:val="20"/>
          <w:color w:val="auto"/>
        </w:rPr>
      </w:pPr>
      <w:r>
        <w:rPr>
          <w:rFonts w:ascii="Arial" w:cs="Arial" w:eastAsia="Arial" w:hAnsi="Arial"/>
          <w:sz w:val="17"/>
          <w:szCs w:val="17"/>
          <w:color w:val="auto"/>
        </w:rPr>
        <w:t>CONFIRMATORY GRANT OF SECURITY INTEREST</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UNITED STATES TRADEMARKS</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Exhibit A – SCHEDULE OF TRADEMARKS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10" w:right="1440" w:bottom="1440" w:gutter="0" w:footer="0" w:header="0"/>
        </w:sectPr>
      </w:pPr>
    </w:p>
    <w:bookmarkStart w:id="806" w:name="page807"/>
    <w:bookmarkEnd w:id="806"/>
    <w:tbl>
      <w:tblPr>
        <w:tblLayout w:type="fixed"/>
        <w:tblInd w:w="100" w:type="dxa"/>
        <w:tblCellMar>
          <w:top w:w="0" w:type="dxa"/>
          <w:left w:w="0" w:type="dxa"/>
          <w:bottom w:w="0" w:type="dxa"/>
          <w:right w:w="0" w:type="dxa"/>
        </w:tblCellMar>
      </w:tblPr>
      <w:tr>
        <w:trPr>
          <w:trHeight w:val="230"/>
        </w:trPr>
        <w:tc>
          <w:tcPr>
            <w:tcW w:w="8640" w:type="dxa"/>
            <w:vAlign w:val="bottom"/>
            <w:gridSpan w:val="2"/>
          </w:tcPr>
          <w:p>
            <w:pPr>
              <w:jc w:val="center"/>
              <w:ind w:left="2510"/>
              <w:spacing w:after="0"/>
              <w:rPr>
                <w:sz w:val="20"/>
                <w:szCs w:val="20"/>
                <w:color w:val="auto"/>
              </w:rPr>
            </w:pPr>
            <w:r>
              <w:rPr>
                <w:rFonts w:ascii="Arial" w:cs="Arial" w:eastAsia="Arial" w:hAnsi="Arial"/>
                <w:sz w:val="18"/>
                <w:szCs w:val="18"/>
                <w:color w:val="auto"/>
              </w:rPr>
              <w:t>Exhibit “L”</w:t>
            </w: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640" w:type="dxa"/>
            <w:vAlign w:val="bottom"/>
            <w:gridSpan w:val="2"/>
          </w:tcPr>
          <w:p>
            <w:pPr>
              <w:jc w:val="center"/>
              <w:ind w:left="2510"/>
              <w:spacing w:after="0"/>
              <w:rPr>
                <w:sz w:val="20"/>
                <w:szCs w:val="20"/>
                <w:color w:val="auto"/>
              </w:rPr>
            </w:pPr>
            <w:r>
              <w:rPr>
                <w:rFonts w:ascii="Arial" w:cs="Arial" w:eastAsia="Arial" w:hAnsi="Arial"/>
                <w:sz w:val="18"/>
                <w:szCs w:val="18"/>
                <w:color w:val="auto"/>
                <w:w w:val="98"/>
              </w:rPr>
              <w:t>ACKNOWLEDGEMENT PARTY ACKNOWLEDGEMENT</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7800" w:type="dxa"/>
            <w:vAlign w:val="bottom"/>
          </w:tcPr>
          <w:p>
            <w:pPr>
              <w:spacing w:after="0"/>
              <w:rPr>
                <w:sz w:val="20"/>
                <w:szCs w:val="20"/>
                <w:color w:val="auto"/>
              </w:rPr>
            </w:pPr>
            <w:r>
              <w:rPr>
                <w:rFonts w:ascii="Arial" w:cs="Arial" w:eastAsia="Arial" w:hAnsi="Arial"/>
                <w:sz w:val="18"/>
                <w:szCs w:val="18"/>
                <w:color w:val="auto"/>
                <w:w w:val="92"/>
              </w:rPr>
              <w:t>The undersigned hereby acknowledges receipt of the foregoing Canadian Security Agreement dated as of</w:t>
            </w:r>
          </w:p>
        </w:tc>
        <w:tc>
          <w:tcPr>
            <w:tcW w:w="84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w w:val="93"/>
              </w:rPr>
              <w:t>, 2019 (the “Security Agreement”),</w:t>
            </w:r>
          </w:p>
        </w:tc>
      </w:tr>
      <w:tr>
        <w:trPr>
          <w:trHeight w:val="20"/>
        </w:trPr>
        <w:tc>
          <w:tcPr>
            <w:tcW w:w="7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executed by and among WEATHERFORD CANADA LTD., WEATHERFORD (NOVA SCOTIA) ULC., PRECISION ENERGY SERVICES ULC, PRECISION ENERGY INTERNATIONAL LTD., PRECISION ENERGY SERVICES COLOMBIA LTD., the other Grantors party thereto and DEUTSCHE BANK TRUST COMPANY AMERICAS, as Agent. All capitalized terms used but not defined herein shall have the meanings assigned thereto in the Security Agreement.</w:t>
      </w:r>
    </w:p>
    <w:p>
      <w:pPr>
        <w:spacing w:after="0" w:line="187"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The undersigned (i) to the extent not a ULC, has registered the pledge of, and grant of security interest in and control over, the Pledged Collateral, including its equity interests, to Agent in its books and records and (ii) agrees and acknowledges that the Pledged Collateral, including its equity interest, shall not be represented by a certificate.</w:t>
      </w:r>
    </w:p>
    <w:p>
      <w:pPr>
        <w:spacing w:after="0" w:line="181"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The undersigned shall promptly comply with the instructions of the Agent with respect to the transfer or other disposition of the Pledged Collateral, including its equity interests, without further consent or action of any Grantor including, without limitation, instructions to pay and remit to Agent all distributions and other amounts payable to any Grantor (upon redemption, termination and dissolution of the undersigned or otherwise), and to transfer to, and register the Pledged Collateral, including its equity interests, in the name of, Agent or its nominee.</w:t>
      </w:r>
    </w:p>
    <w:p>
      <w:pPr>
        <w:spacing w:after="0" w:line="187"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THIS ACKNOWLEDGEMENT PARTY ACKNOWLEDGEMENT SHALL BE CONSTRUED IN ACCORDANCE WITH AND GOVERNED BY THE LAW OF THE PROVINCE OF ALBERTA AND THE FEDERAL LAWS OF CANADA APPLICABLE THEREIN.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w w:val="88"/>
              </w:rPr>
              <w:t>Dated this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,2019</w:t>
            </w:r>
          </w:p>
        </w:tc>
      </w:tr>
      <w:tr>
        <w:trPr>
          <w:trHeight w:val="20"/>
        </w:trPr>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[ACKNOWLEDGMENT PARTY]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807" w:name="page808"/>
    <w:bookmarkEnd w:id="807"/>
    <w:p>
      <w:pPr>
        <w:jc w:val="center"/>
        <w:ind w:right="40"/>
        <w:spacing w:after="0"/>
        <w:rPr>
          <w:sz w:val="20"/>
          <w:szCs w:val="20"/>
          <w:color w:val="auto"/>
        </w:rPr>
      </w:pPr>
      <w:r>
        <w:rPr>
          <w:rFonts w:ascii="Arial" w:cs="Arial" w:eastAsia="Arial" w:hAnsi="Arial"/>
          <w:sz w:val="18"/>
          <w:szCs w:val="18"/>
          <w:u w:val="single" w:color="auto"/>
          <w:color w:val="auto"/>
        </w:rPr>
        <w:t>ANNEX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SECURITY AGREEMENT SUPPLEMENT</w:t>
      </w:r>
    </w:p>
    <w:p>
      <w:pPr>
        <w:spacing w:after="0" w:line="225" w:lineRule="exact"/>
        <w:rPr>
          <w:sz w:val="20"/>
          <w:szCs w:val="20"/>
          <w:color w:val="auto"/>
        </w:rPr>
      </w:pPr>
    </w:p>
    <w:p>
      <w:pPr>
        <w:ind w:left="100" w:right="220" w:firstLine="1296"/>
        <w:spacing w:after="0" w:line="279" w:lineRule="auto"/>
        <w:rPr>
          <w:sz w:val="20"/>
          <w:szCs w:val="20"/>
          <w:color w:val="auto"/>
        </w:rPr>
      </w:pPr>
      <w:r>
        <w:rPr>
          <w:rFonts w:ascii="Arial" w:cs="Arial" w:eastAsia="Arial" w:hAnsi="Arial"/>
          <w:sz w:val="17"/>
          <w:szCs w:val="17"/>
          <w:color w:val="auto"/>
        </w:rPr>
        <w:t>Reference is hereby made to the Canadian Security Agreement (as amended, restated, supplemented or otherwise modified from time to time,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December 13, 2019, made by the signatories party thereto or that become parties thereto by executing a Security Agreement Supplement (each, a “</w:t>
      </w:r>
      <w:r>
        <w:rPr>
          <w:rFonts w:ascii="Arial" w:cs="Arial" w:eastAsia="Arial" w:hAnsi="Arial"/>
          <w:sz w:val="17"/>
          <w:szCs w:val="17"/>
          <w:b w:val="1"/>
          <w:bCs w:val="1"/>
          <w:i w:val="1"/>
          <w:iCs w:val="1"/>
          <w:color w:val="auto"/>
        </w:rPr>
        <w:t>Grantor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Grantors</w:t>
      </w:r>
      <w:r>
        <w:rPr>
          <w:rFonts w:ascii="Arial" w:cs="Arial" w:eastAsia="Arial" w:hAnsi="Arial"/>
          <w:sz w:val="17"/>
          <w:szCs w:val="17"/>
          <w:color w:val="auto"/>
        </w:rPr>
        <w:t>”) in favour of Deutsche Bank Trust Company Americas (in such capacity,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Capitalized terms used herein and not defined herein shall have the meanings given to them in the Agreement.</w:t>
      </w:r>
    </w:p>
    <w:p>
      <w:pPr>
        <w:spacing w:after="0" w:line="167" w:lineRule="exact"/>
        <w:rPr>
          <w:sz w:val="20"/>
          <w:szCs w:val="20"/>
          <w:color w:val="auto"/>
        </w:rPr>
      </w:pPr>
    </w:p>
    <w:p>
      <w:pPr>
        <w:ind w:left="1400"/>
        <w:spacing w:after="0"/>
        <w:tabs>
          <w:tab w:leader="none" w:pos="7220" w:val="left"/>
        </w:tabs>
        <w:rPr>
          <w:sz w:val="20"/>
          <w:szCs w:val="20"/>
          <w:color w:val="auto"/>
        </w:rPr>
      </w:pPr>
      <w:r>
        <w:rPr>
          <w:rFonts w:ascii="Arial" w:cs="Arial" w:eastAsia="Arial" w:hAnsi="Arial"/>
          <w:sz w:val="18"/>
          <w:szCs w:val="18"/>
          <w:color w:val="auto"/>
        </w:rPr>
        <w:t xml:space="preserve">By its execution below, the undersigned, </w:t>
      </w:r>
      <w:r>
        <w:rPr>
          <w:rFonts w:ascii="Arial" w:cs="Arial" w:eastAsia="Arial" w:hAnsi="Arial"/>
          <w:sz w:val="18"/>
          <w:szCs w:val="18"/>
          <w:b w:val="1"/>
          <w:bCs w:val="1"/>
          <w:color w:val="auto"/>
        </w:rPr>
        <w:t>[</w:t>
      </w:r>
      <w:r>
        <w:rPr>
          <w:rFonts w:ascii="Arial" w:cs="Arial" w:eastAsia="Arial" w:hAnsi="Arial"/>
          <w:sz w:val="18"/>
          <w:szCs w:val="18"/>
          <w:color w:val="auto"/>
        </w:rPr>
        <w:t>NAME OF NEW GRANTOR</w:t>
      </w:r>
      <w:r>
        <w:rPr>
          <w:rFonts w:ascii="Arial" w:cs="Arial" w:eastAsia="Arial" w:hAnsi="Arial"/>
          <w:sz w:val="18"/>
          <w:szCs w:val="18"/>
          <w:b w:val="1"/>
          <w:bCs w:val="1"/>
          <w:color w:val="auto"/>
        </w:rPr>
        <w:t>]</w:t>
      </w:r>
      <w:r>
        <w:rPr>
          <w:rFonts w:ascii="Arial" w:cs="Arial" w:eastAsia="Arial" w:hAnsi="Arial"/>
          <w:sz w:val="18"/>
          <w:szCs w:val="18"/>
          <w:color w:val="auto"/>
        </w:rPr>
        <w:t>, a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100" w:right="180" w:firstLine="1296"/>
        <w:spacing w:after="0" w:line="295"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corporation/limited liability company/limited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New Grantor</w:t>
      </w:r>
      <w:r>
        <w:rPr>
          <w:rFonts w:ascii="Arial" w:cs="Arial" w:eastAsia="Arial" w:hAnsi="Arial"/>
          <w:sz w:val="16"/>
          <w:szCs w:val="16"/>
          <w:color w:val="auto"/>
        </w:rPr>
        <w:t>”) agrees to become, and does hereby become, a Grantor</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Agreement and agrees to be bound by the Agreement as if originally a party thereto. The New Grantor hereby collaterally assigns and pledges to the Agent for the benefit of the Secured Parties, and grants to the Agent for the benefit of the Secured Parties, a security interest in all of the New Grantor’s right, title and interest in and to the Collateral, whether now owned or hereafter acquired, to secure the prompt and complete payment and performance of the Secured Obligations. For the avoidance of doubt, the grant of a security interest herein shall not be deemed to be an assignment of intellectual property rights or ULC Shares owned by the New Grantor (other than the collateral assignment pursuant hereto).</w:t>
      </w:r>
    </w:p>
    <w:p>
      <w:pPr>
        <w:spacing w:after="0" w:line="160" w:lineRule="exact"/>
        <w:rPr>
          <w:sz w:val="20"/>
          <w:szCs w:val="20"/>
          <w:color w:val="auto"/>
        </w:rPr>
      </w:pPr>
    </w:p>
    <w:p>
      <w:pPr>
        <w:ind w:left="100" w:right="180" w:firstLine="1296"/>
        <w:spacing w:after="0" w:line="276" w:lineRule="auto"/>
        <w:rPr>
          <w:sz w:val="20"/>
          <w:szCs w:val="20"/>
          <w:color w:val="auto"/>
        </w:rPr>
      </w:pPr>
      <w:r>
        <w:rPr>
          <w:rFonts w:ascii="Arial" w:cs="Arial" w:eastAsia="Arial" w:hAnsi="Arial"/>
          <w:sz w:val="17"/>
          <w:szCs w:val="17"/>
          <w:color w:val="auto"/>
        </w:rPr>
        <w:t>By its execution below, the undersigned represents and warrants as to itself that all of the representations and warranties contained in the Agreement are true and correct in all material respects as of the date hereof. The New Grantor represents and warrants that the supplements to the Exhibits to the Agreement attached hereto are true and correct in all material respects and that such supplements set forth all information required to be scheduled under the Agreement with respect to the New Grantor. The New Grantor shall take all steps necessary and required under the Agreement to perfect, in favor of the Agent, a security interest in and lien against the New Grantor’s Collateral.</w:t>
      </w:r>
    </w:p>
    <w:p>
      <w:pPr>
        <w:spacing w:after="0" w:line="169" w:lineRule="exact"/>
        <w:rPr>
          <w:sz w:val="20"/>
          <w:szCs w:val="20"/>
          <w:color w:val="auto"/>
        </w:rPr>
      </w:pPr>
    </w:p>
    <w:p>
      <w:pPr>
        <w:ind w:left="100" w:right="160" w:firstLine="1296"/>
        <w:spacing w:after="0" w:line="282" w:lineRule="auto"/>
        <w:rPr>
          <w:sz w:val="20"/>
          <w:szCs w:val="20"/>
          <w:color w:val="auto"/>
        </w:rPr>
      </w:pPr>
      <w:r>
        <w:rPr>
          <w:rFonts w:ascii="Arial" w:cs="Arial" w:eastAsia="Arial" w:hAnsi="Arial"/>
          <w:sz w:val="18"/>
          <w:szCs w:val="18"/>
          <w:b w:val="1"/>
          <w:bCs w:val="1"/>
          <w:color w:val="auto"/>
        </w:rPr>
        <w:t>THIS AGREEMENT SHALL BE CONSTRUED IN ACCORDANCE WITH AND GOVERNED BY THE LAW OF THE PROVINCE OF ALBERTA AND THE FEDERAL LAWS OF CANADA APPLICABLE THEREIN.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80" w:type="dxa"/>
            <w:vAlign w:val="bottom"/>
            <w:gridSpan w:val="2"/>
          </w:tcPr>
          <w:p>
            <w:pPr>
              <w:ind w:left="40"/>
              <w:spacing w:after="0"/>
              <w:rPr>
                <w:sz w:val="20"/>
                <w:szCs w:val="20"/>
                <w:color w:val="auto"/>
              </w:rPr>
            </w:pPr>
            <w:r>
              <w:rPr>
                <w:rFonts w:ascii="Arial" w:cs="Arial" w:eastAsia="Arial" w:hAnsi="Arial"/>
                <w:sz w:val="18"/>
                <w:szCs w:val="18"/>
                <w:color w:val="auto"/>
                <w:w w:val="93"/>
              </w:rPr>
              <w:t>IN WITNESS WHEREOF, the New Grantor has executed and delivered this Security Agreement Supplement as of this</w:t>
            </w: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day of</w:t>
            </w:r>
          </w:p>
        </w:tc>
      </w:tr>
      <w:tr>
        <w:trPr>
          <w:trHeight w:val="196"/>
        </w:trPr>
        <w:tc>
          <w:tcPr>
            <w:tcW w:w="6280" w:type="dxa"/>
            <w:vAlign w:val="bottom"/>
            <w:gridSpan w:val="3"/>
          </w:tcPr>
          <w:p>
            <w:pPr>
              <w:ind w:left="1400"/>
              <w:spacing w:after="0" w:line="196" w:lineRule="exact"/>
              <w:rPr>
                <w:sz w:val="20"/>
                <w:szCs w:val="20"/>
                <w:color w:val="auto"/>
              </w:rPr>
            </w:pPr>
            <w:r>
              <w:rPr>
                <w:rFonts w:ascii="Arial" w:cs="Arial" w:eastAsia="Arial" w:hAnsi="Arial"/>
                <w:sz w:val="18"/>
                <w:szCs w:val="18"/>
                <w:color w:val="auto"/>
              </w:rPr>
              <w:t>, 20 .</w:t>
            </w:r>
          </w:p>
        </w:tc>
        <w:tc>
          <w:tcPr>
            <w:tcW w:w="39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r>
      <w:tr>
        <w:trPr>
          <w:trHeight w:val="507"/>
        </w:trPr>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880" w:type="dxa"/>
            <w:vAlign w:val="bottom"/>
            <w:gridSpan w:val="2"/>
          </w:tcPr>
          <w:p>
            <w:pPr>
              <w:ind w:left="4360"/>
              <w:spacing w:after="0"/>
              <w:rPr>
                <w:sz w:val="20"/>
                <w:szCs w:val="20"/>
                <w:color w:val="auto"/>
              </w:rPr>
            </w:pPr>
            <w:r>
              <w:rPr>
                <w:rFonts w:ascii="Arial" w:cs="Arial" w:eastAsia="Arial" w:hAnsi="Arial"/>
                <w:sz w:val="18"/>
                <w:szCs w:val="18"/>
                <w:color w:val="auto"/>
              </w:rPr>
              <w:t>[NAME OF NEW GRANTOR]</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gridSpan w:val="2"/>
          </w:tcPr>
          <w:p>
            <w:pPr>
              <w:ind w:left="436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20" w:type="dxa"/>
            <w:vAlign w:val="bottom"/>
          </w:tcPr>
          <w:p>
            <w:pPr>
              <w:ind w:left="4360"/>
              <w:spacing w:after="0"/>
              <w:rPr>
                <w:sz w:val="20"/>
                <w:szCs w:val="20"/>
                <w:color w:val="auto"/>
              </w:rPr>
            </w:pPr>
            <w:r>
              <w:rPr>
                <w:rFonts w:ascii="Arial" w:cs="Arial" w:eastAsia="Arial" w:hAnsi="Arial"/>
                <w:sz w:val="18"/>
                <w:szCs w:val="18"/>
                <w:color w:val="auto"/>
              </w:rPr>
              <w:t>Title:</w:t>
            </w:r>
          </w:p>
        </w:tc>
        <w:tc>
          <w:tcPr>
            <w:tcW w:w="3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674"/>
        </w:trPr>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ind w:left="4220"/>
              <w:spacing w:after="0"/>
              <w:rPr>
                <w:sz w:val="20"/>
                <w:szCs w:val="20"/>
                <w:color w:val="auto"/>
              </w:rPr>
            </w:pPr>
            <w:r>
              <w:rPr>
                <w:rFonts w:ascii="Arial" w:cs="Arial" w:eastAsia="Arial" w:hAnsi="Arial"/>
                <w:sz w:val="18"/>
                <w:szCs w:val="18"/>
                <w:color w:val="auto"/>
              </w:rPr>
              <w:t>L-1</w:t>
            </w: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808" w:name="page809"/>
    <w:bookmarkEnd w:id="808"/>
    <w:p>
      <w:pPr>
        <w:jc w:val="right"/>
        <w:spacing w:after="0"/>
        <w:rPr>
          <w:sz w:val="20"/>
          <w:szCs w:val="20"/>
          <w:color w:val="auto"/>
        </w:rPr>
      </w:pPr>
      <w:r>
        <w:rPr>
          <w:rFonts w:ascii="Arial" w:cs="Arial" w:eastAsia="Arial" w:hAnsi="Arial"/>
          <w:sz w:val="18"/>
          <w:szCs w:val="18"/>
          <w:b w:val="1"/>
          <w:bCs w:val="1"/>
          <w:u w:val="single" w:color="auto"/>
          <w:color w:val="auto"/>
        </w:rPr>
        <w:t>EXHIBIT J</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u w:val="single" w:color="auto"/>
          <w:color w:val="auto"/>
        </w:rPr>
        <w:t>FORM OF IP SHORT FORMS</w:t>
      </w: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3" w:right="239" w:bottom="1440" w:gutter="0" w:footer="0" w:header="0"/>
        </w:sectPr>
      </w:pPr>
    </w:p>
    <w:bookmarkStart w:id="809" w:name="page810"/>
    <w:bookmarkEnd w:id="809"/>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CONFIRMATORY GRANT OF SECURITY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UNITED STATES PATENTS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CONFIRMATORY GRANT OF SECURITY INTEREST IN UNITED STATES PATENTS (the “</w:t>
      </w:r>
      <w:r>
        <w:rPr>
          <w:rFonts w:ascii="Arial" w:cs="Arial" w:eastAsia="Arial" w:hAnsi="Arial"/>
          <w:sz w:val="18"/>
          <w:szCs w:val="18"/>
          <w:u w:val="single" w:color="auto"/>
          <w:color w:val="auto"/>
        </w:rPr>
        <w:t>Confirmatory Grant</w:t>
      </w:r>
      <w:r>
        <w:rPr>
          <w:rFonts w:ascii="Arial" w:cs="Arial" w:eastAsia="Arial" w:hAnsi="Arial"/>
          <w:sz w:val="18"/>
          <w:szCs w:val="18"/>
          <w:color w:val="auto"/>
        </w:rPr>
        <w:t>”) is made effective as of [ ], 20 by and from the entities listed on the signature pages hereto (each such entity, together with any other entities that become party to this Confirmatory Grant, being individually referred to herein as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Grantors</w:t>
      </w:r>
      <w:r>
        <w:rPr>
          <w:rFonts w:ascii="Arial" w:cs="Arial" w:eastAsia="Arial" w:hAnsi="Arial"/>
          <w:sz w:val="18"/>
          <w:szCs w:val="18"/>
          <w:color w:val="auto"/>
        </w:rPr>
        <w:t>”), to and in favor of Deutsche Bank Trust Company Americas in its capacity as administrative agent (the “</w:t>
      </w:r>
      <w:r>
        <w:rPr>
          <w:rFonts w:ascii="Arial" w:cs="Arial" w:eastAsia="Arial" w:hAnsi="Arial"/>
          <w:sz w:val="18"/>
          <w:szCs w:val="18"/>
          <w:u w:val="single" w:color="auto"/>
          <w:color w:val="auto"/>
        </w:rPr>
        <w:t>Grantee</w:t>
      </w:r>
      <w:r>
        <w:rPr>
          <w:rFonts w:ascii="Arial" w:cs="Arial" w:eastAsia="Arial" w:hAnsi="Arial"/>
          <w:sz w:val="18"/>
          <w:szCs w:val="18"/>
          <w:color w:val="auto"/>
        </w:rPr>
        <w:t>”) for itself and on behalf and for the benefit of the other Secured Parties (as defined in the Credit Agreement referenced below).</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WHEREAS, the Grantors and the other grantors from time to time party thereto have entered into the U.S. Security Agreement dated as of December 13, 2019 (as the same may be further amended,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WHEREAS, the Grantors own certain Patents (as defined in the Security Agreement), including without limitation the Patents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Patents are issued or pending with the United States Patent and Trademark Office.</w:t>
      </w:r>
    </w:p>
    <w:p>
      <w:pPr>
        <w:spacing w:after="0" w:line="17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5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NOW</w:t>
      </w:r>
      <w:r>
        <w:rPr>
          <w:rFonts w:ascii="Arial" w:cs="Arial" w:eastAsia="Arial" w:hAnsi="Arial"/>
          <w:sz w:val="18"/>
          <w:szCs w:val="18"/>
          <w:b w:val="1"/>
          <w:bCs w:val="1"/>
          <w:color w:val="auto"/>
        </w:rPr>
        <w:t>,</w:t>
      </w:r>
      <w:r>
        <w:rPr>
          <w:rFonts w:ascii="Arial" w:cs="Arial" w:eastAsia="Arial" w:hAnsi="Arial"/>
          <w:sz w:val="18"/>
          <w:szCs w:val="18"/>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166" w:lineRule="exact"/>
        <w:rPr>
          <w:sz w:val="20"/>
          <w:szCs w:val="20"/>
          <w:color w:val="auto"/>
        </w:rPr>
      </w:pPr>
    </w:p>
    <w:p>
      <w:pPr>
        <w:ind w:left="1340" w:hanging="684"/>
        <w:spacing w:after="0"/>
        <w:tabs>
          <w:tab w:leader="none" w:pos="1340" w:val="left"/>
        </w:tabs>
        <w:numPr>
          <w:ilvl w:val="0"/>
          <w:numId w:val="870"/>
        </w:numPr>
        <w:rPr>
          <w:rFonts w:ascii="Arial" w:cs="Arial" w:eastAsia="Arial" w:hAnsi="Arial"/>
          <w:sz w:val="18"/>
          <w:szCs w:val="18"/>
          <w:u w:val="single" w:color="auto"/>
          <w:color w:val="2C2C2C"/>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defined herein shall have the respective meanings given to them in the Credit Agreement.</w:t>
      </w:r>
    </w:p>
    <w:p>
      <w:pPr>
        <w:spacing w:after="0" w:line="225" w:lineRule="exact"/>
        <w:rPr>
          <w:rFonts w:ascii="Arial" w:cs="Arial" w:eastAsia="Arial" w:hAnsi="Arial"/>
          <w:sz w:val="18"/>
          <w:szCs w:val="18"/>
          <w:u w:val="single" w:color="auto"/>
          <w:color w:val="2C2C2C"/>
        </w:rPr>
      </w:pPr>
    </w:p>
    <w:p>
      <w:pPr>
        <w:ind w:left="1300" w:hanging="644"/>
        <w:spacing w:after="0"/>
        <w:tabs>
          <w:tab w:leader="none" w:pos="1300" w:val="left"/>
        </w:tabs>
        <w:numPr>
          <w:ilvl w:val="0"/>
          <w:numId w:val="870"/>
        </w:numPr>
        <w:rPr>
          <w:rFonts w:ascii="Arial" w:cs="Arial" w:eastAsia="Arial" w:hAnsi="Arial"/>
          <w:sz w:val="18"/>
          <w:szCs w:val="18"/>
          <w:u w:val="single" w:color="auto"/>
          <w:color w:val="2C2C2C"/>
        </w:rPr>
      </w:pPr>
      <w:r>
        <w:rPr>
          <w:rFonts w:ascii="Arial" w:cs="Arial" w:eastAsia="Arial" w:hAnsi="Arial"/>
          <w:sz w:val="18"/>
          <w:szCs w:val="18"/>
          <w:u w:val="single" w:color="auto"/>
          <w:color w:val="auto"/>
        </w:rPr>
        <w:t>The Security Interest.</w:t>
      </w:r>
    </w:p>
    <w:p>
      <w:pPr>
        <w:spacing w:after="0" w:line="225" w:lineRule="exact"/>
        <w:rPr>
          <w:rFonts w:ascii="Arial" w:cs="Arial" w:eastAsia="Arial" w:hAnsi="Arial"/>
          <w:sz w:val="18"/>
          <w:szCs w:val="18"/>
          <w:u w:val="single" w:color="auto"/>
          <w:color w:val="2C2C2C"/>
        </w:rPr>
      </w:pPr>
    </w:p>
    <w:p>
      <w:pPr>
        <w:jc w:val="both"/>
        <w:ind w:firstLine="1305"/>
        <w:spacing w:after="0" w:line="255" w:lineRule="auto"/>
        <w:tabs>
          <w:tab w:leader="none" w:pos="2095" w:val="left"/>
        </w:tabs>
        <w:numPr>
          <w:ilvl w:val="1"/>
          <w:numId w:val="870"/>
        </w:numPr>
        <w:rPr>
          <w:rFonts w:ascii="Arial" w:cs="Arial" w:eastAsia="Arial" w:hAnsi="Arial"/>
          <w:sz w:val="18"/>
          <w:szCs w:val="18"/>
          <w:color w:val="auto"/>
        </w:rPr>
      </w:pPr>
      <w:r>
        <w:rPr>
          <w:rFonts w:ascii="Arial" w:cs="Arial" w:eastAsia="Arial" w:hAnsi="Arial"/>
          <w:sz w:val="18"/>
          <w:szCs w:val="18"/>
          <w:color w:val="auto"/>
        </w:rPr>
        <w:t xml:space="preserve">This Confirmatory Grant is made to secure the satisfactory performance and payment of the Secured Obligations. Upon Payment in Full, the Grantee shall promptly execute, acknowledge, and deliver to the Grantors all reasonably requested instruments in writing or otherwise, releasing the security interest in the Patents acquired under this Confirmatory Grant. Notwithstanding the foregoing, the security interest in the Patents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8"/>
          <w:szCs w:val="18"/>
          <w:u w:val="single" w:color="auto"/>
          <w:color w:val="auto"/>
        </w:rPr>
        <w:t>Section 11.01(e)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of the Credit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10" w:name="page811"/>
    <w:bookmarkEnd w:id="810"/>
    <w:p>
      <w:pPr>
        <w:jc w:val="both"/>
        <w:ind w:left="-20" w:firstLine="1305"/>
        <w:spacing w:after="0" w:line="302" w:lineRule="auto"/>
        <w:tabs>
          <w:tab w:leader="none" w:pos="2071" w:val="left"/>
        </w:tabs>
        <w:numPr>
          <w:ilvl w:val="1"/>
          <w:numId w:val="871"/>
        </w:numPr>
        <w:rPr>
          <w:rFonts w:ascii="Arial" w:cs="Arial" w:eastAsia="Arial" w:hAnsi="Arial"/>
          <w:sz w:val="16"/>
          <w:szCs w:val="16"/>
          <w:color w:val="auto"/>
        </w:rPr>
      </w:pPr>
      <w:r>
        <w:rPr>
          <w:rFonts w:ascii="Arial" w:cs="Arial" w:eastAsia="Arial" w:hAnsi="Arial"/>
          <w:sz w:val="16"/>
          <w:szCs w:val="16"/>
          <w:color w:val="auto"/>
        </w:rPr>
        <w:t xml:space="preserve">Each Grantor hereby pledges, assigns and grants to the Grantee, on behalf of and for the benefit of the Secured Parties, a security interest in (1) all of such Grantor’s right, title and interest in and to the Patents now owned or hereafter acquired by such Grantor, including without limitation the Patents listed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A hereto, together with (2) all proceeds and products of the Patents, and (3) all causes of action arising prior to or after the date hereof for infringement or other violation of the Patents or unfair competition regarding the same (collectively, the “</w:t>
      </w:r>
      <w:r>
        <w:rPr>
          <w:rFonts w:ascii="Arial" w:cs="Arial" w:eastAsia="Arial" w:hAnsi="Arial"/>
          <w:sz w:val="16"/>
          <w:szCs w:val="16"/>
          <w:u w:val="single" w:color="auto"/>
          <w:color w:val="auto"/>
        </w:rPr>
        <w:t>Patent Collateral</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20" w:firstLine="656"/>
        <w:spacing w:after="0" w:line="264" w:lineRule="auto"/>
        <w:tabs>
          <w:tab w:leader="none" w:pos="1458" w:val="left"/>
        </w:tabs>
        <w:numPr>
          <w:ilvl w:val="0"/>
          <w:numId w:val="872"/>
        </w:numPr>
        <w:rPr>
          <w:rFonts w:ascii="Arial" w:cs="Arial" w:eastAsia="Arial" w:hAnsi="Arial"/>
          <w:sz w:val="18"/>
          <w:szCs w:val="18"/>
          <w:u w:val="single" w:color="auto"/>
          <w:color w:val="2A2A2A"/>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81" w:lineRule="exact"/>
        <w:rPr>
          <w:rFonts w:ascii="Arial" w:cs="Arial" w:eastAsia="Arial" w:hAnsi="Arial"/>
          <w:sz w:val="18"/>
          <w:szCs w:val="18"/>
          <w:u w:val="single" w:color="auto"/>
          <w:color w:val="2A2A2A"/>
        </w:rPr>
      </w:pPr>
    </w:p>
    <w:p>
      <w:pPr>
        <w:jc w:val="both"/>
        <w:ind w:left="-20" w:firstLine="656"/>
        <w:spacing w:after="0" w:line="286" w:lineRule="auto"/>
        <w:tabs>
          <w:tab w:leader="none" w:pos="1431" w:val="left"/>
        </w:tabs>
        <w:numPr>
          <w:ilvl w:val="0"/>
          <w:numId w:val="872"/>
        </w:numPr>
        <w:rPr>
          <w:rFonts w:ascii="Arial" w:cs="Arial" w:eastAsia="Arial" w:hAnsi="Arial"/>
          <w:sz w:val="17"/>
          <w:szCs w:val="17"/>
          <w:u w:val="single" w:color="auto"/>
          <w:color w:val="2A2A2A"/>
        </w:rPr>
      </w:pPr>
      <w:r>
        <w:rPr>
          <w:rFonts w:ascii="Arial" w:cs="Arial" w:eastAsia="Arial" w:hAnsi="Arial"/>
          <w:sz w:val="17"/>
          <w:szCs w:val="17"/>
          <w:u w:val="single" w:color="auto"/>
          <w:color w:val="auto"/>
        </w:rPr>
        <w:t>Further Actions</w:t>
      </w:r>
      <w:r>
        <w:rPr>
          <w:rFonts w:ascii="Arial" w:cs="Arial" w:eastAsia="Arial" w:hAnsi="Arial"/>
          <w:sz w:val="17"/>
          <w:szCs w:val="17"/>
          <w:color w:val="auto"/>
        </w:rPr>
        <w:t>. The Grantors authorize and request that the Commissioner for Patents of the United States Patent and Trademark Office and any other applicable government officer record this Confirmatory Grant. The Grantors shall take any further actions, including executing any further documentation, necessary to record, perfect or effectuate this Confirmatory Grant and the Grantee’s security interest in the Patent Collateral.</w:t>
      </w:r>
    </w:p>
    <w:p>
      <w:pPr>
        <w:spacing w:after="0" w:line="165" w:lineRule="exact"/>
        <w:rPr>
          <w:rFonts w:ascii="Arial" w:cs="Arial" w:eastAsia="Arial" w:hAnsi="Arial"/>
          <w:sz w:val="17"/>
          <w:szCs w:val="17"/>
          <w:u w:val="single" w:color="auto"/>
          <w:color w:val="2A2A2A"/>
        </w:rPr>
      </w:pPr>
    </w:p>
    <w:p>
      <w:pPr>
        <w:jc w:val="both"/>
        <w:ind w:left="-20" w:firstLine="656"/>
        <w:spacing w:after="0" w:line="257" w:lineRule="auto"/>
        <w:tabs>
          <w:tab w:leader="none" w:pos="1606" w:val="left"/>
        </w:tabs>
        <w:numPr>
          <w:ilvl w:val="0"/>
          <w:numId w:val="872"/>
        </w:numPr>
        <w:rPr>
          <w:rFonts w:ascii="Arial" w:cs="Arial" w:eastAsia="Arial" w:hAnsi="Arial"/>
          <w:sz w:val="18"/>
          <w:szCs w:val="18"/>
          <w:u w:val="single" w:color="auto"/>
          <w:color w:val="2A2A2A"/>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any Grantor shall obtain rights to any new Patents, the provisions of this Confirmatory Grant shall automatically apply thereto. Such Grantor hereby authorizes the Grantee, in consultation with such Grantor, to modify this Confirmatory Grant by amending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solely to include any such new Patents of such Grantor. Notwithstanding the foregoing, no failure to so modify this Confirmatory Grant or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in any way affect, invalidate or detract from the Grantee's continuing security interest in all Patent Collateral, whether or not listed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188" w:lineRule="exact"/>
        <w:rPr>
          <w:rFonts w:ascii="Arial" w:cs="Arial" w:eastAsia="Arial" w:hAnsi="Arial"/>
          <w:sz w:val="18"/>
          <w:szCs w:val="18"/>
          <w:u w:val="single" w:color="auto"/>
          <w:color w:val="2A2A2A"/>
        </w:rPr>
      </w:pPr>
    </w:p>
    <w:p>
      <w:pPr>
        <w:ind w:left="-20" w:firstLine="656"/>
        <w:spacing w:after="0" w:line="277" w:lineRule="auto"/>
        <w:tabs>
          <w:tab w:leader="none" w:pos="1525" w:val="left"/>
        </w:tabs>
        <w:numPr>
          <w:ilvl w:val="0"/>
          <w:numId w:val="872"/>
        </w:numPr>
        <w:rPr>
          <w:rFonts w:ascii="Arial" w:cs="Arial" w:eastAsia="Arial" w:hAnsi="Arial"/>
          <w:sz w:val="18"/>
          <w:szCs w:val="18"/>
          <w:u w:val="single" w:color="auto"/>
          <w:color w:val="2A2A2A"/>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Confirmatory Grant and the rights and obligations of the parties hereto shall be governed by, and construed and interpreted in accordance with, the internal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11" w:name="page812"/>
    <w:bookmarkEnd w:id="811"/>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this Confirmatory Grant of Security Interest in United States Patents effective as of the date first written above.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Confirmatory Grant of Security Interest in United States Patents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2" w:name="page813"/>
    <w:bookmarkEnd w:id="812"/>
    <w:p>
      <w:pPr>
        <w:jc w:val="center"/>
        <w:ind w:right="59"/>
        <w:spacing w:after="0"/>
        <w:rPr>
          <w:sz w:val="20"/>
          <w:szCs w:val="20"/>
          <w:color w:val="auto"/>
        </w:rPr>
      </w:pPr>
      <w:r>
        <w:rPr>
          <w:rFonts w:ascii="Arial" w:cs="Arial" w:eastAsia="Arial" w:hAnsi="Arial"/>
          <w:sz w:val="17"/>
          <w:szCs w:val="17"/>
          <w:color w:val="auto"/>
        </w:rPr>
        <w:t>CONFIRMATORY GRANT OF SECURITY INTEREST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UNITED STATES PATENTS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SCHEDULE OF PATENTS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13" w:name="page814"/>
    <w:bookmarkEnd w:id="813"/>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CONFIRMATORY GRANT OF SECURITY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UNITED STATES TRADEMARKS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CONFIRMATORY GRANT OF SECURITY INTEREST IN UNITED STATES TRADEMARKS (the “</w:t>
      </w:r>
      <w:r>
        <w:rPr>
          <w:rFonts w:ascii="Arial" w:cs="Arial" w:eastAsia="Arial" w:hAnsi="Arial"/>
          <w:sz w:val="18"/>
          <w:szCs w:val="18"/>
          <w:u w:val="single" w:color="auto"/>
          <w:color w:val="auto"/>
        </w:rPr>
        <w:t>Confirmatory Grant</w:t>
      </w:r>
      <w:r>
        <w:rPr>
          <w:rFonts w:ascii="Arial" w:cs="Arial" w:eastAsia="Arial" w:hAnsi="Arial"/>
          <w:sz w:val="18"/>
          <w:szCs w:val="18"/>
          <w:color w:val="auto"/>
        </w:rPr>
        <w:t>”) is made effective as of [ ], 20 by and from the entities listed on the signature pages hereto (each such entity, together with any other entities that become party to this Confirmatory Grant, being individually referred to herein as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Grantors</w:t>
      </w:r>
      <w:r>
        <w:rPr>
          <w:rFonts w:ascii="Arial" w:cs="Arial" w:eastAsia="Arial" w:hAnsi="Arial"/>
          <w:sz w:val="18"/>
          <w:szCs w:val="18"/>
          <w:color w:val="auto"/>
        </w:rPr>
        <w:t>”), to and in favor of Deutsche Bank Trust Company Americas in its capacity as administrative agent (the “</w:t>
      </w:r>
      <w:r>
        <w:rPr>
          <w:rFonts w:ascii="Arial" w:cs="Arial" w:eastAsia="Arial" w:hAnsi="Arial"/>
          <w:sz w:val="18"/>
          <w:szCs w:val="18"/>
          <w:u w:val="single" w:color="auto"/>
          <w:color w:val="auto"/>
        </w:rPr>
        <w:t>Grantee</w:t>
      </w:r>
      <w:r>
        <w:rPr>
          <w:rFonts w:ascii="Arial" w:cs="Arial" w:eastAsia="Arial" w:hAnsi="Arial"/>
          <w:sz w:val="18"/>
          <w:szCs w:val="18"/>
          <w:color w:val="auto"/>
        </w:rPr>
        <w:t>”) for itself and on behalf and for the benefit of the other Secured Parties (as defined in the Credit Agreement referenced below).</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the Lenders from time to time party thereto, the Grantee, and the Issuing Banks from time to time party thereto are parties to the LC Credit Agreement dated as of December 13, 2019 (as the same may be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WHEREAS, the Grantors and the other grantors from time to time party thereto have entered into the U.S. Security Agreement dated as of December 13, 2019 (as the same may be amended, restated, supplemented or otherwise modified from time to time,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w:t>
      </w:r>
    </w:p>
    <w:p>
      <w:pPr>
        <w:spacing w:after="0" w:line="14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WHEREAS, the Grantors own certain Trademarks (as defined in the Security Agreement), including without limitation the Trademarks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Trademarks are pending or registered with the United States Patent and Trademark Office.</w:t>
      </w:r>
    </w:p>
    <w:p>
      <w:pPr>
        <w:spacing w:after="0" w:line="14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WHEREAS, this Confirmatory Grant has been granted in conjunction with the security interest granted to the Grantee under the Security Agreement. The rights and remedies of the Grantee with respect to the security interest granted herein are without prejudice to and are in addition to those set forth in the Security Agreement and the other Loan Documents, all terms and provisions of which are incorporated herein by reference. In the event that any provisions of this Confirmatory Grant are deemed to conflict with the Security Agreement, the provisions of the Security Agreement shall govern.</w:t>
      </w:r>
    </w:p>
    <w:p>
      <w:pPr>
        <w:spacing w:after="0" w:line="15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NOW</w:t>
      </w:r>
      <w:r>
        <w:rPr>
          <w:rFonts w:ascii="Arial" w:cs="Arial" w:eastAsia="Arial" w:hAnsi="Arial"/>
          <w:sz w:val="18"/>
          <w:szCs w:val="18"/>
          <w:b w:val="1"/>
          <w:bCs w:val="1"/>
          <w:color w:val="auto"/>
        </w:rPr>
        <w:t>,</w:t>
      </w:r>
      <w:r>
        <w:rPr>
          <w:rFonts w:ascii="Arial" w:cs="Arial" w:eastAsia="Arial" w:hAnsi="Arial"/>
          <w:sz w:val="18"/>
          <w:szCs w:val="18"/>
          <w:color w:val="auto"/>
        </w:rPr>
        <w:t xml:space="preserve"> THEREFORE, in consideration of the mutual covenants and agreements set forth herein and for other good and valuable consideration, the receipt and sufficiency of which are hereby acknowledged, it is hereby agreed that:</w:t>
      </w:r>
    </w:p>
    <w:p>
      <w:pPr>
        <w:spacing w:after="0" w:line="166" w:lineRule="exact"/>
        <w:rPr>
          <w:sz w:val="20"/>
          <w:szCs w:val="20"/>
          <w:color w:val="auto"/>
        </w:rPr>
      </w:pPr>
    </w:p>
    <w:p>
      <w:pPr>
        <w:ind w:left="1340" w:hanging="684"/>
        <w:spacing w:after="0"/>
        <w:tabs>
          <w:tab w:leader="none" w:pos="1340" w:val="left"/>
        </w:tabs>
        <w:numPr>
          <w:ilvl w:val="0"/>
          <w:numId w:val="873"/>
        </w:numPr>
        <w:rPr>
          <w:rFonts w:ascii="Arial" w:cs="Arial" w:eastAsia="Arial" w:hAnsi="Arial"/>
          <w:sz w:val="18"/>
          <w:szCs w:val="18"/>
          <w:u w:val="single" w:color="auto"/>
          <w:color w:val="2C2C2C"/>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defined herein shall have the respective meanings given to them in the Credit Agreement.</w:t>
      </w:r>
    </w:p>
    <w:p>
      <w:pPr>
        <w:spacing w:after="0" w:line="225" w:lineRule="exact"/>
        <w:rPr>
          <w:rFonts w:ascii="Arial" w:cs="Arial" w:eastAsia="Arial" w:hAnsi="Arial"/>
          <w:sz w:val="18"/>
          <w:szCs w:val="18"/>
          <w:u w:val="single" w:color="auto"/>
          <w:color w:val="2C2C2C"/>
        </w:rPr>
      </w:pPr>
    </w:p>
    <w:p>
      <w:pPr>
        <w:ind w:left="1300" w:hanging="644"/>
        <w:spacing w:after="0"/>
        <w:tabs>
          <w:tab w:leader="none" w:pos="1300" w:val="left"/>
        </w:tabs>
        <w:numPr>
          <w:ilvl w:val="0"/>
          <w:numId w:val="873"/>
        </w:numPr>
        <w:rPr>
          <w:rFonts w:ascii="Arial" w:cs="Arial" w:eastAsia="Arial" w:hAnsi="Arial"/>
          <w:sz w:val="18"/>
          <w:szCs w:val="18"/>
          <w:u w:val="single" w:color="auto"/>
          <w:color w:val="2C2C2C"/>
        </w:rPr>
      </w:pPr>
      <w:r>
        <w:rPr>
          <w:rFonts w:ascii="Arial" w:cs="Arial" w:eastAsia="Arial" w:hAnsi="Arial"/>
          <w:sz w:val="18"/>
          <w:szCs w:val="18"/>
          <w:u w:val="single" w:color="auto"/>
          <w:color w:val="auto"/>
        </w:rPr>
        <w:t>The Security Interest.</w:t>
      </w:r>
    </w:p>
    <w:p>
      <w:pPr>
        <w:spacing w:after="0" w:line="225" w:lineRule="exact"/>
        <w:rPr>
          <w:rFonts w:ascii="Arial" w:cs="Arial" w:eastAsia="Arial" w:hAnsi="Arial"/>
          <w:sz w:val="18"/>
          <w:szCs w:val="18"/>
          <w:u w:val="single" w:color="auto"/>
          <w:color w:val="2C2C2C"/>
        </w:rPr>
      </w:pPr>
    </w:p>
    <w:p>
      <w:pPr>
        <w:jc w:val="both"/>
        <w:ind w:firstLine="1305"/>
        <w:spacing w:after="0" w:line="255" w:lineRule="auto"/>
        <w:tabs>
          <w:tab w:leader="none" w:pos="2252" w:val="left"/>
        </w:tabs>
        <w:numPr>
          <w:ilvl w:val="1"/>
          <w:numId w:val="873"/>
        </w:numPr>
        <w:rPr>
          <w:rFonts w:ascii="Arial" w:cs="Arial" w:eastAsia="Arial" w:hAnsi="Arial"/>
          <w:sz w:val="18"/>
          <w:szCs w:val="18"/>
          <w:color w:val="auto"/>
        </w:rPr>
      </w:pPr>
      <w:r>
        <w:rPr>
          <w:rFonts w:ascii="Arial" w:cs="Arial" w:eastAsia="Arial" w:hAnsi="Arial"/>
          <w:sz w:val="18"/>
          <w:szCs w:val="18"/>
          <w:color w:val="auto"/>
        </w:rPr>
        <w:t xml:space="preserve">This Confirmatory Grant is made to secure the satisfactory performance and payment of all the Secured Obligations. Upon Payment in Full, the Grantee shall promptly execute, acknowledge, and deliver to the Grantors all reasonably requested instruments in writing or otherwise, releasing the security interest in the Trademarks acquired under this Confirmatory Grant. Notwithstanding the foregoing, the security interest in the Trademarks acquired under this Confirmatory Grant shall automatically be released and the Grantee shall promptly execute, acknowledge and deliver to the Grantors all reasonably requested instruments in writing or otherwise, evidencing such release, in each case, to the extent provided in and in accordance with </w:t>
      </w:r>
      <w:r>
        <w:rPr>
          <w:rFonts w:ascii="Arial" w:cs="Arial" w:eastAsia="Arial" w:hAnsi="Arial"/>
          <w:sz w:val="18"/>
          <w:szCs w:val="18"/>
          <w:u w:val="single" w:color="auto"/>
          <w:color w:val="auto"/>
        </w:rPr>
        <w:t>Section 11.01(e)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11.23</w:t>
      </w:r>
      <w:r>
        <w:rPr>
          <w:rFonts w:ascii="Arial" w:cs="Arial" w:eastAsia="Arial" w:hAnsi="Arial"/>
          <w:sz w:val="18"/>
          <w:szCs w:val="18"/>
          <w:color w:val="auto"/>
        </w:rPr>
        <w:t xml:space="preserve"> of the Credit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14" w:name="page815"/>
    <w:bookmarkEnd w:id="814"/>
    <w:p>
      <w:pPr>
        <w:jc w:val="both"/>
        <w:ind w:firstLine="1305"/>
        <w:spacing w:after="0" w:line="257" w:lineRule="auto"/>
        <w:tabs>
          <w:tab w:leader="none" w:pos="2091" w:val="left"/>
        </w:tabs>
        <w:numPr>
          <w:ilvl w:val="1"/>
          <w:numId w:val="874"/>
        </w:numPr>
        <w:rPr>
          <w:rFonts w:ascii="Arial" w:cs="Arial" w:eastAsia="Arial" w:hAnsi="Arial"/>
          <w:sz w:val="18"/>
          <w:szCs w:val="18"/>
          <w:color w:val="auto"/>
        </w:rPr>
      </w:pPr>
      <w:r>
        <w:rPr>
          <w:rFonts w:ascii="Arial" w:cs="Arial" w:eastAsia="Arial" w:hAnsi="Arial"/>
          <w:sz w:val="18"/>
          <w:szCs w:val="18"/>
          <w:color w:val="auto"/>
        </w:rPr>
        <w:t xml:space="preserve">Each Grantor hereby pledges, assigns and grants to the Grantee, on behalf of and for the benefit of the Secured Parties, a security interest in (1) all of such Grantor’s right, title and interest in and to the Trademarks now owned or hereafter acquired by such Grantor, including without limitation the Trademarks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together with (2) all proceeds and products of the Trademarks, (3) the goodwill associated with such Trademarks, and (4) all causes of action arising prior to or after the date hereof for infringement or other violation of the Trademarks or unfair competition regarding the same (collectively, the “</w:t>
      </w:r>
      <w:r>
        <w:rPr>
          <w:rFonts w:ascii="Arial" w:cs="Arial" w:eastAsia="Arial" w:hAnsi="Arial"/>
          <w:sz w:val="18"/>
          <w:szCs w:val="18"/>
          <w:u w:val="single" w:color="auto"/>
          <w:color w:val="auto"/>
        </w:rPr>
        <w:t>Trademark Collateral</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478" w:val="left"/>
        </w:tabs>
        <w:numPr>
          <w:ilvl w:val="0"/>
          <w:numId w:val="8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Confirmatory Grant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81" w:lineRule="exact"/>
        <w:rPr>
          <w:rFonts w:ascii="Arial" w:cs="Arial" w:eastAsia="Arial" w:hAnsi="Arial"/>
          <w:sz w:val="18"/>
          <w:szCs w:val="18"/>
          <w:u w:val="single" w:color="auto"/>
          <w:color w:val="auto"/>
        </w:rPr>
      </w:pPr>
    </w:p>
    <w:p>
      <w:pPr>
        <w:jc w:val="both"/>
        <w:ind w:right="20" w:firstLine="656"/>
        <w:spacing w:after="0" w:line="312" w:lineRule="auto"/>
        <w:tabs>
          <w:tab w:leader="none" w:pos="1518" w:val="left"/>
        </w:tabs>
        <w:numPr>
          <w:ilvl w:val="0"/>
          <w:numId w:val="87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Further Actions</w:t>
      </w:r>
      <w:r>
        <w:rPr>
          <w:rFonts w:ascii="Arial" w:cs="Arial" w:eastAsia="Arial" w:hAnsi="Arial"/>
          <w:sz w:val="16"/>
          <w:szCs w:val="16"/>
          <w:color w:val="auto"/>
        </w:rPr>
        <w:t>. The Grantors authorize and request that the Commissioner for Trademarks of the United States Patent and Trademark Office and any other applicable government officer record this Confirmatory Grant. The Grantors shall take any further actions, including executing any further documentation, necessary to record, perfect or effectuate this Confirmatory Grant and the Grantee’s security interest in the Trademark Collateral.</w:t>
      </w:r>
    </w:p>
    <w:p>
      <w:pPr>
        <w:spacing w:after="0" w:line="146" w:lineRule="exact"/>
        <w:rPr>
          <w:rFonts w:ascii="Arial" w:cs="Arial" w:eastAsia="Arial" w:hAnsi="Arial"/>
          <w:sz w:val="16"/>
          <w:szCs w:val="16"/>
          <w:u w:val="single" w:color="auto"/>
          <w:color w:val="auto"/>
        </w:rPr>
      </w:pPr>
    </w:p>
    <w:p>
      <w:pPr>
        <w:jc w:val="both"/>
        <w:ind w:firstLine="656"/>
        <w:spacing w:after="0" w:line="257" w:lineRule="auto"/>
        <w:tabs>
          <w:tab w:leader="none" w:pos="1491" w:val="left"/>
        </w:tabs>
        <w:numPr>
          <w:ilvl w:val="0"/>
          <w:numId w:val="8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any Grantor shall obtain rights to any new Trademarks, the provisions of this Confirmatory Grant shall automatically apply thereto. Such Grantor hereby authorizes the Grantee, in consultation with such Grantor, to modify this Confirmatory Grant by amending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solely to include any such new Trademarks of such Grantor. Notwithstanding the foregoing, no failure to so modify this Confirmatory Grant or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in any way affect, invalidate or detract from the Grantee's continuing security interest in all Trademark Collateral, whether or not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8" w:lineRule="exact"/>
        <w:rPr>
          <w:rFonts w:ascii="Arial" w:cs="Arial" w:eastAsia="Arial" w:hAnsi="Arial"/>
          <w:sz w:val="18"/>
          <w:szCs w:val="18"/>
          <w:u w:val="single" w:color="auto"/>
          <w:color w:val="auto"/>
        </w:rPr>
      </w:pPr>
    </w:p>
    <w:p>
      <w:pPr>
        <w:ind w:firstLine="656"/>
        <w:spacing w:after="0" w:line="277" w:lineRule="auto"/>
        <w:tabs>
          <w:tab w:leader="none" w:pos="1545" w:val="left"/>
        </w:tabs>
        <w:numPr>
          <w:ilvl w:val="0"/>
          <w:numId w:val="8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Confirmatory Grant and the rights and obligations of the parties hereto shall be governed by, and construed and interpreted in accordance with, the internal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5" w:name="page816"/>
    <w:bookmarkEnd w:id="815"/>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this Confirmatory Grant of Security Interest in United States Trademarks effective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Confirmatory Grant of Security Interest in United States Trademarks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16" w:name="page817"/>
    <w:bookmarkEnd w:id="816"/>
    <w:p>
      <w:pPr>
        <w:ind w:left="2440"/>
        <w:spacing w:after="0"/>
        <w:rPr>
          <w:sz w:val="20"/>
          <w:szCs w:val="20"/>
          <w:color w:val="auto"/>
        </w:rPr>
      </w:pPr>
      <w:r>
        <w:rPr>
          <w:rFonts w:ascii="Arial" w:cs="Arial" w:eastAsia="Arial" w:hAnsi="Arial"/>
          <w:sz w:val="17"/>
          <w:szCs w:val="17"/>
          <w:color w:val="auto"/>
        </w:rPr>
        <w:t>CONFIRMATORY GRANT OF SECURITY INTEREST</w:t>
      </w:r>
    </w:p>
    <w:p>
      <w:pPr>
        <w:spacing w:after="0" w:line="3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 UNITED STATES TRADEMARKS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Exhibit A – SCHEDULE OF TRADEMARKS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17" w:name="page818"/>
    <w:bookmarkEnd w:id="817"/>
    <w:p>
      <w:pPr>
        <w:jc w:val="right"/>
        <w:spacing w:after="0"/>
        <w:rPr>
          <w:sz w:val="20"/>
          <w:szCs w:val="20"/>
          <w:color w:val="auto"/>
        </w:rPr>
      </w:pPr>
      <w:r>
        <w:rPr>
          <w:rFonts w:ascii="Arial" w:cs="Arial" w:eastAsia="Arial" w:hAnsi="Arial"/>
          <w:sz w:val="18"/>
          <w:szCs w:val="18"/>
          <w:b w:val="1"/>
          <w:bCs w:val="1"/>
          <w:u w:val="single" w:color="auto"/>
          <w:color w:val="auto"/>
        </w:rPr>
        <w:t>EXHIBIT K</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u w:val="single" w:color="auto"/>
          <w:color w:val="auto"/>
        </w:rPr>
        <w:t>FORMS OF ENGLISH SECURITY AGREEMENTS</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818" w:name="page819"/>
    <w:bookmarkEnd w:id="818"/>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4420"/>
        <w:spacing w:after="0"/>
        <w:tabs>
          <w:tab w:leader="none" w:pos="63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-7620</wp:posOffset>
            </wp:positionV>
            <wp:extent cx="8001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U.K.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1751330</wp:posOffset>
            </wp:positionH>
            <wp:positionV relativeFrom="paragraph">
              <wp:posOffset>142875</wp:posOffset>
            </wp:positionV>
            <wp:extent cx="36277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CHARGE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1751330</wp:posOffset>
            </wp:positionH>
            <wp:positionV relativeFrom="paragraph">
              <wp:posOffset>154940</wp:posOffset>
            </wp:positionV>
            <wp:extent cx="36277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This Deed of Charge and Assignment is entered into subject to the terms of the Intercreditor Agreement dated on or about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837565</wp:posOffset>
            </wp:positionV>
            <wp:extent cx="724662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117475</wp:posOffset>
            </wp:positionV>
            <wp:extent cx="1054735" cy="2743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0">
                      <a:extLst>
                        <a:ext uri="{28A0092B-C50C-407E-A947-70E740481C1C}"/>
                      </a:extLst>
                    </a:blip>
                    <a:srcRect/>
                    <a:stretch>
                      <a:fillRect/>
                    </a:stretch>
                  </pic:blipFill>
                  <pic:spPr bwMode="auto">
                    <a:xfrm>
                      <a:off x="0" y="0"/>
                      <a:ext cx="1054735" cy="274320"/>
                    </a:xfrm>
                    <a:prstGeom prst="rect">
                      <a:avLst/>
                    </a:prstGeom>
                    <a:noFill/>
                  </pic:spPr>
                </pic:pic>
              </a:graphicData>
            </a:graphic>
          </wp:anchor>
        </w:drawing>
      </w:r>
    </w:p>
    <w:p>
      <w:pPr>
        <w:sectPr>
          <w:pgSz w:w="11900" w:h="16838" w:orient="portrait"/>
          <w:cols w:equalWidth="0" w:num="1">
            <w:col w:w="11220"/>
          </w:cols>
          <w:pgMar w:left="340" w:top="906" w:right="339" w:bottom="1440" w:gutter="0" w:footer="0" w:header="0"/>
        </w:sectPr>
      </w:pPr>
    </w:p>
    <w:bookmarkStart w:id="819" w:name="page820"/>
    <w:bookmarkEnd w:id="819"/>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9660" w:type="dxa"/>
            <w:vAlign w:val="bottom"/>
          </w:tcPr>
          <w:p>
            <w:pPr>
              <w:ind w:left="41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9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6"/>
        </w:trPr>
        <w:tc>
          <w:tcPr>
            <w:tcW w:w="620" w:type="dxa"/>
            <w:vAlign w:val="bottom"/>
            <w:vMerge w:val="restart"/>
          </w:tcPr>
          <w:p>
            <w:pPr>
              <w:spacing w:after="0"/>
              <w:rPr>
                <w:sz w:val="20"/>
                <w:szCs w:val="20"/>
                <w:color w:val="auto"/>
              </w:rPr>
            </w:pPr>
            <w:r>
              <w:rPr>
                <w:rFonts w:ascii="Arial" w:cs="Arial" w:eastAsia="Arial" w:hAnsi="Arial"/>
                <w:sz w:val="18"/>
                <w:szCs w:val="18"/>
                <w:color w:val="auto"/>
              </w:rPr>
              <w:t>1.</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DEFINITIONS AND INTERPRETATION</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20" w:type="dxa"/>
            <w:vAlign w:val="bottom"/>
            <w:vMerge w:val="continue"/>
          </w:tcPr>
          <w:p>
            <w:pPr>
              <w:spacing w:after="0"/>
              <w:rPr>
                <w:sz w:val="19"/>
                <w:szCs w:val="19"/>
                <w:color w:val="auto"/>
              </w:rPr>
            </w:pPr>
          </w:p>
        </w:tc>
        <w:tc>
          <w:tcPr>
            <w:tcW w:w="966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0"/>
                <w:szCs w:val="20"/>
                <w:color w:val="auto"/>
              </w:rPr>
            </w:pPr>
            <w:r>
              <w:rPr>
                <w:rFonts w:ascii="Arial" w:cs="Arial" w:eastAsia="Arial" w:hAnsi="Arial"/>
                <w:sz w:val="18"/>
                <w:szCs w:val="18"/>
                <w:color w:val="auto"/>
              </w:rPr>
              <w:t>2.</w:t>
            </w:r>
          </w:p>
        </w:tc>
        <w:tc>
          <w:tcPr>
            <w:tcW w:w="9660" w:type="dxa"/>
            <w:vAlign w:val="bottom"/>
          </w:tcPr>
          <w:p>
            <w:pPr>
              <w:ind w:left="80"/>
              <w:spacing w:after="0"/>
              <w:rPr>
                <w:sz w:val="20"/>
                <w:szCs w:val="20"/>
                <w:color w:val="auto"/>
              </w:rPr>
            </w:pPr>
            <w:r>
              <w:rPr>
                <w:rFonts w:ascii="Arial" w:cs="Arial" w:eastAsia="Arial" w:hAnsi="Arial"/>
                <w:sz w:val="18"/>
                <w:szCs w:val="18"/>
                <w:color w:val="auto"/>
              </w:rPr>
              <w:t>TRUST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3.</w:t>
            </w:r>
          </w:p>
        </w:tc>
        <w:tc>
          <w:tcPr>
            <w:tcW w:w="9660" w:type="dxa"/>
            <w:vAlign w:val="bottom"/>
          </w:tcPr>
          <w:p>
            <w:pPr>
              <w:ind w:left="80"/>
              <w:spacing w:after="0"/>
              <w:rPr>
                <w:sz w:val="20"/>
                <w:szCs w:val="20"/>
                <w:color w:val="auto"/>
              </w:rPr>
            </w:pPr>
            <w:r>
              <w:rPr>
                <w:rFonts w:ascii="Arial" w:cs="Arial" w:eastAsia="Arial" w:hAnsi="Arial"/>
                <w:sz w:val="18"/>
                <w:szCs w:val="18"/>
                <w:color w:val="auto"/>
              </w:rPr>
              <w:t>INTERCREDITOR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4.</w:t>
            </w:r>
          </w:p>
        </w:tc>
        <w:tc>
          <w:tcPr>
            <w:tcW w:w="9660" w:type="dxa"/>
            <w:vAlign w:val="bottom"/>
          </w:tcPr>
          <w:p>
            <w:pPr>
              <w:ind w:left="80"/>
              <w:spacing w:after="0"/>
              <w:rPr>
                <w:sz w:val="20"/>
                <w:szCs w:val="20"/>
                <w:color w:val="auto"/>
              </w:rPr>
            </w:pPr>
            <w:r>
              <w:rPr>
                <w:rFonts w:ascii="Arial" w:cs="Arial" w:eastAsia="Arial" w:hAnsi="Arial"/>
                <w:sz w:val="18"/>
                <w:szCs w:val="18"/>
                <w:color w:val="auto"/>
              </w:rPr>
              <w:t>ABL DEED OF CHARGE AND ASSIGNMENT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5.</w:t>
            </w:r>
          </w:p>
        </w:tc>
        <w:tc>
          <w:tcPr>
            <w:tcW w:w="9660" w:type="dxa"/>
            <w:vAlign w:val="bottom"/>
          </w:tcPr>
          <w:p>
            <w:pPr>
              <w:ind w:left="80"/>
              <w:spacing w:after="0"/>
              <w:rPr>
                <w:sz w:val="20"/>
                <w:szCs w:val="20"/>
                <w:color w:val="auto"/>
              </w:rPr>
            </w:pPr>
            <w:r>
              <w:rPr>
                <w:rFonts w:ascii="Arial" w:cs="Arial" w:eastAsia="Arial" w:hAnsi="Arial"/>
                <w:sz w:val="18"/>
                <w:szCs w:val="18"/>
                <w:color w:val="auto"/>
              </w:rPr>
              <w:t>COVENANT TO PAY</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6.</w:t>
            </w:r>
          </w:p>
        </w:tc>
        <w:tc>
          <w:tcPr>
            <w:tcW w:w="9660" w:type="dxa"/>
            <w:vAlign w:val="bottom"/>
          </w:tcPr>
          <w:p>
            <w:pPr>
              <w:ind w:left="80"/>
              <w:spacing w:after="0"/>
              <w:rPr>
                <w:sz w:val="20"/>
                <w:szCs w:val="20"/>
                <w:color w:val="auto"/>
              </w:rPr>
            </w:pPr>
            <w:r>
              <w:rPr>
                <w:rFonts w:ascii="Arial" w:cs="Arial" w:eastAsia="Arial" w:hAnsi="Arial"/>
                <w:sz w:val="18"/>
                <w:szCs w:val="18"/>
                <w:color w:val="auto"/>
              </w:rPr>
              <w:t>SECURITY</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REDEMPTION OF SECURITY</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8.</w:t>
            </w:r>
          </w:p>
        </w:tc>
        <w:tc>
          <w:tcPr>
            <w:tcW w:w="966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9.</w:t>
            </w:r>
          </w:p>
        </w:tc>
        <w:tc>
          <w:tcPr>
            <w:tcW w:w="9660" w:type="dxa"/>
            <w:vAlign w:val="bottom"/>
          </w:tcPr>
          <w:p>
            <w:pPr>
              <w:ind w:left="80"/>
              <w:spacing w:after="0"/>
              <w:rPr>
                <w:sz w:val="20"/>
                <w:szCs w:val="20"/>
                <w:color w:val="auto"/>
              </w:rPr>
            </w:pPr>
            <w:r>
              <w:rPr>
                <w:rFonts w:ascii="Arial" w:cs="Arial" w:eastAsia="Arial" w:hAnsi="Arial"/>
                <w:sz w:val="18"/>
                <w:szCs w:val="18"/>
                <w:color w:val="auto"/>
              </w:rPr>
              <w:t>COVENANTS RELATING TO ASSETS – PERFECTION, RESTRICTIONS ON DEALINGS, PROTECTION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GENERAL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11.</w:t>
            </w:r>
          </w:p>
        </w:tc>
        <w:tc>
          <w:tcPr>
            <w:tcW w:w="9660" w:type="dxa"/>
            <w:vAlign w:val="bottom"/>
          </w:tcPr>
          <w:p>
            <w:pPr>
              <w:ind w:left="80"/>
              <w:spacing w:after="0"/>
              <w:rPr>
                <w:sz w:val="20"/>
                <w:szCs w:val="20"/>
                <w:color w:val="auto"/>
              </w:rPr>
            </w:pPr>
            <w:r>
              <w:rPr>
                <w:rFonts w:ascii="Arial" w:cs="Arial" w:eastAsia="Arial" w:hAnsi="Arial"/>
                <w:sz w:val="18"/>
                <w:szCs w:val="18"/>
                <w:color w:val="auto"/>
              </w:rPr>
              <w:t>CRYSTALLISATION OF FLOATING CHARGE</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12.</w:t>
            </w:r>
          </w:p>
        </w:tc>
        <w:tc>
          <w:tcPr>
            <w:tcW w:w="9660" w:type="dxa"/>
            <w:vAlign w:val="bottom"/>
          </w:tcPr>
          <w:p>
            <w:pPr>
              <w:ind w:left="80"/>
              <w:spacing w:after="0"/>
              <w:rPr>
                <w:sz w:val="20"/>
                <w:szCs w:val="20"/>
                <w:color w:val="auto"/>
              </w:rPr>
            </w:pPr>
            <w:r>
              <w:rPr>
                <w:rFonts w:ascii="Arial" w:cs="Arial" w:eastAsia="Arial" w:hAnsi="Arial"/>
                <w:sz w:val="18"/>
                <w:szCs w:val="18"/>
                <w:color w:val="auto"/>
              </w:rPr>
              <w:t>ENFORCEMENT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13.</w:t>
            </w:r>
          </w:p>
        </w:tc>
        <w:tc>
          <w:tcPr>
            <w:tcW w:w="9660" w:type="dxa"/>
            <w:vAlign w:val="bottom"/>
          </w:tcPr>
          <w:p>
            <w:pPr>
              <w:ind w:left="80"/>
              <w:spacing w:after="0"/>
              <w:rPr>
                <w:sz w:val="20"/>
                <w:szCs w:val="20"/>
                <w:color w:val="auto"/>
              </w:rPr>
            </w:pPr>
            <w:r>
              <w:rPr>
                <w:rFonts w:ascii="Arial" w:cs="Arial" w:eastAsia="Arial" w:hAnsi="Arial"/>
                <w:sz w:val="18"/>
                <w:szCs w:val="18"/>
                <w:color w:val="auto"/>
              </w:rPr>
              <w:t>CONTINUING SECURITY, OTHER SECURITY ETC.</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14.</w:t>
            </w:r>
          </w:p>
        </w:tc>
        <w:tc>
          <w:tcPr>
            <w:tcW w:w="9660" w:type="dxa"/>
            <w:vAlign w:val="bottom"/>
          </w:tcPr>
          <w:p>
            <w:pPr>
              <w:ind w:left="80"/>
              <w:spacing w:after="0"/>
              <w:rPr>
                <w:sz w:val="20"/>
                <w:szCs w:val="20"/>
                <w:color w:val="auto"/>
              </w:rPr>
            </w:pPr>
            <w:r>
              <w:rPr>
                <w:rFonts w:ascii="Arial" w:cs="Arial" w:eastAsia="Arial" w:hAnsi="Arial"/>
                <w:sz w:val="18"/>
                <w:szCs w:val="18"/>
                <w:color w:val="auto"/>
              </w:rPr>
              <w:t>FURTHER ASSURANCES, POWER OF ATTORNEY, ETC.</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15.</w:t>
            </w:r>
          </w:p>
        </w:tc>
        <w:tc>
          <w:tcPr>
            <w:tcW w:w="9660" w:type="dxa"/>
            <w:vAlign w:val="bottom"/>
          </w:tcPr>
          <w:p>
            <w:pPr>
              <w:ind w:left="80"/>
              <w:spacing w:after="0"/>
              <w:rPr>
                <w:sz w:val="20"/>
                <w:szCs w:val="20"/>
                <w:color w:val="auto"/>
              </w:rPr>
            </w:pPr>
            <w:r>
              <w:rPr>
                <w:rFonts w:ascii="Arial" w:cs="Arial" w:eastAsia="Arial" w:hAnsi="Arial"/>
                <w:sz w:val="18"/>
                <w:szCs w:val="18"/>
                <w:color w:val="auto"/>
              </w:rPr>
              <w:t>THE COLLATERAL AGENT'S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16.</w:t>
            </w:r>
          </w:p>
        </w:tc>
        <w:tc>
          <w:tcPr>
            <w:tcW w:w="9660" w:type="dxa"/>
            <w:vAlign w:val="bottom"/>
          </w:tcPr>
          <w:p>
            <w:pPr>
              <w:ind w:left="80"/>
              <w:spacing w:after="0"/>
              <w:rPr>
                <w:sz w:val="20"/>
                <w:szCs w:val="20"/>
                <w:color w:val="auto"/>
              </w:rPr>
            </w:pPr>
            <w:r>
              <w:rPr>
                <w:rFonts w:ascii="Arial" w:cs="Arial" w:eastAsia="Arial" w:hAnsi="Arial"/>
                <w:sz w:val="18"/>
                <w:szCs w:val="18"/>
                <w:color w:val="auto"/>
              </w:rPr>
              <w:t>APPOINTMENT OF ADMINISTRATOR</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17.</w:t>
            </w:r>
          </w:p>
        </w:tc>
        <w:tc>
          <w:tcPr>
            <w:tcW w:w="9660" w:type="dxa"/>
            <w:vAlign w:val="bottom"/>
          </w:tcPr>
          <w:p>
            <w:pPr>
              <w:ind w:left="80"/>
              <w:spacing w:after="0"/>
              <w:rPr>
                <w:sz w:val="20"/>
                <w:szCs w:val="20"/>
                <w:color w:val="auto"/>
              </w:rPr>
            </w:pPr>
            <w:r>
              <w:rPr>
                <w:rFonts w:ascii="Arial" w:cs="Arial" w:eastAsia="Arial" w:hAnsi="Arial"/>
                <w:sz w:val="18"/>
                <w:szCs w:val="18"/>
                <w:color w:val="auto"/>
              </w:rPr>
              <w:t>RECEIVER</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18.</w:t>
            </w:r>
          </w:p>
        </w:tc>
        <w:tc>
          <w:tcPr>
            <w:tcW w:w="9660" w:type="dxa"/>
            <w:vAlign w:val="bottom"/>
          </w:tcPr>
          <w:p>
            <w:pPr>
              <w:ind w:left="80"/>
              <w:spacing w:after="0"/>
              <w:rPr>
                <w:sz w:val="20"/>
                <w:szCs w:val="20"/>
                <w:color w:val="auto"/>
              </w:rPr>
            </w:pPr>
            <w:r>
              <w:rPr>
                <w:rFonts w:ascii="Arial" w:cs="Arial" w:eastAsia="Arial" w:hAnsi="Arial"/>
                <w:sz w:val="18"/>
                <w:szCs w:val="18"/>
                <w:color w:val="auto"/>
              </w:rPr>
              <w:t>APPLICATION OF MONEYS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19.</w:t>
            </w:r>
          </w:p>
        </w:tc>
        <w:tc>
          <w:tcPr>
            <w:tcW w:w="9660" w:type="dxa"/>
            <w:vAlign w:val="bottom"/>
          </w:tcPr>
          <w:p>
            <w:pPr>
              <w:ind w:left="80"/>
              <w:spacing w:after="0"/>
              <w:rPr>
                <w:sz w:val="20"/>
                <w:szCs w:val="20"/>
                <w:color w:val="auto"/>
              </w:rPr>
            </w:pPr>
            <w:r>
              <w:rPr>
                <w:rFonts w:ascii="Arial" w:cs="Arial" w:eastAsia="Arial" w:hAnsi="Arial"/>
                <w:sz w:val="18"/>
                <w:szCs w:val="18"/>
                <w:color w:val="auto"/>
              </w:rPr>
              <w:t>PROTECTION OF THIRD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20.</w:t>
            </w:r>
          </w:p>
        </w:tc>
        <w:tc>
          <w:tcPr>
            <w:tcW w:w="9660" w:type="dxa"/>
            <w:vAlign w:val="bottom"/>
          </w:tcPr>
          <w:p>
            <w:pPr>
              <w:ind w:left="80"/>
              <w:spacing w:after="0"/>
              <w:rPr>
                <w:sz w:val="20"/>
                <w:szCs w:val="20"/>
                <w:color w:val="auto"/>
              </w:rPr>
            </w:pPr>
            <w:r>
              <w:rPr>
                <w:rFonts w:ascii="Arial" w:cs="Arial" w:eastAsia="Arial" w:hAnsi="Arial"/>
                <w:sz w:val="18"/>
                <w:szCs w:val="18"/>
                <w:color w:val="auto"/>
              </w:rPr>
              <w:t>PROTECTION OF COLLATERAL AGENT AND RECEIVER</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9660" w:type="dxa"/>
            <w:vAlign w:val="bottom"/>
          </w:tcPr>
          <w:p>
            <w:pPr>
              <w:ind w:left="80"/>
              <w:spacing w:after="0"/>
              <w:rPr>
                <w:sz w:val="20"/>
                <w:szCs w:val="20"/>
                <w:color w:val="auto"/>
              </w:rPr>
            </w:pPr>
            <w:r>
              <w:rPr>
                <w:rFonts w:ascii="Arial" w:cs="Arial" w:eastAsia="Arial" w:hAnsi="Arial"/>
                <w:sz w:val="18"/>
                <w:szCs w:val="18"/>
                <w:color w:val="auto"/>
              </w:rPr>
              <w:t>COSTS, EXPENSES AND INDEMNITY</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9660" w:type="dxa"/>
            <w:vAlign w:val="bottom"/>
          </w:tcPr>
          <w:p>
            <w:pPr>
              <w:ind w:left="80"/>
              <w:spacing w:after="0"/>
              <w:rPr>
                <w:sz w:val="20"/>
                <w:szCs w:val="20"/>
                <w:color w:val="auto"/>
              </w:rPr>
            </w:pPr>
            <w:r>
              <w:rPr>
                <w:rFonts w:ascii="Arial" w:cs="Arial" w:eastAsia="Arial" w:hAnsi="Arial"/>
                <w:sz w:val="18"/>
                <w:szCs w:val="18"/>
                <w:color w:val="auto"/>
              </w:rPr>
              <w:t>CONSENTS, VARIATIONS, WAIVERS AND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02"/>
        </w:trPr>
        <w:tc>
          <w:tcPr>
            <w:tcW w:w="6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9" w:right="239" w:bottom="1440" w:gutter="0" w:footer="0" w:header="0"/>
        </w:sectPr>
      </w:pPr>
    </w:p>
    <w:bookmarkStart w:id="820" w:name="page821"/>
    <w:bookmarkEnd w:id="8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8380" w:type="dxa"/>
            <w:vAlign w:val="bottom"/>
          </w:tcPr>
          <w:p>
            <w:pPr>
              <w:ind w:left="240"/>
              <w:spacing w:after="0"/>
              <w:rPr>
                <w:sz w:val="20"/>
                <w:szCs w:val="20"/>
                <w:color w:val="auto"/>
              </w:rPr>
            </w:pPr>
            <w:r>
              <w:rPr>
                <w:rFonts w:ascii="Arial" w:cs="Arial" w:eastAsia="Arial" w:hAnsi="Arial"/>
                <w:sz w:val="18"/>
                <w:szCs w:val="18"/>
                <w:color w:val="auto"/>
              </w:rPr>
              <w:t>PARTIAL INVALIDITY</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83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8380" w:type="dxa"/>
            <w:vAlign w:val="bottom"/>
          </w:tcPr>
          <w:p>
            <w:pPr>
              <w:ind w:left="240"/>
              <w:spacing w:after="0"/>
              <w:rPr>
                <w:sz w:val="20"/>
                <w:szCs w:val="20"/>
                <w:color w:val="auto"/>
              </w:rPr>
            </w:pPr>
            <w:r>
              <w:rPr>
                <w:rFonts w:ascii="Arial" w:cs="Arial" w:eastAsia="Arial" w:hAnsi="Arial"/>
                <w:sz w:val="18"/>
                <w:szCs w:val="18"/>
                <w:color w:val="auto"/>
              </w:rPr>
              <w:t>THIRD PARTIES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8380" w:type="dxa"/>
            <w:vAlign w:val="bottom"/>
          </w:tcPr>
          <w:p>
            <w:pPr>
              <w:ind w:left="240"/>
              <w:spacing w:after="0"/>
              <w:rPr>
                <w:sz w:val="20"/>
                <w:szCs w:val="20"/>
                <w:color w:val="auto"/>
              </w:rPr>
            </w:pPr>
            <w:r>
              <w:rPr>
                <w:rFonts w:ascii="Arial" w:cs="Arial" w:eastAsia="Arial" w:hAnsi="Arial"/>
                <w:sz w:val="18"/>
                <w:szCs w:val="18"/>
                <w:color w:val="auto"/>
              </w:rPr>
              <w:t>DETERMINATIONS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8380" w:type="dxa"/>
            <w:vAlign w:val="bottom"/>
          </w:tcPr>
          <w:p>
            <w:pPr>
              <w:ind w:left="240"/>
              <w:spacing w:after="0"/>
              <w:rPr>
                <w:sz w:val="20"/>
                <w:szCs w:val="20"/>
                <w:color w:val="auto"/>
              </w:rPr>
            </w:pPr>
            <w:r>
              <w:rPr>
                <w:rFonts w:ascii="Arial" w:cs="Arial" w:eastAsia="Arial" w:hAnsi="Arial"/>
                <w:sz w:val="18"/>
                <w:szCs w:val="18"/>
                <w:color w:val="auto"/>
              </w:rPr>
              <w:t>ASSIGNMENT</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83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29.</w:t>
            </w:r>
          </w:p>
        </w:tc>
        <w:tc>
          <w:tcPr>
            <w:tcW w:w="8380" w:type="dxa"/>
            <w:vAlign w:val="bottom"/>
          </w:tcPr>
          <w:p>
            <w:pPr>
              <w:ind w:left="240"/>
              <w:spacing w:after="0"/>
              <w:rPr>
                <w:sz w:val="20"/>
                <w:szCs w:val="20"/>
                <w:color w:val="auto"/>
              </w:rPr>
            </w:pPr>
            <w:r>
              <w:rPr>
                <w:rFonts w:ascii="Arial" w:cs="Arial" w:eastAsia="Arial" w:hAnsi="Arial"/>
                <w:sz w:val="18"/>
                <w:szCs w:val="18"/>
                <w:color w:val="auto"/>
              </w:rPr>
              <w:t>GOVERNING LAW AND JURISDICTION</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SCHEDULE 1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PART 1 – GENERAL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PART 2 – COLLECTION BANK ACCOUNT</w:t>
            </w:r>
          </w:p>
        </w:tc>
        <w:tc>
          <w:tcPr>
            <w:tcW w:w="2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SCHEDULE 2 ASSIGNED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SCHEDULE 3 INSURANCE POLICIES</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SCHEDULE 4 FORM OF NOTICE OF CHARGE OF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PART 1 – FORM OF NOTICE OF CHARGE FOR GENERAL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PART 2 – FORM OF NOTICE OF CHARGE FOR COLLECTION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SCHEDULE 5 FORM OF NOTICE OF CHARGE OF ASSIGNED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92"/>
        </w:trPr>
        <w:tc>
          <w:tcPr>
            <w:tcW w:w="8840" w:type="dxa"/>
            <w:vAlign w:val="bottom"/>
            <w:gridSpan w:val="2"/>
          </w:tcPr>
          <w:p>
            <w:pPr>
              <w:spacing w:after="0"/>
              <w:rPr>
                <w:sz w:val="20"/>
                <w:szCs w:val="20"/>
                <w:color w:val="auto"/>
              </w:rPr>
            </w:pPr>
            <w:r>
              <w:rPr>
                <w:rFonts w:ascii="Arial" w:cs="Arial" w:eastAsia="Arial" w:hAnsi="Arial"/>
                <w:sz w:val="18"/>
                <w:szCs w:val="18"/>
                <w:color w:val="auto"/>
              </w:rPr>
              <w:t>SCHEDULE 6 FORM OF NOTICE OF CHARGE OF INSURANCE POLICIES</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675"/>
        </w:trPr>
        <w:tc>
          <w:tcPr>
            <w:tcW w:w="4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6" w:right="239" w:bottom="1440" w:gutter="0" w:footer="0" w:header="0"/>
        </w:sectPr>
      </w:pPr>
    </w:p>
    <w:bookmarkStart w:id="821" w:name="page822"/>
    <w:bookmarkEnd w:id="821"/>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660" w:type="dxa"/>
            <w:vAlign w:val="bottom"/>
          </w:tcPr>
          <w:p>
            <w:pPr>
              <w:spacing w:after="0"/>
              <w:rPr>
                <w:sz w:val="20"/>
                <w:szCs w:val="20"/>
                <w:color w:val="auto"/>
              </w:rPr>
            </w:pPr>
            <w:r>
              <w:rPr>
                <w:rFonts w:ascii="Arial" w:cs="Arial" w:eastAsia="Arial" w:hAnsi="Arial"/>
                <w:sz w:val="18"/>
                <w:szCs w:val="18"/>
                <w:b w:val="1"/>
                <w:bCs w:val="1"/>
                <w:color w:val="auto"/>
                <w:w w:val="98"/>
              </w:rPr>
              <w:t xml:space="preserve">THIS DEED OF CHARGE AND ASSIGNMENT </w:t>
            </w:r>
            <w:r>
              <w:rPr>
                <w:rFonts w:ascii="Arial" w:cs="Arial" w:eastAsia="Arial" w:hAnsi="Arial"/>
                <w:sz w:val="18"/>
                <w:szCs w:val="18"/>
                <w:color w:val="auto"/>
                <w:w w:val="98"/>
              </w:rPr>
              <w:t>is made 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4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740" w:right="100" w:hanging="651"/>
        <w:spacing w:after="0" w:line="282" w:lineRule="auto"/>
        <w:tabs>
          <w:tab w:leader="none" w:pos="740" w:val="left"/>
        </w:tabs>
        <w:numPr>
          <w:ilvl w:val="0"/>
          <w:numId w:val="876"/>
        </w:numPr>
        <w:rPr>
          <w:rFonts w:ascii="Arial" w:cs="Arial" w:eastAsia="Arial" w:hAnsi="Arial"/>
          <w:sz w:val="18"/>
          <w:szCs w:val="18"/>
          <w:color w:val="auto"/>
        </w:rPr>
      </w:pPr>
      <w:r>
        <w:rPr>
          <w:rFonts w:ascii="Arial" w:cs="Arial" w:eastAsia="Arial" w:hAnsi="Arial"/>
          <w:sz w:val="18"/>
          <w:szCs w:val="18"/>
          <w:b w:val="1"/>
          <w:bCs w:val="1"/>
          <w:color w:val="auto"/>
        </w:rPr>
        <w:t>WEATHERFORD U.K. LIMITED</w:t>
      </w:r>
      <w:r>
        <w:rPr>
          <w:rFonts w:ascii="Arial" w:cs="Arial" w:eastAsia="Arial" w:hAnsi="Arial"/>
          <w:sz w:val="18"/>
          <w:szCs w:val="18"/>
          <w:color w:val="auto"/>
        </w:rPr>
        <w:t>, a limited company incorporated in England and Wales under registered number 00862925,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Gotham Road, East Leake, Loughborough, Leicestershire LE12 6JX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740" w:right="120" w:hanging="651"/>
        <w:spacing w:after="0" w:line="282" w:lineRule="auto"/>
        <w:tabs>
          <w:tab w:leader="none" w:pos="740" w:val="left"/>
        </w:tabs>
        <w:numPr>
          <w:ilvl w:val="0"/>
          <w:numId w:val="876"/>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740" w:hanging="651"/>
        <w:spacing w:after="0"/>
        <w:tabs>
          <w:tab w:leader="none" w:pos="74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Under the Loan Agreement (as defined below) the Lenders have granted to the Borrowers a letter of credit line facility (the "</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right="120" w:hanging="651"/>
        <w:spacing w:after="0" w:line="277" w:lineRule="auto"/>
        <w:tabs>
          <w:tab w:leader="none" w:pos="74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Company, have guaranteed the obligations of the Borrowers under the Loan Agreement.</w:t>
      </w:r>
    </w:p>
    <w:p>
      <w:pPr>
        <w:spacing w:after="0" w:line="170" w:lineRule="exact"/>
        <w:rPr>
          <w:rFonts w:ascii="Arial" w:cs="Arial" w:eastAsia="Arial" w:hAnsi="Arial"/>
          <w:sz w:val="18"/>
          <w:szCs w:val="18"/>
          <w:color w:val="auto"/>
        </w:rPr>
      </w:pPr>
    </w:p>
    <w:p>
      <w:pPr>
        <w:ind w:left="740" w:hanging="651"/>
        <w:spacing w:after="0"/>
        <w:tabs>
          <w:tab w:leader="none" w:pos="74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It is a requirement under the Loan Agreement that obligations of the Company under the Guarantee are secured by this Deed.</w:t>
      </w:r>
    </w:p>
    <w:p>
      <w:pPr>
        <w:spacing w:after="0" w:line="225" w:lineRule="exact"/>
        <w:rPr>
          <w:rFonts w:ascii="Arial" w:cs="Arial" w:eastAsia="Arial" w:hAnsi="Arial"/>
          <w:sz w:val="18"/>
          <w:szCs w:val="18"/>
          <w:color w:val="auto"/>
        </w:rPr>
      </w:pPr>
    </w:p>
    <w:p>
      <w:pPr>
        <w:jc w:val="both"/>
        <w:ind w:left="740" w:right="100" w:hanging="651"/>
        <w:spacing w:after="0" w:line="264" w:lineRule="auto"/>
        <w:tabs>
          <w:tab w:leader="none" w:pos="74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The Company has agreed to mortgage, assign and charge by way of security all of its right, title, interest and benefit in, to and under its assets, rights, revenues and undertaking (except any Excluded Assets) in favour of the Collateral Agent as security for the Secured Obligations, subject to and in accordance with the terms and conditions of this Deed (each as defined below).</w:t>
      </w:r>
    </w:p>
    <w:p>
      <w:pPr>
        <w:spacing w:after="0" w:line="181" w:lineRule="exact"/>
        <w:rPr>
          <w:rFonts w:ascii="Arial" w:cs="Arial" w:eastAsia="Arial" w:hAnsi="Arial"/>
          <w:sz w:val="18"/>
          <w:szCs w:val="18"/>
          <w:color w:val="auto"/>
        </w:rPr>
      </w:pPr>
    </w:p>
    <w:p>
      <w:pPr>
        <w:ind w:left="740" w:right="100" w:hanging="651"/>
        <w:spacing w:after="0" w:line="277" w:lineRule="auto"/>
        <w:tabs>
          <w:tab w:leader="none" w:pos="740" w:val="left"/>
        </w:tabs>
        <w:numPr>
          <w:ilvl w:val="0"/>
          <w:numId w:val="877"/>
        </w:numPr>
        <w:rPr>
          <w:rFonts w:ascii="Arial" w:cs="Arial" w:eastAsia="Arial" w:hAnsi="Arial"/>
          <w:sz w:val="18"/>
          <w:szCs w:val="18"/>
          <w:color w:val="auto"/>
        </w:rPr>
      </w:pPr>
      <w:r>
        <w:rPr>
          <w:rFonts w:ascii="Arial" w:cs="Arial" w:eastAsia="Arial" w:hAnsi="Arial"/>
          <w:sz w:val="18"/>
          <w:szCs w:val="18"/>
          <w:color w:val="auto"/>
        </w:rPr>
        <w:t>The Company's board of directors has concluded after due consideration of all relevant circumstances that entering into this Deed is in the best interests of and for the benefit of the Company for the purposes of its business.</w:t>
      </w:r>
    </w:p>
    <w:p>
      <w:pPr>
        <w:spacing w:after="0" w:line="170" w:lineRule="exact"/>
        <w:rPr>
          <w:rFonts w:ascii="Arial" w:cs="Arial" w:eastAsia="Arial" w:hAnsi="Arial"/>
          <w:sz w:val="18"/>
          <w:szCs w:val="18"/>
          <w:color w:val="auto"/>
        </w:rPr>
      </w:pPr>
    </w:p>
    <w:p>
      <w:pPr>
        <w:ind w:left="740" w:hanging="651"/>
        <w:spacing w:after="0"/>
        <w:tabs>
          <w:tab w:leader="none" w:pos="740" w:val="left"/>
        </w:tabs>
        <w:numPr>
          <w:ilvl w:val="0"/>
          <w:numId w:val="877"/>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IT IS AGREED AND THIS DEED PROVIDES </w:t>
      </w:r>
      <w:r>
        <w:rPr>
          <w:rFonts w:ascii="Arial" w:cs="Arial" w:eastAsia="Arial" w:hAnsi="Arial"/>
          <w:sz w:val="18"/>
          <w:szCs w:val="18"/>
          <w:color w:val="auto"/>
        </w:rPr>
        <w:t>as follows:</w:t>
      </w:r>
    </w:p>
    <w:p>
      <w:pPr>
        <w:spacing w:after="0" w:line="225" w:lineRule="exact"/>
        <w:rPr>
          <w:sz w:val="20"/>
          <w:szCs w:val="20"/>
          <w:color w:val="auto"/>
        </w:rPr>
      </w:pPr>
    </w:p>
    <w:p>
      <w:pPr>
        <w:ind w:left="740" w:hanging="651"/>
        <w:spacing w:after="0"/>
        <w:tabs>
          <w:tab w:leader="none" w:pos="740" w:val="left"/>
        </w:tabs>
        <w:numPr>
          <w:ilvl w:val="0"/>
          <w:numId w:val="8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740" w:right="120" w:hanging="647"/>
        <w:spacing w:after="0" w:line="277" w:lineRule="auto"/>
        <w:tabs>
          <w:tab w:leader="none" w:pos="7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Capitalised words and phrases used but not defined in this Deed shall have the meanings set out in the Loan Agreement and the following words and expressions have the meanings set out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"ABL Deed of Charge and</w:t>
            </w:r>
          </w:p>
        </w:tc>
        <w:tc>
          <w:tcPr>
            <w:tcW w:w="8020" w:type="dxa"/>
            <w:vAlign w:val="bottom"/>
          </w:tcPr>
          <w:p>
            <w:pPr>
              <w:ind w:left="600"/>
              <w:spacing w:after="0"/>
              <w:rPr>
                <w:sz w:val="20"/>
                <w:szCs w:val="20"/>
                <w:color w:val="auto"/>
              </w:rPr>
            </w:pPr>
            <w:r>
              <w:rPr>
                <w:rFonts w:ascii="Arial" w:cs="Arial" w:eastAsia="Arial" w:hAnsi="Arial"/>
                <w:sz w:val="18"/>
                <w:szCs w:val="18"/>
                <w:color w:val="auto"/>
                <w:w w:val="91"/>
              </w:rPr>
              <w:t>means a deed of charge and assignment dated on and Assignment"or about the date hereof between,</w:t>
            </w:r>
          </w:p>
        </w:tc>
      </w:tr>
      <w:tr>
        <w:trPr>
          <w:trHeight w:val="220"/>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Assignment"</w:t>
            </w:r>
          </w:p>
        </w:tc>
        <w:tc>
          <w:tcPr>
            <w:tcW w:w="8020" w:type="dxa"/>
            <w:vAlign w:val="bottom"/>
          </w:tcPr>
          <w:p>
            <w:pPr>
              <w:ind w:left="600"/>
              <w:spacing w:after="0"/>
              <w:rPr>
                <w:sz w:val="20"/>
                <w:szCs w:val="20"/>
                <w:color w:val="auto"/>
              </w:rPr>
            </w:pPr>
            <w:r>
              <w:rPr>
                <w:rFonts w:ascii="Arial" w:cs="Arial" w:eastAsia="Arial" w:hAnsi="Arial"/>
                <w:sz w:val="18"/>
                <w:szCs w:val="18"/>
                <w:color w:val="auto"/>
                <w:w w:val="98"/>
              </w:rPr>
              <w:t>amongst others, the Company and Wells Fargo Bank, National Association as collateral agent,</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granted pursuant to an asset based loan credit agreement dated on or about the date of this Deed</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7"/>
              </w:rPr>
              <w:t>between, amongst others, Weatherford International Ltd. and Weatherford International, LLC as</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borrowers, the lenders party thereto, and Wells Fargo Bank, National Association as collateral agent;</w:t>
            </w:r>
          </w:p>
        </w:tc>
      </w:tr>
      <w:tr>
        <w:trPr>
          <w:trHeight w:val="702"/>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822" w:name="page823"/>
    <w:bookmarkEnd w:id="8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ind w:left="740"/>
              <w:spacing w:after="0"/>
              <w:rPr>
                <w:sz w:val="20"/>
                <w:szCs w:val="20"/>
                <w:color w:val="auto"/>
              </w:rPr>
            </w:pPr>
            <w:r>
              <w:rPr>
                <w:rFonts w:ascii="Arial" w:cs="Arial" w:eastAsia="Arial" w:hAnsi="Arial"/>
                <w:sz w:val="18"/>
                <w:szCs w:val="18"/>
                <w:b w:val="1"/>
                <w:bCs w:val="1"/>
                <w:color w:val="auto"/>
              </w:rPr>
              <w:t>"Administrator"</w:t>
            </w:r>
          </w:p>
        </w:tc>
        <w:tc>
          <w:tcPr>
            <w:tcW w:w="8120" w:type="dxa"/>
            <w:vAlign w:val="bottom"/>
          </w:tcPr>
          <w:p>
            <w:pPr>
              <w:ind w:left="700"/>
              <w:spacing w:after="0"/>
              <w:rPr>
                <w:sz w:val="20"/>
                <w:szCs w:val="20"/>
                <w:color w:val="auto"/>
              </w:rPr>
            </w:pPr>
            <w:r>
              <w:rPr>
                <w:rFonts w:ascii="Arial" w:cs="Arial" w:eastAsia="Arial" w:hAnsi="Arial"/>
                <w:sz w:val="18"/>
                <w:szCs w:val="18"/>
                <w:color w:val="auto"/>
                <w:w w:val="93"/>
              </w:rPr>
              <w:t>means any person or persons for the time being acting as administrator of the Company pursuant to</w:t>
            </w:r>
          </w:p>
        </w:tc>
      </w:tr>
      <w:tr>
        <w:trPr>
          <w:trHeight w:val="230"/>
        </w:trPr>
        <w:tc>
          <w:tcPr>
            <w:tcW w:w="330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the provisions of the Insolvency Act;</w:t>
            </w:r>
          </w:p>
        </w:tc>
      </w:tr>
      <w:tr>
        <w:trPr>
          <w:trHeight w:val="418"/>
        </w:trPr>
        <w:tc>
          <w:tcPr>
            <w:tcW w:w="3300" w:type="dxa"/>
            <w:vAlign w:val="bottom"/>
          </w:tcPr>
          <w:p>
            <w:pPr>
              <w:ind w:left="740"/>
              <w:spacing w:after="0"/>
              <w:rPr>
                <w:sz w:val="20"/>
                <w:szCs w:val="20"/>
                <w:color w:val="auto"/>
              </w:rPr>
            </w:pPr>
            <w:r>
              <w:rPr>
                <w:rFonts w:ascii="Arial" w:cs="Arial" w:eastAsia="Arial" w:hAnsi="Arial"/>
                <w:sz w:val="18"/>
                <w:szCs w:val="18"/>
                <w:b w:val="1"/>
                <w:bCs w:val="1"/>
                <w:color w:val="auto"/>
              </w:rPr>
              <w:t>"Assets"</w:t>
            </w:r>
          </w:p>
        </w:tc>
        <w:tc>
          <w:tcPr>
            <w:tcW w:w="8120" w:type="dxa"/>
            <w:vAlign w:val="bottom"/>
          </w:tcPr>
          <w:p>
            <w:pPr>
              <w:ind w:left="700"/>
              <w:spacing w:after="0"/>
              <w:rPr>
                <w:sz w:val="20"/>
                <w:szCs w:val="20"/>
                <w:color w:val="auto"/>
              </w:rPr>
            </w:pPr>
            <w:r>
              <w:rPr>
                <w:rFonts w:ascii="Arial" w:cs="Arial" w:eastAsia="Arial" w:hAnsi="Arial"/>
                <w:sz w:val="18"/>
                <w:szCs w:val="18"/>
                <w:color w:val="auto"/>
                <w:w w:val="96"/>
              </w:rPr>
              <w:t>means  property,  assets,  rights,  revenues,  income,  uncalled  capital,  licences,  business  and</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0"/>
              </w:rPr>
              <w:t>undertakings and any interest therein, in each case whatsoever and wheresoever situated, present and</w:t>
            </w:r>
          </w:p>
        </w:tc>
      </w:tr>
      <w:tr>
        <w:trPr>
          <w:trHeight w:val="230"/>
        </w:trPr>
        <w:tc>
          <w:tcPr>
            <w:tcW w:w="330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future (but shall exclude, for the avoidance of doubt, the Excluded Assets);</w:t>
            </w:r>
          </w:p>
        </w:tc>
      </w:tr>
      <w:tr>
        <w:trPr>
          <w:trHeight w:val="432"/>
        </w:trPr>
        <w:tc>
          <w:tcPr>
            <w:tcW w:w="3300" w:type="dxa"/>
            <w:vAlign w:val="bottom"/>
          </w:tcPr>
          <w:p>
            <w:pPr>
              <w:ind w:left="740"/>
              <w:spacing w:after="0"/>
              <w:rPr>
                <w:sz w:val="20"/>
                <w:szCs w:val="20"/>
                <w:color w:val="auto"/>
              </w:rPr>
            </w:pPr>
            <w:r>
              <w:rPr>
                <w:rFonts w:ascii="Arial" w:cs="Arial" w:eastAsia="Arial" w:hAnsi="Arial"/>
                <w:sz w:val="18"/>
                <w:szCs w:val="18"/>
                <w:b w:val="1"/>
                <w:bCs w:val="1"/>
                <w:color w:val="auto"/>
              </w:rPr>
              <w:t>"Assigned Assets"</w:t>
            </w:r>
          </w:p>
        </w:tc>
        <w:tc>
          <w:tcPr>
            <w:tcW w:w="8120" w:type="dxa"/>
            <w:vAlign w:val="bottom"/>
          </w:tcPr>
          <w:p>
            <w:pPr>
              <w:ind w:left="700"/>
              <w:spacing w:after="0"/>
              <w:rPr>
                <w:sz w:val="20"/>
                <w:szCs w:val="20"/>
                <w:color w:val="auto"/>
              </w:rPr>
            </w:pPr>
            <w:r>
              <w:rPr>
                <w:rFonts w:ascii="Arial" w:cs="Arial" w:eastAsia="Arial" w:hAnsi="Arial"/>
                <w:sz w:val="18"/>
                <w:szCs w:val="18"/>
                <w:color w:val="auto"/>
              </w:rPr>
              <w:t xml:space="preserve">has the meaning set out in Clause 6.4(a) </w:t>
            </w:r>
            <w:r>
              <w:rPr>
                <w:rFonts w:ascii="Arial" w:cs="Arial" w:eastAsia="Arial" w:hAnsi="Arial"/>
                <w:sz w:val="18"/>
                <w:szCs w:val="18"/>
                <w:i w:val="1"/>
                <w:iCs w:val="1"/>
                <w:color w:val="auto"/>
              </w:rPr>
              <w:t>(Assignment);</w:t>
            </w:r>
          </w:p>
        </w:tc>
      </w:tr>
      <w:tr>
        <w:trPr>
          <w:trHeight w:val="418"/>
        </w:trPr>
        <w:tc>
          <w:tcPr>
            <w:tcW w:w="3300" w:type="dxa"/>
            <w:vAlign w:val="bottom"/>
          </w:tcPr>
          <w:p>
            <w:pPr>
              <w:ind w:left="740"/>
              <w:spacing w:after="0"/>
              <w:rPr>
                <w:sz w:val="20"/>
                <w:szCs w:val="20"/>
                <w:color w:val="auto"/>
              </w:rPr>
            </w:pPr>
            <w:r>
              <w:rPr>
                <w:rFonts w:ascii="Arial" w:cs="Arial" w:eastAsia="Arial" w:hAnsi="Arial"/>
                <w:sz w:val="18"/>
                <w:szCs w:val="18"/>
                <w:b w:val="1"/>
                <w:bCs w:val="1"/>
                <w:color w:val="auto"/>
              </w:rPr>
              <w:t>"Assigned Agreements"</w:t>
            </w:r>
          </w:p>
        </w:tc>
        <w:tc>
          <w:tcPr>
            <w:tcW w:w="8120" w:type="dxa"/>
            <w:vAlign w:val="bottom"/>
          </w:tcPr>
          <w:p>
            <w:pPr>
              <w:ind w:left="700"/>
              <w:spacing w:after="0"/>
              <w:rPr>
                <w:sz w:val="20"/>
                <w:szCs w:val="20"/>
                <w:color w:val="auto"/>
              </w:rPr>
            </w:pPr>
            <w:r>
              <w:rPr>
                <w:rFonts w:ascii="Arial" w:cs="Arial" w:eastAsia="Arial" w:hAnsi="Arial"/>
                <w:sz w:val="18"/>
                <w:szCs w:val="18"/>
                <w:color w:val="auto"/>
                <w:w w:val="96"/>
              </w:rPr>
              <w:t xml:space="preserve">means each agreement specified in Schedule 2 </w:t>
            </w:r>
            <w:r>
              <w:rPr>
                <w:rFonts w:ascii="Arial" w:cs="Arial" w:eastAsia="Arial" w:hAnsi="Arial"/>
                <w:sz w:val="18"/>
                <w:szCs w:val="18"/>
                <w:i w:val="1"/>
                <w:iCs w:val="1"/>
                <w:color w:val="auto"/>
                <w:w w:val="96"/>
              </w:rPr>
              <w:t>(Assigned Agreements)</w:t>
            </w:r>
            <w:r>
              <w:rPr>
                <w:rFonts w:ascii="Arial" w:cs="Arial" w:eastAsia="Arial" w:hAnsi="Arial"/>
                <w:sz w:val="18"/>
                <w:szCs w:val="18"/>
                <w:color w:val="auto"/>
                <w:w w:val="96"/>
              </w:rPr>
              <w:t xml:space="preserve"> together with each other</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1"/>
              </w:rPr>
              <w:t>agreement supplementing or amending or novating or replacing the same designated as an Assigned</w:t>
            </w:r>
          </w:p>
        </w:tc>
      </w:tr>
      <w:tr>
        <w:trPr>
          <w:trHeight w:val="230"/>
        </w:trPr>
        <w:tc>
          <w:tcPr>
            <w:tcW w:w="330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Agreement;</w:t>
            </w:r>
          </w:p>
        </w:tc>
      </w:tr>
      <w:tr>
        <w:trPr>
          <w:trHeight w:val="432"/>
        </w:trPr>
        <w:tc>
          <w:tcPr>
            <w:tcW w:w="3300" w:type="dxa"/>
            <w:vAlign w:val="bottom"/>
          </w:tcPr>
          <w:p>
            <w:pPr>
              <w:ind w:left="740"/>
              <w:spacing w:after="0"/>
              <w:rPr>
                <w:sz w:val="20"/>
                <w:szCs w:val="20"/>
                <w:color w:val="auto"/>
              </w:rPr>
            </w:pPr>
            <w:r>
              <w:rPr>
                <w:rFonts w:ascii="Arial" w:cs="Arial" w:eastAsia="Arial" w:hAnsi="Arial"/>
                <w:sz w:val="18"/>
                <w:szCs w:val="18"/>
                <w:b w:val="1"/>
                <w:bCs w:val="1"/>
                <w:color w:val="auto"/>
              </w:rPr>
              <w:t>"Bank Accounts"</w:t>
            </w:r>
          </w:p>
        </w:tc>
        <w:tc>
          <w:tcPr>
            <w:tcW w:w="8120" w:type="dxa"/>
            <w:vAlign w:val="bottom"/>
          </w:tcPr>
          <w:p>
            <w:pPr>
              <w:ind w:left="700"/>
              <w:spacing w:after="0"/>
              <w:rPr>
                <w:sz w:val="20"/>
                <w:szCs w:val="20"/>
                <w:color w:val="auto"/>
              </w:rPr>
            </w:pPr>
            <w:r>
              <w:rPr>
                <w:rFonts w:ascii="Arial" w:cs="Arial" w:eastAsia="Arial" w:hAnsi="Arial"/>
                <w:sz w:val="18"/>
                <w:szCs w:val="18"/>
                <w:color w:val="auto"/>
              </w:rPr>
              <w:t>means the General Bank Accounts and the Collection Bank Accounts;</w:t>
            </w:r>
          </w:p>
        </w:tc>
      </w:tr>
      <w:tr>
        <w:trPr>
          <w:trHeight w:val="418"/>
        </w:trPr>
        <w:tc>
          <w:tcPr>
            <w:tcW w:w="3300" w:type="dxa"/>
            <w:vAlign w:val="bottom"/>
          </w:tcPr>
          <w:p>
            <w:pPr>
              <w:ind w:left="740"/>
              <w:spacing w:after="0"/>
              <w:rPr>
                <w:sz w:val="20"/>
                <w:szCs w:val="20"/>
                <w:color w:val="auto"/>
              </w:rPr>
            </w:pPr>
            <w:r>
              <w:rPr>
                <w:rFonts w:ascii="Arial" w:cs="Arial" w:eastAsia="Arial" w:hAnsi="Arial"/>
                <w:sz w:val="18"/>
                <w:szCs w:val="18"/>
                <w:b w:val="1"/>
                <w:bCs w:val="1"/>
                <w:color w:val="auto"/>
              </w:rPr>
              <w:t>"Book Debts"</w:t>
            </w:r>
          </w:p>
        </w:tc>
        <w:tc>
          <w:tcPr>
            <w:tcW w:w="8120" w:type="dxa"/>
            <w:vAlign w:val="bottom"/>
          </w:tcPr>
          <w:p>
            <w:pPr>
              <w:ind w:left="700"/>
              <w:spacing w:after="0"/>
              <w:rPr>
                <w:sz w:val="20"/>
                <w:szCs w:val="20"/>
                <w:color w:val="auto"/>
              </w:rPr>
            </w:pPr>
            <w:r>
              <w:rPr>
                <w:rFonts w:ascii="Arial" w:cs="Arial" w:eastAsia="Arial" w:hAnsi="Arial"/>
                <w:sz w:val="18"/>
                <w:szCs w:val="18"/>
                <w:color w:val="auto"/>
                <w:w w:val="92"/>
              </w:rPr>
              <w:t>means all book and other debts (including rents) and other moneys, liabilities and monetary claims of</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4"/>
              </w:rPr>
              <w:t>any nature whatsoever now or hereafter due, owing or payable to the Company (including moneys,</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6"/>
              </w:rPr>
              <w:t>liabilities and claims deriving from or in relation to any Investments, any contract or agreement to</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3"/>
              </w:rPr>
              <w:t>which the Company is party, or any other Assets or rights of the Company, and including the benefit</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7"/>
              </w:rPr>
              <w:t>of any judgment or order to pay money and any amounts due or owing from any government or</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4"/>
              </w:rPr>
              <w:t>governmental agency including in respect of Taxes) and all other rights of the Company to receive</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4"/>
              </w:rPr>
              <w:t>money (but excluding all moneys now or hereafter standing to the credit of any account held by the</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3"/>
              </w:rPr>
              <w:t>Company with any bank) and any proceeds thereof; and the benefit of (including the proceeds of all</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8"/>
              </w:rPr>
              <w:t>claims  under)  all  rights,  Security  Interests,  securities,  guarantees,  indemnities,  negotiable</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w w:val="91"/>
              </w:rPr>
              <w:t>instruments, letters of credit and Insurances of any nature whatsoever now or hereafter owned or held</w:t>
            </w:r>
          </w:p>
        </w:tc>
      </w:tr>
      <w:tr>
        <w:trPr>
          <w:trHeight w:val="216"/>
        </w:trPr>
        <w:tc>
          <w:tcPr>
            <w:tcW w:w="330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by the Company in relation to any of the foregoing (but "Book Debts" shall exclude, for the</w:t>
            </w:r>
          </w:p>
        </w:tc>
      </w:tr>
      <w:tr>
        <w:trPr>
          <w:trHeight w:val="230"/>
        </w:trPr>
        <w:tc>
          <w:tcPr>
            <w:tcW w:w="330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avoidance of doubt, the Excluded Assets);</w:t>
            </w:r>
          </w:p>
        </w:tc>
      </w:tr>
      <w:tr>
        <w:trPr>
          <w:trHeight w:val="675"/>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32" w:right="239" w:bottom="1440" w:gutter="0" w:footer="0" w:header="0"/>
        </w:sectPr>
      </w:pPr>
    </w:p>
    <w:bookmarkStart w:id="823" w:name="page824"/>
    <w:bookmarkEnd w:id="8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"Business Day"</w:t>
            </w:r>
          </w:p>
        </w:tc>
        <w:tc>
          <w:tcPr>
            <w:tcW w:w="7940" w:type="dxa"/>
            <w:vAlign w:val="bottom"/>
          </w:tcPr>
          <w:p>
            <w:pPr>
              <w:ind w:left="520"/>
              <w:spacing w:after="0"/>
              <w:rPr>
                <w:sz w:val="20"/>
                <w:szCs w:val="20"/>
                <w:color w:val="auto"/>
              </w:rPr>
            </w:pPr>
            <w:r>
              <w:rPr>
                <w:rFonts w:ascii="Arial" w:cs="Arial" w:eastAsia="Arial" w:hAnsi="Arial"/>
                <w:sz w:val="18"/>
                <w:szCs w:val="18"/>
                <w:color w:val="auto"/>
                <w:w w:val="93"/>
              </w:rPr>
              <w:t>means any day (other than a Saturday or Sunday) on which banks are open for business in London</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and New York City;</w:t>
            </w:r>
          </w:p>
        </w:tc>
      </w:tr>
      <w:tr>
        <w:trPr>
          <w:trHeight w:val="432"/>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"cash"</w:t>
            </w:r>
          </w:p>
        </w:tc>
        <w:tc>
          <w:tcPr>
            <w:tcW w:w="7940" w:type="dxa"/>
            <w:vAlign w:val="bottom"/>
          </w:tcPr>
          <w:p>
            <w:pPr>
              <w:ind w:left="520"/>
              <w:spacing w:after="0"/>
              <w:rPr>
                <w:sz w:val="20"/>
                <w:szCs w:val="20"/>
                <w:color w:val="auto"/>
              </w:rPr>
            </w:pPr>
            <w:r>
              <w:rPr>
                <w:rFonts w:ascii="Arial" w:cs="Arial" w:eastAsia="Arial" w:hAnsi="Arial"/>
                <w:sz w:val="18"/>
                <w:szCs w:val="18"/>
                <w:color w:val="auto"/>
                <w:w w:val="97"/>
              </w:rPr>
              <w:t>means cash within the meaning of Financial Collateral Arrangements (No. 2) Regulations 2003;</w:t>
            </w:r>
          </w:p>
        </w:tc>
      </w:tr>
      <w:tr>
        <w:trPr>
          <w:trHeight w:val="418"/>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"Centre of Main Interests"</w:t>
            </w: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means, in relation to a person, its centre of main interests within the meaning of the EC Regulation</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on Insolvency Proceedings 2000;</w:t>
            </w:r>
          </w:p>
        </w:tc>
      </w:tr>
      <w:tr>
        <w:trPr>
          <w:trHeight w:val="414"/>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"Charged Assets"</w:t>
            </w:r>
          </w:p>
        </w:tc>
        <w:tc>
          <w:tcPr>
            <w:tcW w:w="7940" w:type="dxa"/>
            <w:vAlign w:val="bottom"/>
          </w:tcPr>
          <w:p>
            <w:pPr>
              <w:ind w:left="520"/>
              <w:spacing w:after="0"/>
              <w:rPr>
                <w:sz w:val="20"/>
                <w:szCs w:val="20"/>
                <w:color w:val="auto"/>
              </w:rPr>
            </w:pPr>
            <w:r>
              <w:rPr>
                <w:rFonts w:ascii="Arial" w:cs="Arial" w:eastAsia="Arial" w:hAnsi="Arial"/>
                <w:sz w:val="18"/>
                <w:szCs w:val="18"/>
                <w:color w:val="auto"/>
                <w:w w:val="95"/>
              </w:rPr>
              <w:t>means all Assets from time to time subject or expressed or intended to be subject to the Charges</w:t>
            </w:r>
          </w:p>
        </w:tc>
      </w:tr>
      <w:tr>
        <w:trPr>
          <w:trHeight w:val="220"/>
        </w:trPr>
        <w:tc>
          <w:tcPr>
            <w:tcW w:w="3480" w:type="dxa"/>
            <w:vAlign w:val="bottom"/>
          </w:tcPr>
          <w:p>
            <w:pPr>
              <w:spacing w:after="0"/>
              <w:rPr>
                <w:sz w:val="19"/>
                <w:szCs w:val="19"/>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3"/>
              </w:rPr>
              <w:t xml:space="preserve">(whether fixed or floating) under or pursuant to this Deed, and </w:t>
            </w:r>
            <w:r>
              <w:rPr>
                <w:rFonts w:ascii="Arial" w:cs="Arial" w:eastAsia="Arial" w:hAnsi="Arial"/>
                <w:sz w:val="18"/>
                <w:szCs w:val="18"/>
                <w:b w:val="1"/>
                <w:bCs w:val="1"/>
                <w:color w:val="auto"/>
                <w:w w:val="93"/>
              </w:rPr>
              <w:t>"Charged Assets"</w:t>
            </w:r>
            <w:r>
              <w:rPr>
                <w:rFonts w:ascii="Arial" w:cs="Arial" w:eastAsia="Arial" w:hAnsi="Arial"/>
                <w:sz w:val="18"/>
                <w:szCs w:val="18"/>
                <w:color w:val="auto"/>
                <w:w w:val="93"/>
              </w:rPr>
              <w:t xml:space="preserve"> includes any part</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of any of them and any right, title, interest or benefit therein or in respect thereof (but shall exclude,</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for the avoidance of doubt, the Excluded Assets);</w:t>
            </w:r>
          </w:p>
        </w:tc>
      </w:tr>
      <w:tr>
        <w:trPr>
          <w:trHeight w:val="418"/>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"Charges"</w:t>
            </w: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means any or all of the Security Interests created or expressed to be created, or which may now or</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hereafter be created or expressed to be created, by or pursuant to this Deed, including any further</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5"/>
              </w:rPr>
              <w:t xml:space="preserve">Security Interests created pursuant to Clause 14 </w:t>
            </w:r>
            <w:r>
              <w:rPr>
                <w:rFonts w:ascii="Arial" w:cs="Arial" w:eastAsia="Arial" w:hAnsi="Arial"/>
                <w:sz w:val="18"/>
                <w:szCs w:val="18"/>
                <w:i w:val="1"/>
                <w:iCs w:val="1"/>
                <w:color w:val="auto"/>
                <w:w w:val="95"/>
              </w:rPr>
              <w:t>(Further Assurances, Power of Attorney, etc.)</w:t>
            </w:r>
            <w:r>
              <w:rPr>
                <w:rFonts w:ascii="Arial" w:cs="Arial" w:eastAsia="Arial" w:hAnsi="Arial"/>
                <w:sz w:val="18"/>
                <w:szCs w:val="18"/>
                <w:color w:val="auto"/>
                <w:w w:val="95"/>
              </w:rPr>
              <w:t xml:space="preserve"> or</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 xml:space="preserve">Clause 6.9 </w:t>
            </w:r>
            <w:r>
              <w:rPr>
                <w:rFonts w:ascii="Arial" w:cs="Arial" w:eastAsia="Arial" w:hAnsi="Arial"/>
                <w:sz w:val="18"/>
                <w:szCs w:val="18"/>
                <w:i w:val="1"/>
                <w:iCs w:val="1"/>
                <w:color w:val="auto"/>
              </w:rPr>
              <w:t>(Excluded Property);</w:t>
            </w:r>
          </w:p>
        </w:tc>
      </w:tr>
      <w:tr>
        <w:trPr>
          <w:trHeight w:val="418"/>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"Collection Account Banks"</w:t>
            </w:r>
          </w:p>
        </w:tc>
        <w:tc>
          <w:tcPr>
            <w:tcW w:w="7940" w:type="dxa"/>
            <w:vAlign w:val="bottom"/>
          </w:tcPr>
          <w:p>
            <w:pPr>
              <w:ind w:left="520"/>
              <w:spacing w:after="0"/>
              <w:rPr>
                <w:sz w:val="20"/>
                <w:szCs w:val="20"/>
                <w:color w:val="auto"/>
              </w:rPr>
            </w:pPr>
            <w:r>
              <w:rPr>
                <w:rFonts w:ascii="Arial" w:cs="Arial" w:eastAsia="Arial" w:hAnsi="Arial"/>
                <w:sz w:val="18"/>
                <w:szCs w:val="18"/>
                <w:color w:val="auto"/>
                <w:w w:val="93"/>
              </w:rPr>
              <w:t xml:space="preserve">means the account banks listed in Part 2 of Schedule 1 </w:t>
            </w:r>
            <w:r>
              <w:rPr>
                <w:rFonts w:ascii="Arial" w:cs="Arial" w:eastAsia="Arial" w:hAnsi="Arial"/>
                <w:sz w:val="18"/>
                <w:szCs w:val="18"/>
                <w:i w:val="1"/>
                <w:iCs w:val="1"/>
                <w:color w:val="auto"/>
                <w:w w:val="93"/>
              </w:rPr>
              <w:t>(Collection Bank Account)</w:t>
            </w:r>
            <w:r>
              <w:rPr>
                <w:rFonts w:ascii="Arial" w:cs="Arial" w:eastAsia="Arial" w:hAnsi="Arial"/>
                <w:sz w:val="18"/>
                <w:szCs w:val="18"/>
                <w:color w:val="auto"/>
                <w:w w:val="93"/>
              </w:rPr>
              <w:t xml:space="preserve"> under the column</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"Account Bank";</w:t>
            </w:r>
          </w:p>
        </w:tc>
      </w:tr>
      <w:tr>
        <w:trPr>
          <w:trHeight w:val="418"/>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"Collection Account Notice"</w:t>
            </w: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 xml:space="preserve">means a notice in the form set out in Part 2 of Schedule 4 </w:t>
            </w:r>
            <w:r>
              <w:rPr>
                <w:rFonts w:ascii="Arial" w:cs="Arial" w:eastAsia="Arial" w:hAnsi="Arial"/>
                <w:sz w:val="18"/>
                <w:szCs w:val="18"/>
                <w:i w:val="1"/>
                <w:iCs w:val="1"/>
                <w:color w:val="auto"/>
                <w:w w:val="94"/>
              </w:rPr>
              <w:t>(Form of Notice of Charge for Collection</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i w:val="1"/>
                <w:iCs w:val="1"/>
                <w:color w:val="auto"/>
              </w:rPr>
              <w:t>Bank Accounts );</w:t>
            </w:r>
          </w:p>
        </w:tc>
      </w:tr>
      <w:tr>
        <w:trPr>
          <w:trHeight w:val="418"/>
        </w:trPr>
        <w:tc>
          <w:tcPr>
            <w:tcW w:w="3480" w:type="dxa"/>
            <w:vAlign w:val="bottom"/>
          </w:tcPr>
          <w:p>
            <w:pPr>
              <w:ind w:left="740"/>
              <w:spacing w:after="0"/>
              <w:rPr>
                <w:sz w:val="20"/>
                <w:szCs w:val="20"/>
                <w:color w:val="auto"/>
              </w:rPr>
            </w:pPr>
            <w:r>
              <w:rPr>
                <w:rFonts w:ascii="Arial" w:cs="Arial" w:eastAsia="Arial" w:hAnsi="Arial"/>
                <w:sz w:val="18"/>
                <w:szCs w:val="18"/>
                <w:b w:val="1"/>
                <w:bCs w:val="1"/>
                <w:color w:val="auto"/>
              </w:rPr>
              <w:t>"Collection Bank Accounts"</w:t>
            </w: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means the accounts listed in Part 2 of Schedule 1 (Collection Bank Account) held by the Company</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6"/>
              </w:rPr>
              <w:t>with the bank or banks specified in Part 2 of Schedule 1 (Collection Bank Account) and any other</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4"/>
              </w:rPr>
              <w:t>bank account maintained by the Company with any financial institution as the Collateral Agent may</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8"/>
              </w:rPr>
              <w:t>from time to time designate in writing as a Collection Bank Account, including in each case any</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2"/>
              </w:rPr>
              <w:t>redesignation or renewal thereof and all balances now or hereafter standing to the credit of any such</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2"/>
              </w:rPr>
              <w:t>account including all interest from time to time thereon, the debt represented thereby and all rights in</w:t>
            </w:r>
          </w:p>
        </w:tc>
      </w:tr>
      <w:tr>
        <w:trPr>
          <w:trHeight w:val="216"/>
        </w:trPr>
        <w:tc>
          <w:tcPr>
            <w:tcW w:w="348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w w:val="99"/>
              </w:rPr>
              <w:t>relation thereto (but "Collection Bank Accounts" shall exclude, for the avoidance of doubt, the</w:t>
            </w:r>
          </w:p>
        </w:tc>
      </w:tr>
      <w:tr>
        <w:trPr>
          <w:trHeight w:val="230"/>
        </w:trPr>
        <w:tc>
          <w:tcPr>
            <w:tcW w:w="348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Excluded Assets);</w:t>
            </w:r>
          </w:p>
        </w:tc>
      </w:tr>
      <w:tr>
        <w:trPr>
          <w:trHeight w:val="675"/>
        </w:trPr>
        <w:tc>
          <w:tcPr>
            <w:tcW w:w="34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32" w:right="239" w:bottom="1440" w:gutter="0" w:footer="0" w:header="0"/>
        </w:sectPr>
      </w:pPr>
    </w:p>
    <w:bookmarkStart w:id="824" w:name="page825"/>
    <w:bookmarkEnd w:id="8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ind w:left="740"/>
              <w:spacing w:after="0"/>
              <w:rPr>
                <w:sz w:val="20"/>
                <w:szCs w:val="20"/>
                <w:color w:val="auto"/>
              </w:rPr>
            </w:pPr>
            <w:r>
              <w:rPr>
                <w:rFonts w:ascii="Arial" w:cs="Arial" w:eastAsia="Arial" w:hAnsi="Arial"/>
                <w:sz w:val="18"/>
                <w:szCs w:val="18"/>
                <w:b w:val="1"/>
                <w:bCs w:val="1"/>
                <w:color w:val="auto"/>
              </w:rPr>
              <w:t>"Credit Claims"</w:t>
            </w: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3"/>
              </w:rPr>
              <w:t>means credit claims within the meaning of the Financial Collateral Arrangements (No 2) Regulations</w:t>
            </w:r>
          </w:p>
        </w:tc>
      </w:tr>
      <w:tr>
        <w:trPr>
          <w:trHeight w:val="230"/>
        </w:trPr>
        <w:tc>
          <w:tcPr>
            <w:tcW w:w="3220" w:type="dxa"/>
            <w:vAlign w:val="bottom"/>
          </w:tcPr>
          <w:p>
            <w:pPr>
              <w:spacing w:after="0"/>
              <w:rPr>
                <w:sz w:val="20"/>
                <w:szCs w:val="20"/>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2003;</w:t>
            </w:r>
          </w:p>
        </w:tc>
        <w:tc>
          <w:tcPr>
            <w:tcW w:w="6880" w:type="dxa"/>
            <w:vAlign w:val="bottom"/>
          </w:tcPr>
          <w:p>
            <w:pPr>
              <w:spacing w:after="0"/>
              <w:rPr>
                <w:sz w:val="20"/>
                <w:szCs w:val="20"/>
                <w:color w:val="auto"/>
              </w:rPr>
            </w:pPr>
          </w:p>
        </w:tc>
      </w:tr>
      <w:tr>
        <w:trPr>
          <w:trHeight w:val="432"/>
        </w:trPr>
        <w:tc>
          <w:tcPr>
            <w:tcW w:w="3220" w:type="dxa"/>
            <w:vAlign w:val="bottom"/>
          </w:tcPr>
          <w:p>
            <w:pPr>
              <w:ind w:left="740"/>
              <w:spacing w:after="0"/>
              <w:rPr>
                <w:sz w:val="20"/>
                <w:szCs w:val="20"/>
                <w:color w:val="auto"/>
              </w:rPr>
            </w:pPr>
            <w:r>
              <w:rPr>
                <w:rFonts w:ascii="Arial" w:cs="Arial" w:eastAsia="Arial" w:hAnsi="Arial"/>
                <w:sz w:val="18"/>
                <w:szCs w:val="18"/>
                <w:b w:val="1"/>
                <w:bCs w:val="1"/>
                <w:color w:val="auto"/>
              </w:rPr>
              <w:t>"Delegate"</w:t>
            </w: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2"/>
              </w:rPr>
              <w:t xml:space="preserve">means a delegate or subdelegate appointed pursuant to Clause 15.5 </w:t>
            </w:r>
            <w:r>
              <w:rPr>
                <w:rFonts w:ascii="Arial" w:cs="Arial" w:eastAsia="Arial" w:hAnsi="Arial"/>
                <w:sz w:val="18"/>
                <w:szCs w:val="18"/>
                <w:i w:val="1"/>
                <w:iCs w:val="1"/>
                <w:color w:val="auto"/>
                <w:w w:val="92"/>
              </w:rPr>
              <w:t>(The Collateral Agent's Rights);</w:t>
            </w:r>
          </w:p>
        </w:tc>
      </w:tr>
      <w:tr>
        <w:trPr>
          <w:trHeight w:val="418"/>
        </w:trPr>
        <w:tc>
          <w:tcPr>
            <w:tcW w:w="3220" w:type="dxa"/>
            <w:vAlign w:val="bottom"/>
          </w:tcPr>
          <w:p>
            <w:pPr>
              <w:ind w:left="740"/>
              <w:spacing w:after="0"/>
              <w:rPr>
                <w:sz w:val="20"/>
                <w:szCs w:val="20"/>
                <w:color w:val="auto"/>
              </w:rPr>
            </w:pPr>
            <w:r>
              <w:rPr>
                <w:rFonts w:ascii="Arial" w:cs="Arial" w:eastAsia="Arial" w:hAnsi="Arial"/>
                <w:sz w:val="18"/>
                <w:szCs w:val="18"/>
                <w:b w:val="1"/>
                <w:bCs w:val="1"/>
                <w:color w:val="auto"/>
              </w:rPr>
              <w:t>"Disputes"</w:t>
            </w: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4"/>
              </w:rPr>
              <w:t>means any disputes which may arise out of or in connection with this Deed (including regarding its</w:t>
            </w:r>
          </w:p>
        </w:tc>
      </w:tr>
      <w:tr>
        <w:trPr>
          <w:trHeight w:val="230"/>
        </w:trPr>
        <w:tc>
          <w:tcPr>
            <w:tcW w:w="3220" w:type="dxa"/>
            <w:vAlign w:val="bottom"/>
          </w:tcPr>
          <w:p>
            <w:pPr>
              <w:spacing w:after="0"/>
              <w:rPr>
                <w:sz w:val="20"/>
                <w:szCs w:val="20"/>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rPr>
              <w:t>existence, validity or termination);</w:t>
            </w:r>
          </w:p>
        </w:tc>
      </w:tr>
      <w:tr>
        <w:trPr>
          <w:trHeight w:val="432"/>
        </w:trPr>
        <w:tc>
          <w:tcPr>
            <w:tcW w:w="3220" w:type="dxa"/>
            <w:vAlign w:val="bottom"/>
          </w:tcPr>
          <w:p>
            <w:pPr>
              <w:ind w:left="740"/>
              <w:spacing w:after="0"/>
              <w:rPr>
                <w:sz w:val="20"/>
                <w:szCs w:val="20"/>
                <w:color w:val="auto"/>
              </w:rPr>
            </w:pPr>
            <w:r>
              <w:rPr>
                <w:rFonts w:ascii="Arial" w:cs="Arial" w:eastAsia="Arial" w:hAnsi="Arial"/>
                <w:sz w:val="18"/>
                <w:szCs w:val="18"/>
                <w:b w:val="1"/>
                <w:bCs w:val="1"/>
                <w:color w:val="auto"/>
              </w:rPr>
              <w:t>"Enforcement Event"</w:t>
            </w: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rPr>
              <w:t xml:space="preserve">has the meaning set out in Clause 12 </w:t>
            </w:r>
            <w:r>
              <w:rPr>
                <w:rFonts w:ascii="Arial" w:cs="Arial" w:eastAsia="Arial" w:hAnsi="Arial"/>
                <w:sz w:val="18"/>
                <w:szCs w:val="18"/>
                <w:i w:val="1"/>
                <w:iCs w:val="1"/>
                <w:color w:val="auto"/>
              </w:rPr>
              <w:t>(Enforcement);</w:t>
            </w:r>
          </w:p>
        </w:tc>
      </w:tr>
      <w:tr>
        <w:trPr>
          <w:trHeight w:val="418"/>
        </w:trPr>
        <w:tc>
          <w:tcPr>
            <w:tcW w:w="3220" w:type="dxa"/>
            <w:vAlign w:val="bottom"/>
          </w:tcPr>
          <w:p>
            <w:pPr>
              <w:ind w:left="740"/>
              <w:spacing w:after="0"/>
              <w:rPr>
                <w:sz w:val="20"/>
                <w:szCs w:val="20"/>
                <w:color w:val="auto"/>
              </w:rPr>
            </w:pPr>
            <w:r>
              <w:rPr>
                <w:rFonts w:ascii="Arial" w:cs="Arial" w:eastAsia="Arial" w:hAnsi="Arial"/>
                <w:sz w:val="18"/>
                <w:szCs w:val="18"/>
                <w:b w:val="1"/>
                <w:bCs w:val="1"/>
                <w:color w:val="auto"/>
              </w:rPr>
              <w:t>"Equipment"</w:t>
            </w: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7"/>
              </w:rPr>
              <w:t>means plant, machinery, equipment (including office equipment), vehicles, computers and other</w:t>
            </w: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5"/>
              </w:rPr>
              <w:t>chattels of any kind (but excluding any from time to time which are part of the Company's stock in</w:t>
            </w: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8"/>
              </w:rPr>
              <w:t>trade or work in progress) now or hereafter owned by the Company or in its possession and all</w:t>
            </w: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1"/>
              </w:rPr>
              <w:t>proceeds of sale or other disposal thereof, all moneys paid or payable in respect thereof, rights under</w:t>
            </w: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9"/>
              </w:rPr>
              <w:t>any agreement, Security Interest or guarantee in relation thereto and all other rights in relation</w:t>
            </w:r>
          </w:p>
        </w:tc>
      </w:tr>
      <w:tr>
        <w:trPr>
          <w:trHeight w:val="216"/>
        </w:trPr>
        <w:tc>
          <w:tcPr>
            <w:tcW w:w="3220" w:type="dxa"/>
            <w:vAlign w:val="bottom"/>
          </w:tcPr>
          <w:p>
            <w:pPr>
              <w:spacing w:after="0"/>
              <w:rPr>
                <w:sz w:val="18"/>
                <w:szCs w:val="18"/>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w w:val="96"/>
              </w:rPr>
              <w:t>thereto, and "Equipment" includes any part of any of them (but "Equipment" shall exclude, for the</w:t>
            </w:r>
          </w:p>
        </w:tc>
      </w:tr>
      <w:tr>
        <w:trPr>
          <w:trHeight w:val="230"/>
        </w:trPr>
        <w:tc>
          <w:tcPr>
            <w:tcW w:w="3220" w:type="dxa"/>
            <w:vAlign w:val="bottom"/>
          </w:tcPr>
          <w:p>
            <w:pPr>
              <w:spacing w:after="0"/>
              <w:rPr>
                <w:sz w:val="20"/>
                <w:szCs w:val="20"/>
                <w:color w:val="auto"/>
              </w:rPr>
            </w:pPr>
          </w:p>
        </w:tc>
        <w:tc>
          <w:tcPr>
            <w:tcW w:w="8200" w:type="dxa"/>
            <w:vAlign w:val="bottom"/>
            <w:gridSpan w:val="2"/>
          </w:tcPr>
          <w:p>
            <w:pPr>
              <w:ind w:left="780"/>
              <w:spacing w:after="0"/>
              <w:rPr>
                <w:sz w:val="20"/>
                <w:szCs w:val="20"/>
                <w:color w:val="auto"/>
              </w:rPr>
            </w:pPr>
            <w:r>
              <w:rPr>
                <w:rFonts w:ascii="Arial" w:cs="Arial" w:eastAsia="Arial" w:hAnsi="Arial"/>
                <w:sz w:val="18"/>
                <w:szCs w:val="18"/>
                <w:color w:val="auto"/>
              </w:rPr>
              <w:t>avoidance of doubt, the Excluded Assets);</w:t>
            </w:r>
          </w:p>
        </w:tc>
      </w:tr>
      <w:tr>
        <w:trPr>
          <w:trHeight w:val="432"/>
        </w:trPr>
        <w:tc>
          <w:tcPr>
            <w:tcW w:w="3220" w:type="dxa"/>
            <w:vAlign w:val="bottom"/>
          </w:tcPr>
          <w:p>
            <w:pPr>
              <w:ind w:left="740"/>
              <w:spacing w:after="0"/>
              <w:rPr>
                <w:sz w:val="20"/>
                <w:szCs w:val="20"/>
                <w:color w:val="auto"/>
              </w:rPr>
            </w:pPr>
            <w:r>
              <w:rPr>
                <w:rFonts w:ascii="Arial" w:cs="Arial" w:eastAsia="Arial" w:hAnsi="Arial"/>
                <w:sz w:val="18"/>
                <w:szCs w:val="18"/>
                <w:b w:val="1"/>
                <w:bCs w:val="1"/>
                <w:color w:val="auto"/>
              </w:rPr>
              <w:t>"Excluded Assets"</w:t>
            </w:r>
          </w:p>
        </w:tc>
        <w:tc>
          <w:tcPr>
            <w:tcW w:w="1320" w:type="dxa"/>
            <w:vAlign w:val="bottom"/>
          </w:tcPr>
          <w:p>
            <w:pPr>
              <w:ind w:left="780"/>
              <w:spacing w:after="0"/>
              <w:rPr>
                <w:sz w:val="20"/>
                <w:szCs w:val="20"/>
                <w:color w:val="auto"/>
              </w:rPr>
            </w:pPr>
            <w:r>
              <w:rPr>
                <w:rFonts w:ascii="Arial" w:cs="Arial" w:eastAsia="Arial" w:hAnsi="Arial"/>
                <w:sz w:val="18"/>
                <w:szCs w:val="18"/>
                <w:color w:val="auto"/>
                <w:w w:val="88"/>
              </w:rPr>
              <w:t>means:</w:t>
            </w:r>
          </w:p>
        </w:tc>
        <w:tc>
          <w:tcPr>
            <w:tcW w:w="688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(a)</w:t>
            </w:r>
          </w:p>
        </w:tc>
        <w:tc>
          <w:tcPr>
            <w:tcW w:w="6880" w:type="dxa"/>
            <w:vAlign w:val="bottom"/>
          </w:tcPr>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Excluded Assets</w:t>
            </w:r>
            <w:r>
              <w:rPr>
                <w:rFonts w:ascii="Arial" w:cs="Arial" w:eastAsia="Arial" w:hAnsi="Arial"/>
                <w:sz w:val="18"/>
                <w:szCs w:val="18"/>
                <w:color w:val="auto"/>
              </w:rPr>
              <w:t>" as defined in the Loan Agreement;</w:t>
            </w:r>
          </w:p>
        </w:tc>
      </w:tr>
      <w:tr>
        <w:trPr>
          <w:trHeight w:val="418"/>
        </w:trPr>
        <w:tc>
          <w:tcPr>
            <w:tcW w:w="3220" w:type="dxa"/>
            <w:vAlign w:val="bottom"/>
          </w:tcPr>
          <w:p>
            <w:pPr>
              <w:spacing w:after="0"/>
              <w:rPr>
                <w:sz w:val="24"/>
                <w:szCs w:val="24"/>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(b)</w:t>
            </w:r>
          </w:p>
        </w:tc>
        <w:tc>
          <w:tcPr>
            <w:tcW w:w="6880" w:type="dxa"/>
            <w:vAlign w:val="bottom"/>
          </w:tcPr>
          <w:p>
            <w:pPr>
              <w:ind w:left="40"/>
              <w:spacing w:after="0"/>
              <w:rPr>
                <w:sz w:val="20"/>
                <w:szCs w:val="20"/>
                <w:color w:val="auto"/>
              </w:rPr>
            </w:pPr>
            <w:r>
              <w:rPr>
                <w:rFonts w:ascii="Arial" w:cs="Arial" w:eastAsia="Arial" w:hAnsi="Arial"/>
                <w:sz w:val="18"/>
                <w:szCs w:val="18"/>
                <w:color w:val="auto"/>
                <w:w w:val="99"/>
              </w:rPr>
              <w:t>£17,956, together with accrued interest thereon, deposited with Ashville (Tewkesbury)</w:t>
            </w:r>
          </w:p>
        </w:tc>
      </w:tr>
      <w:tr>
        <w:trPr>
          <w:trHeight w:val="230"/>
        </w:trPr>
        <w:tc>
          <w:tcPr>
            <w:tcW w:w="3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Limited pursuant to a Rent Deposit Deed dated 3 January 2007;</w:t>
            </w:r>
          </w:p>
        </w:tc>
      </w:tr>
      <w:tr>
        <w:trPr>
          <w:trHeight w:val="418"/>
        </w:trPr>
        <w:tc>
          <w:tcPr>
            <w:tcW w:w="3220" w:type="dxa"/>
            <w:vAlign w:val="bottom"/>
          </w:tcPr>
          <w:p>
            <w:pPr>
              <w:spacing w:after="0"/>
              <w:rPr>
                <w:sz w:val="24"/>
                <w:szCs w:val="24"/>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(c)</w:t>
            </w:r>
          </w:p>
        </w:tc>
        <w:tc>
          <w:tcPr>
            <w:tcW w:w="6880" w:type="dxa"/>
            <w:vAlign w:val="bottom"/>
          </w:tcPr>
          <w:p>
            <w:pPr>
              <w:ind w:left="40"/>
              <w:spacing w:after="0"/>
              <w:rPr>
                <w:sz w:val="20"/>
                <w:szCs w:val="20"/>
                <w:color w:val="auto"/>
              </w:rPr>
            </w:pPr>
            <w:r>
              <w:rPr>
                <w:rFonts w:ascii="Arial" w:cs="Arial" w:eastAsia="Arial" w:hAnsi="Arial"/>
                <w:sz w:val="18"/>
                <w:szCs w:val="18"/>
                <w:color w:val="auto"/>
                <w:w w:val="93"/>
              </w:rPr>
              <w:t>the amount, together with accrued interest thereon, deposited with Tewkesbury Investments</w:t>
            </w:r>
          </w:p>
        </w:tc>
      </w:tr>
      <w:tr>
        <w:trPr>
          <w:trHeight w:val="230"/>
        </w:trPr>
        <w:tc>
          <w:tcPr>
            <w:tcW w:w="3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Limited pursuant to a Rent Deposit Deed dated 11 January 2011;</w:t>
            </w:r>
          </w:p>
        </w:tc>
      </w:tr>
      <w:tr>
        <w:trPr>
          <w:trHeight w:val="418"/>
        </w:trPr>
        <w:tc>
          <w:tcPr>
            <w:tcW w:w="3220" w:type="dxa"/>
            <w:vAlign w:val="bottom"/>
          </w:tcPr>
          <w:p>
            <w:pPr>
              <w:spacing w:after="0"/>
              <w:rPr>
                <w:sz w:val="24"/>
                <w:szCs w:val="24"/>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(d)</w:t>
            </w:r>
          </w:p>
        </w:tc>
        <w:tc>
          <w:tcPr>
            <w:tcW w:w="6880" w:type="dxa"/>
            <w:vAlign w:val="bottom"/>
          </w:tcPr>
          <w:p>
            <w:pPr>
              <w:ind w:left="40"/>
              <w:spacing w:after="0"/>
              <w:rPr>
                <w:sz w:val="20"/>
                <w:szCs w:val="20"/>
                <w:color w:val="auto"/>
              </w:rPr>
            </w:pPr>
            <w:r>
              <w:rPr>
                <w:rFonts w:ascii="Arial" w:cs="Arial" w:eastAsia="Arial" w:hAnsi="Arial"/>
                <w:sz w:val="18"/>
                <w:szCs w:val="18"/>
                <w:color w:val="auto"/>
                <w:w w:val="97"/>
              </w:rPr>
              <w:t>all present and future rights, title, benefit and interest in and to each account and related</w:t>
            </w:r>
          </w:p>
        </w:tc>
      </w:tr>
      <w:tr>
        <w:trPr>
          <w:trHeight w:val="216"/>
        </w:trPr>
        <w:tc>
          <w:tcPr>
            <w:tcW w:w="3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w w:val="95"/>
              </w:rPr>
              <w:t>deposit charged in favour of Barclays Bank Plc pursuant to a Fixed Charge over Accounts</w:t>
            </w:r>
          </w:p>
        </w:tc>
      </w:tr>
      <w:tr>
        <w:trPr>
          <w:trHeight w:val="216"/>
        </w:trPr>
        <w:tc>
          <w:tcPr>
            <w:tcW w:w="3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w w:val="93"/>
              </w:rPr>
              <w:t>Deed dated 7 August 2019, but only while, in the case of (b), (c) and (d) above, such Assets</w:t>
            </w:r>
          </w:p>
        </w:tc>
      </w:tr>
      <w:tr>
        <w:trPr>
          <w:trHeight w:val="216"/>
        </w:trPr>
        <w:tc>
          <w:tcPr>
            <w:tcW w:w="3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w w:val="92"/>
              </w:rPr>
              <w:t>remain subject to the relevant Security Interest specified above and so that upon the release</w:t>
            </w:r>
          </w:p>
        </w:tc>
      </w:tr>
      <w:tr>
        <w:trPr>
          <w:trHeight w:val="216"/>
        </w:trPr>
        <w:tc>
          <w:tcPr>
            <w:tcW w:w="3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w w:val="92"/>
              </w:rPr>
              <w:t>or discharge of any such Security Interest the relevant Assets shall forthwith become subject</w:t>
            </w:r>
          </w:p>
        </w:tc>
      </w:tr>
      <w:tr>
        <w:trPr>
          <w:trHeight w:val="230"/>
        </w:trPr>
        <w:tc>
          <w:tcPr>
            <w:tcW w:w="3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to the Charges and form part of the Charged Assets;</w:t>
            </w:r>
          </w:p>
        </w:tc>
      </w:tr>
      <w:tr>
        <w:trPr>
          <w:trHeight w:val="648"/>
        </w:trPr>
        <w:tc>
          <w:tcPr>
            <w:tcW w:w="3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31" w:right="239" w:bottom="1440" w:gutter="0" w:footer="0" w:header="0"/>
        </w:sectPr>
      </w:pPr>
    </w:p>
    <w:bookmarkStart w:id="825" w:name="page826"/>
    <w:bookmarkEnd w:id="8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"financial collateral"</w:t>
            </w:r>
          </w:p>
        </w:tc>
        <w:tc>
          <w:tcPr>
            <w:tcW w:w="8020" w:type="dxa"/>
            <w:vAlign w:val="bottom"/>
          </w:tcPr>
          <w:p>
            <w:pPr>
              <w:ind w:left="600"/>
              <w:spacing w:after="0"/>
              <w:rPr>
                <w:sz w:val="20"/>
                <w:szCs w:val="20"/>
                <w:color w:val="auto"/>
              </w:rPr>
            </w:pPr>
            <w:r>
              <w:rPr>
                <w:rFonts w:ascii="Arial" w:cs="Arial" w:eastAsia="Arial" w:hAnsi="Arial"/>
                <w:sz w:val="18"/>
                <w:szCs w:val="18"/>
                <w:color w:val="auto"/>
                <w:w w:val="99"/>
              </w:rPr>
              <w:t>means financial collateral within the meaning of the Financial Collateral Arrangements (No. 2)</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Regulations 2003, as amended;</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"financial instrument"</w:t>
            </w:r>
          </w:p>
        </w:tc>
        <w:tc>
          <w:tcPr>
            <w:tcW w:w="8020" w:type="dxa"/>
            <w:vAlign w:val="bottom"/>
          </w:tcPr>
          <w:p>
            <w:pPr>
              <w:ind w:left="600"/>
              <w:spacing w:after="0"/>
              <w:rPr>
                <w:sz w:val="20"/>
                <w:szCs w:val="20"/>
                <w:color w:val="auto"/>
              </w:rPr>
            </w:pPr>
            <w:r>
              <w:rPr>
                <w:rFonts w:ascii="Arial" w:cs="Arial" w:eastAsia="Arial" w:hAnsi="Arial"/>
                <w:sz w:val="18"/>
                <w:szCs w:val="18"/>
                <w:color w:val="auto"/>
                <w:w w:val="96"/>
              </w:rPr>
              <w:t>means a financial instrument within the meaning of the Financial Collateral Arrangements (No. 2)</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Regulations 2003;</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"Fixed Charge Assets"</w:t>
            </w: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means any part or parts of the Charged Assets effectively charged by way of fixed Security Interests</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or effectively mortgaged or assigned by way of fixed Security Interests under this Deed;</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"Fixtures"</w:t>
            </w:r>
          </w:p>
        </w:tc>
        <w:tc>
          <w:tcPr>
            <w:tcW w:w="8020" w:type="dxa"/>
            <w:vAlign w:val="bottom"/>
          </w:tcPr>
          <w:p>
            <w:pPr>
              <w:ind w:left="600"/>
              <w:spacing w:after="0"/>
              <w:rPr>
                <w:sz w:val="20"/>
                <w:szCs w:val="20"/>
                <w:color w:val="auto"/>
              </w:rPr>
            </w:pPr>
            <w:r>
              <w:rPr>
                <w:rFonts w:ascii="Arial" w:cs="Arial" w:eastAsia="Arial" w:hAnsi="Arial"/>
                <w:sz w:val="18"/>
                <w:szCs w:val="18"/>
                <w:color w:val="auto"/>
                <w:w w:val="99"/>
              </w:rPr>
              <w:t>means fixtures, fittings and fixed plant, machinery and equipment (including trade fixtures and</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fittings);</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"Floating Charge Assets"</w:t>
            </w: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means any part or parts of the Charged Assets subject to the floating charge contained in Clause 6.5</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i w:val="1"/>
                <w:iCs w:val="1"/>
                <w:color w:val="auto"/>
              </w:rPr>
              <w:t>(Floating Charge);</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"General Account Banks"</w:t>
            </w:r>
          </w:p>
        </w:tc>
        <w:tc>
          <w:tcPr>
            <w:tcW w:w="8020" w:type="dxa"/>
            <w:vAlign w:val="bottom"/>
          </w:tcPr>
          <w:p>
            <w:pPr>
              <w:ind w:left="600"/>
              <w:spacing w:after="0"/>
              <w:rPr>
                <w:sz w:val="20"/>
                <w:szCs w:val="20"/>
                <w:color w:val="auto"/>
              </w:rPr>
            </w:pPr>
            <w:r>
              <w:rPr>
                <w:rFonts w:ascii="Arial" w:cs="Arial" w:eastAsia="Arial" w:hAnsi="Arial"/>
                <w:sz w:val="18"/>
                <w:szCs w:val="18"/>
                <w:color w:val="auto"/>
                <w:w w:val="93"/>
              </w:rPr>
              <w:t xml:space="preserve">means the account banks listed in Part 1 of Schedule 1 </w:t>
            </w:r>
            <w:r>
              <w:rPr>
                <w:rFonts w:ascii="Arial" w:cs="Arial" w:eastAsia="Arial" w:hAnsi="Arial"/>
                <w:sz w:val="18"/>
                <w:szCs w:val="18"/>
                <w:i w:val="1"/>
                <w:iCs w:val="1"/>
                <w:color w:val="auto"/>
                <w:w w:val="93"/>
              </w:rPr>
              <w:t>(General Bank Accounts)</w:t>
            </w:r>
            <w:r>
              <w:rPr>
                <w:rFonts w:ascii="Arial" w:cs="Arial" w:eastAsia="Arial" w:hAnsi="Arial"/>
                <w:sz w:val="18"/>
                <w:szCs w:val="18"/>
                <w:color w:val="auto"/>
                <w:w w:val="93"/>
              </w:rPr>
              <w:t xml:space="preserve"> under the heading</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"Account Bank";</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"General Bank Accounts"</w:t>
            </w:r>
          </w:p>
        </w:tc>
        <w:tc>
          <w:tcPr>
            <w:tcW w:w="8020" w:type="dxa"/>
            <w:vAlign w:val="bottom"/>
          </w:tcPr>
          <w:p>
            <w:pPr>
              <w:ind w:left="600"/>
              <w:spacing w:after="0"/>
              <w:rPr>
                <w:sz w:val="20"/>
                <w:szCs w:val="20"/>
                <w:color w:val="auto"/>
              </w:rPr>
            </w:pPr>
            <w:r>
              <w:rPr>
                <w:rFonts w:ascii="Arial" w:cs="Arial" w:eastAsia="Arial" w:hAnsi="Arial"/>
                <w:sz w:val="18"/>
                <w:szCs w:val="18"/>
                <w:color w:val="auto"/>
                <w:w w:val="95"/>
              </w:rPr>
              <w:t xml:space="preserve">means the accounts listed in Part 1 of Schedule 1 </w:t>
            </w:r>
            <w:r>
              <w:rPr>
                <w:rFonts w:ascii="Arial" w:cs="Arial" w:eastAsia="Arial" w:hAnsi="Arial"/>
                <w:sz w:val="18"/>
                <w:szCs w:val="18"/>
                <w:i w:val="1"/>
                <w:iCs w:val="1"/>
                <w:color w:val="auto"/>
                <w:w w:val="95"/>
              </w:rPr>
              <w:t>(General Bank Accounts)</w:t>
            </w:r>
            <w:r>
              <w:rPr>
                <w:rFonts w:ascii="Arial" w:cs="Arial" w:eastAsia="Arial" w:hAnsi="Arial"/>
                <w:sz w:val="18"/>
                <w:szCs w:val="18"/>
                <w:color w:val="auto"/>
                <w:w w:val="95"/>
              </w:rPr>
              <w:t xml:space="preserve"> held by the Company</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6"/>
              </w:rPr>
              <w:t xml:space="preserve">with the bank or banks specified in Part 1 of Schedule 1 </w:t>
            </w:r>
            <w:r>
              <w:rPr>
                <w:rFonts w:ascii="Arial" w:cs="Arial" w:eastAsia="Arial" w:hAnsi="Arial"/>
                <w:sz w:val="18"/>
                <w:szCs w:val="18"/>
                <w:i w:val="1"/>
                <w:iCs w:val="1"/>
                <w:color w:val="auto"/>
                <w:w w:val="96"/>
              </w:rPr>
              <w:t>(General Bank Accounts)</w:t>
            </w:r>
            <w:r>
              <w:rPr>
                <w:rFonts w:ascii="Arial" w:cs="Arial" w:eastAsia="Arial" w:hAnsi="Arial"/>
                <w:sz w:val="18"/>
                <w:szCs w:val="18"/>
                <w:color w:val="auto"/>
                <w:w w:val="96"/>
              </w:rPr>
              <w:t xml:space="preserve"> and any other</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bank account maintained by the Company with any financial institution as the Collateral Agent may</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from time to time designate in writing as a General Bank Account, including in each case any</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redesignation or renewal thereof and all balances now or hereafter standing to the credit of any such</w:t>
            </w:r>
          </w:p>
        </w:tc>
      </w:tr>
      <w:tr>
        <w:trPr>
          <w:trHeight w:val="212"/>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account including all interest from time to time thereon, the debt represented thereby and all rights in</w:t>
            </w:r>
          </w:p>
        </w:tc>
      </w:tr>
      <w:tr>
        <w:trPr>
          <w:trHeight w:val="220"/>
        </w:trPr>
        <w:tc>
          <w:tcPr>
            <w:tcW w:w="3400" w:type="dxa"/>
            <w:vAlign w:val="bottom"/>
          </w:tcPr>
          <w:p>
            <w:pPr>
              <w:spacing w:after="0"/>
              <w:rPr>
                <w:sz w:val="19"/>
                <w:szCs w:val="19"/>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9"/>
              </w:rPr>
              <w:t xml:space="preserve">relation thereto (but </w:t>
            </w:r>
            <w:r>
              <w:rPr>
                <w:rFonts w:ascii="Arial" w:cs="Arial" w:eastAsia="Arial" w:hAnsi="Arial"/>
                <w:sz w:val="18"/>
                <w:szCs w:val="18"/>
                <w:b w:val="1"/>
                <w:bCs w:val="1"/>
                <w:color w:val="auto"/>
                <w:w w:val="99"/>
              </w:rPr>
              <w:t>"General Bank Accounts"</w:t>
            </w:r>
            <w:r>
              <w:rPr>
                <w:rFonts w:ascii="Arial" w:cs="Arial" w:eastAsia="Arial" w:hAnsi="Arial"/>
                <w:sz w:val="18"/>
                <w:szCs w:val="18"/>
                <w:color w:val="auto"/>
                <w:w w:val="99"/>
              </w:rPr>
              <w:t xml:space="preserve"> shall exclude, for the avoidance of doubt, the</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Excluded Assets);</w:t>
            </w:r>
          </w:p>
        </w:tc>
      </w:tr>
      <w:tr>
        <w:trPr>
          <w:trHeight w:val="418"/>
        </w:trPr>
        <w:tc>
          <w:tcPr>
            <w:tcW w:w="3400" w:type="dxa"/>
            <w:vAlign w:val="bottom"/>
          </w:tcPr>
          <w:p>
            <w:pPr>
              <w:ind w:left="740"/>
              <w:spacing w:after="0"/>
              <w:rPr>
                <w:sz w:val="20"/>
                <w:szCs w:val="20"/>
                <w:color w:val="auto"/>
              </w:rPr>
            </w:pPr>
            <w:r>
              <w:rPr>
                <w:rFonts w:ascii="Arial" w:cs="Arial" w:eastAsia="Arial" w:hAnsi="Arial"/>
                <w:sz w:val="18"/>
                <w:szCs w:val="18"/>
                <w:b w:val="1"/>
                <w:bCs w:val="1"/>
                <w:color w:val="auto"/>
              </w:rPr>
              <w:t>"Guarantee"</w:t>
            </w:r>
          </w:p>
        </w:tc>
        <w:tc>
          <w:tcPr>
            <w:tcW w:w="8020" w:type="dxa"/>
            <w:vAlign w:val="bottom"/>
          </w:tcPr>
          <w:p>
            <w:pPr>
              <w:ind w:left="600"/>
              <w:spacing w:after="0"/>
              <w:rPr>
                <w:sz w:val="20"/>
                <w:szCs w:val="20"/>
                <w:color w:val="auto"/>
              </w:rPr>
            </w:pPr>
            <w:r>
              <w:rPr>
                <w:rFonts w:ascii="Arial" w:cs="Arial" w:eastAsia="Arial" w:hAnsi="Arial"/>
                <w:sz w:val="18"/>
                <w:szCs w:val="18"/>
                <w:color w:val="auto"/>
                <w:w w:val="96"/>
              </w:rPr>
              <w:t>means an Affiliate Guaranty dated on or about the date of this Deed between, among others, the</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Parent and the Collateral Agent ;</w:t>
            </w:r>
          </w:p>
        </w:tc>
      </w:tr>
      <w:tr>
        <w:trPr>
          <w:trHeight w:val="675"/>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906" w:right="239" w:bottom="1440" w:gutter="0" w:footer="0" w:header="0"/>
        </w:sectPr>
      </w:pPr>
    </w:p>
    <w:bookmarkStart w:id="826" w:name="page827"/>
    <w:bookmarkEnd w:id="8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ind w:left="740"/>
              <w:spacing w:after="0"/>
              <w:rPr>
                <w:sz w:val="20"/>
                <w:szCs w:val="20"/>
                <w:color w:val="auto"/>
              </w:rPr>
            </w:pPr>
            <w:r>
              <w:rPr>
                <w:rFonts w:ascii="Arial" w:cs="Arial" w:eastAsia="Arial" w:hAnsi="Arial"/>
                <w:sz w:val="18"/>
                <w:szCs w:val="18"/>
                <w:b w:val="1"/>
                <w:bCs w:val="1"/>
                <w:color w:val="auto"/>
              </w:rPr>
              <w:t>"Holding Company"</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means a holding company within the meaning of section 1159 of the Companies Act 2006;</w:t>
            </w:r>
          </w:p>
        </w:tc>
      </w:tr>
      <w:tr>
        <w:trPr>
          <w:trHeight w:val="432"/>
        </w:trPr>
        <w:tc>
          <w:tcPr>
            <w:tcW w:w="3180" w:type="dxa"/>
            <w:vAlign w:val="bottom"/>
          </w:tcPr>
          <w:p>
            <w:pPr>
              <w:ind w:left="740"/>
              <w:spacing w:after="0"/>
              <w:rPr>
                <w:sz w:val="20"/>
                <w:szCs w:val="20"/>
                <w:color w:val="auto"/>
              </w:rPr>
            </w:pPr>
            <w:r>
              <w:rPr>
                <w:rFonts w:ascii="Arial" w:cs="Arial" w:eastAsia="Arial" w:hAnsi="Arial"/>
                <w:sz w:val="18"/>
                <w:szCs w:val="18"/>
                <w:b w:val="1"/>
                <w:bCs w:val="1"/>
                <w:color w:val="auto"/>
              </w:rPr>
              <w:t>"Insolvency Act"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means the Insolvency Act 1986;</w:t>
            </w:r>
          </w:p>
        </w:tc>
      </w:tr>
      <w:tr>
        <w:trPr>
          <w:trHeight w:val="432"/>
        </w:trPr>
        <w:tc>
          <w:tcPr>
            <w:tcW w:w="3180" w:type="dxa"/>
            <w:vAlign w:val="bottom"/>
          </w:tcPr>
          <w:p>
            <w:pPr>
              <w:ind w:left="740"/>
              <w:spacing w:after="0"/>
              <w:rPr>
                <w:sz w:val="20"/>
                <w:szCs w:val="20"/>
                <w:color w:val="auto"/>
              </w:rPr>
            </w:pPr>
            <w:r>
              <w:rPr>
                <w:rFonts w:ascii="Arial" w:cs="Arial" w:eastAsia="Arial" w:hAnsi="Arial"/>
                <w:sz w:val="18"/>
                <w:szCs w:val="18"/>
                <w:b w:val="1"/>
                <w:bCs w:val="1"/>
                <w:color w:val="auto"/>
              </w:rPr>
              <w:t>"Insolvency Event"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in relation to any person, means:</w:t>
            </w:r>
          </w:p>
        </w:tc>
      </w:tr>
      <w:tr>
        <w:trPr>
          <w:trHeight w:val="418"/>
        </w:trPr>
        <w:tc>
          <w:tcPr>
            <w:tcW w:w="318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(a)</w:t>
            </w:r>
          </w:p>
        </w:tc>
        <w:tc>
          <w:tcPr>
            <w:tcW w:w="7020" w:type="dxa"/>
            <w:vAlign w:val="bottom"/>
          </w:tcPr>
          <w:p>
            <w:pPr>
              <w:ind w:left="180"/>
              <w:spacing w:after="0"/>
              <w:rPr>
                <w:sz w:val="20"/>
                <w:szCs w:val="20"/>
                <w:color w:val="auto"/>
              </w:rPr>
            </w:pPr>
            <w:r>
              <w:rPr>
                <w:rFonts w:ascii="Arial" w:cs="Arial" w:eastAsia="Arial" w:hAnsi="Arial"/>
                <w:sz w:val="18"/>
                <w:szCs w:val="18"/>
                <w:color w:val="auto"/>
                <w:w w:val="94"/>
              </w:rPr>
              <w:t>such person is unable or admits inability to pay its debts as they fall due, suspends making</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9"/>
              </w:rPr>
              <w:t>payments on any of its debts or, by reason of actual or anticipated financial difficulties,</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3"/>
              </w:rPr>
              <w:t>commences negotiations with one or more of its creditors with a view to rescheduling any of</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2"/>
              </w:rPr>
              <w:t>its indebtedness (including any composition, assignment or arrangement with any creditor of</w:t>
            </w:r>
          </w:p>
        </w:tc>
      </w:tr>
      <w:tr>
        <w:trPr>
          <w:trHeight w:val="230"/>
        </w:trPr>
        <w:tc>
          <w:tcPr>
            <w:tcW w:w="3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such person);</w:t>
            </w:r>
          </w:p>
        </w:tc>
      </w:tr>
      <w:tr>
        <w:trPr>
          <w:trHeight w:val="418"/>
        </w:trPr>
        <w:tc>
          <w:tcPr>
            <w:tcW w:w="318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(b)</w:t>
            </w:r>
          </w:p>
        </w:tc>
        <w:tc>
          <w:tcPr>
            <w:tcW w:w="7020" w:type="dxa"/>
            <w:vAlign w:val="bottom"/>
          </w:tcPr>
          <w:p>
            <w:pPr>
              <w:ind w:left="180"/>
              <w:spacing w:after="0"/>
              <w:rPr>
                <w:sz w:val="20"/>
                <w:szCs w:val="20"/>
                <w:color w:val="auto"/>
              </w:rPr>
            </w:pPr>
            <w:r>
              <w:rPr>
                <w:rFonts w:ascii="Arial" w:cs="Arial" w:eastAsia="Arial" w:hAnsi="Arial"/>
                <w:sz w:val="18"/>
                <w:szCs w:val="18"/>
                <w:color w:val="auto"/>
                <w:w w:val="97"/>
              </w:rPr>
              <w:t>any resolution is passed or order made for the winding up, dissolution, administration or</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1"/>
              </w:rPr>
              <w:t>reorganisation of that person, a moratorium is declared in relation to any indebtedness of that</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6"/>
              </w:rPr>
              <w:t>person or an administrator is appointed to that person (other than a solvent liquidation or</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8"/>
              </w:rPr>
              <w:t>reorganisation of such person on terms previously approved in writing by the Collateral</w:t>
            </w:r>
          </w:p>
        </w:tc>
      </w:tr>
      <w:tr>
        <w:trPr>
          <w:trHeight w:val="230"/>
        </w:trPr>
        <w:tc>
          <w:tcPr>
            <w:tcW w:w="3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Agent);</w:t>
            </w:r>
          </w:p>
        </w:tc>
      </w:tr>
      <w:tr>
        <w:trPr>
          <w:trHeight w:val="418"/>
        </w:trPr>
        <w:tc>
          <w:tcPr>
            <w:tcW w:w="318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(c)</w:t>
            </w:r>
          </w:p>
        </w:tc>
        <w:tc>
          <w:tcPr>
            <w:tcW w:w="7020" w:type="dxa"/>
            <w:vAlign w:val="bottom"/>
          </w:tcPr>
          <w:p>
            <w:pPr>
              <w:ind w:left="180"/>
              <w:spacing w:after="0"/>
              <w:rPr>
                <w:sz w:val="20"/>
                <w:szCs w:val="20"/>
                <w:color w:val="auto"/>
              </w:rPr>
            </w:pPr>
            <w:r>
              <w:rPr>
                <w:rFonts w:ascii="Arial" w:cs="Arial" w:eastAsia="Arial" w:hAnsi="Arial"/>
                <w:sz w:val="18"/>
                <w:szCs w:val="18"/>
                <w:color w:val="auto"/>
                <w:w w:val="94"/>
              </w:rPr>
              <w:t>the appointment of any liquidator (other than a solvent liquidation or reorganisation of such</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7"/>
              </w:rPr>
              <w:t>person  on  terms  previously  approved  in  writing  by  the  Collateral  Agent),  receiver,</w:t>
            </w:r>
          </w:p>
        </w:tc>
      </w:tr>
      <w:tr>
        <w:trPr>
          <w:trHeight w:val="216"/>
        </w:trPr>
        <w:tc>
          <w:tcPr>
            <w:tcW w:w="3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3"/>
              </w:rPr>
              <w:t>administrator, administrative receiver, compulsory manager or other similar officer in respect</w:t>
            </w:r>
          </w:p>
        </w:tc>
      </w:tr>
      <w:tr>
        <w:trPr>
          <w:trHeight w:val="230"/>
        </w:trPr>
        <w:tc>
          <w:tcPr>
            <w:tcW w:w="3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of that person or any of its assets; or</w:t>
            </w:r>
          </w:p>
        </w:tc>
      </w:tr>
      <w:tr>
        <w:trPr>
          <w:trHeight w:val="432"/>
        </w:trPr>
        <w:tc>
          <w:tcPr>
            <w:tcW w:w="318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(d)</w:t>
            </w:r>
          </w:p>
        </w:tc>
        <w:tc>
          <w:tcPr>
            <w:tcW w:w="7020" w:type="dxa"/>
            <w:vAlign w:val="bottom"/>
          </w:tcPr>
          <w:p>
            <w:pPr>
              <w:ind w:left="180"/>
              <w:spacing w:after="0"/>
              <w:rPr>
                <w:sz w:val="20"/>
                <w:szCs w:val="20"/>
                <w:color w:val="auto"/>
              </w:rPr>
            </w:pPr>
            <w:r>
              <w:rPr>
                <w:rFonts w:ascii="Arial" w:cs="Arial" w:eastAsia="Arial" w:hAnsi="Arial"/>
                <w:sz w:val="18"/>
                <w:szCs w:val="18"/>
                <w:color w:val="auto"/>
              </w:rPr>
              <w:t>in respect of any person, any analogous procedure or step is taken in any jurisdiction.</w:t>
            </w:r>
          </w:p>
        </w:tc>
      </w:tr>
      <w:tr>
        <w:trPr>
          <w:trHeight w:val="432"/>
        </w:trPr>
        <w:tc>
          <w:tcPr>
            <w:tcW w:w="3180" w:type="dxa"/>
            <w:vAlign w:val="bottom"/>
          </w:tcPr>
          <w:p>
            <w:pPr>
              <w:ind w:left="740"/>
              <w:spacing w:after="0"/>
              <w:rPr>
                <w:sz w:val="20"/>
                <w:szCs w:val="20"/>
                <w:color w:val="auto"/>
              </w:rPr>
            </w:pPr>
            <w:r>
              <w:rPr>
                <w:rFonts w:ascii="Arial" w:cs="Arial" w:eastAsia="Arial" w:hAnsi="Arial"/>
                <w:sz w:val="18"/>
                <w:szCs w:val="18"/>
                <w:b w:val="1"/>
                <w:bCs w:val="1"/>
                <w:color w:val="auto"/>
              </w:rPr>
              <w:t>"Insolvency Rules"</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means the Insolvency Rules 2016;</w:t>
            </w:r>
          </w:p>
        </w:tc>
      </w:tr>
      <w:tr>
        <w:trPr>
          <w:trHeight w:val="418"/>
        </w:trPr>
        <w:tc>
          <w:tcPr>
            <w:tcW w:w="3180" w:type="dxa"/>
            <w:vAlign w:val="bottom"/>
          </w:tcPr>
          <w:p>
            <w:pPr>
              <w:ind w:left="740"/>
              <w:spacing w:after="0"/>
              <w:rPr>
                <w:sz w:val="20"/>
                <w:szCs w:val="20"/>
                <w:color w:val="auto"/>
              </w:rPr>
            </w:pPr>
            <w:r>
              <w:rPr>
                <w:rFonts w:ascii="Arial" w:cs="Arial" w:eastAsia="Arial" w:hAnsi="Arial"/>
                <w:sz w:val="18"/>
                <w:szCs w:val="18"/>
                <w:b w:val="1"/>
                <w:bCs w:val="1"/>
                <w:color w:val="auto"/>
              </w:rPr>
              <w:t>"Insurances"</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means contracts or policies of insurance or indemnity of any kind (including life insurance or</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1"/>
              </w:rPr>
              <w:t>assurance) now or hereafter taken out by or on behalf of the Company or (to the extent of its interest)</w:t>
            </w:r>
          </w:p>
        </w:tc>
      </w:tr>
      <w:tr>
        <w:trPr>
          <w:trHeight w:val="212"/>
        </w:trPr>
        <w:tc>
          <w:tcPr>
            <w:tcW w:w="318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1"/>
              </w:rPr>
              <w:t>in which the Company has any interest, and all rights in relation thereto, proceeds thereof, claims and</w:t>
            </w:r>
          </w:p>
        </w:tc>
      </w:tr>
      <w:tr>
        <w:trPr>
          <w:trHeight w:val="220"/>
        </w:trPr>
        <w:tc>
          <w:tcPr>
            <w:tcW w:w="3180" w:type="dxa"/>
            <w:vAlign w:val="bottom"/>
          </w:tcPr>
          <w:p>
            <w:pPr>
              <w:spacing w:after="0"/>
              <w:rPr>
                <w:sz w:val="19"/>
                <w:szCs w:val="19"/>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4"/>
              </w:rPr>
              <w:t xml:space="preserve">returns of premium in respect thereof (but </w:t>
            </w:r>
            <w:r>
              <w:rPr>
                <w:rFonts w:ascii="Arial" w:cs="Arial" w:eastAsia="Arial" w:hAnsi="Arial"/>
                <w:sz w:val="18"/>
                <w:szCs w:val="18"/>
                <w:b w:val="1"/>
                <w:bCs w:val="1"/>
                <w:color w:val="auto"/>
                <w:w w:val="94"/>
              </w:rPr>
              <w:t>"Insurances"</w:t>
            </w:r>
            <w:r>
              <w:rPr>
                <w:rFonts w:ascii="Arial" w:cs="Arial" w:eastAsia="Arial" w:hAnsi="Arial"/>
                <w:sz w:val="18"/>
                <w:szCs w:val="18"/>
                <w:color w:val="auto"/>
                <w:w w:val="94"/>
              </w:rPr>
              <w:t xml:space="preserve"> shall exclude, for the avoidance of doubt,</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the Excluded Assets);</w:t>
            </w:r>
          </w:p>
        </w:tc>
      </w:tr>
      <w:tr>
        <w:trPr>
          <w:trHeight w:val="675"/>
        </w:trPr>
        <w:tc>
          <w:tcPr>
            <w:tcW w:w="3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32" w:right="239" w:bottom="1440" w:gutter="0" w:footer="0" w:header="0"/>
        </w:sectPr>
      </w:pPr>
    </w:p>
    <w:bookmarkStart w:id="827" w:name="page828"/>
    <w:bookmarkEnd w:id="8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ind w:left="740"/>
              <w:spacing w:after="0"/>
              <w:rPr>
                <w:sz w:val="20"/>
                <w:szCs w:val="20"/>
                <w:color w:val="auto"/>
              </w:rPr>
            </w:pPr>
            <w:r>
              <w:rPr>
                <w:rFonts w:ascii="Arial" w:cs="Arial" w:eastAsia="Arial" w:hAnsi="Arial"/>
                <w:sz w:val="18"/>
                <w:szCs w:val="18"/>
                <w:b w:val="1"/>
                <w:bCs w:val="1"/>
                <w:color w:val="auto"/>
              </w:rPr>
              <w:t>"Intercreditor Agreement"</w:t>
            </w:r>
          </w:p>
        </w:tc>
        <w:tc>
          <w:tcPr>
            <w:tcW w:w="7880" w:type="dxa"/>
            <w:vAlign w:val="bottom"/>
          </w:tcPr>
          <w:p>
            <w:pPr>
              <w:ind w:left="460"/>
              <w:spacing w:after="0"/>
              <w:rPr>
                <w:sz w:val="20"/>
                <w:szCs w:val="20"/>
                <w:color w:val="auto"/>
              </w:rPr>
            </w:pPr>
            <w:r>
              <w:rPr>
                <w:rFonts w:ascii="Arial" w:cs="Arial" w:eastAsia="Arial" w:hAnsi="Arial"/>
                <w:sz w:val="18"/>
                <w:szCs w:val="18"/>
                <w:color w:val="auto"/>
                <w:w w:val="95"/>
              </w:rPr>
              <w:t>means the intercreditor agreement, dated on or about the date of this Deed, among the Collateral</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6"/>
              </w:rPr>
              <w:t>Agent,  Wells  Fargo  Bank,  National  Association,  the  Parent,  Weatherford  International  Ltd.,</w:t>
            </w:r>
          </w:p>
        </w:tc>
      </w:tr>
      <w:tr>
        <w:trPr>
          <w:trHeight w:val="230"/>
        </w:trPr>
        <w:tc>
          <w:tcPr>
            <w:tcW w:w="3540" w:type="dxa"/>
            <w:vAlign w:val="bottom"/>
          </w:tcPr>
          <w:p>
            <w:pPr>
              <w:spacing w:after="0"/>
              <w:rPr>
                <w:sz w:val="20"/>
                <w:szCs w:val="20"/>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rPr>
              <w:t>Weatherford International LLC, and the other grantors of the Parent named therein;</w:t>
            </w:r>
          </w:p>
        </w:tc>
      </w:tr>
      <w:tr>
        <w:trPr>
          <w:trHeight w:val="418"/>
        </w:trPr>
        <w:tc>
          <w:tcPr>
            <w:tcW w:w="3540" w:type="dxa"/>
            <w:vAlign w:val="bottom"/>
          </w:tcPr>
          <w:p>
            <w:pPr>
              <w:ind w:left="740"/>
              <w:spacing w:after="0"/>
              <w:rPr>
                <w:sz w:val="20"/>
                <w:szCs w:val="20"/>
                <w:color w:val="auto"/>
              </w:rPr>
            </w:pPr>
            <w:r>
              <w:rPr>
                <w:rFonts w:ascii="Arial" w:cs="Arial" w:eastAsia="Arial" w:hAnsi="Arial"/>
                <w:sz w:val="18"/>
                <w:szCs w:val="18"/>
                <w:b w:val="1"/>
                <w:bCs w:val="1"/>
                <w:color w:val="auto"/>
              </w:rPr>
              <w:t>"Intellectual Property Rights"</w:t>
            </w:r>
          </w:p>
        </w:tc>
        <w:tc>
          <w:tcPr>
            <w:tcW w:w="7880" w:type="dxa"/>
            <w:vAlign w:val="bottom"/>
          </w:tcPr>
          <w:p>
            <w:pPr>
              <w:ind w:left="460"/>
              <w:spacing w:after="0"/>
              <w:rPr>
                <w:sz w:val="20"/>
                <w:szCs w:val="20"/>
                <w:color w:val="auto"/>
              </w:rPr>
            </w:pPr>
            <w:r>
              <w:rPr>
                <w:rFonts w:ascii="Arial" w:cs="Arial" w:eastAsia="Arial" w:hAnsi="Arial"/>
                <w:sz w:val="18"/>
                <w:szCs w:val="18"/>
                <w:color w:val="auto"/>
                <w:w w:val="91"/>
              </w:rPr>
              <w:t>means patents, registered designs, copyrights, inventions, semi-conductor topography rights, rights in</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4"/>
              </w:rPr>
              <w:t>designs, rights in trade marks and service marks, business names and trade names, get up, logos,</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4"/>
              </w:rPr>
              <w:t>domain names, moral rights, rights in confidential information, rights in know-how, database rights,</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rPr>
              <w:t>rights protecting goodwill, or reputation and any interests (including by way of licence or sub-</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4"/>
              </w:rPr>
              <w:t>licence) in any of the foregoing, and any other intellectual property rights and interests whatsoever</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9"/>
              </w:rPr>
              <w:t>now or hereafter owned by the Company or in which it has any interest, in each case whether</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3"/>
              </w:rPr>
              <w:t>registered or not and including all applications, rights to apply for and rights to use the same and all</w:t>
            </w:r>
          </w:p>
        </w:tc>
      </w:tr>
      <w:tr>
        <w:trPr>
          <w:trHeight w:val="212"/>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rPr>
              <w:t>fees, royalties and other rights of every kind relating to or deriving from any of the same (but</w:t>
            </w:r>
          </w:p>
        </w:tc>
      </w:tr>
      <w:tr>
        <w:trPr>
          <w:trHeight w:val="234"/>
        </w:trPr>
        <w:tc>
          <w:tcPr>
            <w:tcW w:w="3540" w:type="dxa"/>
            <w:vAlign w:val="bottom"/>
          </w:tcPr>
          <w:p>
            <w:pPr>
              <w:spacing w:after="0"/>
              <w:rPr>
                <w:sz w:val="20"/>
                <w:szCs w:val="20"/>
                <w:color w:val="auto"/>
              </w:rPr>
            </w:pPr>
          </w:p>
        </w:tc>
        <w:tc>
          <w:tcPr>
            <w:tcW w:w="7880" w:type="dxa"/>
            <w:vAlign w:val="bottom"/>
          </w:tcPr>
          <w:p>
            <w:pPr>
              <w:ind w:left="460"/>
              <w:spacing w:after="0"/>
              <w:rPr>
                <w:sz w:val="20"/>
                <w:szCs w:val="20"/>
                <w:color w:val="auto"/>
              </w:rPr>
            </w:pPr>
            <w:r>
              <w:rPr>
                <w:rFonts w:ascii="Arial" w:cs="Arial" w:eastAsia="Arial" w:hAnsi="Arial"/>
                <w:sz w:val="18"/>
                <w:szCs w:val="18"/>
                <w:b w:val="1"/>
                <w:bCs w:val="1"/>
                <w:color w:val="auto"/>
                <w:w w:val="97"/>
              </w:rPr>
              <w:t xml:space="preserve">"Intellectual Property Rights" </w:t>
            </w:r>
            <w:r>
              <w:rPr>
                <w:rFonts w:ascii="Arial" w:cs="Arial" w:eastAsia="Arial" w:hAnsi="Arial"/>
                <w:sz w:val="18"/>
                <w:szCs w:val="18"/>
                <w:color w:val="auto"/>
                <w:w w:val="97"/>
              </w:rPr>
              <w:t>shall exclude, for the avoidance of doubt, the Excluded Assets);</w:t>
            </w:r>
          </w:p>
        </w:tc>
      </w:tr>
      <w:tr>
        <w:trPr>
          <w:trHeight w:val="418"/>
        </w:trPr>
        <w:tc>
          <w:tcPr>
            <w:tcW w:w="3540" w:type="dxa"/>
            <w:vAlign w:val="bottom"/>
          </w:tcPr>
          <w:p>
            <w:pPr>
              <w:ind w:left="740"/>
              <w:spacing w:after="0"/>
              <w:rPr>
                <w:sz w:val="20"/>
                <w:szCs w:val="20"/>
                <w:color w:val="auto"/>
              </w:rPr>
            </w:pPr>
            <w:r>
              <w:rPr>
                <w:rFonts w:ascii="Arial" w:cs="Arial" w:eastAsia="Arial" w:hAnsi="Arial"/>
                <w:sz w:val="18"/>
                <w:szCs w:val="18"/>
                <w:b w:val="1"/>
                <w:bCs w:val="1"/>
                <w:color w:val="auto"/>
              </w:rPr>
              <w:t>"Investments"</w:t>
            </w:r>
          </w:p>
        </w:tc>
        <w:tc>
          <w:tcPr>
            <w:tcW w:w="7880" w:type="dxa"/>
            <w:vAlign w:val="bottom"/>
          </w:tcPr>
          <w:p>
            <w:pPr>
              <w:ind w:left="460"/>
              <w:spacing w:after="0"/>
              <w:rPr>
                <w:sz w:val="20"/>
                <w:szCs w:val="20"/>
                <w:color w:val="auto"/>
              </w:rPr>
            </w:pPr>
            <w:r>
              <w:rPr>
                <w:rFonts w:ascii="Arial" w:cs="Arial" w:eastAsia="Arial" w:hAnsi="Arial"/>
                <w:sz w:val="18"/>
                <w:szCs w:val="18"/>
                <w:color w:val="auto"/>
                <w:w w:val="93"/>
              </w:rPr>
              <w:t>means shares, stocks, bonds, notes, certificates of deposit, debenture stocks, loan stocks and other</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5"/>
              </w:rPr>
              <w:t>securities or investments of any kind and all rights relating to any of the foregoing (including rights</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7"/>
              </w:rPr>
              <w:t>relating to any of the same which are deposited with, registered in the name of or credited to an</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4"/>
              </w:rPr>
              <w:t>account with any clearing system or house, depositary, custodian, nominee, controller, investment</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1"/>
              </w:rPr>
              <w:t>manager or other similar person or their nominee, in each case whether or not on a fungible basis and</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3"/>
              </w:rPr>
              <w:t>including all rights against such person); warrants, options or other rights to subscribe for, purchase,</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4"/>
              </w:rPr>
              <w:t>call for delivery of, redeem, convert other securities or investments into or otherwise to acquire any</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9"/>
              </w:rPr>
              <w:t>of the foregoing; and units in a unit trust scheme (as defined in section 237(1) of the Financial</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8"/>
              </w:rPr>
              <w:t>Services and Markets Act 2000); together in each case with all rights in respect thereof and all</w:t>
            </w:r>
          </w:p>
        </w:tc>
      </w:tr>
      <w:tr>
        <w:trPr>
          <w:trHeight w:val="212"/>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6"/>
              </w:rPr>
              <w:t>dividends, interest, cash or other distributions, accretions or Investments in respect of or deriving</w:t>
            </w:r>
          </w:p>
        </w:tc>
      </w:tr>
      <w:tr>
        <w:trPr>
          <w:trHeight w:val="216"/>
        </w:trPr>
        <w:tc>
          <w:tcPr>
            <w:tcW w:w="3540" w:type="dxa"/>
            <w:vAlign w:val="bottom"/>
          </w:tcPr>
          <w:p>
            <w:pPr>
              <w:spacing w:after="0"/>
              <w:rPr>
                <w:sz w:val="18"/>
                <w:szCs w:val="18"/>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w w:val="97"/>
              </w:rPr>
              <w:t xml:space="preserve">from any of the foregoing, and </w:t>
            </w:r>
            <w:r>
              <w:rPr>
                <w:rFonts w:ascii="Arial" w:cs="Arial" w:eastAsia="Arial" w:hAnsi="Arial"/>
                <w:sz w:val="18"/>
                <w:szCs w:val="18"/>
                <w:b w:val="1"/>
                <w:bCs w:val="1"/>
                <w:color w:val="auto"/>
                <w:w w:val="97"/>
              </w:rPr>
              <w:t>"Investments"</w:t>
            </w:r>
            <w:r>
              <w:rPr>
                <w:rFonts w:ascii="Arial" w:cs="Arial" w:eastAsia="Arial" w:hAnsi="Arial"/>
                <w:sz w:val="18"/>
                <w:szCs w:val="18"/>
                <w:color w:val="auto"/>
                <w:w w:val="97"/>
              </w:rPr>
              <w:t xml:space="preserve"> means any of the foregoing including any part of</w:t>
            </w:r>
          </w:p>
        </w:tc>
      </w:tr>
      <w:tr>
        <w:trPr>
          <w:trHeight w:val="234"/>
        </w:trPr>
        <w:tc>
          <w:tcPr>
            <w:tcW w:w="3540" w:type="dxa"/>
            <w:vAlign w:val="bottom"/>
          </w:tcPr>
          <w:p>
            <w:pPr>
              <w:spacing w:after="0"/>
              <w:rPr>
                <w:sz w:val="20"/>
                <w:szCs w:val="20"/>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rPr>
              <w:t xml:space="preserve">them (but </w:t>
            </w:r>
            <w:r>
              <w:rPr>
                <w:rFonts w:ascii="Arial" w:cs="Arial" w:eastAsia="Arial" w:hAnsi="Arial"/>
                <w:sz w:val="18"/>
                <w:szCs w:val="18"/>
                <w:b w:val="1"/>
                <w:bCs w:val="1"/>
                <w:color w:val="auto"/>
              </w:rPr>
              <w:t>"Investments"</w:t>
            </w:r>
            <w:r>
              <w:rPr>
                <w:rFonts w:ascii="Arial" w:cs="Arial" w:eastAsia="Arial" w:hAnsi="Arial"/>
                <w:sz w:val="18"/>
                <w:szCs w:val="18"/>
                <w:color w:val="auto"/>
              </w:rPr>
              <w:t xml:space="preserve"> shall exclude, for the avoidance of doubt, the Excluded Assets);</w:t>
            </w:r>
          </w:p>
        </w:tc>
      </w:tr>
      <w:tr>
        <w:trPr>
          <w:trHeight w:val="675"/>
        </w:trPr>
        <w:tc>
          <w:tcPr>
            <w:tcW w:w="35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931" w:right="239" w:bottom="1440" w:gutter="0" w:footer="0" w:header="0"/>
        </w:sectPr>
      </w:pPr>
    </w:p>
    <w:bookmarkStart w:id="828" w:name="page829"/>
    <w:bookmarkEnd w:id="8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"Law of Property Act"</w:t>
            </w:r>
          </w:p>
        </w:tc>
        <w:tc>
          <w:tcPr>
            <w:tcW w:w="7840" w:type="dxa"/>
            <w:vAlign w:val="bottom"/>
          </w:tcPr>
          <w:p>
            <w:pPr>
              <w:ind w:left="420"/>
              <w:spacing w:after="0"/>
              <w:rPr>
                <w:sz w:val="20"/>
                <w:szCs w:val="20"/>
                <w:color w:val="auto"/>
              </w:rPr>
            </w:pPr>
            <w:r>
              <w:rPr>
                <w:rFonts w:ascii="Arial" w:cs="Arial" w:eastAsia="Arial" w:hAnsi="Arial"/>
                <w:sz w:val="18"/>
                <w:szCs w:val="18"/>
                <w:color w:val="auto"/>
              </w:rPr>
              <w:t>means the Law of Property Act 1925;</w:t>
            </w:r>
          </w:p>
        </w:tc>
      </w:tr>
      <w:tr>
        <w:trPr>
          <w:trHeight w:val="414"/>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"Legally Mortgaged Property"</w:t>
            </w:r>
          </w:p>
        </w:tc>
        <w:tc>
          <w:tcPr>
            <w:tcW w:w="7840" w:type="dxa"/>
            <w:vAlign w:val="bottom"/>
          </w:tcPr>
          <w:p>
            <w:pPr>
              <w:ind w:left="420"/>
              <w:spacing w:after="0"/>
              <w:rPr>
                <w:sz w:val="20"/>
                <w:szCs w:val="20"/>
                <w:color w:val="auto"/>
              </w:rPr>
            </w:pPr>
            <w:r>
              <w:rPr>
                <w:rFonts w:ascii="Arial" w:cs="Arial" w:eastAsia="Arial" w:hAnsi="Arial"/>
                <w:sz w:val="18"/>
                <w:szCs w:val="18"/>
                <w:color w:val="auto"/>
                <w:w w:val="94"/>
              </w:rPr>
              <w:t>means any Real Property which may in future be legally mortgaged or charged by the Company to</w:t>
            </w:r>
          </w:p>
        </w:tc>
      </w:tr>
      <w:tr>
        <w:trPr>
          <w:trHeight w:val="220"/>
        </w:trPr>
        <w:tc>
          <w:tcPr>
            <w:tcW w:w="358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4"/>
              </w:rPr>
              <w:t>the Collateral Agent by or pursuant to this Deed, and "</w:t>
            </w:r>
            <w:r>
              <w:rPr>
                <w:rFonts w:ascii="Arial" w:cs="Arial" w:eastAsia="Arial" w:hAnsi="Arial"/>
                <w:sz w:val="18"/>
                <w:szCs w:val="18"/>
                <w:b w:val="1"/>
                <w:bCs w:val="1"/>
                <w:color w:val="auto"/>
                <w:w w:val="94"/>
              </w:rPr>
              <w:t>Legally Mortgaged Property"</w:t>
            </w:r>
            <w:r>
              <w:rPr>
                <w:rFonts w:ascii="Arial" w:cs="Arial" w:eastAsia="Arial" w:hAnsi="Arial"/>
                <w:sz w:val="18"/>
                <w:szCs w:val="18"/>
                <w:color w:val="auto"/>
                <w:w w:val="94"/>
              </w:rPr>
              <w:t xml:space="preserve"> includes any</w:t>
            </w:r>
          </w:p>
        </w:tc>
      </w:tr>
      <w:tr>
        <w:trPr>
          <w:trHeight w:val="230"/>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part of any such Real Property;</w:t>
            </w:r>
          </w:p>
        </w:tc>
      </w:tr>
      <w:tr>
        <w:trPr>
          <w:trHeight w:val="418"/>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"Loan Agreement"</w:t>
            </w:r>
          </w:p>
        </w:tc>
        <w:tc>
          <w:tcPr>
            <w:tcW w:w="7840" w:type="dxa"/>
            <w:vAlign w:val="bottom"/>
          </w:tcPr>
          <w:p>
            <w:pPr>
              <w:ind w:left="420"/>
              <w:spacing w:after="0"/>
              <w:rPr>
                <w:sz w:val="20"/>
                <w:szCs w:val="20"/>
                <w:color w:val="auto"/>
              </w:rPr>
            </w:pPr>
            <w:r>
              <w:rPr>
                <w:rFonts w:ascii="Arial" w:cs="Arial" w:eastAsia="Arial" w:hAnsi="Arial"/>
                <w:sz w:val="18"/>
                <w:szCs w:val="18"/>
                <w:color w:val="auto"/>
                <w:w w:val="92"/>
              </w:rPr>
              <w:t>means the letter of credit facility agreement, between, among others, the Parent, the Collateral Agent</w:t>
            </w:r>
          </w:p>
        </w:tc>
      </w:tr>
      <w:tr>
        <w:trPr>
          <w:trHeight w:val="230"/>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and the Lenders, dated on or about the date of this Deed;</w:t>
            </w:r>
          </w:p>
        </w:tc>
      </w:tr>
      <w:tr>
        <w:trPr>
          <w:trHeight w:val="418"/>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"Loss"</w:t>
            </w:r>
          </w:p>
        </w:tc>
        <w:tc>
          <w:tcPr>
            <w:tcW w:w="7840" w:type="dxa"/>
            <w:vAlign w:val="bottom"/>
          </w:tcPr>
          <w:p>
            <w:pPr>
              <w:ind w:left="420"/>
              <w:spacing w:after="0"/>
              <w:rPr>
                <w:sz w:val="20"/>
                <w:szCs w:val="20"/>
                <w:color w:val="auto"/>
              </w:rPr>
            </w:pPr>
            <w:r>
              <w:rPr>
                <w:rFonts w:ascii="Arial" w:cs="Arial" w:eastAsia="Arial" w:hAnsi="Arial"/>
                <w:sz w:val="18"/>
                <w:szCs w:val="18"/>
                <w:color w:val="auto"/>
                <w:w w:val="97"/>
              </w:rPr>
              <w:t>means any liability, damages, claim, cost, loss, penalty, expense, demand (or actions in respect</w:t>
            </w:r>
          </w:p>
        </w:tc>
      </w:tr>
      <w:tr>
        <w:trPr>
          <w:trHeight w:val="216"/>
        </w:trPr>
        <w:tc>
          <w:tcPr>
            <w:tcW w:w="358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5"/>
              </w:rPr>
              <w:t>thereof) including, legal, accounting or other charges, fees, costs, disbursements and expenses in</w:t>
            </w:r>
          </w:p>
        </w:tc>
      </w:tr>
      <w:tr>
        <w:trPr>
          <w:trHeight w:val="230"/>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connection therewith;</w:t>
            </w:r>
          </w:p>
        </w:tc>
      </w:tr>
      <w:tr>
        <w:trPr>
          <w:trHeight w:val="418"/>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"Material Real Property"</w:t>
            </w:r>
          </w:p>
        </w:tc>
        <w:tc>
          <w:tcPr>
            <w:tcW w:w="7840" w:type="dxa"/>
            <w:vAlign w:val="bottom"/>
          </w:tcPr>
          <w:p>
            <w:pPr>
              <w:ind w:left="420"/>
              <w:spacing w:after="0"/>
              <w:rPr>
                <w:sz w:val="20"/>
                <w:szCs w:val="20"/>
                <w:color w:val="auto"/>
              </w:rPr>
            </w:pPr>
            <w:r>
              <w:rPr>
                <w:rFonts w:ascii="Arial" w:cs="Arial" w:eastAsia="Arial" w:hAnsi="Arial"/>
                <w:sz w:val="18"/>
                <w:szCs w:val="18"/>
                <w:color w:val="auto"/>
                <w:w w:val="92"/>
              </w:rPr>
              <w:t>means Real Property located in the United States of America, Canada or the United Kingdom owned</w:t>
            </w:r>
          </w:p>
        </w:tc>
      </w:tr>
      <w:tr>
        <w:trPr>
          <w:trHeight w:val="216"/>
        </w:trPr>
        <w:tc>
          <w:tcPr>
            <w:tcW w:w="358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7"/>
              </w:rPr>
              <w:t>by the Company with a net book value in excess of US$10,000,000 and that is not an Excluded</w:t>
            </w:r>
          </w:p>
        </w:tc>
      </w:tr>
      <w:tr>
        <w:trPr>
          <w:trHeight w:val="230"/>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Asset;</w:t>
            </w:r>
          </w:p>
        </w:tc>
      </w:tr>
      <w:tr>
        <w:trPr>
          <w:trHeight w:val="414"/>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"Mortgaged Investments"</w:t>
            </w:r>
          </w:p>
        </w:tc>
        <w:tc>
          <w:tcPr>
            <w:tcW w:w="7840" w:type="dxa"/>
            <w:vAlign w:val="bottom"/>
          </w:tcPr>
          <w:p>
            <w:pPr>
              <w:ind w:left="420"/>
              <w:spacing w:after="0"/>
              <w:rPr>
                <w:sz w:val="20"/>
                <w:szCs w:val="20"/>
                <w:color w:val="auto"/>
              </w:rPr>
            </w:pPr>
            <w:r>
              <w:rPr>
                <w:rFonts w:ascii="Arial" w:cs="Arial" w:eastAsia="Arial" w:hAnsi="Arial"/>
                <w:sz w:val="18"/>
                <w:szCs w:val="18"/>
                <w:color w:val="auto"/>
              </w:rPr>
              <w:t>means Investments from time to time subject or expressed to be subject to the Charges, and</w:t>
            </w:r>
          </w:p>
        </w:tc>
      </w:tr>
      <w:tr>
        <w:trPr>
          <w:trHeight w:val="234"/>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b w:val="1"/>
                <w:bCs w:val="1"/>
                <w:color w:val="auto"/>
              </w:rPr>
              <w:t xml:space="preserve">"Mortgaged Investments" </w:t>
            </w:r>
            <w:r>
              <w:rPr>
                <w:rFonts w:ascii="Arial" w:cs="Arial" w:eastAsia="Arial" w:hAnsi="Arial"/>
                <w:sz w:val="18"/>
                <w:szCs w:val="18"/>
                <w:color w:val="auto"/>
              </w:rPr>
              <w:t>includes any part of any of them;</w:t>
            </w:r>
          </w:p>
        </w:tc>
      </w:tr>
      <w:tr>
        <w:trPr>
          <w:trHeight w:val="418"/>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"Parent"</w:t>
            </w:r>
          </w:p>
        </w:tc>
        <w:tc>
          <w:tcPr>
            <w:tcW w:w="7840" w:type="dxa"/>
            <w:vAlign w:val="bottom"/>
          </w:tcPr>
          <w:p>
            <w:pPr>
              <w:ind w:left="420"/>
              <w:spacing w:after="0"/>
              <w:rPr>
                <w:sz w:val="20"/>
                <w:szCs w:val="20"/>
                <w:color w:val="auto"/>
              </w:rPr>
            </w:pPr>
            <w:r>
              <w:rPr>
                <w:rFonts w:ascii="Arial" w:cs="Arial" w:eastAsia="Arial" w:hAnsi="Arial"/>
                <w:sz w:val="18"/>
                <w:szCs w:val="18"/>
                <w:color w:val="auto"/>
                <w:w w:val="93"/>
              </w:rPr>
              <w:t>means Weatherford International Public Limited Company, a public limited company incorporated in</w:t>
            </w:r>
          </w:p>
        </w:tc>
      </w:tr>
      <w:tr>
        <w:trPr>
          <w:trHeight w:val="216"/>
        </w:trPr>
        <w:tc>
          <w:tcPr>
            <w:tcW w:w="358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6"/>
              </w:rPr>
              <w:t>the Republic of Ireland, with registered number 540406 whose registered office address is 70 Sir</w:t>
            </w:r>
          </w:p>
        </w:tc>
      </w:tr>
      <w:tr>
        <w:trPr>
          <w:trHeight w:val="230"/>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John Rogerson's Quay, Dublin 2;</w:t>
            </w:r>
          </w:p>
        </w:tc>
      </w:tr>
      <w:tr>
        <w:trPr>
          <w:trHeight w:val="418"/>
        </w:trPr>
        <w:tc>
          <w:tcPr>
            <w:tcW w:w="3580" w:type="dxa"/>
            <w:vAlign w:val="bottom"/>
          </w:tcPr>
          <w:p>
            <w:pPr>
              <w:ind w:left="740"/>
              <w:spacing w:after="0"/>
              <w:rPr>
                <w:sz w:val="20"/>
                <w:szCs w:val="20"/>
                <w:color w:val="auto"/>
              </w:rPr>
            </w:pPr>
            <w:r>
              <w:rPr>
                <w:rFonts w:ascii="Arial" w:cs="Arial" w:eastAsia="Arial" w:hAnsi="Arial"/>
                <w:sz w:val="18"/>
                <w:szCs w:val="18"/>
                <w:b w:val="1"/>
                <w:bCs w:val="1"/>
                <w:color w:val="auto"/>
              </w:rPr>
              <w:t>"Payment in Full"</w:t>
            </w:r>
          </w:p>
        </w:tc>
        <w:tc>
          <w:tcPr>
            <w:tcW w:w="7840" w:type="dxa"/>
            <w:vAlign w:val="bottom"/>
          </w:tcPr>
          <w:p>
            <w:pPr>
              <w:ind w:left="420"/>
              <w:spacing w:after="0"/>
              <w:rPr>
                <w:sz w:val="20"/>
                <w:szCs w:val="20"/>
                <w:color w:val="auto"/>
              </w:rPr>
            </w:pPr>
            <w:r>
              <w:rPr>
                <w:rFonts w:ascii="Arial" w:cs="Arial" w:eastAsia="Arial" w:hAnsi="Arial"/>
                <w:sz w:val="18"/>
                <w:szCs w:val="18"/>
                <w:color w:val="auto"/>
                <w:w w:val="93"/>
              </w:rPr>
              <w:t>means the Commitments have expired or been terminated and the principal of and interest on each</w:t>
            </w:r>
          </w:p>
        </w:tc>
      </w:tr>
      <w:tr>
        <w:trPr>
          <w:trHeight w:val="216"/>
        </w:trPr>
        <w:tc>
          <w:tcPr>
            <w:tcW w:w="358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1"/>
              </w:rPr>
              <w:t>Loan and all fees payable hereunder and all other amounts payable under the Loan Documents (other</w:t>
            </w:r>
          </w:p>
        </w:tc>
      </w:tr>
      <w:tr>
        <w:trPr>
          <w:trHeight w:val="216"/>
        </w:trPr>
        <w:tc>
          <w:tcPr>
            <w:tcW w:w="358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2"/>
              </w:rPr>
              <w:t>than contingent indemnification obligations as to which no claim has been received by the Company)</w:t>
            </w:r>
          </w:p>
        </w:tc>
      </w:tr>
      <w:tr>
        <w:trPr>
          <w:trHeight w:val="230"/>
        </w:trPr>
        <w:tc>
          <w:tcPr>
            <w:tcW w:w="358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shall have been paid in full in cash;</w:t>
            </w:r>
          </w:p>
        </w:tc>
      </w:tr>
      <w:tr>
        <w:trPr>
          <w:trHeight w:val="675"/>
        </w:trPr>
        <w:tc>
          <w:tcPr>
            <w:tcW w:w="358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933" w:right="239" w:bottom="1440" w:gutter="0" w:footer="0" w:header="0"/>
        </w:sectPr>
      </w:pPr>
    </w:p>
    <w:bookmarkStart w:id="829" w:name="page830"/>
    <w:bookmarkEnd w:id="8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ind w:left="740"/>
              <w:spacing w:after="0"/>
              <w:rPr>
                <w:sz w:val="20"/>
                <w:szCs w:val="20"/>
                <w:color w:val="auto"/>
              </w:rPr>
            </w:pPr>
            <w:r>
              <w:rPr>
                <w:rFonts w:ascii="Arial" w:cs="Arial" w:eastAsia="Arial" w:hAnsi="Arial"/>
                <w:sz w:val="18"/>
                <w:szCs w:val="18"/>
                <w:b w:val="1"/>
                <w:bCs w:val="1"/>
                <w:color w:val="auto"/>
              </w:rPr>
              <w:t>"Proceedings"</w:t>
            </w: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rPr>
              <w:t>means any proceedings, suits or actions arising out of or in connection with any Disputes or</w:t>
            </w:r>
          </w:p>
        </w:tc>
      </w:tr>
      <w:tr>
        <w:trPr>
          <w:trHeight w:val="216"/>
        </w:trPr>
        <w:tc>
          <w:tcPr>
            <w:tcW w:w="3040" w:type="dxa"/>
            <w:vAlign w:val="bottom"/>
          </w:tcPr>
          <w:p>
            <w:pPr>
              <w:spacing w:after="0"/>
              <w:rPr>
                <w:sz w:val="18"/>
                <w:szCs w:val="18"/>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3"/>
              </w:rPr>
              <w:t>otherwise arising out of or in connection with this Deed (including regarding its existence, validity or</w:t>
            </w:r>
          </w:p>
        </w:tc>
      </w:tr>
      <w:tr>
        <w:trPr>
          <w:trHeight w:val="230"/>
        </w:trPr>
        <w:tc>
          <w:tcPr>
            <w:tcW w:w="3040" w:type="dxa"/>
            <w:vAlign w:val="bottom"/>
          </w:tcPr>
          <w:p>
            <w:pPr>
              <w:spacing w:after="0"/>
              <w:rPr>
                <w:sz w:val="20"/>
                <w:szCs w:val="20"/>
                <w:color w:val="auto"/>
              </w:rPr>
            </w:pPr>
          </w:p>
        </w:tc>
        <w:tc>
          <w:tcPr>
            <w:tcW w:w="2000" w:type="dxa"/>
            <w:vAlign w:val="bottom"/>
            <w:gridSpan w:val="2"/>
          </w:tcPr>
          <w:p>
            <w:pPr>
              <w:ind w:left="960"/>
              <w:spacing w:after="0"/>
              <w:rPr>
                <w:sz w:val="20"/>
                <w:szCs w:val="20"/>
                <w:color w:val="auto"/>
              </w:rPr>
            </w:pPr>
            <w:r>
              <w:rPr>
                <w:rFonts w:ascii="Arial" w:cs="Arial" w:eastAsia="Arial" w:hAnsi="Arial"/>
                <w:sz w:val="18"/>
                <w:szCs w:val="18"/>
                <w:color w:val="auto"/>
              </w:rPr>
              <w:t>termination);</w:t>
            </w:r>
          </w:p>
        </w:tc>
        <w:tc>
          <w:tcPr>
            <w:tcW w:w="6380" w:type="dxa"/>
            <w:vAlign w:val="bottom"/>
          </w:tcPr>
          <w:p>
            <w:pPr>
              <w:spacing w:after="0"/>
              <w:rPr>
                <w:sz w:val="20"/>
                <w:szCs w:val="20"/>
                <w:color w:val="auto"/>
              </w:rPr>
            </w:pPr>
          </w:p>
        </w:tc>
      </w:tr>
      <w:tr>
        <w:trPr>
          <w:trHeight w:val="414"/>
        </w:trPr>
        <w:tc>
          <w:tcPr>
            <w:tcW w:w="3040" w:type="dxa"/>
            <w:vAlign w:val="bottom"/>
          </w:tcPr>
          <w:p>
            <w:pPr>
              <w:ind w:left="740"/>
              <w:spacing w:after="0"/>
              <w:rPr>
                <w:sz w:val="20"/>
                <w:szCs w:val="20"/>
                <w:color w:val="auto"/>
              </w:rPr>
            </w:pPr>
            <w:r>
              <w:rPr>
                <w:rFonts w:ascii="Arial" w:cs="Arial" w:eastAsia="Arial" w:hAnsi="Arial"/>
                <w:sz w:val="18"/>
                <w:szCs w:val="18"/>
                <w:b w:val="1"/>
                <w:bCs w:val="1"/>
                <w:color w:val="auto"/>
              </w:rPr>
              <w:t>"Real Property"</w:t>
            </w: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7"/>
              </w:rPr>
              <w:t>means freehold property in England and Wales and any other land or buildings anywhere in the</w:t>
            </w:r>
          </w:p>
        </w:tc>
      </w:tr>
      <w:tr>
        <w:trPr>
          <w:trHeight w:val="220"/>
        </w:trPr>
        <w:tc>
          <w:tcPr>
            <w:tcW w:w="3040" w:type="dxa"/>
            <w:vAlign w:val="bottom"/>
          </w:tcPr>
          <w:p>
            <w:pPr>
              <w:spacing w:after="0"/>
              <w:rPr>
                <w:sz w:val="19"/>
                <w:szCs w:val="19"/>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2"/>
              </w:rPr>
              <w:t xml:space="preserve">world, any estate or interest therein and any reference to </w:t>
            </w:r>
            <w:r>
              <w:rPr>
                <w:rFonts w:ascii="Arial" w:cs="Arial" w:eastAsia="Arial" w:hAnsi="Arial"/>
                <w:sz w:val="18"/>
                <w:szCs w:val="18"/>
                <w:b w:val="1"/>
                <w:bCs w:val="1"/>
                <w:color w:val="auto"/>
                <w:w w:val="92"/>
              </w:rPr>
              <w:t>"Real Property"</w:t>
            </w:r>
            <w:r>
              <w:rPr>
                <w:rFonts w:ascii="Arial" w:cs="Arial" w:eastAsia="Arial" w:hAnsi="Arial"/>
                <w:sz w:val="18"/>
                <w:szCs w:val="18"/>
                <w:color w:val="auto"/>
                <w:w w:val="92"/>
              </w:rPr>
              <w:t xml:space="preserve"> includes a reference to all</w:t>
            </w:r>
          </w:p>
        </w:tc>
      </w:tr>
      <w:tr>
        <w:trPr>
          <w:trHeight w:val="216"/>
        </w:trPr>
        <w:tc>
          <w:tcPr>
            <w:tcW w:w="3040" w:type="dxa"/>
            <w:vAlign w:val="bottom"/>
          </w:tcPr>
          <w:p>
            <w:pPr>
              <w:spacing w:after="0"/>
              <w:rPr>
                <w:sz w:val="18"/>
                <w:szCs w:val="18"/>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5"/>
              </w:rPr>
              <w:t>rights from time to time attached or appurtenant thereto and all buildings and Fixtures from time to</w:t>
            </w:r>
          </w:p>
        </w:tc>
      </w:tr>
      <w:tr>
        <w:trPr>
          <w:trHeight w:val="230"/>
        </w:trPr>
        <w:tc>
          <w:tcPr>
            <w:tcW w:w="3040" w:type="dxa"/>
            <w:vAlign w:val="bottom"/>
          </w:tcPr>
          <w:p>
            <w:pPr>
              <w:spacing w:after="0"/>
              <w:rPr>
                <w:sz w:val="20"/>
                <w:szCs w:val="20"/>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rPr>
              <w:t>time therein or thereon;</w:t>
            </w:r>
          </w:p>
        </w:tc>
      </w:tr>
      <w:tr>
        <w:trPr>
          <w:trHeight w:val="418"/>
        </w:trPr>
        <w:tc>
          <w:tcPr>
            <w:tcW w:w="3040" w:type="dxa"/>
            <w:vAlign w:val="bottom"/>
          </w:tcPr>
          <w:p>
            <w:pPr>
              <w:ind w:left="740"/>
              <w:spacing w:after="0"/>
              <w:rPr>
                <w:sz w:val="20"/>
                <w:szCs w:val="20"/>
                <w:color w:val="auto"/>
              </w:rPr>
            </w:pPr>
            <w:r>
              <w:rPr>
                <w:rFonts w:ascii="Arial" w:cs="Arial" w:eastAsia="Arial" w:hAnsi="Arial"/>
                <w:sz w:val="18"/>
                <w:szCs w:val="18"/>
                <w:b w:val="1"/>
                <w:bCs w:val="1"/>
                <w:color w:val="auto"/>
              </w:rPr>
              <w:t>"receiver"</w:t>
            </w: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1"/>
              </w:rPr>
              <w:t xml:space="preserve">includes a manager, a receiver and manager and an </w:t>
            </w:r>
            <w:r>
              <w:rPr>
                <w:rFonts w:ascii="Arial" w:cs="Arial" w:eastAsia="Arial" w:hAnsi="Arial"/>
                <w:sz w:val="18"/>
                <w:szCs w:val="18"/>
                <w:b w:val="1"/>
                <w:bCs w:val="1"/>
                <w:color w:val="auto"/>
                <w:w w:val="91"/>
              </w:rPr>
              <w:t>"administrative receiver"</w:t>
            </w:r>
            <w:r>
              <w:rPr>
                <w:rFonts w:ascii="Arial" w:cs="Arial" w:eastAsia="Arial" w:hAnsi="Arial"/>
                <w:sz w:val="18"/>
                <w:szCs w:val="18"/>
                <w:color w:val="auto"/>
                <w:w w:val="91"/>
              </w:rPr>
              <w:t xml:space="preserve"> as defined by Section</w:t>
            </w:r>
          </w:p>
        </w:tc>
      </w:tr>
      <w:tr>
        <w:trPr>
          <w:trHeight w:val="230"/>
        </w:trPr>
        <w:tc>
          <w:tcPr>
            <w:tcW w:w="3040" w:type="dxa"/>
            <w:vAlign w:val="bottom"/>
          </w:tcPr>
          <w:p>
            <w:pPr>
              <w:spacing w:after="0"/>
              <w:rPr>
                <w:sz w:val="20"/>
                <w:szCs w:val="20"/>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rPr>
              <w:t>251 of the Insolvency Act;</w:t>
            </w:r>
          </w:p>
        </w:tc>
      </w:tr>
      <w:tr>
        <w:trPr>
          <w:trHeight w:val="418"/>
        </w:trPr>
        <w:tc>
          <w:tcPr>
            <w:tcW w:w="3040" w:type="dxa"/>
            <w:vAlign w:val="bottom"/>
          </w:tcPr>
          <w:p>
            <w:pPr>
              <w:ind w:left="740"/>
              <w:spacing w:after="0"/>
              <w:rPr>
                <w:sz w:val="20"/>
                <w:szCs w:val="20"/>
                <w:color w:val="auto"/>
              </w:rPr>
            </w:pPr>
            <w:r>
              <w:rPr>
                <w:rFonts w:ascii="Arial" w:cs="Arial" w:eastAsia="Arial" w:hAnsi="Arial"/>
                <w:sz w:val="18"/>
                <w:szCs w:val="18"/>
                <w:b w:val="1"/>
                <w:bCs w:val="1"/>
                <w:color w:val="auto"/>
              </w:rPr>
              <w:t>"Receiver"</w:t>
            </w: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4"/>
              </w:rPr>
              <w:t>means a receiver appointed under this Deed or pursuant to any applicable law, and includes more</w:t>
            </w:r>
          </w:p>
        </w:tc>
      </w:tr>
      <w:tr>
        <w:trPr>
          <w:trHeight w:val="216"/>
        </w:trPr>
        <w:tc>
          <w:tcPr>
            <w:tcW w:w="3040" w:type="dxa"/>
            <w:vAlign w:val="bottom"/>
          </w:tcPr>
          <w:p>
            <w:pPr>
              <w:spacing w:after="0"/>
              <w:rPr>
                <w:sz w:val="18"/>
                <w:szCs w:val="18"/>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w w:val="93"/>
              </w:rPr>
              <w:t>than one such receiver and any substituted receiver but not an administrative receiver as defined in</w:t>
            </w:r>
          </w:p>
        </w:tc>
      </w:tr>
      <w:tr>
        <w:trPr>
          <w:trHeight w:val="230"/>
        </w:trPr>
        <w:tc>
          <w:tcPr>
            <w:tcW w:w="3040" w:type="dxa"/>
            <w:vAlign w:val="bottom"/>
          </w:tcPr>
          <w:p>
            <w:pPr>
              <w:spacing w:after="0"/>
              <w:rPr>
                <w:sz w:val="20"/>
                <w:szCs w:val="20"/>
                <w:color w:val="auto"/>
              </w:rPr>
            </w:pPr>
          </w:p>
        </w:tc>
        <w:tc>
          <w:tcPr>
            <w:tcW w:w="8380" w:type="dxa"/>
            <w:vAlign w:val="bottom"/>
            <w:gridSpan w:val="3"/>
          </w:tcPr>
          <w:p>
            <w:pPr>
              <w:ind w:left="960"/>
              <w:spacing w:after="0"/>
              <w:rPr>
                <w:sz w:val="20"/>
                <w:szCs w:val="20"/>
                <w:color w:val="auto"/>
              </w:rPr>
            </w:pPr>
            <w:r>
              <w:rPr>
                <w:rFonts w:ascii="Arial" w:cs="Arial" w:eastAsia="Arial" w:hAnsi="Arial"/>
                <w:sz w:val="18"/>
                <w:szCs w:val="18"/>
                <w:color w:val="auto"/>
              </w:rPr>
              <w:t>Section 251 of the Insolvency Act;</w:t>
            </w:r>
          </w:p>
        </w:tc>
      </w:tr>
      <w:tr>
        <w:trPr>
          <w:trHeight w:val="432"/>
        </w:trPr>
        <w:tc>
          <w:tcPr>
            <w:tcW w:w="3040" w:type="dxa"/>
            <w:vAlign w:val="bottom"/>
          </w:tcPr>
          <w:p>
            <w:pPr>
              <w:ind w:left="740"/>
              <w:spacing w:after="0"/>
              <w:rPr>
                <w:sz w:val="20"/>
                <w:szCs w:val="20"/>
                <w:color w:val="auto"/>
              </w:rPr>
            </w:pPr>
            <w:r>
              <w:rPr>
                <w:rFonts w:ascii="Arial" w:cs="Arial" w:eastAsia="Arial" w:hAnsi="Arial"/>
                <w:sz w:val="18"/>
                <w:szCs w:val="18"/>
                <w:b w:val="1"/>
                <w:bCs w:val="1"/>
                <w:color w:val="auto"/>
              </w:rPr>
              <w:t>"Related Rights"</w:t>
            </w:r>
          </w:p>
        </w:tc>
        <w:tc>
          <w:tcPr>
            <w:tcW w:w="1500" w:type="dxa"/>
            <w:vAlign w:val="bottom"/>
          </w:tcPr>
          <w:p>
            <w:pPr>
              <w:ind w:left="960"/>
              <w:spacing w:after="0"/>
              <w:rPr>
                <w:sz w:val="20"/>
                <w:szCs w:val="20"/>
                <w:color w:val="auto"/>
              </w:rPr>
            </w:pPr>
            <w:r>
              <w:rPr>
                <w:rFonts w:ascii="Arial" w:cs="Arial" w:eastAsia="Arial" w:hAnsi="Arial"/>
                <w:sz w:val="18"/>
                <w:szCs w:val="18"/>
                <w:color w:val="auto"/>
                <w:w w:val="88"/>
              </w:rPr>
              <w:t>means:</w:t>
            </w:r>
          </w:p>
        </w:tc>
        <w:tc>
          <w:tcPr>
            <w:tcW w:w="50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418"/>
        </w:trPr>
        <w:tc>
          <w:tcPr>
            <w:tcW w:w="3040" w:type="dxa"/>
            <w:vAlign w:val="bottom"/>
          </w:tcPr>
          <w:p>
            <w:pPr>
              <w:spacing w:after="0"/>
              <w:rPr>
                <w:sz w:val="24"/>
                <w:szCs w:val="24"/>
                <w:color w:val="auto"/>
              </w:rPr>
            </w:pPr>
          </w:p>
        </w:tc>
        <w:tc>
          <w:tcPr>
            <w:tcW w:w="1500" w:type="dxa"/>
            <w:vAlign w:val="bottom"/>
          </w:tcPr>
          <w:p>
            <w:pPr>
              <w:ind w:left="960"/>
              <w:spacing w:after="0"/>
              <w:rPr>
                <w:sz w:val="20"/>
                <w:szCs w:val="20"/>
                <w:color w:val="auto"/>
              </w:rPr>
            </w:pPr>
            <w:r>
              <w:rPr>
                <w:rFonts w:ascii="Arial" w:cs="Arial" w:eastAsia="Arial" w:hAnsi="Arial"/>
                <w:sz w:val="18"/>
                <w:szCs w:val="18"/>
                <w:color w:val="auto"/>
              </w:rPr>
              <w:t>(a)</w:t>
            </w:r>
          </w:p>
        </w:tc>
        <w:tc>
          <w:tcPr>
            <w:tcW w:w="6880" w:type="dxa"/>
            <w:vAlign w:val="bottom"/>
            <w:gridSpan w:val="2"/>
          </w:tcPr>
          <w:p>
            <w:pPr>
              <w:ind w:left="40"/>
              <w:spacing w:after="0"/>
              <w:rPr>
                <w:sz w:val="20"/>
                <w:szCs w:val="20"/>
                <w:color w:val="auto"/>
              </w:rPr>
            </w:pPr>
            <w:r>
              <w:rPr>
                <w:rFonts w:ascii="Arial" w:cs="Arial" w:eastAsia="Arial" w:hAnsi="Arial"/>
                <w:sz w:val="18"/>
                <w:szCs w:val="18"/>
                <w:color w:val="auto"/>
                <w:w w:val="94"/>
              </w:rPr>
              <w:t>all dividends, distributions and other income paid or payable on a Investment, together with</w:t>
            </w:r>
          </w:p>
        </w:tc>
      </w:tr>
      <w:tr>
        <w:trPr>
          <w:trHeight w:val="216"/>
        </w:trPr>
        <w:tc>
          <w:tcPr>
            <w:tcW w:w="3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80" w:type="dxa"/>
            <w:vAlign w:val="bottom"/>
            <w:gridSpan w:val="2"/>
          </w:tcPr>
          <w:p>
            <w:pPr>
              <w:ind w:left="40"/>
              <w:spacing w:after="0"/>
              <w:rPr>
                <w:sz w:val="20"/>
                <w:szCs w:val="20"/>
                <w:color w:val="auto"/>
              </w:rPr>
            </w:pPr>
            <w:r>
              <w:rPr>
                <w:rFonts w:ascii="Arial" w:cs="Arial" w:eastAsia="Arial" w:hAnsi="Arial"/>
                <w:sz w:val="18"/>
                <w:szCs w:val="18"/>
                <w:color w:val="auto"/>
                <w:w w:val="92"/>
              </w:rPr>
              <w:t>all shares or other property derived from any Investment and all other allotments, accretions,</w:t>
            </w:r>
          </w:p>
        </w:tc>
      </w:tr>
      <w:tr>
        <w:trPr>
          <w:trHeight w:val="216"/>
        </w:trPr>
        <w:tc>
          <w:tcPr>
            <w:tcW w:w="3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80" w:type="dxa"/>
            <w:vAlign w:val="bottom"/>
            <w:gridSpan w:val="2"/>
          </w:tcPr>
          <w:p>
            <w:pPr>
              <w:ind w:left="40"/>
              <w:spacing w:after="0"/>
              <w:rPr>
                <w:sz w:val="20"/>
                <w:szCs w:val="20"/>
                <w:color w:val="auto"/>
              </w:rPr>
            </w:pPr>
            <w:r>
              <w:rPr>
                <w:rFonts w:ascii="Arial" w:cs="Arial" w:eastAsia="Arial" w:hAnsi="Arial"/>
                <w:sz w:val="18"/>
                <w:szCs w:val="18"/>
                <w:color w:val="auto"/>
                <w:w w:val="96"/>
              </w:rPr>
              <w:t>rights, benefits and advantages of all kinds accruing, offered or otherwise derived from or</w:t>
            </w:r>
          </w:p>
        </w:tc>
      </w:tr>
      <w:tr>
        <w:trPr>
          <w:trHeight w:val="216"/>
        </w:trPr>
        <w:tc>
          <w:tcPr>
            <w:tcW w:w="3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80" w:type="dxa"/>
            <w:vAlign w:val="bottom"/>
            <w:gridSpan w:val="2"/>
          </w:tcPr>
          <w:p>
            <w:pPr>
              <w:ind w:left="40"/>
              <w:spacing w:after="0"/>
              <w:rPr>
                <w:sz w:val="20"/>
                <w:szCs w:val="20"/>
                <w:color w:val="auto"/>
              </w:rPr>
            </w:pPr>
            <w:r>
              <w:rPr>
                <w:rFonts w:ascii="Arial" w:cs="Arial" w:eastAsia="Arial" w:hAnsi="Arial"/>
                <w:sz w:val="18"/>
                <w:szCs w:val="18"/>
                <w:color w:val="auto"/>
                <w:w w:val="93"/>
              </w:rPr>
              <w:t>incidental to that Investment (whether by way of conversion, redemption, bonus, preference,</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80" w:type="dxa"/>
            <w:vAlign w:val="bottom"/>
            <w:gridSpan w:val="2"/>
          </w:tcPr>
          <w:p>
            <w:pPr>
              <w:ind w:left="40"/>
              <w:spacing w:after="0"/>
              <w:rPr>
                <w:sz w:val="20"/>
                <w:szCs w:val="20"/>
                <w:color w:val="auto"/>
              </w:rPr>
            </w:pPr>
            <w:r>
              <w:rPr>
                <w:rFonts w:ascii="Arial" w:cs="Arial" w:eastAsia="Arial" w:hAnsi="Arial"/>
                <w:sz w:val="18"/>
                <w:szCs w:val="18"/>
                <w:color w:val="auto"/>
              </w:rPr>
              <w:t>option or otherwise);</w:t>
            </w:r>
          </w:p>
        </w:tc>
      </w:tr>
      <w:tr>
        <w:trPr>
          <w:trHeight w:val="432"/>
        </w:trPr>
        <w:tc>
          <w:tcPr>
            <w:tcW w:w="3040" w:type="dxa"/>
            <w:vAlign w:val="bottom"/>
          </w:tcPr>
          <w:p>
            <w:pPr>
              <w:spacing w:after="0"/>
              <w:rPr>
                <w:sz w:val="24"/>
                <w:szCs w:val="24"/>
                <w:color w:val="auto"/>
              </w:rPr>
            </w:pPr>
          </w:p>
        </w:tc>
        <w:tc>
          <w:tcPr>
            <w:tcW w:w="1500" w:type="dxa"/>
            <w:vAlign w:val="bottom"/>
          </w:tcPr>
          <w:p>
            <w:pPr>
              <w:ind w:left="960"/>
              <w:spacing w:after="0"/>
              <w:rPr>
                <w:sz w:val="20"/>
                <w:szCs w:val="20"/>
                <w:color w:val="auto"/>
              </w:rPr>
            </w:pPr>
            <w:r>
              <w:rPr>
                <w:rFonts w:ascii="Arial" w:cs="Arial" w:eastAsia="Arial" w:hAnsi="Arial"/>
                <w:sz w:val="18"/>
                <w:szCs w:val="18"/>
                <w:color w:val="auto"/>
              </w:rPr>
              <w:t>(b)</w:t>
            </w:r>
          </w:p>
        </w:tc>
        <w:tc>
          <w:tcPr>
            <w:tcW w:w="6880" w:type="dxa"/>
            <w:vAlign w:val="bottom"/>
            <w:gridSpan w:val="2"/>
          </w:tcPr>
          <w:p>
            <w:pPr>
              <w:ind w:left="40"/>
              <w:spacing w:after="0"/>
              <w:rPr>
                <w:sz w:val="20"/>
                <w:szCs w:val="20"/>
                <w:color w:val="auto"/>
              </w:rPr>
            </w:pPr>
            <w:r>
              <w:rPr>
                <w:rFonts w:ascii="Arial" w:cs="Arial" w:eastAsia="Arial" w:hAnsi="Arial"/>
                <w:sz w:val="18"/>
                <w:szCs w:val="18"/>
                <w:color w:val="auto"/>
              </w:rPr>
              <w:t>in relation to any other Charged Assets:</w:t>
            </w:r>
          </w:p>
        </w:tc>
      </w:tr>
      <w:tr>
        <w:trPr>
          <w:trHeight w:val="432"/>
        </w:trPr>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w:t>
            </w:r>
          </w:p>
        </w:tc>
        <w:tc>
          <w:tcPr>
            <w:tcW w:w="6380" w:type="dxa"/>
            <w:vAlign w:val="bottom"/>
          </w:tcPr>
          <w:p>
            <w:pPr>
              <w:ind w:left="100"/>
              <w:spacing w:after="0"/>
              <w:rPr>
                <w:sz w:val="20"/>
                <w:szCs w:val="20"/>
                <w:color w:val="auto"/>
              </w:rPr>
            </w:pPr>
            <w:r>
              <w:rPr>
                <w:rFonts w:ascii="Arial" w:cs="Arial" w:eastAsia="Arial" w:hAnsi="Arial"/>
                <w:sz w:val="18"/>
                <w:szCs w:val="18"/>
                <w:color w:val="auto"/>
              </w:rPr>
              <w:t>the proceeds of sale, transfer or other disposition of any part of that asset;</w:t>
            </w:r>
          </w:p>
        </w:tc>
      </w:tr>
      <w:tr>
        <w:trPr>
          <w:trHeight w:val="418"/>
        </w:trPr>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w:t>
            </w:r>
          </w:p>
        </w:tc>
        <w:tc>
          <w:tcPr>
            <w:tcW w:w="6380" w:type="dxa"/>
            <w:vAlign w:val="bottom"/>
          </w:tcPr>
          <w:p>
            <w:pPr>
              <w:ind w:left="100"/>
              <w:spacing w:after="0"/>
              <w:rPr>
                <w:sz w:val="20"/>
                <w:szCs w:val="20"/>
                <w:color w:val="auto"/>
              </w:rPr>
            </w:pPr>
            <w:r>
              <w:rPr>
                <w:rFonts w:ascii="Arial" w:cs="Arial" w:eastAsia="Arial" w:hAnsi="Arial"/>
                <w:sz w:val="18"/>
                <w:szCs w:val="18"/>
                <w:color w:val="auto"/>
                <w:w w:val="94"/>
              </w:rPr>
              <w:t>all rights under any licence, agreement for sale or agreement for lease in respect of</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that asset;</w:t>
            </w:r>
          </w:p>
        </w:tc>
      </w:tr>
      <w:tr>
        <w:trPr>
          <w:trHeight w:val="418"/>
        </w:trPr>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(iii)</w:t>
            </w:r>
          </w:p>
        </w:tc>
        <w:tc>
          <w:tcPr>
            <w:tcW w:w="6380" w:type="dxa"/>
            <w:vAlign w:val="bottom"/>
          </w:tcPr>
          <w:p>
            <w:pPr>
              <w:ind w:left="100"/>
              <w:spacing w:after="0"/>
              <w:rPr>
                <w:sz w:val="20"/>
                <w:szCs w:val="20"/>
                <w:color w:val="auto"/>
              </w:rPr>
            </w:pPr>
            <w:r>
              <w:rPr>
                <w:rFonts w:ascii="Arial" w:cs="Arial" w:eastAsia="Arial" w:hAnsi="Arial"/>
                <w:sz w:val="18"/>
                <w:szCs w:val="18"/>
                <w:color w:val="auto"/>
                <w:w w:val="92"/>
              </w:rPr>
              <w:t>all rights, process, benefits, claims, causes of action, contracts, warranties, remedies,</w:t>
            </w:r>
          </w:p>
        </w:tc>
      </w:tr>
      <w:tr>
        <w:trPr>
          <w:trHeight w:val="216"/>
        </w:trPr>
        <w:tc>
          <w:tcPr>
            <w:tcW w:w="3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w w:val="96"/>
              </w:rPr>
              <w:t>security, guarantee, indemnities or covenants for title in respect of or derived from</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that asset; and/or</w:t>
            </w:r>
          </w:p>
        </w:tc>
      </w:tr>
      <w:tr>
        <w:trPr>
          <w:trHeight w:val="459"/>
        </w:trPr>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(iv)</w:t>
            </w:r>
          </w:p>
        </w:tc>
        <w:tc>
          <w:tcPr>
            <w:tcW w:w="6380" w:type="dxa"/>
            <w:vAlign w:val="bottom"/>
          </w:tcPr>
          <w:p>
            <w:pPr>
              <w:ind w:left="100"/>
              <w:spacing w:after="0"/>
              <w:rPr>
                <w:sz w:val="20"/>
                <w:szCs w:val="20"/>
                <w:color w:val="auto"/>
              </w:rPr>
            </w:pPr>
            <w:r>
              <w:rPr>
                <w:rFonts w:ascii="Arial" w:cs="Arial" w:eastAsia="Arial" w:hAnsi="Arial"/>
                <w:sz w:val="18"/>
                <w:szCs w:val="18"/>
                <w:color w:val="auto"/>
              </w:rPr>
              <w:t>any income, moneys and proceeds paid or payable in respect of that asset;</w:t>
            </w:r>
          </w:p>
        </w:tc>
      </w:tr>
      <w:tr>
        <w:trPr>
          <w:trHeight w:val="648"/>
        </w:trPr>
        <w:tc>
          <w:tcPr>
            <w:tcW w:w="3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932" w:right="239" w:bottom="1440" w:gutter="0" w:footer="0" w:header="0"/>
        </w:sectPr>
      </w:pPr>
    </w:p>
    <w:bookmarkStart w:id="830" w:name="page831"/>
    <w:bookmarkEnd w:id="8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740"/>
              <w:spacing w:after="0"/>
              <w:rPr>
                <w:sz w:val="20"/>
                <w:szCs w:val="20"/>
                <w:color w:val="auto"/>
              </w:rPr>
            </w:pPr>
            <w:r>
              <w:rPr>
                <w:rFonts w:ascii="Arial" w:cs="Arial" w:eastAsia="Arial" w:hAnsi="Arial"/>
                <w:sz w:val="18"/>
                <w:szCs w:val="18"/>
                <w:b w:val="1"/>
                <w:bCs w:val="1"/>
                <w:color w:val="auto"/>
              </w:rPr>
              <w:t>"Relevant Charged Assets"</w:t>
            </w:r>
          </w:p>
        </w:tc>
        <w:tc>
          <w:tcPr>
            <w:tcW w:w="7980" w:type="dxa"/>
            <w:vAlign w:val="bottom"/>
          </w:tcPr>
          <w:p>
            <w:pPr>
              <w:ind w:left="560"/>
              <w:spacing w:after="0"/>
              <w:rPr>
                <w:sz w:val="20"/>
                <w:szCs w:val="20"/>
                <w:color w:val="auto"/>
              </w:rPr>
            </w:pPr>
            <w:r>
              <w:rPr>
                <w:rFonts w:ascii="Arial" w:cs="Arial" w:eastAsia="Arial" w:hAnsi="Arial"/>
                <w:sz w:val="18"/>
                <w:szCs w:val="18"/>
                <w:color w:val="auto"/>
                <w:w w:val="93"/>
              </w:rPr>
              <w:t>means such part or parts of the Charged Assets in respect of which a Receiver has been appointed;</w:t>
            </w:r>
          </w:p>
        </w:tc>
        <w:tc>
          <w:tcPr>
            <w:tcW w:w="0" w:type="dxa"/>
            <w:vAlign w:val="bottom"/>
          </w:tcPr>
          <w:p>
            <w:pPr>
              <w:spacing w:after="0"/>
              <w:rPr>
                <w:sz w:val="1"/>
                <w:szCs w:val="1"/>
                <w:color w:val="auto"/>
              </w:rPr>
            </w:pPr>
          </w:p>
        </w:tc>
      </w:tr>
      <w:tr>
        <w:trPr>
          <w:trHeight w:val="418"/>
        </w:trPr>
        <w:tc>
          <w:tcPr>
            <w:tcW w:w="3440" w:type="dxa"/>
            <w:vAlign w:val="bottom"/>
          </w:tcPr>
          <w:p>
            <w:pPr>
              <w:spacing w:after="0"/>
              <w:rPr>
                <w:sz w:val="24"/>
                <w:szCs w:val="24"/>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1"/>
              </w:rPr>
              <w:t>means, as to any Person, any law, treaty, rule or regulation or determination of an arbitrator or a court</w:t>
            </w:r>
          </w:p>
        </w:tc>
        <w:tc>
          <w:tcPr>
            <w:tcW w:w="0" w:type="dxa"/>
            <w:vAlign w:val="bottom"/>
          </w:tcPr>
          <w:p>
            <w:pPr>
              <w:spacing w:after="0"/>
              <w:rPr>
                <w:sz w:val="1"/>
                <w:szCs w:val="1"/>
                <w:color w:val="auto"/>
              </w:rPr>
            </w:pPr>
          </w:p>
        </w:tc>
      </w:tr>
      <w:tr>
        <w:trPr>
          <w:trHeight w:val="216"/>
        </w:trPr>
        <w:tc>
          <w:tcPr>
            <w:tcW w:w="344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"Requirement of Law"</w:t>
            </w:r>
          </w:p>
        </w:tc>
        <w:tc>
          <w:tcPr>
            <w:tcW w:w="7980" w:type="dxa"/>
            <w:vAlign w:val="bottom"/>
          </w:tcPr>
          <w:p>
            <w:pPr>
              <w:ind w:left="560"/>
              <w:spacing w:after="0"/>
              <w:rPr>
                <w:sz w:val="20"/>
                <w:szCs w:val="20"/>
                <w:color w:val="auto"/>
              </w:rPr>
            </w:pPr>
            <w:r>
              <w:rPr>
                <w:rFonts w:ascii="Arial" w:cs="Arial" w:eastAsia="Arial" w:hAnsi="Arial"/>
                <w:sz w:val="18"/>
                <w:szCs w:val="18"/>
                <w:color w:val="auto"/>
                <w:w w:val="94"/>
              </w:rPr>
              <w:t>or other Governmental Authority, in each case applicable to or binding upon such Person or any of</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its property or to which such Person or any of its property is subject;</w:t>
            </w:r>
          </w:p>
        </w:tc>
        <w:tc>
          <w:tcPr>
            <w:tcW w:w="0" w:type="dxa"/>
            <w:vAlign w:val="bottom"/>
          </w:tcPr>
          <w:p>
            <w:pPr>
              <w:spacing w:after="0"/>
              <w:rPr>
                <w:sz w:val="1"/>
                <w:szCs w:val="1"/>
                <w:color w:val="auto"/>
              </w:rPr>
            </w:pPr>
          </w:p>
        </w:tc>
      </w:tr>
      <w:tr>
        <w:trPr>
          <w:trHeight w:val="418"/>
        </w:trPr>
        <w:tc>
          <w:tcPr>
            <w:tcW w:w="3440" w:type="dxa"/>
            <w:vAlign w:val="bottom"/>
          </w:tcPr>
          <w:p>
            <w:pPr>
              <w:spacing w:after="0"/>
              <w:rPr>
                <w:sz w:val="24"/>
                <w:szCs w:val="24"/>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2"/>
              </w:rPr>
              <w:t>has the meaning given to it in the Loan Agreement but, for the avoidance of doubt, shall also include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2"/>
              </w:rPr>
              <w:t>all legal and other costs, charges and expenses and any other Loss which the Collateral Agent , any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2"/>
              </w:rPr>
              <w:t>other Secured Party, any Receiver or any Delegate may incur in enforcing or obtaining, or attempting</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4"/>
              </w:rPr>
              <w:t>to enforce or obtain, payment of any such moneys and liabilities to the extent such costs, charges,</w:t>
            </w:r>
          </w:p>
        </w:tc>
        <w:tc>
          <w:tcPr>
            <w:tcW w:w="0" w:type="dxa"/>
            <w:vAlign w:val="bottom"/>
          </w:tcPr>
          <w:p>
            <w:pPr>
              <w:spacing w:after="0"/>
              <w:rPr>
                <w:sz w:val="1"/>
                <w:szCs w:val="1"/>
                <w:color w:val="auto"/>
              </w:rPr>
            </w:pPr>
          </w:p>
        </w:tc>
      </w:tr>
      <w:tr>
        <w:trPr>
          <w:trHeight w:val="216"/>
        </w:trPr>
        <w:tc>
          <w:tcPr>
            <w:tcW w:w="344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"Secured Obligations"</w:t>
            </w:r>
          </w:p>
        </w:tc>
        <w:tc>
          <w:tcPr>
            <w:tcW w:w="7980" w:type="dxa"/>
            <w:vAlign w:val="bottom"/>
          </w:tcPr>
          <w:p>
            <w:pPr>
              <w:ind w:left="560"/>
              <w:spacing w:after="0"/>
              <w:rPr>
                <w:sz w:val="20"/>
                <w:szCs w:val="20"/>
                <w:color w:val="auto"/>
              </w:rPr>
            </w:pPr>
            <w:r>
              <w:rPr>
                <w:rFonts w:ascii="Arial" w:cs="Arial" w:eastAsia="Arial" w:hAnsi="Arial"/>
                <w:sz w:val="18"/>
                <w:szCs w:val="18"/>
                <w:color w:val="auto"/>
                <w:w w:val="92"/>
              </w:rPr>
              <w:t>expenses and other Losses are of the type reimbursable by the Borrowers pursuant to Section 11.03</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7980" w:type="dxa"/>
            <w:vAlign w:val="bottom"/>
          </w:tcPr>
          <w:p>
            <w:pPr>
              <w:ind w:left="560"/>
              <w:spacing w:after="0"/>
              <w:rPr>
                <w:sz w:val="20"/>
                <w:szCs w:val="20"/>
                <w:color w:val="auto"/>
              </w:rPr>
            </w:pPr>
            <w:r>
              <w:rPr>
                <w:rFonts w:ascii="Arial" w:cs="Arial" w:eastAsia="Arial" w:hAnsi="Arial"/>
                <w:sz w:val="18"/>
                <w:szCs w:val="18"/>
                <w:i w:val="1"/>
                <w:iCs w:val="1"/>
                <w:color w:val="auto"/>
              </w:rPr>
              <w:t xml:space="preserve">(Expenses, Etc.) </w:t>
            </w:r>
            <w:r>
              <w:rPr>
                <w:rFonts w:ascii="Arial" w:cs="Arial" w:eastAsia="Arial" w:hAnsi="Arial"/>
                <w:sz w:val="18"/>
                <w:szCs w:val="18"/>
                <w:color w:val="auto"/>
              </w:rPr>
              <w:t>of the Loan Agreement;</w:t>
            </w:r>
          </w:p>
        </w:tc>
        <w:tc>
          <w:tcPr>
            <w:tcW w:w="0" w:type="dxa"/>
            <w:vAlign w:val="bottom"/>
          </w:tcPr>
          <w:p>
            <w:pPr>
              <w:spacing w:after="0"/>
              <w:rPr>
                <w:sz w:val="1"/>
                <w:szCs w:val="1"/>
                <w:color w:val="auto"/>
              </w:rPr>
            </w:pPr>
          </w:p>
        </w:tc>
      </w:tr>
      <w:tr>
        <w:trPr>
          <w:trHeight w:val="432"/>
        </w:trPr>
        <w:tc>
          <w:tcPr>
            <w:tcW w:w="3440" w:type="dxa"/>
            <w:vAlign w:val="bottom"/>
          </w:tcPr>
          <w:p>
            <w:pPr>
              <w:ind w:left="740"/>
              <w:spacing w:after="0"/>
              <w:rPr>
                <w:sz w:val="20"/>
                <w:szCs w:val="20"/>
                <w:color w:val="auto"/>
              </w:rPr>
            </w:pPr>
            <w:r>
              <w:rPr>
                <w:rFonts w:ascii="Arial" w:cs="Arial" w:eastAsia="Arial" w:hAnsi="Arial"/>
                <w:sz w:val="18"/>
                <w:szCs w:val="18"/>
                <w:b w:val="1"/>
                <w:bCs w:val="1"/>
                <w:color w:val="auto"/>
              </w:rPr>
              <w:t>"Secured Parties"</w:t>
            </w:r>
          </w:p>
        </w:tc>
        <w:tc>
          <w:tcPr>
            <w:tcW w:w="7980" w:type="dxa"/>
            <w:vAlign w:val="bottom"/>
          </w:tcPr>
          <w:p>
            <w:pPr>
              <w:ind w:left="560"/>
              <w:spacing w:after="0"/>
              <w:rPr>
                <w:sz w:val="20"/>
                <w:szCs w:val="20"/>
                <w:color w:val="auto"/>
              </w:rPr>
            </w:pPr>
            <w:r>
              <w:rPr>
                <w:rFonts w:ascii="Arial" w:cs="Arial" w:eastAsia="Arial" w:hAnsi="Arial"/>
                <w:sz w:val="18"/>
                <w:szCs w:val="18"/>
                <w:color w:val="auto"/>
              </w:rPr>
              <w:t>has the meaning given to it in the Loan Agreement;</w:t>
            </w:r>
          </w:p>
        </w:tc>
        <w:tc>
          <w:tcPr>
            <w:tcW w:w="0" w:type="dxa"/>
            <w:vAlign w:val="bottom"/>
          </w:tcPr>
          <w:p>
            <w:pPr>
              <w:spacing w:after="0"/>
              <w:rPr>
                <w:sz w:val="1"/>
                <w:szCs w:val="1"/>
                <w:color w:val="auto"/>
              </w:rPr>
            </w:pPr>
          </w:p>
        </w:tc>
      </w:tr>
      <w:tr>
        <w:trPr>
          <w:trHeight w:val="418"/>
        </w:trPr>
        <w:tc>
          <w:tcPr>
            <w:tcW w:w="3440" w:type="dxa"/>
            <w:vAlign w:val="bottom"/>
          </w:tcPr>
          <w:p>
            <w:pPr>
              <w:spacing w:after="0"/>
              <w:rPr>
                <w:sz w:val="24"/>
                <w:szCs w:val="24"/>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6"/>
              </w:rPr>
              <w:t>means any mortgage or sub-mortgage, standard security, fixed or floating charge or sub-charge,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6"/>
              </w:rPr>
              <w:t>pledge, lien, assignment or assignation by way of security or subject to a proviso for redemption,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7"/>
              </w:rPr>
              <w:t>encumbrance, hypothecation, retention of title, or other security interest whatsoever howsoever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5"/>
              </w:rPr>
              <w:t>created or arising and its equivalent or analogue whatever called in any other jurisdiction, and any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4"/>
              </w:rPr>
              <w:t>agreement or arrangement having substantially the same economic or financial effect as any of the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9"/>
              </w:rPr>
              <w:t>foregoing (including any "hold back" or "flawed asset" arrangement) and any secured interest,</w:t>
            </w:r>
          </w:p>
        </w:tc>
        <w:tc>
          <w:tcPr>
            <w:tcW w:w="0" w:type="dxa"/>
            <w:vAlign w:val="bottom"/>
          </w:tcPr>
          <w:p>
            <w:pPr>
              <w:spacing w:after="0"/>
              <w:rPr>
                <w:sz w:val="1"/>
                <w:szCs w:val="1"/>
                <w:color w:val="auto"/>
              </w:rPr>
            </w:pPr>
          </w:p>
        </w:tc>
      </w:tr>
      <w:tr>
        <w:trPr>
          <w:trHeight w:val="216"/>
        </w:trPr>
        <w:tc>
          <w:tcPr>
            <w:tcW w:w="344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"Security Interest"</w:t>
            </w:r>
          </w:p>
        </w:tc>
        <w:tc>
          <w:tcPr>
            <w:tcW w:w="7980" w:type="dxa"/>
            <w:vAlign w:val="bottom"/>
          </w:tcPr>
          <w:p>
            <w:pPr>
              <w:ind w:left="560"/>
              <w:spacing w:after="0"/>
              <w:rPr>
                <w:sz w:val="20"/>
                <w:szCs w:val="20"/>
                <w:color w:val="auto"/>
              </w:rPr>
            </w:pPr>
            <w:r>
              <w:rPr>
                <w:rFonts w:ascii="Arial" w:cs="Arial" w:eastAsia="Arial" w:hAnsi="Arial"/>
                <w:sz w:val="18"/>
                <w:szCs w:val="18"/>
                <w:color w:val="auto"/>
                <w:w w:val="96"/>
              </w:rPr>
              <w:t>agreement or arrangement analogous to any of the foregoing arising under the laws of any other</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jurisdiction;</w:t>
            </w:r>
          </w:p>
        </w:tc>
        <w:tc>
          <w:tcPr>
            <w:tcW w:w="0" w:type="dxa"/>
            <w:vAlign w:val="bottom"/>
          </w:tcPr>
          <w:p>
            <w:pPr>
              <w:spacing w:after="0"/>
              <w:rPr>
                <w:sz w:val="1"/>
                <w:szCs w:val="1"/>
                <w:color w:val="auto"/>
              </w:rPr>
            </w:pPr>
          </w:p>
        </w:tc>
      </w:tr>
      <w:tr>
        <w:trPr>
          <w:trHeight w:val="418"/>
        </w:trPr>
        <w:tc>
          <w:tcPr>
            <w:tcW w:w="344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"Taxes"</w:t>
            </w:r>
          </w:p>
        </w:tc>
        <w:tc>
          <w:tcPr>
            <w:tcW w:w="7980" w:type="dxa"/>
            <w:vAlign w:val="bottom"/>
          </w:tcPr>
          <w:p>
            <w:pPr>
              <w:ind w:left="560"/>
              <w:spacing w:after="0"/>
              <w:rPr>
                <w:sz w:val="20"/>
                <w:szCs w:val="20"/>
                <w:color w:val="auto"/>
              </w:rPr>
            </w:pPr>
            <w:r>
              <w:rPr>
                <w:rFonts w:ascii="Arial" w:cs="Arial" w:eastAsia="Arial" w:hAnsi="Arial"/>
                <w:sz w:val="18"/>
                <w:szCs w:val="18"/>
                <w:color w:val="auto"/>
                <w:w w:val="93"/>
              </w:rPr>
              <w:t xml:space="preserve">has the meaning given to it in the Loan Agreement and </w:t>
            </w:r>
            <w:r>
              <w:rPr>
                <w:rFonts w:ascii="Arial" w:cs="Arial" w:eastAsia="Arial" w:hAnsi="Arial"/>
                <w:sz w:val="18"/>
                <w:szCs w:val="18"/>
                <w:b w:val="1"/>
                <w:bCs w:val="1"/>
                <w:color w:val="auto"/>
                <w:w w:val="93"/>
              </w:rPr>
              <w:t>“Tax”</w:t>
            </w:r>
            <w:r>
              <w:rPr>
                <w:rFonts w:ascii="Arial" w:cs="Arial" w:eastAsia="Arial" w:hAnsi="Arial"/>
                <w:sz w:val="18"/>
                <w:szCs w:val="18"/>
                <w:color w:val="auto"/>
                <w:w w:val="93"/>
              </w:rPr>
              <w:t xml:space="preserve"> and </w:t>
            </w:r>
            <w:r>
              <w:rPr>
                <w:rFonts w:ascii="Arial" w:cs="Arial" w:eastAsia="Arial" w:hAnsi="Arial"/>
                <w:sz w:val="18"/>
                <w:szCs w:val="18"/>
                <w:b w:val="1"/>
                <w:bCs w:val="1"/>
                <w:color w:val="auto"/>
                <w:w w:val="93"/>
              </w:rPr>
              <w:t>“Taxation”</w:t>
            </w:r>
            <w:r>
              <w:rPr>
                <w:rFonts w:ascii="Arial" w:cs="Arial" w:eastAsia="Arial" w:hAnsi="Arial"/>
                <w:sz w:val="18"/>
                <w:szCs w:val="18"/>
                <w:color w:val="auto"/>
                <w:w w:val="93"/>
              </w:rPr>
              <w:t xml:space="preserve"> shall be constructed</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accordingly;</w:t>
            </w:r>
          </w:p>
        </w:tc>
        <w:tc>
          <w:tcPr>
            <w:tcW w:w="0" w:type="dxa"/>
            <w:vAlign w:val="bottom"/>
          </w:tcPr>
          <w:p>
            <w:pPr>
              <w:spacing w:after="0"/>
              <w:rPr>
                <w:sz w:val="1"/>
                <w:szCs w:val="1"/>
                <w:color w:val="auto"/>
              </w:rPr>
            </w:pPr>
          </w:p>
        </w:tc>
      </w:tr>
      <w:tr>
        <w:trPr>
          <w:trHeight w:val="648"/>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831" w:name="page832"/>
    <w:bookmarkEnd w:id="831"/>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Deed, unless otherwise specified:</w:t>
      </w:r>
    </w:p>
    <w:p>
      <w:pPr>
        <w:spacing w:after="0" w:line="248" w:lineRule="exact"/>
        <w:rPr>
          <w:sz w:val="20"/>
          <w:szCs w:val="20"/>
          <w:color w:val="auto"/>
        </w:rPr>
      </w:pPr>
    </w:p>
    <w:p>
      <w:pPr>
        <w:jc w:val="both"/>
        <w:ind w:left="1300" w:hanging="643"/>
        <w:spacing w:after="0" w:line="258"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references to the neuter or to any gender include both genders and the neuter, references to a "</w:t>
      </w:r>
      <w:r>
        <w:rPr>
          <w:rFonts w:ascii="Arial" w:cs="Arial" w:eastAsia="Arial" w:hAnsi="Arial"/>
          <w:sz w:val="18"/>
          <w:szCs w:val="18"/>
          <w:b w:val="1"/>
          <w:bCs w:val="1"/>
          <w:color w:val="auto"/>
        </w:rPr>
        <w:t>company</w:t>
      </w:r>
      <w:r>
        <w:rPr>
          <w:rFonts w:ascii="Arial" w:cs="Arial" w:eastAsia="Arial" w:hAnsi="Arial"/>
          <w:sz w:val="18"/>
          <w:szCs w:val="18"/>
          <w:color w:val="auto"/>
        </w:rPr>
        <w:t>" shall be construed so as to include any company, corporation or other body corporate, wherever and however incorporated or established, and references to a "</w:t>
      </w:r>
      <w:r>
        <w:rPr>
          <w:rFonts w:ascii="Arial" w:cs="Arial" w:eastAsia="Arial" w:hAnsi="Arial"/>
          <w:sz w:val="18"/>
          <w:szCs w:val="18"/>
          <w:b w:val="1"/>
          <w:bCs w:val="1"/>
          <w:color w:val="auto"/>
        </w:rPr>
        <w:t>person</w:t>
      </w:r>
      <w:r>
        <w:rPr>
          <w:rFonts w:ascii="Arial" w:cs="Arial" w:eastAsia="Arial" w:hAnsi="Arial"/>
          <w:sz w:val="18"/>
          <w:szCs w:val="18"/>
          <w:color w:val="auto"/>
        </w:rPr>
        <w:t>" include any individual, firm, partnership, body corporate, unincorporated association, government, state or agency of a state, local or municipal authority or government body, trust, foundation, joint venture or association (in each case whether or not having separate legal personality);</w:t>
      </w:r>
    </w:p>
    <w:p>
      <w:pPr>
        <w:spacing w:after="0" w:line="187" w:lineRule="exact"/>
        <w:rPr>
          <w:rFonts w:ascii="Arial" w:cs="Arial" w:eastAsia="Arial" w:hAnsi="Arial"/>
          <w:sz w:val="18"/>
          <w:szCs w:val="18"/>
          <w:color w:val="auto"/>
        </w:rPr>
      </w:pPr>
    </w:p>
    <w:p>
      <w:pPr>
        <w:jc w:val="both"/>
        <w:ind w:left="1300" w:hanging="643"/>
        <w:spacing w:after="0" w:line="264"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references to parties, Clauses, sub-Clauses, paragraphs, sub-paragraphs and Schedules, Exhibits and Annexures are to Clauses, sub-Clauses and paragraphs and sub-paragraphs of, and the parties and Schedules to, this Deed, and references to this Deed include a reference to each of its Schedules, Exhibits and Annexures;</w:t>
      </w:r>
    </w:p>
    <w:p>
      <w:pPr>
        <w:spacing w:after="0" w:line="181" w:lineRule="exact"/>
        <w:rPr>
          <w:rFonts w:ascii="Arial" w:cs="Arial" w:eastAsia="Arial" w:hAnsi="Arial"/>
          <w:sz w:val="18"/>
          <w:szCs w:val="18"/>
          <w:color w:val="auto"/>
        </w:rPr>
      </w:pPr>
    </w:p>
    <w:p>
      <w:pPr>
        <w:jc w:val="both"/>
        <w:ind w:left="1300" w:right="20" w:hanging="643"/>
        <w:spacing w:after="0" w:line="264"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a reference to this Deed, an agreement or other document is a reference to this Deed, that agreement or document as supplemented, amended, novated or replaced from time to time in accordance with its terms, and to any agreement, deed or document executed pursuant thereto;</w:t>
      </w:r>
    </w:p>
    <w:p>
      <w:pPr>
        <w:spacing w:after="0" w:line="177" w:lineRule="exact"/>
        <w:rPr>
          <w:rFonts w:ascii="Arial" w:cs="Arial" w:eastAsia="Arial" w:hAnsi="Arial"/>
          <w:sz w:val="18"/>
          <w:szCs w:val="18"/>
          <w:color w:val="auto"/>
        </w:rPr>
      </w:pPr>
    </w:p>
    <w:p>
      <w:pPr>
        <w:jc w:val="both"/>
        <w:ind w:left="1300" w:hanging="643"/>
        <w:spacing w:after="0" w:line="261"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 general words introduced by the word "</w:t>
      </w:r>
      <w:r>
        <w:rPr>
          <w:rFonts w:ascii="Arial" w:cs="Arial" w:eastAsia="Arial" w:hAnsi="Arial"/>
          <w:sz w:val="18"/>
          <w:szCs w:val="18"/>
          <w:b w:val="1"/>
          <w:bCs w:val="1"/>
          <w:color w:val="auto"/>
        </w:rPr>
        <w:t>other</w:t>
      </w:r>
      <w:r>
        <w:rPr>
          <w:rFonts w:ascii="Arial" w:cs="Arial" w:eastAsia="Arial" w:hAnsi="Arial"/>
          <w:sz w:val="18"/>
          <w:szCs w:val="18"/>
          <w:color w:val="auto"/>
        </w:rPr>
        <w:t>" are not to be given a restrictive meaning by reason of the fact that they are preceded by words indicating a particular class of acts, matters or things, and general words are not to be given a restrictive meaning by reason of the fact that they are followed by particular examples intended to be embraced by the general words;</w:t>
      </w:r>
    </w:p>
    <w:p>
      <w:pPr>
        <w:spacing w:after="0" w:line="180" w:lineRule="exact"/>
        <w:rPr>
          <w:rFonts w:ascii="Arial" w:cs="Arial" w:eastAsia="Arial" w:hAnsi="Arial"/>
          <w:sz w:val="18"/>
          <w:szCs w:val="18"/>
          <w:color w:val="auto"/>
        </w:rPr>
      </w:pPr>
    </w:p>
    <w:p>
      <w:pPr>
        <w:ind w:left="1300" w:hanging="643"/>
        <w:spacing w:after="0"/>
        <w:tabs>
          <w:tab w:leader="none" w:pos="1300" w:val="left"/>
        </w:tabs>
        <w:numPr>
          <w:ilvl w:val="0"/>
          <w:numId w:val="879"/>
        </w:numPr>
        <w:rPr>
          <w:rFonts w:ascii="Arial" w:cs="Arial" w:eastAsia="Arial" w:hAnsi="Arial"/>
          <w:sz w:val="17"/>
          <w:szCs w:val="17"/>
          <w:color w:val="auto"/>
        </w:rPr>
      </w:pPr>
      <w:r>
        <w:rPr>
          <w:rFonts w:ascii="Arial" w:cs="Arial" w:eastAsia="Arial" w:hAnsi="Arial"/>
          <w:sz w:val="17"/>
          <w:szCs w:val="17"/>
          <w:color w:val="auto"/>
        </w:rPr>
        <w:t>a reference to a "</w:t>
      </w:r>
      <w:r>
        <w:rPr>
          <w:rFonts w:ascii="Arial" w:cs="Arial" w:eastAsia="Arial" w:hAnsi="Arial"/>
          <w:sz w:val="17"/>
          <w:szCs w:val="17"/>
          <w:b w:val="1"/>
          <w:bCs w:val="1"/>
          <w:color w:val="auto"/>
        </w:rPr>
        <w:t>day</w:t>
      </w:r>
      <w:r>
        <w:rPr>
          <w:rFonts w:ascii="Arial" w:cs="Arial" w:eastAsia="Arial" w:hAnsi="Arial"/>
          <w:sz w:val="17"/>
          <w:szCs w:val="17"/>
          <w:color w:val="auto"/>
        </w:rPr>
        <w:t>" means a period of 24 hours running for midnight to midnight; a reference to a time of day is to London time;</w:t>
      </w:r>
    </w:p>
    <w:p>
      <w:pPr>
        <w:spacing w:after="0" w:line="240" w:lineRule="exact"/>
        <w:rPr>
          <w:rFonts w:ascii="Arial" w:cs="Arial" w:eastAsia="Arial" w:hAnsi="Arial"/>
          <w:sz w:val="17"/>
          <w:szCs w:val="17"/>
          <w:color w:val="auto"/>
        </w:rPr>
      </w:pPr>
    </w:p>
    <w:p>
      <w:pPr>
        <w:ind w:left="1300" w:hanging="643"/>
        <w:spacing w:after="0"/>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headings are for convenience only and shall not affect the interpretation of this Deed;</w:t>
      </w:r>
    </w:p>
    <w:p>
      <w:pPr>
        <w:spacing w:after="0" w:line="225" w:lineRule="exact"/>
        <w:rPr>
          <w:rFonts w:ascii="Arial" w:cs="Arial" w:eastAsia="Arial" w:hAnsi="Arial"/>
          <w:sz w:val="18"/>
          <w:szCs w:val="18"/>
          <w:color w:val="auto"/>
        </w:rPr>
      </w:pPr>
    </w:p>
    <w:p>
      <w:pPr>
        <w:jc w:val="both"/>
        <w:ind w:left="1300" w:hanging="643"/>
        <w:spacing w:after="0" w:line="264"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a reference to the provision of any statute, statutory provision, order, instrument, rule or regulation is to that provision as amended or re-enacted from time to time, any provision of which it is a re-enactment or consolidation and any order, instrument, rule or regulation at any time made or issued under it;</w:t>
      </w:r>
    </w:p>
    <w:p>
      <w:pPr>
        <w:spacing w:after="0" w:line="177" w:lineRule="exact"/>
        <w:rPr>
          <w:rFonts w:ascii="Arial" w:cs="Arial" w:eastAsia="Arial" w:hAnsi="Arial"/>
          <w:sz w:val="18"/>
          <w:szCs w:val="18"/>
          <w:color w:val="auto"/>
        </w:rPr>
      </w:pPr>
    </w:p>
    <w:p>
      <w:pPr>
        <w:ind w:left="1300" w:right="20" w:hanging="643"/>
        <w:spacing w:after="0" w:line="282"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vary</w:t>
      </w:r>
      <w:r>
        <w:rPr>
          <w:rFonts w:ascii="Arial" w:cs="Arial" w:eastAsia="Arial" w:hAnsi="Arial"/>
          <w:sz w:val="18"/>
          <w:szCs w:val="18"/>
          <w:color w:val="auto"/>
        </w:rPr>
        <w:t>" shall be construed to include amend, modify and supplement, and "</w:t>
      </w:r>
      <w:r>
        <w:rPr>
          <w:rFonts w:ascii="Arial" w:cs="Arial" w:eastAsia="Arial" w:hAnsi="Arial"/>
          <w:sz w:val="18"/>
          <w:szCs w:val="18"/>
          <w:b w:val="1"/>
          <w:bCs w:val="1"/>
          <w:color w:val="auto"/>
        </w:rPr>
        <w:t>variation</w:t>
      </w:r>
      <w:r>
        <w:rPr>
          <w:rFonts w:ascii="Arial" w:cs="Arial" w:eastAsia="Arial" w:hAnsi="Arial"/>
          <w:sz w:val="18"/>
          <w:szCs w:val="18"/>
          <w:color w:val="auto"/>
        </w:rPr>
        <w:t>" and other cognate terms shall be construed accordingly;</w:t>
      </w:r>
    </w:p>
    <w:p>
      <w:pPr>
        <w:spacing w:after="0" w:line="165" w:lineRule="exact"/>
        <w:rPr>
          <w:rFonts w:ascii="Arial" w:cs="Arial" w:eastAsia="Arial" w:hAnsi="Arial"/>
          <w:sz w:val="18"/>
          <w:szCs w:val="18"/>
          <w:color w:val="auto"/>
        </w:rPr>
      </w:pPr>
    </w:p>
    <w:p>
      <w:pPr>
        <w:jc w:val="both"/>
        <w:ind w:left="1300" w:hanging="643"/>
        <w:spacing w:after="0" w:line="259" w:lineRule="auto"/>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a reference to a person shall include references to his permitted successors, transferees (including by novation) and assigns and any person deriving title under or through him, whether in security or otherwise; and any person into which such person may be merged or consolidated, or any company resulting from any merger, conversion or consolidation or any person succeeding to substantially all of the business of that person; and</w:t>
      </w:r>
    </w:p>
    <w:p>
      <w:pPr>
        <w:spacing w:after="0" w:line="182" w:lineRule="exact"/>
        <w:rPr>
          <w:rFonts w:ascii="Arial" w:cs="Arial" w:eastAsia="Arial" w:hAnsi="Arial"/>
          <w:sz w:val="18"/>
          <w:szCs w:val="18"/>
          <w:color w:val="auto"/>
        </w:rPr>
      </w:pPr>
    </w:p>
    <w:p>
      <w:pPr>
        <w:ind w:left="1300" w:hanging="643"/>
        <w:spacing w:after="0"/>
        <w:tabs>
          <w:tab w:leader="none" w:pos="13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is to the lawful currency for the time being of the United States of America;</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32" w:name="page833"/>
    <w:bookmarkEnd w:id="832"/>
    <w:p>
      <w:pPr>
        <w:ind w:left="1291" w:hanging="643"/>
        <w:spacing w:after="0" w:line="282" w:lineRule="auto"/>
        <w:tabs>
          <w:tab w:leader="none" w:pos="1291" w:val="left"/>
        </w:tabs>
        <w:numPr>
          <w:ilvl w:val="0"/>
          <w:numId w:val="880"/>
        </w:numPr>
        <w:rPr>
          <w:rFonts w:ascii="Arial" w:cs="Arial" w:eastAsia="Arial" w:hAnsi="Arial"/>
          <w:sz w:val="18"/>
          <w:szCs w:val="18"/>
          <w:color w:val="auto"/>
        </w:rPr>
      </w:pPr>
      <w:r>
        <w:rPr>
          <w:rFonts w:ascii="Arial" w:cs="Arial" w:eastAsia="Arial" w:hAnsi="Arial"/>
          <w:sz w:val="18"/>
          <w:szCs w:val="18"/>
          <w:color w:val="auto"/>
        </w:rPr>
        <w:t>a document expressed to be "</w:t>
      </w:r>
      <w:r>
        <w:rPr>
          <w:rFonts w:ascii="Arial" w:cs="Arial" w:eastAsia="Arial" w:hAnsi="Arial"/>
          <w:sz w:val="18"/>
          <w:szCs w:val="18"/>
          <w:b w:val="1"/>
          <w:bCs w:val="1"/>
          <w:color w:val="auto"/>
        </w:rPr>
        <w:t>in the agreed form</w:t>
      </w:r>
      <w:r>
        <w:rPr>
          <w:rFonts w:ascii="Arial" w:cs="Arial" w:eastAsia="Arial" w:hAnsi="Arial"/>
          <w:sz w:val="18"/>
          <w:szCs w:val="18"/>
          <w:color w:val="auto"/>
        </w:rPr>
        <w:t>" means a document in a form which has been agreed by the parties and a copy of which has been identified as such and initialled by or on behalf of each of the parties; and</w:t>
      </w:r>
    </w:p>
    <w:p>
      <w:pPr>
        <w:spacing w:after="0" w:line="161" w:lineRule="exact"/>
        <w:rPr>
          <w:rFonts w:ascii="Arial" w:cs="Arial" w:eastAsia="Arial" w:hAnsi="Arial"/>
          <w:sz w:val="18"/>
          <w:szCs w:val="18"/>
          <w:color w:val="auto"/>
        </w:rPr>
      </w:pPr>
    </w:p>
    <w:p>
      <w:pPr>
        <w:jc w:val="both"/>
        <w:ind w:left="1291" w:hanging="643"/>
        <w:spacing w:after="0" w:line="266" w:lineRule="auto"/>
        <w:tabs>
          <w:tab w:leader="none" w:pos="1291" w:val="left"/>
        </w:tabs>
        <w:numPr>
          <w:ilvl w:val="0"/>
          <w:numId w:val="880"/>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rights</w:t>
      </w:r>
      <w:r>
        <w:rPr>
          <w:rFonts w:ascii="Arial" w:cs="Arial" w:eastAsia="Arial" w:hAnsi="Arial"/>
          <w:sz w:val="18"/>
          <w:szCs w:val="18"/>
          <w:color w:val="auto"/>
        </w:rPr>
        <w:t>" includes rights, remedies, benefits, authorities, powers, privileges, discretions, claims, remedies, liberties, easements, quasi-easements and appurtenances (in each case, of any nature whatsoever whether under this Deed, by statute, at law or in equity) or otherwise howsoever.</w:t>
      </w:r>
    </w:p>
    <w:p>
      <w:pPr>
        <w:spacing w:after="0" w:line="180" w:lineRule="exact"/>
        <w:rPr>
          <w:sz w:val="20"/>
          <w:szCs w:val="20"/>
          <w:color w:val="auto"/>
        </w:rPr>
      </w:pPr>
    </w:p>
    <w:p>
      <w:pPr>
        <w:jc w:val="both"/>
        <w:ind w:left="651" w:hanging="647"/>
        <w:spacing w:after="0" w:line="259" w:lineRule="auto"/>
        <w:tabs>
          <w:tab w:leader="none" w:pos="631"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undertakings and other obligations of the Company, Collateral Agent or any other person under this Deed shall at all times be read and construed as subject to the provisions of the Intercreditor Agreement, Loan Agreement and the Guarantee which shall prevail in case of any conflict. Subject to this and to Clause 1.4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 if there is any conflict or inconsistency between the provisions of this Deed and any other Loan Document, the provisions of this Deed shall prevail.</w:t>
      </w:r>
    </w:p>
    <w:p>
      <w:pPr>
        <w:spacing w:after="0" w:line="187" w:lineRule="exact"/>
        <w:rPr>
          <w:sz w:val="20"/>
          <w:szCs w:val="20"/>
          <w:color w:val="auto"/>
        </w:rPr>
      </w:pPr>
    </w:p>
    <w:p>
      <w:pPr>
        <w:jc w:val="both"/>
        <w:ind w:left="651" w:right="20" w:hanging="647"/>
        <w:spacing w:after="0" w:line="277" w:lineRule="auto"/>
        <w:tabs>
          <w:tab w:leader="none" w:pos="631"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terms of this Deed shall not operate or be construed so as to prohibit or restrict any transaction or matter that is permitted by the Loan Agreement.</w:t>
      </w:r>
    </w:p>
    <w:p>
      <w:pPr>
        <w:spacing w:after="0" w:line="170" w:lineRule="exact"/>
        <w:rPr>
          <w:sz w:val="20"/>
          <w:szCs w:val="20"/>
          <w:color w:val="auto"/>
        </w:rPr>
      </w:pPr>
    </w:p>
    <w:p>
      <w:pPr>
        <w:jc w:val="both"/>
        <w:ind w:left="651" w:hanging="647"/>
        <w:spacing w:after="0" w:line="277" w:lineRule="auto"/>
        <w:tabs>
          <w:tab w:leader="none" w:pos="631"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For the purpose of section 2 of the Law of Property (Miscellaneous Provisions) Act 1989, this Deed incorporates all the terms of the Loan Agreement and the other Loan Documents.</w:t>
      </w:r>
    </w:p>
    <w:p>
      <w:pPr>
        <w:spacing w:after="0" w:line="166" w:lineRule="exact"/>
        <w:rPr>
          <w:sz w:val="20"/>
          <w:szCs w:val="20"/>
          <w:color w:val="auto"/>
        </w:rPr>
      </w:pPr>
    </w:p>
    <w:p>
      <w:pPr>
        <w:ind w:left="651" w:hanging="651"/>
        <w:spacing w:after="0"/>
        <w:tabs>
          <w:tab w:leader="none" w:pos="651" w:val="left"/>
        </w:tabs>
        <w:numPr>
          <w:ilvl w:val="0"/>
          <w:numId w:val="881"/>
        </w:numPr>
        <w:rPr>
          <w:rFonts w:ascii="Arial" w:cs="Arial" w:eastAsia="Arial" w:hAnsi="Arial"/>
          <w:sz w:val="18"/>
          <w:szCs w:val="18"/>
          <w:b w:val="1"/>
          <w:bCs w:val="1"/>
          <w:color w:val="auto"/>
        </w:rPr>
      </w:pPr>
      <w:r>
        <w:rPr>
          <w:rFonts w:ascii="Arial" w:cs="Arial" w:eastAsia="Arial" w:hAnsi="Arial"/>
          <w:sz w:val="18"/>
          <w:szCs w:val="18"/>
          <w:b w:val="1"/>
          <w:bCs w:val="1"/>
          <w:color w:val="auto"/>
        </w:rPr>
        <w:t>TRUST</w:t>
      </w:r>
    </w:p>
    <w:p>
      <w:pPr>
        <w:spacing w:after="0" w:line="229" w:lineRule="exact"/>
        <w:rPr>
          <w:sz w:val="20"/>
          <w:szCs w:val="20"/>
          <w:color w:val="auto"/>
        </w:rPr>
      </w:pPr>
    </w:p>
    <w:p>
      <w:pPr>
        <w:jc w:val="both"/>
        <w:ind w:left="651" w:right="20" w:hanging="647"/>
        <w:spacing w:after="0" w:line="264" w:lineRule="auto"/>
        <w:tabs>
          <w:tab w:leader="none" w:pos="631"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Collateral Agent shall hold, and hereby declares that it shall hold, the benefit of the Charges and the benefit of all representations, warranties, covenants and undertakings under this Deed on trust for the Secured Parties on and subject to the terms of this Deed and the Company hereby acknowledges such trusts.</w:t>
      </w:r>
    </w:p>
    <w:p>
      <w:pPr>
        <w:spacing w:after="0" w:line="181" w:lineRule="exact"/>
        <w:rPr>
          <w:sz w:val="20"/>
          <w:szCs w:val="20"/>
          <w:color w:val="auto"/>
        </w:rPr>
      </w:pPr>
    </w:p>
    <w:p>
      <w:pPr>
        <w:jc w:val="both"/>
        <w:ind w:left="651" w:hanging="647"/>
        <w:spacing w:after="0" w:line="277" w:lineRule="auto"/>
        <w:tabs>
          <w:tab w:leader="none" w:pos="631"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In this Deed the Collateral Agent acts under the authority of the Secured Parties contained in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 of the Loan Agreement and in accordance with, subject to and with the full benefit of the provisions of such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w:t>
      </w:r>
    </w:p>
    <w:p>
      <w:pPr>
        <w:spacing w:after="0" w:line="166" w:lineRule="exact"/>
        <w:rPr>
          <w:sz w:val="20"/>
          <w:szCs w:val="20"/>
          <w:color w:val="auto"/>
        </w:rPr>
      </w:pPr>
    </w:p>
    <w:p>
      <w:pPr>
        <w:ind w:left="651" w:hanging="651"/>
        <w:spacing w:after="0"/>
        <w:tabs>
          <w:tab w:leader="none" w:pos="651" w:val="left"/>
        </w:tabs>
        <w:numPr>
          <w:ilvl w:val="0"/>
          <w:numId w:val="882"/>
        </w:numPr>
        <w:rPr>
          <w:rFonts w:ascii="Arial" w:cs="Arial" w:eastAsia="Arial" w:hAnsi="Arial"/>
          <w:sz w:val="18"/>
          <w:szCs w:val="18"/>
          <w:b w:val="1"/>
          <w:bCs w:val="1"/>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51" w:hanging="647"/>
        <w:spacing w:after="0" w:line="273" w:lineRule="auto"/>
        <w:tabs>
          <w:tab w:leader="none" w:pos="631"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Reference is made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78" w:lineRule="exact"/>
        <w:rPr>
          <w:sz w:val="20"/>
          <w:szCs w:val="20"/>
          <w:color w:val="auto"/>
        </w:rPr>
      </w:pPr>
    </w:p>
    <w:p>
      <w:pPr>
        <w:jc w:val="both"/>
        <w:ind w:left="651" w:hanging="647"/>
        <w:spacing w:after="0" w:line="279" w:lineRule="auto"/>
        <w:tabs>
          <w:tab w:leader="none" w:pos="631"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388"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32" w:right="339" w:bottom="1440" w:gutter="0" w:footer="0" w:header="0"/>
        </w:sectPr>
      </w:pPr>
    </w:p>
    <w:bookmarkStart w:id="833" w:name="page834"/>
    <w:bookmarkEnd w:id="833"/>
    <w:p>
      <w:pPr>
        <w:ind w:left="660" w:hanging="651"/>
        <w:spacing w:after="0"/>
        <w:tabs>
          <w:tab w:leader="none" w:pos="660" w:val="left"/>
        </w:tabs>
        <w:numPr>
          <w:ilvl w:val="0"/>
          <w:numId w:val="883"/>
        </w:numPr>
        <w:rPr>
          <w:rFonts w:ascii="Arial" w:cs="Arial" w:eastAsia="Arial" w:hAnsi="Arial"/>
          <w:sz w:val="18"/>
          <w:szCs w:val="18"/>
          <w:b w:val="1"/>
          <w:bCs w:val="1"/>
          <w:color w:val="auto"/>
        </w:rPr>
      </w:pPr>
      <w:r>
        <w:rPr>
          <w:rFonts w:ascii="Arial" w:cs="Arial" w:eastAsia="Arial" w:hAnsi="Arial"/>
          <w:sz w:val="18"/>
          <w:szCs w:val="18"/>
          <w:b w:val="1"/>
          <w:bCs w:val="1"/>
          <w:color w:val="auto"/>
        </w:rPr>
        <w:t>ABL DEED OF CHARGE AND ASSIGNMENT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All security created under this Deed does not affect the security created by the ABL Deed of Charge and Assignment.</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any provision of this Deed, provided that the Company is in compliance with the terms of the ABL Deed of Charge and Assignment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Company will be deemed to have complied with the relevant obligations under this Deed by virtue of its compliance under the ABL Deed of Charge and Assignment, provided however that, in the event that the terms of the ABL Deed of Charge and Assignment no longer continue to be in full force and effect or the ABL Deed of Charge and Assignment is released or discharged (or as otherwise required by the Intercreditor Agreement) the Company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163" w:lineRule="exact"/>
        <w:rPr>
          <w:sz w:val="20"/>
          <w:szCs w:val="20"/>
          <w:color w:val="auto"/>
        </w:rPr>
      </w:pPr>
    </w:p>
    <w:p>
      <w:pPr>
        <w:ind w:left="660" w:hanging="651"/>
        <w:spacing w:after="0"/>
        <w:tabs>
          <w:tab w:leader="none" w:pos="660" w:val="left"/>
        </w:tabs>
        <w:numPr>
          <w:ilvl w:val="0"/>
          <w:numId w:val="884"/>
        </w:numPr>
        <w:rPr>
          <w:rFonts w:ascii="Arial" w:cs="Arial" w:eastAsia="Arial" w:hAnsi="Arial"/>
          <w:sz w:val="18"/>
          <w:szCs w:val="18"/>
          <w:b w:val="1"/>
          <w:bCs w:val="1"/>
          <w:color w:val="auto"/>
        </w:rPr>
      </w:pPr>
      <w:r>
        <w:rPr>
          <w:rFonts w:ascii="Arial" w:cs="Arial" w:eastAsia="Arial" w:hAnsi="Arial"/>
          <w:sz w:val="18"/>
          <w:szCs w:val="18"/>
          <w:b w:val="1"/>
          <w:bCs w:val="1"/>
          <w:color w:val="auto"/>
        </w:rPr>
        <w:t>COVENANT TO PAY</w:t>
      </w:r>
    </w:p>
    <w:p>
      <w:pPr>
        <w:spacing w:after="0" w:line="229"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Subject to any limits on its liability and any grace periods specifically recorded in the Loan Documents, the Company covenants with the Collateral Agent duly and punctually to pay or discharge all Secured Obligations which may from time to time be or become due, owing, incurred or payable by the Company (whether as principal or surety and whether or not jointly with another) to or to the order of the Collateral Agent under, pursuant to or in connection with the Loan Agreement and/or this Deed, as applicable, in each case at the times when, and in the currency or currencies and in the manner in which, they are expressed to be due, owing, incurred or payable herein or therein.</w:t>
      </w:r>
    </w:p>
    <w:p>
      <w:pPr>
        <w:spacing w:after="0" w:line="154" w:lineRule="exact"/>
        <w:rPr>
          <w:rFonts w:ascii="Arial" w:cs="Arial" w:eastAsia="Arial" w:hAnsi="Arial"/>
          <w:sz w:val="18"/>
          <w:szCs w:val="18"/>
          <w:b w:val="1"/>
          <w:bCs w:val="1"/>
          <w:color w:val="auto"/>
        </w:rPr>
      </w:pPr>
    </w:p>
    <w:p>
      <w:pPr>
        <w:ind w:left="660" w:hanging="651"/>
        <w:spacing w:after="0"/>
        <w:tabs>
          <w:tab w:leader="none" w:pos="660" w:val="left"/>
        </w:tabs>
        <w:numPr>
          <w:ilvl w:val="0"/>
          <w:numId w:val="884"/>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the Company hereby charges by way of fixed continuing security to and in favour of the Collateral Agent for the payment and discharge of the Secured Obligations all its right, title, interest and benefit from time to time, present and future, in and to all of its present and future Material Real Property.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Mortgages</w:t>
      </w:r>
    </w:p>
    <w:p>
      <w:pPr>
        <w:spacing w:after="0" w:line="229"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the Company hereby assigns by way of fixed continuing mortgage to and in favour of the Collateral Agent for the payment and discharge of the Secured Obligations all its right, title, interest and benefit from time to time, present and future, in, to, under and in respect of each of all its present and future Investments.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34" w:name="page835"/>
    <w:bookmarkEnd w:id="834"/>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Fixed Charges</w:t>
      </w:r>
    </w:p>
    <w:p>
      <w:pPr>
        <w:spacing w:after="0" w:line="22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the Company hereby charges by way of fixed continuing security to and in favour of the Collateral Agent for the payment and discharge of the Secured Obligations all its right, title, interest and benefit from time to time, present and future, in, to and in respect of each of the following:</w:t>
      </w:r>
    </w:p>
    <w:p>
      <w:pPr>
        <w:spacing w:after="0" w:line="181" w:lineRule="exact"/>
        <w:rPr>
          <w:sz w:val="20"/>
          <w:szCs w:val="20"/>
          <w:color w:val="auto"/>
        </w:rPr>
      </w:pPr>
    </w:p>
    <w:p>
      <w:pPr>
        <w:ind w:left="1300" w:right="20" w:hanging="643"/>
        <w:spacing w:after="0" w:line="277" w:lineRule="auto"/>
        <w:tabs>
          <w:tab w:leader="none" w:pos="130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all funds from time to time standing to the credit of a Bank Account, together with all entitlements to interest and other Related Rights from time to time accruing to or arising in connection with sums;</w:t>
      </w:r>
    </w:p>
    <w:p>
      <w:pPr>
        <w:spacing w:after="0" w:line="170" w:lineRule="exact"/>
        <w:rPr>
          <w:rFonts w:ascii="Arial" w:cs="Arial" w:eastAsia="Arial" w:hAnsi="Arial"/>
          <w:sz w:val="18"/>
          <w:szCs w:val="18"/>
          <w:color w:val="auto"/>
        </w:rPr>
      </w:pPr>
    </w:p>
    <w:p>
      <w:pPr>
        <w:ind w:left="1300" w:hanging="643"/>
        <w:spacing w:after="0"/>
        <w:tabs>
          <w:tab w:leader="none" w:pos="1300" w:val="left"/>
        </w:tabs>
        <w:numPr>
          <w:ilvl w:val="0"/>
          <w:numId w:val="885"/>
        </w:numPr>
        <w:rPr>
          <w:rFonts w:ascii="Arial" w:cs="Arial" w:eastAsia="Arial" w:hAnsi="Arial"/>
          <w:sz w:val="16"/>
          <w:szCs w:val="16"/>
          <w:color w:val="auto"/>
        </w:rPr>
      </w:pPr>
      <w:r>
        <w:rPr>
          <w:rFonts w:ascii="Arial" w:cs="Arial" w:eastAsia="Arial" w:hAnsi="Arial"/>
          <w:sz w:val="16"/>
          <w:szCs w:val="16"/>
          <w:color w:val="auto"/>
        </w:rPr>
        <w:t>all present and future Book Debts and all its other present and future negotiable instruments (other than any which are Investments);</w:t>
      </w:r>
    </w:p>
    <w:p>
      <w:pPr>
        <w:spacing w:after="0" w:line="248" w:lineRule="exact"/>
        <w:rPr>
          <w:rFonts w:ascii="Arial" w:cs="Arial" w:eastAsia="Arial" w:hAnsi="Arial"/>
          <w:sz w:val="16"/>
          <w:szCs w:val="16"/>
          <w:color w:val="auto"/>
        </w:rPr>
      </w:pPr>
    </w:p>
    <w:p>
      <w:pPr>
        <w:ind w:left="1300" w:hanging="643"/>
        <w:spacing w:after="0"/>
        <w:tabs>
          <w:tab w:leader="none" w:pos="130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all present and future Equipment and all corresponding Related Rights;</w:t>
      </w:r>
    </w:p>
    <w:p>
      <w:pPr>
        <w:spacing w:after="0" w:line="225" w:lineRule="exact"/>
        <w:rPr>
          <w:rFonts w:ascii="Arial" w:cs="Arial" w:eastAsia="Arial" w:hAnsi="Arial"/>
          <w:sz w:val="18"/>
          <w:szCs w:val="18"/>
          <w:color w:val="auto"/>
        </w:rPr>
      </w:pPr>
    </w:p>
    <w:p>
      <w:pPr>
        <w:ind w:left="1300" w:hanging="643"/>
        <w:spacing w:after="0"/>
        <w:tabs>
          <w:tab w:leader="none" w:pos="130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all present and future Intellectual Property Rights and all corresponding Related Rights;</w:t>
      </w:r>
    </w:p>
    <w:p>
      <w:pPr>
        <w:spacing w:after="0" w:line="225" w:lineRule="exact"/>
        <w:rPr>
          <w:rFonts w:ascii="Arial" w:cs="Arial" w:eastAsia="Arial" w:hAnsi="Arial"/>
          <w:sz w:val="18"/>
          <w:szCs w:val="18"/>
          <w:color w:val="auto"/>
        </w:rPr>
      </w:pPr>
    </w:p>
    <w:p>
      <w:pPr>
        <w:jc w:val="both"/>
        <w:ind w:left="1300" w:hanging="643"/>
        <w:spacing w:after="0" w:line="302" w:lineRule="auto"/>
        <w:tabs>
          <w:tab w:leader="none" w:pos="1300" w:val="left"/>
        </w:tabs>
        <w:numPr>
          <w:ilvl w:val="0"/>
          <w:numId w:val="885"/>
        </w:numPr>
        <w:rPr>
          <w:rFonts w:ascii="Arial" w:cs="Arial" w:eastAsia="Arial" w:hAnsi="Arial"/>
          <w:sz w:val="16"/>
          <w:szCs w:val="16"/>
          <w:color w:val="auto"/>
        </w:rPr>
      </w:pPr>
      <w:r>
        <w:rPr>
          <w:rFonts w:ascii="Arial" w:cs="Arial" w:eastAsia="Arial" w:hAnsi="Arial"/>
          <w:sz w:val="16"/>
          <w:szCs w:val="16"/>
          <w:color w:val="auto"/>
        </w:rPr>
        <w:t>all its present and future goodwill, present and future uncalled capital (if any) and the benefit of all present and future licences, consents and authorisations (statutory or otherwise) held or to be held by it in connection with its business or the use of any Charged Assets (but excluding any licence requiring the licensor's consent to the creation of Security Interests under the Deed if such consent has not been obtained) and the right to receive all compensation payable in respect thereof (but excluding, in all cases, the Excluded Assets); and</w:t>
      </w:r>
    </w:p>
    <w:p>
      <w:pPr>
        <w:spacing w:after="0" w:line="154" w:lineRule="exact"/>
        <w:rPr>
          <w:rFonts w:ascii="Arial" w:cs="Arial" w:eastAsia="Arial" w:hAnsi="Arial"/>
          <w:sz w:val="16"/>
          <w:szCs w:val="16"/>
          <w:color w:val="auto"/>
        </w:rPr>
      </w:pPr>
    </w:p>
    <w:p>
      <w:pPr>
        <w:ind w:left="1300" w:right="20" w:hanging="643"/>
        <w:spacing w:after="0" w:line="277" w:lineRule="auto"/>
        <w:tabs>
          <w:tab w:leader="none" w:pos="130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if not effectively assigned by Clause 6.4 (</w:t>
      </w:r>
      <w:r>
        <w:rPr>
          <w:rFonts w:ascii="Arial" w:cs="Arial" w:eastAsia="Arial" w:hAnsi="Arial"/>
          <w:sz w:val="18"/>
          <w:szCs w:val="18"/>
          <w:i w:val="1"/>
          <w:iCs w:val="1"/>
          <w:color w:val="auto"/>
        </w:rPr>
        <w:t>Assignment</w:t>
      </w:r>
      <w:r>
        <w:rPr>
          <w:rFonts w:ascii="Arial" w:cs="Arial" w:eastAsia="Arial" w:hAnsi="Arial"/>
          <w:sz w:val="18"/>
          <w:szCs w:val="18"/>
          <w:color w:val="auto"/>
        </w:rPr>
        <w:t>), all its rights, title and interest in (and claims under) the Assigned Agreements and all corresponding Related Rights.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Assignment</w:t>
      </w:r>
    </w:p>
    <w:p>
      <w:pPr>
        <w:spacing w:after="0" w:line="229" w:lineRule="exact"/>
        <w:rPr>
          <w:sz w:val="20"/>
          <w:szCs w:val="20"/>
          <w:color w:val="auto"/>
        </w:rPr>
      </w:pPr>
    </w:p>
    <w:p>
      <w:pPr>
        <w:jc w:val="both"/>
        <w:ind w:left="1300" w:hanging="643"/>
        <w:spacing w:after="0" w:line="264" w:lineRule="auto"/>
        <w:tabs>
          <w:tab w:leader="none" w:pos="1300" w:val="left"/>
        </w:tabs>
        <w:numPr>
          <w:ilvl w:val="0"/>
          <w:numId w:val="886"/>
        </w:numPr>
        <w:rPr>
          <w:rFonts w:ascii="Arial" w:cs="Arial" w:eastAsia="Arial" w:hAnsi="Arial"/>
          <w:sz w:val="18"/>
          <w:szCs w:val="18"/>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below, as further continuing security for the payment of the Secured Obligations, the Company assigns absolutely with full title guarantee to the Collateral Agent for the benefit of the Secured Parties all its rights, title and interest, both present and future, from time to time in and to each of the following assets:</w:t>
      </w:r>
    </w:p>
    <w:p>
      <w:pPr>
        <w:spacing w:after="0" w:line="181" w:lineRule="exact"/>
        <w:rPr>
          <w:rFonts w:ascii="Arial" w:cs="Arial" w:eastAsia="Arial" w:hAnsi="Arial"/>
          <w:sz w:val="18"/>
          <w:szCs w:val="18"/>
          <w:color w:val="auto"/>
        </w:rPr>
      </w:pPr>
    </w:p>
    <w:p>
      <w:pPr>
        <w:ind w:left="1960" w:hanging="654"/>
        <w:spacing w:after="0"/>
        <w:tabs>
          <w:tab w:leader="none" w:pos="196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the proceeds of any Insurances and all Related Rights; and</w:t>
      </w:r>
    </w:p>
    <w:p>
      <w:pPr>
        <w:spacing w:after="0" w:line="225" w:lineRule="exact"/>
        <w:rPr>
          <w:rFonts w:ascii="Arial" w:cs="Arial" w:eastAsia="Arial" w:hAnsi="Arial"/>
          <w:sz w:val="18"/>
          <w:szCs w:val="18"/>
          <w:color w:val="auto"/>
        </w:rPr>
      </w:pPr>
    </w:p>
    <w:p>
      <w:pPr>
        <w:ind w:left="1960" w:hanging="654"/>
        <w:spacing w:after="0"/>
        <w:tabs>
          <w:tab w:leader="none" w:pos="196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the Assigned Agreements and all proceeds and claims arising from them,</w:t>
      </w:r>
    </w:p>
    <w:p>
      <w:pPr>
        <w:spacing w:after="0" w:line="221" w:lineRule="exact"/>
        <w:rPr>
          <w:sz w:val="20"/>
          <w:szCs w:val="20"/>
          <w:color w:val="auto"/>
        </w:rPr>
      </w:pPr>
    </w:p>
    <w:p>
      <w:pPr>
        <w:ind w:left="1320"/>
        <w:spacing w:after="0" w:line="313" w:lineRule="auto"/>
        <w:rPr>
          <w:sz w:val="20"/>
          <w:szCs w:val="20"/>
          <w:color w:val="auto"/>
        </w:rPr>
      </w:pPr>
      <w:r>
        <w:rPr>
          <w:rFonts w:ascii="Arial" w:cs="Arial" w:eastAsia="Arial" w:hAnsi="Arial"/>
          <w:sz w:val="17"/>
          <w:szCs w:val="17"/>
          <w:color w:val="auto"/>
        </w:rPr>
        <w:t>(together, the “</w:t>
      </w:r>
      <w:r>
        <w:rPr>
          <w:rFonts w:ascii="Arial" w:cs="Arial" w:eastAsia="Arial" w:hAnsi="Arial"/>
          <w:sz w:val="17"/>
          <w:szCs w:val="17"/>
          <w:b w:val="1"/>
          <w:bCs w:val="1"/>
          <w:color w:val="auto"/>
        </w:rPr>
        <w:t>Assigned Assets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upon the Payment in Full, the Collateral Agent will re-assign the relevant Assigned Assets to the Company (or as it shall direct) without delay and in a manner satisfactory to the Company (acting reasonably).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5" w:name="page836"/>
    <w:bookmarkEnd w:id="835"/>
    <w:p>
      <w:pPr>
        <w:jc w:val="both"/>
        <w:ind w:left="1300" w:hanging="643"/>
        <w:spacing w:after="0" w:line="264" w:lineRule="auto"/>
        <w:tabs>
          <w:tab w:leader="none" w:pos="130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To the extent that any Assigned Asset described in Clause 6.4(a)(i) (</w:t>
      </w:r>
      <w:r>
        <w:rPr>
          <w:rFonts w:ascii="Arial" w:cs="Arial" w:eastAsia="Arial" w:hAnsi="Arial"/>
          <w:sz w:val="18"/>
          <w:szCs w:val="18"/>
          <w:i w:val="1"/>
          <w:iCs w:val="1"/>
          <w:color w:val="auto"/>
        </w:rPr>
        <w:t>Assignment</w:t>
      </w:r>
      <w:r>
        <w:rPr>
          <w:rFonts w:ascii="Arial" w:cs="Arial" w:eastAsia="Arial" w:hAnsi="Arial"/>
          <w:sz w:val="18"/>
          <w:szCs w:val="18"/>
          <w:color w:val="auto"/>
        </w:rPr>
        <w:t>) is not assignable, the assignment which that clause purports to effect shall operate as an assignment of all present and future rights and claims of the Company to any proceeds of such Insurances.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Floating Charge</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hereby charges by way of floating charge and by way of further continuing security to and in favour of the Collateral Agent for the discharge and payment of the Secured Obligations all its right, title, interest and benefit from time to time, present and future, in, to, under and in respect of all its Assets (including all stock in trade), including any expressed to be charged by any of the foregoing provisions of this Clause 6 (</w:t>
      </w:r>
      <w:r>
        <w:rPr>
          <w:rFonts w:ascii="Arial" w:cs="Arial" w:eastAsia="Arial" w:hAnsi="Arial"/>
          <w:sz w:val="18"/>
          <w:szCs w:val="18"/>
          <w:i w:val="1"/>
          <w:iCs w:val="1"/>
          <w:color w:val="auto"/>
        </w:rPr>
        <w:t>Security</w:t>
      </w:r>
      <w:r>
        <w:rPr>
          <w:rFonts w:ascii="Arial" w:cs="Arial" w:eastAsia="Arial" w:hAnsi="Arial"/>
          <w:sz w:val="18"/>
          <w:szCs w:val="18"/>
          <w:color w:val="auto"/>
        </w:rPr>
        <w:t>). The floating charge created by this Clause 6.5 (</w:t>
      </w:r>
      <w:r>
        <w:rPr>
          <w:rFonts w:ascii="Arial" w:cs="Arial" w:eastAsia="Arial" w:hAnsi="Arial"/>
          <w:sz w:val="18"/>
          <w:szCs w:val="18"/>
          <w:i w:val="1"/>
          <w:iCs w:val="1"/>
          <w:color w:val="auto"/>
        </w:rPr>
        <w:t>Floating Charge</w:t>
      </w:r>
      <w:r>
        <w:rPr>
          <w:rFonts w:ascii="Arial" w:cs="Arial" w:eastAsia="Arial" w:hAnsi="Arial"/>
          <w:sz w:val="18"/>
          <w:szCs w:val="18"/>
          <w:color w:val="auto"/>
        </w:rPr>
        <w:t>) shall rank behind all the fixed Security Interests created by or pursuant to this Deed to the extent that they are valid and effective as fixed Security Interests but shall rank in priority to any other Security Interests hereafter created by the Company.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Collection Bank Accounts</w:t>
      </w:r>
    </w:p>
    <w:p>
      <w:pPr>
        <w:spacing w:after="0" w:line="229" w:lineRule="exact"/>
        <w:rPr>
          <w:sz w:val="20"/>
          <w:szCs w:val="20"/>
          <w:color w:val="auto"/>
        </w:rPr>
      </w:pPr>
    </w:p>
    <w:p>
      <w:pPr>
        <w:ind w:left="1300" w:hanging="643"/>
        <w:spacing w:after="0" w:line="277" w:lineRule="auto"/>
        <w:tabs>
          <w:tab w:leader="none" w:pos="130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The Company shall maintain the Collection Bank Accounts pursuant to and in accordance with Section 3.01(e) (</w:t>
      </w:r>
      <w:r>
        <w:rPr>
          <w:rFonts w:ascii="Arial" w:cs="Arial" w:eastAsia="Arial" w:hAnsi="Arial"/>
          <w:sz w:val="18"/>
          <w:szCs w:val="18"/>
          <w:i w:val="1"/>
          <w:iCs w:val="1"/>
          <w:color w:val="auto"/>
        </w:rPr>
        <w:t>Letters of Credit</w:t>
      </w:r>
      <w:r>
        <w:rPr>
          <w:rFonts w:ascii="Arial" w:cs="Arial" w:eastAsia="Arial" w:hAnsi="Arial"/>
          <w:sz w:val="18"/>
          <w:szCs w:val="18"/>
          <w:color w:val="auto"/>
        </w:rPr>
        <w:t>) of the Loan Agreement with the Collection Account Banks.</w:t>
      </w:r>
    </w:p>
    <w:p>
      <w:pPr>
        <w:spacing w:after="0" w:line="170" w:lineRule="exact"/>
        <w:rPr>
          <w:rFonts w:ascii="Arial" w:cs="Arial" w:eastAsia="Arial" w:hAnsi="Arial"/>
          <w:sz w:val="18"/>
          <w:szCs w:val="18"/>
          <w:color w:val="auto"/>
        </w:rPr>
      </w:pPr>
    </w:p>
    <w:p>
      <w:pPr>
        <w:ind w:left="1300" w:hanging="643"/>
        <w:spacing w:after="0"/>
        <w:tabs>
          <w:tab w:leader="none" w:pos="130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The Collateral Agent shall have sole signing rights in relation to each Collection Bank Account.</w:t>
      </w:r>
    </w:p>
    <w:p>
      <w:pPr>
        <w:spacing w:after="0" w:line="225" w:lineRule="exact"/>
        <w:rPr>
          <w:rFonts w:ascii="Arial" w:cs="Arial" w:eastAsia="Arial" w:hAnsi="Arial"/>
          <w:sz w:val="18"/>
          <w:szCs w:val="18"/>
          <w:color w:val="auto"/>
        </w:rPr>
      </w:pPr>
    </w:p>
    <w:p>
      <w:pPr>
        <w:jc w:val="both"/>
        <w:ind w:left="1300" w:hanging="643"/>
        <w:spacing w:after="0" w:line="264" w:lineRule="auto"/>
        <w:tabs>
          <w:tab w:leader="none" w:pos="130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Subject to Clause 6.6(c) (</w:t>
      </w:r>
      <w:r>
        <w:rPr>
          <w:rFonts w:ascii="Arial" w:cs="Arial" w:eastAsia="Arial" w:hAnsi="Arial"/>
          <w:sz w:val="18"/>
          <w:szCs w:val="18"/>
          <w:i w:val="1"/>
          <w:iCs w:val="1"/>
          <w:color w:val="auto"/>
        </w:rPr>
        <w:t>Collection Bank Accounts</w:t>
      </w:r>
      <w:r>
        <w:rPr>
          <w:rFonts w:ascii="Arial" w:cs="Arial" w:eastAsia="Arial" w:hAnsi="Arial"/>
          <w:sz w:val="18"/>
          <w:szCs w:val="18"/>
          <w:color w:val="auto"/>
        </w:rPr>
        <w:t>) below, the Collateral Agent and the Company acknowledge and agree that the application of amounts standing to the credit of any Collection Bank Account shall be governed by the terms of the Loan Agreement and the Intercreditor Agreement.</w:t>
      </w:r>
    </w:p>
    <w:p>
      <w:pPr>
        <w:spacing w:after="0" w:line="181" w:lineRule="exact"/>
        <w:rPr>
          <w:rFonts w:ascii="Arial" w:cs="Arial" w:eastAsia="Arial" w:hAnsi="Arial"/>
          <w:sz w:val="18"/>
          <w:szCs w:val="18"/>
          <w:color w:val="auto"/>
        </w:rPr>
      </w:pPr>
    </w:p>
    <w:p>
      <w:pPr>
        <w:ind w:left="1300" w:hanging="643"/>
        <w:spacing w:after="0"/>
        <w:tabs>
          <w:tab w:leader="none" w:pos="130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The Company shall not be entitled to:</w:t>
      </w:r>
    </w:p>
    <w:p>
      <w:pPr>
        <w:spacing w:after="0" w:line="225" w:lineRule="exact"/>
        <w:rPr>
          <w:rFonts w:ascii="Arial" w:cs="Arial" w:eastAsia="Arial" w:hAnsi="Arial"/>
          <w:sz w:val="18"/>
          <w:szCs w:val="18"/>
          <w:color w:val="auto"/>
        </w:rPr>
      </w:pPr>
    </w:p>
    <w:p>
      <w:pPr>
        <w:ind w:left="1960" w:hanging="654"/>
        <w:spacing w:after="0"/>
        <w:tabs>
          <w:tab w:leader="none" w:pos="196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make, or direct the making of, any payments or withdrawals from any Collection Bank Account;</w:t>
      </w:r>
    </w:p>
    <w:p>
      <w:pPr>
        <w:spacing w:after="0" w:line="225" w:lineRule="exact"/>
        <w:rPr>
          <w:rFonts w:ascii="Arial" w:cs="Arial" w:eastAsia="Arial" w:hAnsi="Arial"/>
          <w:sz w:val="18"/>
          <w:szCs w:val="18"/>
          <w:color w:val="auto"/>
        </w:rPr>
      </w:pPr>
    </w:p>
    <w:p>
      <w:pPr>
        <w:ind w:left="1960" w:hanging="654"/>
        <w:spacing w:after="0" w:line="277" w:lineRule="auto"/>
        <w:tabs>
          <w:tab w:leader="none" w:pos="196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direct the Collection Account Banks as regards the operation of any Collection Bank Account (whether as to payments from the Collection Bank Accounts or otherwise howsoever); and/or</w:t>
      </w:r>
    </w:p>
    <w:p>
      <w:pPr>
        <w:spacing w:after="0" w:line="170" w:lineRule="exact"/>
        <w:rPr>
          <w:rFonts w:ascii="Arial" w:cs="Arial" w:eastAsia="Arial" w:hAnsi="Arial"/>
          <w:sz w:val="18"/>
          <w:szCs w:val="18"/>
          <w:color w:val="auto"/>
        </w:rPr>
      </w:pPr>
    </w:p>
    <w:p>
      <w:pPr>
        <w:ind w:left="1960" w:hanging="654"/>
        <w:spacing w:after="0" w:line="277" w:lineRule="auto"/>
        <w:tabs>
          <w:tab w:leader="none" w:pos="196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close any of its Collection Bank Accounts or agree to any variation of the rights or terms and conditions attaching to any of its Collection Bank Accounts,</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without the prior written consent of the Collateral Agent (acting in its absolute discretion).</w:t>
      </w:r>
    </w:p>
    <w:p>
      <w:pPr>
        <w:spacing w:after="0" w:line="225" w:lineRule="exact"/>
        <w:rPr>
          <w:sz w:val="20"/>
          <w:szCs w:val="20"/>
          <w:color w:val="auto"/>
        </w:rPr>
      </w:pPr>
    </w:p>
    <w:p>
      <w:pPr>
        <w:ind w:left="1300" w:hanging="643"/>
        <w:spacing w:after="0" w:line="277" w:lineRule="auto"/>
        <w:tabs>
          <w:tab w:leader="none" w:pos="1300" w:val="left"/>
        </w:tabs>
        <w:numPr>
          <w:ilvl w:val="0"/>
          <w:numId w:val="889"/>
        </w:numPr>
        <w:rPr>
          <w:rFonts w:ascii="Arial" w:cs="Arial" w:eastAsia="Arial" w:hAnsi="Arial"/>
          <w:sz w:val="18"/>
          <w:szCs w:val="18"/>
          <w:color w:val="auto"/>
        </w:rPr>
      </w:pPr>
      <w:r>
        <w:rPr>
          <w:rFonts w:ascii="Arial" w:cs="Arial" w:eastAsia="Arial" w:hAnsi="Arial"/>
          <w:sz w:val="18"/>
          <w:szCs w:val="18"/>
          <w:color w:val="auto"/>
        </w:rPr>
        <w:t>The Company shall as soon as reasonably practicable after becoming aware of any change in any identifying details of any of its Collection Bank Accounts (including its account number and sort code), provide details thereof to the Collateral Agent .</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836" w:name="page837"/>
    <w:bookmarkEnd w:id="836"/>
    <w:p>
      <w:pPr>
        <w:ind w:left="1300" w:hanging="643"/>
        <w:spacing w:after="0" w:line="277" w:lineRule="auto"/>
        <w:tabs>
          <w:tab w:leader="none" w:pos="130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The Company irrevocably and unconditionally authorises the Collateral Agent, without prior notice, from time to time to debit any Collection Bank Account in accordance with the terms of the Loan Agreement.</w:t>
      </w:r>
    </w:p>
    <w:p>
      <w:pPr>
        <w:spacing w:after="0" w:line="170" w:lineRule="exact"/>
        <w:rPr>
          <w:rFonts w:ascii="Arial" w:cs="Arial" w:eastAsia="Arial" w:hAnsi="Arial"/>
          <w:sz w:val="18"/>
          <w:szCs w:val="18"/>
          <w:color w:val="auto"/>
        </w:rPr>
      </w:pPr>
    </w:p>
    <w:p>
      <w:pPr>
        <w:jc w:val="both"/>
        <w:ind w:left="1300" w:right="100" w:hanging="643"/>
        <w:spacing w:after="0" w:line="257" w:lineRule="auto"/>
        <w:tabs>
          <w:tab w:leader="none" w:pos="130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The Company shall, promptly after execution of this Deed, execute and deliver to the Collateral Agent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88" w:lineRule="exact"/>
        <w:rPr>
          <w:rFonts w:ascii="Arial" w:cs="Arial" w:eastAsia="Arial" w:hAnsi="Arial"/>
          <w:sz w:val="18"/>
          <w:szCs w:val="18"/>
          <w:color w:val="auto"/>
        </w:rPr>
      </w:pPr>
    </w:p>
    <w:p>
      <w:pPr>
        <w:jc w:val="both"/>
        <w:ind w:left="1300" w:right="120" w:hanging="643"/>
        <w:spacing w:after="0" w:line="302" w:lineRule="auto"/>
        <w:tabs>
          <w:tab w:leader="none" w:pos="1300" w:val="left"/>
        </w:tabs>
        <w:numPr>
          <w:ilvl w:val="0"/>
          <w:numId w:val="890"/>
        </w:numPr>
        <w:rPr>
          <w:rFonts w:ascii="Arial" w:cs="Arial" w:eastAsia="Arial" w:hAnsi="Arial"/>
          <w:sz w:val="16"/>
          <w:szCs w:val="16"/>
          <w:color w:val="auto"/>
        </w:rPr>
      </w:pPr>
      <w:r>
        <w:rPr>
          <w:rFonts w:ascii="Arial" w:cs="Arial" w:eastAsia="Arial" w:hAnsi="Arial"/>
          <w:sz w:val="16"/>
          <w:szCs w:val="16"/>
          <w:color w:val="auto"/>
        </w:rPr>
        <w:t>On the date of opening or acquiring a Collection Bank Account, serve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General Bank Accounts</w:t>
      </w:r>
    </w:p>
    <w:p>
      <w:pPr>
        <w:spacing w:after="0" w:line="229" w:lineRule="exact"/>
        <w:rPr>
          <w:sz w:val="20"/>
          <w:szCs w:val="20"/>
          <w:color w:val="auto"/>
        </w:rPr>
      </w:pPr>
    </w:p>
    <w:p>
      <w:pPr>
        <w:jc w:val="both"/>
        <w:ind w:left="660" w:right="100"/>
        <w:spacing w:after="0" w:line="259" w:lineRule="auto"/>
        <w:rPr>
          <w:sz w:val="20"/>
          <w:szCs w:val="20"/>
          <w:color w:val="auto"/>
        </w:rPr>
      </w:pPr>
      <w:r>
        <w:rPr>
          <w:rFonts w:ascii="Arial" w:cs="Arial" w:eastAsia="Arial" w:hAnsi="Arial"/>
          <w:sz w:val="18"/>
          <w:szCs w:val="18"/>
          <w:color w:val="auto"/>
        </w:rPr>
        <w:t>Upon (and following) the occurrence of any Enforcement Event the Company shall, upon receipt of notice from the Collateral Agent , (a) cease to be entitled to make, or direct the making of, any payments or withdrawals from any General Bank Account without the prior written consent of the Collateral Agent and (b) cease to be entitled to direct the General Account Banks as regards the operation of the Accounts (whether as to payments from the Accounts or otherwise howsoever).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Full Title Guarantee</w:t>
      </w:r>
    </w:p>
    <w:p>
      <w:pPr>
        <w:spacing w:after="0" w:line="229" w:lineRule="exact"/>
        <w:rPr>
          <w:sz w:val="20"/>
          <w:szCs w:val="20"/>
          <w:color w:val="auto"/>
        </w:rPr>
      </w:pPr>
    </w:p>
    <w:p>
      <w:pPr>
        <w:jc w:val="both"/>
        <w:ind w:left="660" w:right="100"/>
        <w:spacing w:after="0" w:line="277" w:lineRule="auto"/>
        <w:rPr>
          <w:sz w:val="20"/>
          <w:szCs w:val="20"/>
          <w:color w:val="auto"/>
        </w:rPr>
      </w:pPr>
      <w:r>
        <w:rPr>
          <w:rFonts w:ascii="Arial" w:cs="Arial" w:eastAsia="Arial" w:hAnsi="Arial"/>
          <w:sz w:val="18"/>
          <w:szCs w:val="18"/>
          <w:color w:val="auto"/>
        </w:rPr>
        <w:t>Each mortgage, assignment, charge or other disposition in favour of the Collateral Agent referred to in the previous provisions of this Clause 6 (</w:t>
      </w:r>
      <w:r>
        <w:rPr>
          <w:rFonts w:ascii="Arial" w:cs="Arial" w:eastAsia="Arial" w:hAnsi="Arial"/>
          <w:sz w:val="18"/>
          <w:szCs w:val="18"/>
          <w:i w:val="1"/>
          <w:iCs w:val="1"/>
          <w:color w:val="auto"/>
        </w:rPr>
        <w:t>Security</w:t>
      </w:r>
      <w:r>
        <w:rPr>
          <w:rFonts w:ascii="Arial" w:cs="Arial" w:eastAsia="Arial" w:hAnsi="Arial"/>
          <w:sz w:val="18"/>
          <w:szCs w:val="18"/>
          <w:color w:val="auto"/>
        </w:rPr>
        <w:t>) is made with full title guarantee in accordance with the Law of Property (Miscellaneous Provisions) Act 1994.</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Excluded Property</w:t>
      </w:r>
    </w:p>
    <w:p>
      <w:pPr>
        <w:spacing w:after="0" w:line="229" w:lineRule="exact"/>
        <w:rPr>
          <w:sz w:val="20"/>
          <w:szCs w:val="20"/>
          <w:color w:val="auto"/>
        </w:rPr>
      </w:pPr>
    </w:p>
    <w:p>
      <w:pPr>
        <w:jc w:val="both"/>
        <w:ind w:left="660" w:right="100"/>
        <w:spacing w:after="0" w:line="277" w:lineRule="auto"/>
        <w:rPr>
          <w:sz w:val="20"/>
          <w:szCs w:val="20"/>
          <w:color w:val="auto"/>
        </w:rPr>
      </w:pPr>
      <w:r>
        <w:rPr>
          <w:rFonts w:ascii="Arial" w:cs="Arial" w:eastAsia="Arial" w:hAnsi="Arial"/>
          <w:sz w:val="18"/>
          <w:szCs w:val="18"/>
          <w:color w:val="auto"/>
        </w:rPr>
        <w:t>There shall be excluded from the security created by Clause 6 (</w:t>
      </w:r>
      <w:r>
        <w:rPr>
          <w:rFonts w:ascii="Arial" w:cs="Arial" w:eastAsia="Arial" w:hAnsi="Arial"/>
          <w:sz w:val="18"/>
          <w:szCs w:val="18"/>
          <w:i w:val="1"/>
          <w:iCs w:val="1"/>
          <w:color w:val="auto"/>
        </w:rPr>
        <w:t>Security</w:t>
      </w:r>
      <w:r>
        <w:rPr>
          <w:rFonts w:ascii="Arial" w:cs="Arial" w:eastAsia="Arial" w:hAnsi="Arial"/>
          <w:sz w:val="18"/>
          <w:szCs w:val="18"/>
          <w:color w:val="auto"/>
        </w:rPr>
        <w:t>) and from the operation of Clause 14 (</w:t>
      </w:r>
      <w:r>
        <w:rPr>
          <w:rFonts w:ascii="Arial" w:cs="Arial" w:eastAsia="Arial" w:hAnsi="Arial"/>
          <w:sz w:val="18"/>
          <w:szCs w:val="18"/>
          <w:i w:val="1"/>
          <w:iCs w:val="1"/>
          <w:color w:val="auto"/>
        </w:rPr>
        <w:t>Further Assurances,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 etc.</w:t>
      </w:r>
      <w:r>
        <w:rPr>
          <w:rFonts w:ascii="Arial" w:cs="Arial" w:eastAsia="Arial" w:hAnsi="Arial"/>
          <w:sz w:val="18"/>
          <w:szCs w:val="18"/>
          <w:color w:val="auto"/>
        </w:rPr>
        <w:t>) any Excluded Asset of the Company.</w:t>
      </w:r>
    </w:p>
    <w:p>
      <w:pPr>
        <w:spacing w:after="0" w:line="166" w:lineRule="exact"/>
        <w:rPr>
          <w:sz w:val="20"/>
          <w:szCs w:val="20"/>
          <w:color w:val="auto"/>
        </w:rPr>
      </w:pPr>
    </w:p>
    <w:p>
      <w:pPr>
        <w:ind w:left="660" w:hanging="651"/>
        <w:spacing w:after="0"/>
        <w:tabs>
          <w:tab w:leader="none" w:pos="660" w:val="left"/>
        </w:tabs>
        <w:numPr>
          <w:ilvl w:val="0"/>
          <w:numId w:val="891"/>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SECURITY</w:t>
      </w:r>
    </w:p>
    <w:p>
      <w:pPr>
        <w:spacing w:after="0" w:line="229" w:lineRule="exact"/>
        <w:rPr>
          <w:sz w:val="20"/>
          <w:szCs w:val="20"/>
          <w:color w:val="auto"/>
        </w:rPr>
      </w:pPr>
    </w:p>
    <w:p>
      <w:pPr>
        <w:jc w:val="both"/>
        <w:ind w:left="660" w:right="10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Payment in Full, the Collateral Agent ,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 .</w:t>
      </w: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37" w:right="239" w:bottom="1440" w:gutter="0" w:footer="0" w:header="0"/>
        </w:sectPr>
      </w:pPr>
    </w:p>
    <w:bookmarkStart w:id="837" w:name="page838"/>
    <w:bookmarkEnd w:id="837"/>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Notwithstanding the foregoing, the obligations of the Company under this Deed shall automatically terminate and the Collateral Agent ,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 , in each case, to the extent provided in and in accordance with Section 11.01(c) (</w:t>
      </w:r>
      <w:r>
        <w:rPr>
          <w:rFonts w:ascii="Arial" w:cs="Arial" w:eastAsia="Arial" w:hAnsi="Arial"/>
          <w:sz w:val="17"/>
          <w:szCs w:val="17"/>
          <w:i w:val="1"/>
          <w:iCs w:val="1"/>
          <w:color w:val="auto"/>
        </w:rPr>
        <w:t>Waiver; Amendments; Joinder; Release of Guarantors; Release of Collateral</w:t>
      </w:r>
      <w:r>
        <w:rPr>
          <w:rFonts w:ascii="Arial" w:cs="Arial" w:eastAsia="Arial" w:hAnsi="Arial"/>
          <w:sz w:val="17"/>
          <w:szCs w:val="17"/>
          <w:color w:val="auto"/>
        </w:rPr>
        <w:t>) and Section 11.23 (</w:t>
      </w:r>
      <w:r>
        <w:rPr>
          <w:rFonts w:ascii="Arial" w:cs="Arial" w:eastAsia="Arial" w:hAnsi="Arial"/>
          <w:sz w:val="17"/>
          <w:szCs w:val="17"/>
          <w:i w:val="1"/>
          <w:iCs w:val="1"/>
          <w:color w:val="auto"/>
        </w:rPr>
        <w:t>Release of Guarantors</w:t>
      </w:r>
      <w:r>
        <w:rPr>
          <w:rFonts w:ascii="Arial" w:cs="Arial" w:eastAsia="Arial" w:hAnsi="Arial"/>
          <w:sz w:val="17"/>
          <w:szCs w:val="17"/>
          <w:color w:val="auto"/>
        </w:rPr>
        <w:t>) of the Loan Agreement.</w:t>
      </w:r>
    </w:p>
    <w:p>
      <w:pPr>
        <w:spacing w:after="0" w:line="174" w:lineRule="exact"/>
        <w:rPr>
          <w:sz w:val="20"/>
          <w:szCs w:val="20"/>
          <w:color w:val="auto"/>
        </w:rPr>
      </w:pPr>
    </w:p>
    <w:p>
      <w:pPr>
        <w:ind w:left="660" w:hanging="651"/>
        <w:spacing w:after="0"/>
        <w:tabs>
          <w:tab w:leader="none" w:pos="660" w:val="left"/>
        </w:tabs>
        <w:numPr>
          <w:ilvl w:val="0"/>
          <w:numId w:val="89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Company represents and warrants to the Collateral Agent that as of the date of this Deed:</w:t>
      </w:r>
    </w:p>
    <w:p>
      <w:pPr>
        <w:spacing w:after="0" w:line="225" w:lineRule="exact"/>
        <w:rPr>
          <w:sz w:val="20"/>
          <w:szCs w:val="20"/>
          <w:color w:val="auto"/>
        </w:rPr>
      </w:pPr>
    </w:p>
    <w:p>
      <w:pPr>
        <w:ind w:left="1300" w:hanging="643"/>
        <w:spacing w:after="0" w:line="277" w:lineRule="auto"/>
        <w:tabs>
          <w:tab w:leader="none" w:pos="130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it is a limited company duly incorporated and existing under the Companies Act 1948 and has the power and authority to own its Assets and to carry on its business and operations as now conducted;</w:t>
      </w:r>
    </w:p>
    <w:p>
      <w:pPr>
        <w:spacing w:after="0" w:line="170" w:lineRule="exact"/>
        <w:rPr>
          <w:rFonts w:ascii="Arial" w:cs="Arial" w:eastAsia="Arial" w:hAnsi="Arial"/>
          <w:sz w:val="18"/>
          <w:szCs w:val="18"/>
          <w:color w:val="auto"/>
        </w:rPr>
      </w:pPr>
    </w:p>
    <w:p>
      <w:pPr>
        <w:ind w:left="1300" w:right="20" w:hanging="643"/>
        <w:spacing w:after="0" w:line="277" w:lineRule="auto"/>
        <w:tabs>
          <w:tab w:leader="none" w:pos="130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it has the power to enter into, and perform and comply with all the obligations expressed to be assumed by it under, this Deed, and to create the Charges;</w:t>
      </w:r>
    </w:p>
    <w:p>
      <w:pPr>
        <w:spacing w:after="0" w:line="170" w:lineRule="exact"/>
        <w:rPr>
          <w:rFonts w:ascii="Arial" w:cs="Arial" w:eastAsia="Arial" w:hAnsi="Arial"/>
          <w:sz w:val="18"/>
          <w:szCs w:val="18"/>
          <w:color w:val="auto"/>
        </w:rPr>
      </w:pPr>
    </w:p>
    <w:p>
      <w:pPr>
        <w:jc w:val="both"/>
        <w:ind w:left="1300" w:hanging="643"/>
        <w:spacing w:after="0" w:line="254" w:lineRule="auto"/>
        <w:tabs>
          <w:tab w:leader="none" w:pos="130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all corporate authority and any other actions, conditions and things whatsoever required to be obtained, taken, fulfilled and done (including the obtaining of any necessary consents) in order to enable the Company lawfully to enter into, and perform and comply with all the obligations expressed to be assumed by it under, this Deed, to ensure that those obligations are valid, legal, binding and enforceable, to permit the creation of the Charges in accordance with this Deed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2" w:lineRule="exact"/>
        <w:rPr>
          <w:rFonts w:ascii="Arial" w:cs="Arial" w:eastAsia="Arial" w:hAnsi="Arial"/>
          <w:sz w:val="18"/>
          <w:szCs w:val="18"/>
          <w:color w:val="auto"/>
        </w:rPr>
      </w:pPr>
    </w:p>
    <w:p>
      <w:pPr>
        <w:jc w:val="both"/>
        <w:ind w:left="1300" w:hanging="643"/>
        <w:spacing w:after="0" w:line="255" w:lineRule="auto"/>
        <w:tabs>
          <w:tab w:leader="none" w:pos="130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obligations of the Company under this Deed and (subject to all necessary registrations thereof being made) the Charges are valid, legal, binding and enforceable and, in the case of the Charges, have first priority and ranking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3" w:lineRule="exact"/>
        <w:rPr>
          <w:rFonts w:ascii="Arial" w:cs="Arial" w:eastAsia="Arial" w:hAnsi="Arial"/>
          <w:sz w:val="18"/>
          <w:szCs w:val="18"/>
          <w:color w:val="auto"/>
        </w:rPr>
      </w:pPr>
    </w:p>
    <w:p>
      <w:pPr>
        <w:jc w:val="both"/>
        <w:ind w:left="1300" w:hanging="643"/>
        <w:spacing w:after="0" w:line="293" w:lineRule="auto"/>
        <w:tabs>
          <w:tab w:leader="none" w:pos="1300" w:val="left"/>
        </w:tabs>
        <w:numPr>
          <w:ilvl w:val="0"/>
          <w:numId w:val="893"/>
        </w:numPr>
        <w:rPr>
          <w:rFonts w:ascii="Arial" w:cs="Arial" w:eastAsia="Arial" w:hAnsi="Arial"/>
          <w:sz w:val="16"/>
          <w:szCs w:val="16"/>
          <w:color w:val="auto"/>
        </w:rPr>
      </w:pPr>
      <w:r>
        <w:rPr>
          <w:rFonts w:ascii="Arial" w:cs="Arial" w:eastAsia="Arial" w:hAnsi="Arial"/>
          <w:sz w:val="16"/>
          <w:szCs w:val="16"/>
          <w:color w:val="auto"/>
        </w:rPr>
        <w:t>its entry into, and performance of and compliance with the obligations expressed to be assumed by it under this Deed, and the creation of the Charges under this Deed, do not and will not (i) breach or violate any applicable Requirement of Law, (ii) result in any breach or violation of, or constitute a default under, or result in the creation or imposition of (or the obligation to create or impose) any Lien prohibited under the Loan Agreement upon any of its property or assets pursuant to the terms of any indenture, agreement or other instrument to which it is party or by which any of its property or assets are bound or to which it is subject, except for breaches, violations and defaults that would not have a Material Adverse Effect, or (iii) violate any provision of its organisational documents or by-laws;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38" w:name="page839"/>
    <w:bookmarkEnd w:id="838"/>
    <w:p>
      <w:pPr>
        <w:ind w:left="1300" w:hanging="643"/>
        <w:spacing w:after="0" w:line="277" w:lineRule="auto"/>
        <w:tabs>
          <w:tab w:leader="none" w:pos="130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(save to the extent disclosed to the Collateral Agent in writing prior to the date of this Deed) it has good and valid rights in or the power to transfer the Assets expressed to be mortgaged, assigned or charged by it under this Deed;</w:t>
      </w:r>
    </w:p>
    <w:p>
      <w:pPr>
        <w:spacing w:after="0" w:line="170" w:lineRule="exact"/>
        <w:rPr>
          <w:rFonts w:ascii="Arial" w:cs="Arial" w:eastAsia="Arial" w:hAnsi="Arial"/>
          <w:sz w:val="18"/>
          <w:szCs w:val="18"/>
          <w:color w:val="auto"/>
        </w:rPr>
      </w:pPr>
    </w:p>
    <w:p>
      <w:pPr>
        <w:ind w:left="1300" w:hanging="643"/>
        <w:spacing w:after="0" w:line="277" w:lineRule="auto"/>
        <w:tabs>
          <w:tab w:leader="none" w:pos="130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no Security Interest (other than the Charges) or claim exists on, over or in respect of any of the Assets, except those claims permitted by the Loan Agreement;</w:t>
      </w:r>
    </w:p>
    <w:p>
      <w:pPr>
        <w:spacing w:after="0" w:line="170" w:lineRule="exact"/>
        <w:rPr>
          <w:rFonts w:ascii="Arial" w:cs="Arial" w:eastAsia="Arial" w:hAnsi="Arial"/>
          <w:sz w:val="18"/>
          <w:szCs w:val="18"/>
          <w:color w:val="auto"/>
        </w:rPr>
      </w:pPr>
    </w:p>
    <w:p>
      <w:pPr>
        <w:jc w:val="both"/>
        <w:ind w:left="1300" w:hanging="643"/>
        <w:spacing w:after="0" w:line="312" w:lineRule="auto"/>
        <w:tabs>
          <w:tab w:leader="none" w:pos="1300" w:val="left"/>
        </w:tabs>
        <w:numPr>
          <w:ilvl w:val="1"/>
          <w:numId w:val="894"/>
        </w:numPr>
        <w:rPr>
          <w:rFonts w:ascii="Arial" w:cs="Arial" w:eastAsia="Arial" w:hAnsi="Arial"/>
          <w:sz w:val="16"/>
          <w:szCs w:val="16"/>
          <w:color w:val="auto"/>
        </w:rPr>
      </w:pPr>
      <w:r>
        <w:rPr>
          <w:rFonts w:ascii="Arial" w:cs="Arial" w:eastAsia="Arial" w:hAnsi="Arial"/>
          <w:sz w:val="16"/>
          <w:szCs w:val="16"/>
          <w:color w:val="auto"/>
        </w:rPr>
        <w:t>(save to the extent disclosed to the Collateral Agent in writing prior to the date of this Deed) it has not disposed of or sold or granted any lease, tenancy, option or pre-emption right over or in respect of, any part of its right, title or interest in, to or in respect of any of the Charged Assets, and it has not agreed to do any of the foregoing, except, in each case, as permitted by the Loan Agreement; and</w:t>
      </w:r>
    </w:p>
    <w:p>
      <w:pPr>
        <w:spacing w:after="0" w:line="146" w:lineRule="exact"/>
        <w:rPr>
          <w:rFonts w:ascii="Arial" w:cs="Arial" w:eastAsia="Arial" w:hAnsi="Arial"/>
          <w:sz w:val="16"/>
          <w:szCs w:val="16"/>
          <w:color w:val="auto"/>
        </w:rPr>
      </w:pPr>
    </w:p>
    <w:p>
      <w:pPr>
        <w:ind w:left="1300" w:hanging="643"/>
        <w:spacing w:after="0"/>
        <w:tabs>
          <w:tab w:leader="none" w:pos="130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the Company's Centre of Main Interests is in the UK.</w:t>
      </w:r>
    </w:p>
    <w:p>
      <w:pPr>
        <w:spacing w:after="0" w:line="221" w:lineRule="exact"/>
        <w:rPr>
          <w:rFonts w:ascii="Arial" w:cs="Arial" w:eastAsia="Arial" w:hAnsi="Arial"/>
          <w:sz w:val="18"/>
          <w:szCs w:val="18"/>
          <w:color w:val="auto"/>
        </w:rPr>
      </w:pPr>
    </w:p>
    <w:p>
      <w:pPr>
        <w:ind w:left="660" w:hanging="651"/>
        <w:spacing w:after="0"/>
        <w:tabs>
          <w:tab w:leader="none" w:pos="660" w:val="left"/>
        </w:tabs>
        <w:numPr>
          <w:ilvl w:val="0"/>
          <w:numId w:val="895"/>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RELATING TO ASSETS – PERFECTION, RESTRICTIONS ON DEALINGS, PROTECTION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Documents of Title</w:t>
      </w:r>
    </w:p>
    <w:p>
      <w:pPr>
        <w:spacing w:after="0" w:line="22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Without prejudice to Clause 14 (</w:t>
      </w:r>
      <w:r>
        <w:rPr>
          <w:rFonts w:ascii="Arial" w:cs="Arial" w:eastAsia="Arial" w:hAnsi="Arial"/>
          <w:sz w:val="16"/>
          <w:szCs w:val="16"/>
          <w:i w:val="1"/>
          <w:iCs w:val="1"/>
          <w:color w:val="auto"/>
        </w:rPr>
        <w:t>Further Assurances, Power of Attorney, etc.</w:t>
      </w:r>
      <w:r>
        <w:rPr>
          <w:rFonts w:ascii="Arial" w:cs="Arial" w:eastAsia="Arial" w:hAnsi="Arial"/>
          <w:sz w:val="16"/>
          <w:szCs w:val="16"/>
          <w:color w:val="auto"/>
        </w:rPr>
        <w:t>) the Company shall, as soon as reasonably practicable, after execution of this Deed (and in any event within 15 Business Days after execution of this Deed or such later date as may be agreed to by the Collateral Agent in its sole discretion) or, if later, promptly upon receipt by it or on its behalf or for its account (and in any event within 15 Business Days after such receipt or such later date as may be agreed to by the Collateral Agent in its sole discretion), by way of security for the Secured Obligations deliver to the Collateral Agent (or any person nominated by the Collateral Agent to hold the same on its behalf including any solicitors) all certificates representing Mortgaged Investments and documents of title, certificates and other documents certificating or evidencing ownership of or otherwise relating to the Mortgaged Investments including transfers of Investments executed in blank.</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Negative Pledge</w:t>
      </w:r>
    </w:p>
    <w:p>
      <w:pPr>
        <w:spacing w:after="0" w:line="229" w:lineRule="exact"/>
        <w:rPr>
          <w:sz w:val="20"/>
          <w:szCs w:val="20"/>
          <w:color w:val="auto"/>
        </w:rPr>
      </w:pPr>
    </w:p>
    <w:p>
      <w:pPr>
        <w:ind w:left="1300" w:right="20" w:hanging="643"/>
        <w:spacing w:after="0" w:line="277" w:lineRule="auto"/>
        <w:tabs>
          <w:tab w:leader="none" w:pos="1300" w:val="left"/>
        </w:tabs>
        <w:numPr>
          <w:ilvl w:val="0"/>
          <w:numId w:val="896"/>
        </w:numPr>
        <w:rPr>
          <w:rFonts w:ascii="Arial" w:cs="Arial" w:eastAsia="Arial" w:hAnsi="Arial"/>
          <w:sz w:val="18"/>
          <w:szCs w:val="18"/>
          <w:color w:val="auto"/>
        </w:rPr>
      </w:pPr>
      <w:r>
        <w:rPr>
          <w:rFonts w:ascii="Arial" w:cs="Arial" w:eastAsia="Arial" w:hAnsi="Arial"/>
          <w:sz w:val="18"/>
          <w:szCs w:val="18"/>
          <w:color w:val="auto"/>
        </w:rPr>
        <w:t>The Company may only create, incur, assume or permit to exist a Security Interest on any Charged Asset if it is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auto"/>
        </w:rPr>
      </w:pPr>
    </w:p>
    <w:p>
      <w:pPr>
        <w:ind w:left="1300" w:hanging="643"/>
        <w:spacing w:after="0"/>
        <w:tabs>
          <w:tab w:leader="none" w:pos="1300" w:val="left"/>
        </w:tabs>
        <w:numPr>
          <w:ilvl w:val="0"/>
          <w:numId w:val="896"/>
        </w:numPr>
        <w:rPr>
          <w:rFonts w:ascii="Arial" w:cs="Arial" w:eastAsia="Arial" w:hAnsi="Arial"/>
          <w:sz w:val="17"/>
          <w:szCs w:val="17"/>
          <w:color w:val="auto"/>
        </w:rPr>
      </w:pPr>
      <w:r>
        <w:rPr>
          <w:rFonts w:ascii="Arial" w:cs="Arial" w:eastAsia="Arial" w:hAnsi="Arial"/>
          <w:sz w:val="17"/>
          <w:szCs w:val="17"/>
          <w:color w:val="auto"/>
        </w:rPr>
        <w:t>The Company may only Dispose of any Charged Asset if it is permitted by Section 8.05 (</w:t>
      </w:r>
      <w:r>
        <w:rPr>
          <w:rFonts w:ascii="Arial" w:cs="Arial" w:eastAsia="Arial" w:hAnsi="Arial"/>
          <w:sz w:val="17"/>
          <w:szCs w:val="17"/>
          <w:i w:val="1"/>
          <w:iCs w:val="1"/>
          <w:color w:val="auto"/>
        </w:rPr>
        <w:t>Asset Dispositions</w:t>
      </w:r>
      <w:r>
        <w:rPr>
          <w:rFonts w:ascii="Arial" w:cs="Arial" w:eastAsia="Arial" w:hAnsi="Arial"/>
          <w:sz w:val="17"/>
          <w:szCs w:val="17"/>
          <w:color w:val="auto"/>
        </w:rPr>
        <w:t>) of the Loan Agreement.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839" w:name="page840"/>
    <w:bookmarkEnd w:id="839"/>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Assets and Charges Generally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w:t>
      </w:r>
    </w:p>
    <w:p>
      <w:pPr>
        <w:spacing w:after="0" w:line="225" w:lineRule="exact"/>
        <w:rPr>
          <w:sz w:val="20"/>
          <w:szCs w:val="20"/>
          <w:color w:val="auto"/>
        </w:rPr>
      </w:pPr>
    </w:p>
    <w:p>
      <w:pPr>
        <w:ind w:left="1300" w:hanging="643"/>
        <w:spacing w:after="0" w:line="277" w:lineRule="auto"/>
        <w:tabs>
          <w:tab w:leader="none" w:pos="13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make all filings and registrations necessary for the creation, perfection, preservation, protection or maintenance of the Charges except to the extent that the Company is expressly permitted by the Loan Agreement or this Deed not to do so;</w:t>
      </w:r>
    </w:p>
    <w:p>
      <w:pPr>
        <w:spacing w:after="0" w:line="170" w:lineRule="exact"/>
        <w:rPr>
          <w:rFonts w:ascii="Arial" w:cs="Arial" w:eastAsia="Arial" w:hAnsi="Arial"/>
          <w:sz w:val="18"/>
          <w:szCs w:val="18"/>
          <w:color w:val="auto"/>
        </w:rPr>
      </w:pPr>
    </w:p>
    <w:p>
      <w:pPr>
        <w:jc w:val="both"/>
        <w:ind w:left="1300" w:hanging="643"/>
        <w:spacing w:after="0" w:line="255" w:lineRule="auto"/>
        <w:tabs>
          <w:tab w:leader="none" w:pos="13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use commercially reasonable endeavours to obtain, in form and substance satisfactory to the Collateral Agent (acting reasonably), as soon as practicable and in any event within 45 days of the date of this Deed or, after the date of this Deed, within 45 days of the date of acquisition of any Asset (or, in any such case, such later date as may be agreed to by the Collateral Agent in its sole discretion), any consents necessary to enable all the Assets of the Company to be subject to effective Security Interests pursuant to Clause 6 (</w:t>
      </w:r>
      <w:r>
        <w:rPr>
          <w:rFonts w:ascii="Arial" w:cs="Arial" w:eastAsia="Arial" w:hAnsi="Arial"/>
          <w:sz w:val="18"/>
          <w:szCs w:val="18"/>
          <w:i w:val="1"/>
          <w:iCs w:val="1"/>
          <w:color w:val="auto"/>
        </w:rPr>
        <w:t>Security</w:t>
      </w:r>
      <w:r>
        <w:rPr>
          <w:rFonts w:ascii="Arial" w:cs="Arial" w:eastAsia="Arial" w:hAnsi="Arial"/>
          <w:sz w:val="18"/>
          <w:szCs w:val="18"/>
          <w:color w:val="auto"/>
        </w:rPr>
        <w:t>) and the Asset concerned shall immediately upon obtaining any such consent become subject to the fixed Charge under Clause 6.3 (</w:t>
      </w:r>
      <w:r>
        <w:rPr>
          <w:rFonts w:ascii="Arial" w:cs="Arial" w:eastAsia="Arial" w:hAnsi="Arial"/>
          <w:sz w:val="18"/>
          <w:szCs w:val="18"/>
          <w:i w:val="1"/>
          <w:iCs w:val="1"/>
          <w:color w:val="auto"/>
        </w:rPr>
        <w:t>Fixed</w:t>
      </w:r>
      <w:r>
        <w:rPr>
          <w:rFonts w:ascii="Arial" w:cs="Arial" w:eastAsia="Arial" w:hAnsi="Arial"/>
          <w:sz w:val="18"/>
          <w:szCs w:val="18"/>
          <w:color w:val="auto"/>
        </w:rPr>
        <w:t xml:space="preserve"> </w:t>
      </w:r>
      <w:r>
        <w:rPr>
          <w:rFonts w:ascii="Arial" w:cs="Arial" w:eastAsia="Arial" w:hAnsi="Arial"/>
          <w:sz w:val="18"/>
          <w:szCs w:val="18"/>
          <w:i w:val="1"/>
          <w:iCs w:val="1"/>
          <w:color w:val="auto"/>
        </w:rPr>
        <w:t>Charges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1300" w:hanging="643"/>
        <w:spacing w:after="0" w:line="259" w:lineRule="auto"/>
        <w:tabs>
          <w:tab w:leader="none" w:pos="13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maintain or keep or cause to be kept all of the Charged Assets in good and substantial repair and, where applicable, good working order (wear and tear excepted) so that its business carried on in connection therewith may be conducted in the ordinary course, consistent with past practices, except in each case where the failure to do so, individually or in the aggregate, could not reasonably be expected to have a Material Adverse Effect; and</w:t>
      </w:r>
    </w:p>
    <w:p>
      <w:pPr>
        <w:spacing w:after="0" w:line="186" w:lineRule="exact"/>
        <w:rPr>
          <w:rFonts w:ascii="Arial" w:cs="Arial" w:eastAsia="Arial" w:hAnsi="Arial"/>
          <w:sz w:val="18"/>
          <w:szCs w:val="18"/>
          <w:color w:val="auto"/>
        </w:rPr>
      </w:pPr>
    </w:p>
    <w:p>
      <w:pPr>
        <w:jc w:val="both"/>
        <w:ind w:left="1300" w:hanging="643"/>
        <w:spacing w:after="0" w:line="264" w:lineRule="auto"/>
        <w:tabs>
          <w:tab w:leader="none" w:pos="1300" w:val="left"/>
        </w:tabs>
        <w:numPr>
          <w:ilvl w:val="0"/>
          <w:numId w:val="897"/>
        </w:numPr>
        <w:rPr>
          <w:rFonts w:ascii="Arial" w:cs="Arial" w:eastAsia="Arial" w:hAnsi="Arial"/>
          <w:sz w:val="18"/>
          <w:szCs w:val="18"/>
          <w:color w:val="auto"/>
        </w:rPr>
      </w:pPr>
      <w:r>
        <w:rPr>
          <w:rFonts w:ascii="Arial" w:cs="Arial" w:eastAsia="Arial" w:hAnsi="Arial"/>
          <w:sz w:val="18"/>
          <w:szCs w:val="18"/>
          <w:color w:val="auto"/>
        </w:rPr>
        <w:t>in addition and without prejudice to any other provision of this Deed, not do or suffer to be done anything which could materially prejudice the effectiveness of any of the Charges or their priority under this Deed except as permitted by the Loan Agreement or this Deed.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and without prejudice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the Company hereby irrevocably:</w:t>
      </w:r>
    </w:p>
    <w:p>
      <w:pPr>
        <w:spacing w:after="0" w:line="170" w:lineRule="exact"/>
        <w:rPr>
          <w:sz w:val="20"/>
          <w:szCs w:val="20"/>
          <w:color w:val="auto"/>
        </w:rPr>
      </w:pPr>
    </w:p>
    <w:p>
      <w:pPr>
        <w:ind w:left="1300" w:hanging="643"/>
        <w:spacing w:after="0" w:line="277" w:lineRule="auto"/>
        <w:tabs>
          <w:tab w:leader="none" w:pos="1300" w:val="left"/>
        </w:tabs>
        <w:numPr>
          <w:ilvl w:val="0"/>
          <w:numId w:val="898"/>
        </w:numPr>
        <w:rPr>
          <w:rFonts w:ascii="Arial" w:cs="Arial" w:eastAsia="Arial" w:hAnsi="Arial"/>
          <w:sz w:val="18"/>
          <w:szCs w:val="18"/>
          <w:color w:val="auto"/>
        </w:rPr>
      </w:pPr>
      <w:r>
        <w:rPr>
          <w:rFonts w:ascii="Arial" w:cs="Arial" w:eastAsia="Arial" w:hAnsi="Arial"/>
          <w:sz w:val="18"/>
          <w:szCs w:val="18"/>
          <w:color w:val="auto"/>
        </w:rPr>
        <w:t>consents to the registration of a restriction in the Proprietorship Register relating to the title number or numbers under which the whole or any part of the Legally Mortgaged Property is registered at HM Land Registry in the following terms:</w:t>
      </w:r>
    </w:p>
    <w:p>
      <w:pPr>
        <w:spacing w:after="0" w:line="170" w:lineRule="exact"/>
        <w:rPr>
          <w:rFonts w:ascii="Arial" w:cs="Arial" w:eastAsia="Arial" w:hAnsi="Arial"/>
          <w:sz w:val="18"/>
          <w:szCs w:val="18"/>
          <w:color w:val="auto"/>
        </w:rPr>
      </w:pPr>
    </w:p>
    <w:p>
      <w:pPr>
        <w:ind w:left="1320" w:right="20"/>
        <w:spacing w:after="0" w:line="308" w:lineRule="auto"/>
        <w:rPr>
          <w:rFonts w:ascii="Arial" w:cs="Arial" w:eastAsia="Arial" w:hAnsi="Arial"/>
          <w:sz w:val="18"/>
          <w:szCs w:val="18"/>
          <w:color w:val="auto"/>
        </w:rPr>
      </w:pPr>
      <w:r>
        <w:rPr>
          <w:rFonts w:ascii="Arial" w:cs="Arial" w:eastAsia="Arial" w:hAnsi="Arial"/>
          <w:sz w:val="17"/>
          <w:szCs w:val="17"/>
          <w:color w:val="auto"/>
        </w:rPr>
        <w:t>"except under an order of the Registrar no disposition or other dealing by the proprietor of the land is to be registered or noted without the written consent of the proprietor for the time being of the charge dated [ * * ] between [ * * ] (1) and [ * * ] (2)";</w:t>
      </w:r>
    </w:p>
    <w:p>
      <w:pPr>
        <w:spacing w:after="0" w:line="146" w:lineRule="exact"/>
        <w:rPr>
          <w:rFonts w:ascii="Arial" w:cs="Arial" w:eastAsia="Arial" w:hAnsi="Arial"/>
          <w:sz w:val="18"/>
          <w:szCs w:val="18"/>
          <w:color w:val="auto"/>
        </w:rPr>
      </w:pPr>
    </w:p>
    <w:p>
      <w:pPr>
        <w:jc w:val="both"/>
        <w:ind w:left="1300" w:hanging="643"/>
        <w:spacing w:after="0" w:line="264" w:lineRule="auto"/>
        <w:tabs>
          <w:tab w:leader="none" w:pos="1300" w:val="left"/>
        </w:tabs>
        <w:numPr>
          <w:ilvl w:val="0"/>
          <w:numId w:val="898"/>
        </w:numPr>
        <w:rPr>
          <w:rFonts w:ascii="Arial" w:cs="Arial" w:eastAsia="Arial" w:hAnsi="Arial"/>
          <w:sz w:val="18"/>
          <w:szCs w:val="18"/>
          <w:color w:val="auto"/>
        </w:rPr>
      </w:pPr>
      <w:r>
        <w:rPr>
          <w:rFonts w:ascii="Arial" w:cs="Arial" w:eastAsia="Arial" w:hAnsi="Arial"/>
          <w:sz w:val="18"/>
          <w:szCs w:val="18"/>
          <w:color w:val="auto"/>
        </w:rPr>
        <w:t>consents (in the case of any Real Property forming part of the Charged Assets title to which is registered or registrable at HM Land Registry but which does not form part of the Legally Mortgaged Property) to the registration of an agreed notice by the Collateral Agent against the title or titles under which such Real Property is registered;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40" w:name="page841"/>
    <w:bookmarkEnd w:id="840"/>
    <w:p>
      <w:pPr>
        <w:jc w:val="both"/>
        <w:ind w:left="1300" w:hanging="643"/>
        <w:spacing w:after="0" w:line="264" w:lineRule="auto"/>
        <w:tabs>
          <w:tab w:leader="none" w:pos="130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authorises the Collateral Agent and/or any solicitors or other agent acting on behalf of the Collateral Agent to complete, execute on the Company's behalf and deliver to H. M. Land Registry any form (including Land Registry form RX1 and AN1), document or other information requested by H. M. Land Registry with regard to either or both of the above.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General Bank Accounts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Without prejudice and in addition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the Company shall:</w:t>
      </w:r>
    </w:p>
    <w:p>
      <w:pPr>
        <w:spacing w:after="0" w:line="170" w:lineRule="exact"/>
        <w:rPr>
          <w:sz w:val="20"/>
          <w:szCs w:val="20"/>
          <w:color w:val="auto"/>
        </w:rPr>
      </w:pPr>
    </w:p>
    <w:p>
      <w:pPr>
        <w:jc w:val="both"/>
        <w:ind w:left="1300" w:hanging="643"/>
        <w:spacing w:after="0" w:line="259" w:lineRule="auto"/>
        <w:tabs>
          <w:tab w:leader="none" w:pos="130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promptly after execution of this Deed (or, if later, within 45 days (or such later date as may be agreed to by the Collateral Agent in its sole discretion) of the opening of a new bank account), execute and deliver to the Collateral Agent notices, substantially in the form set out in Part 1 of Schedule 4 (</w:t>
      </w:r>
      <w:r>
        <w:rPr>
          <w:rFonts w:ascii="Arial" w:cs="Arial" w:eastAsia="Arial" w:hAnsi="Arial"/>
          <w:sz w:val="18"/>
          <w:szCs w:val="18"/>
          <w:i w:val="1"/>
          <w:iCs w:val="1"/>
          <w:color w:val="auto"/>
        </w:rPr>
        <w:t>Form of Notice of Charge for General Bank Accounts</w:t>
      </w:r>
      <w:r>
        <w:rPr>
          <w:rFonts w:ascii="Arial" w:cs="Arial" w:eastAsia="Arial" w:hAnsi="Arial"/>
          <w:sz w:val="18"/>
          <w:szCs w:val="18"/>
          <w:color w:val="auto"/>
        </w:rPr>
        <w:t xml:space="preserve"> ) or such other form as the Collateral Agent may reasonably require;</w:t>
      </w:r>
    </w:p>
    <w:p>
      <w:pPr>
        <w:spacing w:after="0" w:line="186" w:lineRule="exact"/>
        <w:rPr>
          <w:rFonts w:ascii="Arial" w:cs="Arial" w:eastAsia="Arial" w:hAnsi="Arial"/>
          <w:sz w:val="18"/>
          <w:szCs w:val="18"/>
          <w:color w:val="auto"/>
        </w:rPr>
      </w:pPr>
    </w:p>
    <w:p>
      <w:pPr>
        <w:jc w:val="both"/>
        <w:ind w:left="1300" w:hanging="643"/>
        <w:spacing w:after="0" w:line="259" w:lineRule="auto"/>
        <w:tabs>
          <w:tab w:leader="none" w:pos="130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use its reasonable endeavours to procure that each relevant bank, with whom a General Bank Account is maintained, delivers to the Collateral Agent an acknowledgement in writing substantially in the form attached to such notice provided that if the Company has not been able to obtain such countersignature and acknowledgement, any obligation to comply with this Clause 9.5(b) (</w:t>
      </w:r>
      <w:r>
        <w:rPr>
          <w:rFonts w:ascii="Arial" w:cs="Arial" w:eastAsia="Arial" w:hAnsi="Arial"/>
          <w:sz w:val="18"/>
          <w:szCs w:val="18"/>
          <w:i w:val="1"/>
          <w:iCs w:val="1"/>
          <w:color w:val="auto"/>
        </w:rPr>
        <w:t>General Bank</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shall cease after 180 days of the service of the relevant notice; and</w:t>
      </w:r>
    </w:p>
    <w:p>
      <w:pPr>
        <w:spacing w:after="0" w:line="186" w:lineRule="exact"/>
        <w:rPr>
          <w:rFonts w:ascii="Arial" w:cs="Arial" w:eastAsia="Arial" w:hAnsi="Arial"/>
          <w:sz w:val="18"/>
          <w:szCs w:val="18"/>
          <w:color w:val="auto"/>
        </w:rPr>
      </w:pPr>
    </w:p>
    <w:p>
      <w:pPr>
        <w:jc w:val="both"/>
        <w:ind w:left="1300" w:right="20" w:hanging="643"/>
        <w:spacing w:after="0" w:line="286" w:lineRule="auto"/>
        <w:tabs>
          <w:tab w:leader="none" w:pos="1300" w:val="left"/>
        </w:tabs>
        <w:numPr>
          <w:ilvl w:val="0"/>
          <w:numId w:val="900"/>
        </w:numPr>
        <w:rPr>
          <w:rFonts w:ascii="Arial" w:cs="Arial" w:eastAsia="Arial" w:hAnsi="Arial"/>
          <w:sz w:val="17"/>
          <w:szCs w:val="17"/>
          <w:color w:val="auto"/>
        </w:rPr>
      </w:pPr>
      <w:r>
        <w:rPr>
          <w:rFonts w:ascii="Arial" w:cs="Arial" w:eastAsia="Arial" w:hAnsi="Arial"/>
          <w:sz w:val="17"/>
          <w:szCs w:val="17"/>
          <w:color w:val="auto"/>
        </w:rPr>
        <w:t>save with the prior written consent of the Collateral Agent or as may be permitted under the Loan Agreement, the Company shall not assign or otherwise dispose of any rights, title or interest in any General Bank Account (and no right, title or interest in relation to any such account or credit balance maintained with the Collateral Agent shall be capable of assignment or disposal).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Insurance Policies</w:t>
      </w:r>
    </w:p>
    <w:p>
      <w:pPr>
        <w:spacing w:after="0" w:line="229" w:lineRule="exact"/>
        <w:rPr>
          <w:sz w:val="20"/>
          <w:szCs w:val="20"/>
          <w:color w:val="auto"/>
        </w:rPr>
      </w:pPr>
    </w:p>
    <w:p>
      <w:pPr>
        <w:jc w:val="both"/>
        <w:ind w:left="1300" w:hanging="643"/>
        <w:spacing w:after="0" w:line="259" w:lineRule="auto"/>
        <w:tabs>
          <w:tab w:leader="none" w:pos="130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The Company will, promptly after execution of this Deed (or, if later, within 45 days (or such later date as may be agreed to by the Collateral Agent in its sole discretion) of the Company obtaining new Insurance Policy), execute and deliver to the Collateral Agent (or procure delivery of) a notice of assignment substantially in the form set out in Schedule 6 (</w:t>
      </w:r>
      <w:r>
        <w:rPr>
          <w:rFonts w:ascii="Arial" w:cs="Arial" w:eastAsia="Arial" w:hAnsi="Arial"/>
          <w:sz w:val="18"/>
          <w:szCs w:val="18"/>
          <w:i w:val="1"/>
          <w:iCs w:val="1"/>
          <w:color w:val="auto"/>
        </w:rPr>
        <w:t>Form of Notice of Charge of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respect of each Insurance Policy detailed at Schedule 3 (Insurance</w:t>
      </w:r>
      <w:r>
        <w:rPr>
          <w:rFonts w:ascii="Arial" w:cs="Arial" w:eastAsia="Arial" w:hAnsi="Arial"/>
          <w:sz w:val="18"/>
          <w:szCs w:val="18"/>
          <w:i w:val="1"/>
          <w:iCs w:val="1"/>
          <w:color w:val="auto"/>
        </w:rPr>
        <w:t xml:space="preserve"> Policies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300" w:hanging="643"/>
        <w:spacing w:after="0" w:line="257" w:lineRule="auto"/>
        <w:tabs>
          <w:tab w:leader="none" w:pos="130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In each case, the Company shall use reasonable endeavours to procure that such insurer signs and delivers to the Collateral Agent an acknowledgement substantially in the form set out in Schedule 6 (</w:t>
      </w:r>
      <w:r>
        <w:rPr>
          <w:rFonts w:ascii="Arial" w:cs="Arial" w:eastAsia="Arial" w:hAnsi="Arial"/>
          <w:sz w:val="18"/>
          <w:szCs w:val="18"/>
          <w:i w:val="1"/>
          <w:iCs w:val="1"/>
          <w:color w:val="auto"/>
        </w:rPr>
        <w:t>Form of Notice of Charge of Insurance Policies</w:t>
      </w:r>
      <w:r>
        <w:rPr>
          <w:rFonts w:ascii="Arial" w:cs="Arial" w:eastAsia="Arial" w:hAnsi="Arial"/>
          <w:sz w:val="18"/>
          <w:szCs w:val="18"/>
          <w:color w:val="auto"/>
        </w:rPr>
        <w:t xml:space="preserve">) within twenty Business Days of such service </w:t>
      </w:r>
      <w:r>
        <w:rPr>
          <w:rFonts w:ascii="Arial" w:cs="Arial" w:eastAsia="Arial" w:hAnsi="Arial"/>
          <w:sz w:val="18"/>
          <w:szCs w:val="18"/>
          <w:i w:val="1"/>
          <w:iCs w:val="1"/>
          <w:color w:val="auto"/>
        </w:rPr>
        <w:t>provided that</w:t>
      </w:r>
      <w:r>
        <w:rPr>
          <w:rFonts w:ascii="Arial" w:cs="Arial" w:eastAsia="Arial" w:hAnsi="Arial"/>
          <w:sz w:val="18"/>
          <w:szCs w:val="18"/>
          <w:color w:val="auto"/>
        </w:rPr>
        <w:t>, if the relevant Company has not been able to obtain such acknowledgment from the relevant insurer any obligation to comply with this Clause shall cease twenty Business Days following the date of service of the relevant Notice of Assignment.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41" w:name="page842"/>
    <w:bookmarkEnd w:id="841"/>
    <w:p>
      <w:pPr>
        <w:spacing w:after="0"/>
        <w:tabs>
          <w:tab w:leader="none" w:pos="6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5"/>
          <w:szCs w:val="15"/>
          <w:b w:val="1"/>
          <w:bCs w:val="1"/>
          <w:color w:val="auto"/>
        </w:rPr>
        <w:t>Assigned Agreements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will, promptly after execution of this Deed (or, if later, within 45 days (or such later date as may be agreed to by the Collateral Agent in its sole discretion) of receipt by the Company of an executed copy of any Assigned Agreement) deliver to the Collateral Agent an executed but undated counterparty notice, in the form set out in Schedule 5 (</w:t>
      </w:r>
      <w:r>
        <w:rPr>
          <w:rFonts w:ascii="Arial" w:cs="Arial" w:eastAsia="Arial" w:hAnsi="Arial"/>
          <w:sz w:val="18"/>
          <w:szCs w:val="18"/>
          <w:i w:val="1"/>
          <w:iCs w:val="1"/>
          <w:color w:val="auto"/>
        </w:rPr>
        <w:t>Form of Notice of Charge of Assigned Agreements</w:t>
      </w:r>
      <w:r>
        <w:rPr>
          <w:rFonts w:ascii="Arial" w:cs="Arial" w:eastAsia="Arial" w:hAnsi="Arial"/>
          <w:sz w:val="18"/>
          <w:szCs w:val="18"/>
          <w:color w:val="auto"/>
        </w:rPr>
        <w:t>) and hereby irrevocably authorises the Collateral Agent to serve each such notice of Assigned Agreement on the relevant counterparty upon the occurrence of an Enforcement Event which is continuing.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Charged Book Debts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Without prejudice and in addition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at any time after an Enforcement Event occurs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to the Collateral Agent promptly on reasonable request such documents relating to such of the Book Debts as the Collateral Agent may reasonably specify.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Mortgaged Investments</w:t>
      </w:r>
    </w:p>
    <w:p>
      <w:pPr>
        <w:spacing w:after="0" w:line="229" w:lineRule="exact"/>
        <w:rPr>
          <w:sz w:val="20"/>
          <w:szCs w:val="20"/>
          <w:color w:val="auto"/>
        </w:rPr>
      </w:pPr>
    </w:p>
    <w:p>
      <w:pPr>
        <w:jc w:val="both"/>
        <w:ind w:left="1300" w:hanging="643"/>
        <w:spacing w:after="0" w:line="342" w:lineRule="auto"/>
        <w:tabs>
          <w:tab w:leader="none" w:pos="1300" w:val="left"/>
        </w:tabs>
        <w:numPr>
          <w:ilvl w:val="0"/>
          <w:numId w:val="902"/>
        </w:numPr>
        <w:rPr>
          <w:rFonts w:ascii="Arial" w:cs="Arial" w:eastAsia="Arial" w:hAnsi="Arial"/>
          <w:sz w:val="16"/>
          <w:szCs w:val="16"/>
          <w:color w:val="auto"/>
        </w:rPr>
      </w:pPr>
      <w:r>
        <w:rPr>
          <w:rFonts w:ascii="Arial" w:cs="Arial" w:eastAsia="Arial" w:hAnsi="Arial"/>
          <w:sz w:val="16"/>
          <w:szCs w:val="16"/>
          <w:color w:val="auto"/>
        </w:rPr>
        <w:t>Without prejudice and in addition to the other provisions of this Clause 9 (</w:t>
      </w:r>
      <w:r>
        <w:rPr>
          <w:rFonts w:ascii="Arial" w:cs="Arial" w:eastAsia="Arial" w:hAnsi="Arial"/>
          <w:sz w:val="16"/>
          <w:szCs w:val="16"/>
          <w:i w:val="1"/>
          <w:iCs w:val="1"/>
          <w:color w:val="auto"/>
        </w:rPr>
        <w:t>Covenants relating to Assets – Perfection, Restrictions on</w:t>
      </w:r>
      <w:r>
        <w:rPr>
          <w:rFonts w:ascii="Arial" w:cs="Arial" w:eastAsia="Arial" w:hAnsi="Arial"/>
          <w:sz w:val="16"/>
          <w:szCs w:val="16"/>
          <w:color w:val="auto"/>
        </w:rPr>
        <w:t xml:space="preserve"> </w:t>
      </w:r>
      <w:r>
        <w:rPr>
          <w:rFonts w:ascii="Arial" w:cs="Arial" w:eastAsia="Arial" w:hAnsi="Arial"/>
          <w:sz w:val="16"/>
          <w:szCs w:val="16"/>
          <w:i w:val="1"/>
          <w:iCs w:val="1"/>
          <w:color w:val="auto"/>
        </w:rPr>
        <w:t>Dealings, Protection</w:t>
      </w:r>
      <w:r>
        <w:rPr>
          <w:rFonts w:ascii="Arial" w:cs="Arial" w:eastAsia="Arial" w:hAnsi="Arial"/>
          <w:sz w:val="16"/>
          <w:szCs w:val="16"/>
          <w:color w:val="auto"/>
        </w:rPr>
        <w:t>) and Clause 14 (</w:t>
      </w:r>
      <w:r>
        <w:rPr>
          <w:rFonts w:ascii="Arial" w:cs="Arial" w:eastAsia="Arial" w:hAnsi="Arial"/>
          <w:sz w:val="16"/>
          <w:szCs w:val="16"/>
          <w:i w:val="1"/>
          <w:iCs w:val="1"/>
          <w:color w:val="auto"/>
        </w:rPr>
        <w:t>Further Assurances, Power of Attorney, etc.</w:t>
      </w:r>
      <w:r>
        <w:rPr>
          <w:rFonts w:ascii="Arial" w:cs="Arial" w:eastAsia="Arial" w:hAnsi="Arial"/>
          <w:sz w:val="16"/>
          <w:szCs w:val="16"/>
          <w:color w:val="auto"/>
        </w:rPr>
        <w:t>), the Company shall deposit with the Collateral Agent :</w:t>
      </w:r>
    </w:p>
    <w:p>
      <w:pPr>
        <w:spacing w:after="0" w:line="123" w:lineRule="exact"/>
        <w:rPr>
          <w:rFonts w:ascii="Arial" w:cs="Arial" w:eastAsia="Arial" w:hAnsi="Arial"/>
          <w:sz w:val="16"/>
          <w:szCs w:val="16"/>
          <w:color w:val="auto"/>
        </w:rPr>
      </w:pPr>
    </w:p>
    <w:p>
      <w:pPr>
        <w:jc w:val="both"/>
        <w:ind w:left="1960" w:hanging="654"/>
        <w:spacing w:after="0" w:line="255" w:lineRule="auto"/>
        <w:tabs>
          <w:tab w:leader="none" w:pos="196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transfers of the Mortgaged Investments (or declarations of trust in respect of any Mortgaged Investments not in the Company's sole name) in each case duly completed and executed by the Company or its nominee with the name of the transferee, date and consideration left blank or, if the Collateral Agent so reasonably requires, duly executed by the Company or its nominee in favour of the Collateral Agent (or the Collateral Agent 's nominee) and stamped, and such other documents as the Collateral Agent may reasonably require to enable the Collateral Agent (or the Collateral Agent 's nominee) or, after the occurrence and continuance of an Event of Default, any purchaser, to be registered as the owner of, or otherwise obtain legal title to, the Mortgaged Investments; and</w:t>
      </w:r>
    </w:p>
    <w:p>
      <w:pPr>
        <w:spacing w:after="0" w:line="189" w:lineRule="exact"/>
        <w:rPr>
          <w:rFonts w:ascii="Arial" w:cs="Arial" w:eastAsia="Arial" w:hAnsi="Arial"/>
          <w:sz w:val="18"/>
          <w:szCs w:val="18"/>
          <w:color w:val="auto"/>
        </w:rPr>
      </w:pPr>
    </w:p>
    <w:p>
      <w:pPr>
        <w:jc w:val="both"/>
        <w:ind w:left="1960" w:hanging="654"/>
        <w:spacing w:after="0" w:line="297" w:lineRule="auto"/>
        <w:tabs>
          <w:tab w:leader="none" w:pos="1960" w:val="left"/>
        </w:tabs>
        <w:numPr>
          <w:ilvl w:val="1"/>
          <w:numId w:val="902"/>
        </w:numPr>
        <w:rPr>
          <w:rFonts w:ascii="Arial" w:cs="Arial" w:eastAsia="Arial" w:hAnsi="Arial"/>
          <w:sz w:val="16"/>
          <w:szCs w:val="16"/>
          <w:color w:val="auto"/>
        </w:rPr>
      </w:pPr>
      <w:r>
        <w:rPr>
          <w:rFonts w:ascii="Arial" w:cs="Arial" w:eastAsia="Arial" w:hAnsi="Arial"/>
          <w:sz w:val="16"/>
          <w:szCs w:val="16"/>
          <w:color w:val="auto"/>
        </w:rPr>
        <w:t>in respect of any Mortgaged Investment not held in the Company's name, within 30 days (or such later date as may be agreed to by the Collateral Agent in its sole discretion) after execution of this Deed or if later promptly after it becomes entitled to the relevant Mortgaged Investment, use commercially reasonable endeavours to request an irrevocable power of attorney, expressed to be by way of security and executed and delivered as a deed by the relevant nominee, appointing the Collateral Agent each Receiver and any Delegate the attorney of the holder, in such form as the Collateral Agent may reasonably require.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42" w:name="page843"/>
    <w:bookmarkEnd w:id="842"/>
    <w:p>
      <w:pPr>
        <w:ind w:left="643" w:hanging="643"/>
        <w:spacing w:after="0"/>
        <w:tabs>
          <w:tab w:leader="none" w:pos="643" w:val="left"/>
        </w:tabs>
        <w:numPr>
          <w:ilvl w:val="0"/>
          <w:numId w:val="903"/>
        </w:numPr>
        <w:rPr>
          <w:rFonts w:ascii="Arial" w:cs="Arial" w:eastAsia="Arial" w:hAnsi="Arial"/>
          <w:sz w:val="17"/>
          <w:szCs w:val="17"/>
          <w:color w:val="auto"/>
        </w:rPr>
      </w:pPr>
      <w:r>
        <w:rPr>
          <w:rFonts w:ascii="Arial" w:cs="Arial" w:eastAsia="Arial" w:hAnsi="Arial"/>
          <w:sz w:val="17"/>
          <w:szCs w:val="17"/>
          <w:color w:val="auto"/>
        </w:rPr>
        <w:t>Prior to such time as the Collateral Agent has, following the occurrence and during the continuation of an Enforcement Event:</w:t>
      </w:r>
    </w:p>
    <w:p>
      <w:pPr>
        <w:spacing w:after="0" w:line="236" w:lineRule="exact"/>
        <w:rPr>
          <w:rFonts w:ascii="Arial" w:cs="Arial" w:eastAsia="Arial" w:hAnsi="Arial"/>
          <w:sz w:val="17"/>
          <w:szCs w:val="17"/>
          <w:color w:val="auto"/>
        </w:rPr>
      </w:pPr>
    </w:p>
    <w:p>
      <w:pPr>
        <w:jc w:val="both"/>
        <w:ind w:left="1303" w:hanging="654"/>
        <w:spacing w:after="0" w:line="257" w:lineRule="auto"/>
        <w:tabs>
          <w:tab w:leader="none" w:pos="1303" w:val="left"/>
        </w:tabs>
        <w:numPr>
          <w:ilvl w:val="1"/>
          <w:numId w:val="903"/>
        </w:numPr>
        <w:rPr>
          <w:rFonts w:ascii="Arial" w:cs="Arial" w:eastAsia="Arial" w:hAnsi="Arial"/>
          <w:sz w:val="18"/>
          <w:szCs w:val="18"/>
          <w:color w:val="auto"/>
        </w:rPr>
      </w:pPr>
      <w:r>
        <w:rPr>
          <w:rFonts w:ascii="Arial" w:cs="Arial" w:eastAsia="Arial" w:hAnsi="Arial"/>
          <w:sz w:val="18"/>
          <w:szCs w:val="18"/>
          <w:color w:val="auto"/>
        </w:rPr>
        <w:t>notified the Company in writing that it has elected to exercise voting and other rights relating to the Charged Assets in accordance with the terms of this Deed, all voting and other rights relating to the Mortgaged Investments may be exercised (or not exercised) by the Company as it directs provided that it shall not exercise any such voting rights in a manner which would diminish the effectiveness or enforceability of the Charges created under this Deed in any material respect or restrict the transferability of the Charged Assets by the Collateral Agent or any Receiver; and</w:t>
      </w:r>
    </w:p>
    <w:p>
      <w:pPr>
        <w:spacing w:after="0" w:line="188" w:lineRule="exact"/>
        <w:rPr>
          <w:rFonts w:ascii="Arial" w:cs="Arial" w:eastAsia="Arial" w:hAnsi="Arial"/>
          <w:sz w:val="18"/>
          <w:szCs w:val="18"/>
          <w:color w:val="auto"/>
        </w:rPr>
      </w:pPr>
    </w:p>
    <w:p>
      <w:pPr>
        <w:jc w:val="both"/>
        <w:ind w:left="1303" w:hanging="654"/>
        <w:spacing w:after="0" w:line="264" w:lineRule="auto"/>
        <w:tabs>
          <w:tab w:leader="none" w:pos="1303" w:val="left"/>
        </w:tabs>
        <w:numPr>
          <w:ilvl w:val="1"/>
          <w:numId w:val="903"/>
        </w:numPr>
        <w:rPr>
          <w:rFonts w:ascii="Arial" w:cs="Arial" w:eastAsia="Arial" w:hAnsi="Arial"/>
          <w:sz w:val="18"/>
          <w:szCs w:val="18"/>
          <w:color w:val="auto"/>
        </w:rPr>
      </w:pPr>
      <w:r>
        <w:rPr>
          <w:rFonts w:ascii="Arial" w:cs="Arial" w:eastAsia="Arial" w:hAnsi="Arial"/>
          <w:sz w:val="18"/>
          <w:szCs w:val="18"/>
          <w:color w:val="auto"/>
        </w:rPr>
        <w:t>notified the Company in writing that it has elected to collect any dividends, distributions and other monies in accordance with the terms of this Deed, the Company shall be entitled to receive and retain such dividends, distributions and other monies paid on or derived from its Mortgaged Investments.</w:t>
      </w:r>
    </w:p>
    <w:p>
      <w:pPr>
        <w:spacing w:after="0" w:line="181" w:lineRule="exact"/>
        <w:rPr>
          <w:rFonts w:ascii="Arial" w:cs="Arial" w:eastAsia="Arial" w:hAnsi="Arial"/>
          <w:sz w:val="18"/>
          <w:szCs w:val="18"/>
          <w:color w:val="auto"/>
        </w:rPr>
      </w:pPr>
    </w:p>
    <w:p>
      <w:pPr>
        <w:ind w:left="643" w:hanging="643"/>
        <w:spacing w:after="0"/>
        <w:tabs>
          <w:tab w:leader="none" w:pos="643" w:val="left"/>
        </w:tabs>
        <w:numPr>
          <w:ilvl w:val="0"/>
          <w:numId w:val="903"/>
        </w:numPr>
        <w:rPr>
          <w:rFonts w:ascii="Arial" w:cs="Arial" w:eastAsia="Arial" w:hAnsi="Arial"/>
          <w:sz w:val="18"/>
          <w:szCs w:val="18"/>
          <w:color w:val="auto"/>
        </w:rPr>
      </w:pPr>
      <w:r>
        <w:rPr>
          <w:rFonts w:ascii="Arial" w:cs="Arial" w:eastAsia="Arial" w:hAnsi="Arial"/>
          <w:sz w:val="18"/>
          <w:szCs w:val="18"/>
          <w:color w:val="auto"/>
        </w:rPr>
        <w:t>Following an Enforcement Event:</w:t>
      </w:r>
    </w:p>
    <w:p>
      <w:pPr>
        <w:spacing w:after="0" w:line="225" w:lineRule="exact"/>
        <w:rPr>
          <w:rFonts w:ascii="Arial" w:cs="Arial" w:eastAsia="Arial" w:hAnsi="Arial"/>
          <w:sz w:val="18"/>
          <w:szCs w:val="18"/>
          <w:color w:val="auto"/>
        </w:rPr>
      </w:pPr>
    </w:p>
    <w:p>
      <w:pPr>
        <w:jc w:val="both"/>
        <w:ind w:left="1303" w:hanging="654"/>
        <w:spacing w:after="0" w:line="264" w:lineRule="auto"/>
        <w:tabs>
          <w:tab w:leader="none" w:pos="1303" w:val="left"/>
        </w:tabs>
        <w:numPr>
          <w:ilvl w:val="1"/>
          <w:numId w:val="903"/>
        </w:numPr>
        <w:rPr>
          <w:rFonts w:ascii="Arial" w:cs="Arial" w:eastAsia="Arial" w:hAnsi="Arial"/>
          <w:sz w:val="18"/>
          <w:szCs w:val="18"/>
          <w:color w:val="auto"/>
        </w:rPr>
      </w:pPr>
      <w:r>
        <w:rPr>
          <w:rFonts w:ascii="Arial" w:cs="Arial" w:eastAsia="Arial" w:hAnsi="Arial"/>
          <w:sz w:val="18"/>
          <w:szCs w:val="18"/>
          <w:color w:val="auto"/>
        </w:rPr>
        <w:t>the Collateral Agent or, as the case may be, any Receiver shall, upon written notice to the Company, be entitled to exercise or direct the exercise of or refrain from such exercise all voting and other rights now or at any time relating to the Mortgaged Investments as it or he reasonably sees fit;</w:t>
      </w:r>
    </w:p>
    <w:p>
      <w:pPr>
        <w:spacing w:after="0" w:line="181" w:lineRule="exact"/>
        <w:rPr>
          <w:rFonts w:ascii="Arial" w:cs="Arial" w:eastAsia="Arial" w:hAnsi="Arial"/>
          <w:sz w:val="18"/>
          <w:szCs w:val="18"/>
          <w:color w:val="auto"/>
        </w:rPr>
      </w:pPr>
    </w:p>
    <w:p>
      <w:pPr>
        <w:jc w:val="both"/>
        <w:ind w:left="1303" w:hanging="654"/>
        <w:spacing w:after="0" w:line="257" w:lineRule="auto"/>
        <w:tabs>
          <w:tab w:leader="none" w:pos="1303" w:val="left"/>
        </w:tabs>
        <w:numPr>
          <w:ilvl w:val="1"/>
          <w:numId w:val="903"/>
        </w:numPr>
        <w:rPr>
          <w:rFonts w:ascii="Arial" w:cs="Arial" w:eastAsia="Arial" w:hAnsi="Arial"/>
          <w:sz w:val="18"/>
          <w:szCs w:val="18"/>
          <w:color w:val="auto"/>
        </w:rPr>
      </w:pPr>
      <w:r>
        <w:rPr>
          <w:rFonts w:ascii="Arial" w:cs="Arial" w:eastAsia="Arial" w:hAnsi="Arial"/>
          <w:sz w:val="18"/>
          <w:szCs w:val="18"/>
          <w:color w:val="auto"/>
        </w:rPr>
        <w:t>after receipt by the Company of written notice pursuant to Clause 9.9(c)(i), the Company shall comply or procure the compliance with any reasonable direction of the Collateral Agent or, as the case may be, any Receiver in respect of the exercise of such rights and shall deliver to the Collateral Agent or, as the case may be, any Receiver such forms of proxy or other appropriate forms of authorisation the Collateral Agent or, as the case may be, any Receiver may reasonably require with a view to enabling that person or its nominee to exercise such rights; and</w:t>
      </w:r>
    </w:p>
    <w:p>
      <w:pPr>
        <w:spacing w:after="0" w:line="188" w:lineRule="exact"/>
        <w:rPr>
          <w:rFonts w:ascii="Arial" w:cs="Arial" w:eastAsia="Arial" w:hAnsi="Arial"/>
          <w:sz w:val="18"/>
          <w:szCs w:val="18"/>
          <w:color w:val="auto"/>
        </w:rPr>
      </w:pPr>
    </w:p>
    <w:p>
      <w:pPr>
        <w:jc w:val="both"/>
        <w:ind w:left="1303" w:hanging="654"/>
        <w:spacing w:after="0" w:line="264" w:lineRule="auto"/>
        <w:tabs>
          <w:tab w:leader="none" w:pos="1303" w:val="left"/>
        </w:tabs>
        <w:numPr>
          <w:ilvl w:val="1"/>
          <w:numId w:val="903"/>
        </w:numPr>
        <w:rPr>
          <w:rFonts w:ascii="Arial" w:cs="Arial" w:eastAsia="Arial" w:hAnsi="Arial"/>
          <w:sz w:val="18"/>
          <w:szCs w:val="18"/>
          <w:color w:val="auto"/>
        </w:rPr>
      </w:pPr>
      <w:r>
        <w:rPr>
          <w:rFonts w:ascii="Arial" w:cs="Arial" w:eastAsia="Arial" w:hAnsi="Arial"/>
          <w:sz w:val="18"/>
          <w:szCs w:val="18"/>
          <w:color w:val="auto"/>
        </w:rPr>
        <w:t>the Collateral Agent shall, upon written notice to the Company, be entitled to receive and retain all dividends, interest and other distributions paid in respect of the Mortgaged Investments and apply the same as provided by Clause 18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Moneys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43" w:right="20" w:hanging="643"/>
        <w:spacing w:after="0" w:line="264" w:lineRule="auto"/>
        <w:tabs>
          <w:tab w:leader="none" w:pos="643" w:val="left"/>
        </w:tabs>
        <w:numPr>
          <w:ilvl w:val="0"/>
          <w:numId w:val="903"/>
        </w:numPr>
        <w:rPr>
          <w:rFonts w:ascii="Arial" w:cs="Arial" w:eastAsia="Arial" w:hAnsi="Arial"/>
          <w:sz w:val="18"/>
          <w:szCs w:val="18"/>
          <w:color w:val="auto"/>
        </w:rPr>
      </w:pPr>
      <w:r>
        <w:rPr>
          <w:rFonts w:ascii="Arial" w:cs="Arial" w:eastAsia="Arial" w:hAnsi="Arial"/>
          <w:sz w:val="18"/>
          <w:szCs w:val="18"/>
          <w:color w:val="auto"/>
        </w:rPr>
        <w:t>This Clause 9.7 (</w:t>
      </w:r>
      <w:r>
        <w:rPr>
          <w:rFonts w:ascii="Arial" w:cs="Arial" w:eastAsia="Arial" w:hAnsi="Arial"/>
          <w:sz w:val="18"/>
          <w:szCs w:val="18"/>
          <w:i w:val="1"/>
          <w:iCs w:val="1"/>
          <w:color w:val="auto"/>
        </w:rPr>
        <w:t>Assigned Agreements</w:t>
      </w:r>
      <w:r>
        <w:rPr>
          <w:rFonts w:ascii="Arial" w:cs="Arial" w:eastAsia="Arial" w:hAnsi="Arial"/>
          <w:sz w:val="18"/>
          <w:szCs w:val="18"/>
          <w:color w:val="auto"/>
        </w:rPr>
        <w:t>) shall not apply to those Mortgaged Investments which are held by the Company by way of temporary investments and which the Collateral Agent has agreed in writing shall not be subject to this Clause 9.7 (</w:t>
      </w:r>
      <w:r>
        <w:rPr>
          <w:rFonts w:ascii="Arial" w:cs="Arial" w:eastAsia="Arial" w:hAnsi="Arial"/>
          <w:sz w:val="18"/>
          <w:szCs w:val="18"/>
          <w:i w:val="1"/>
          <w:iCs w:val="1"/>
          <w:color w:val="auto"/>
        </w:rPr>
        <w:t>Assigned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397" w:lineRule="exact"/>
        <w:rPr>
          <w:sz w:val="20"/>
          <w:szCs w:val="20"/>
          <w:color w:val="auto"/>
        </w:rPr>
      </w:pPr>
    </w:p>
    <w:p>
      <w:pPr>
        <w:ind w:left="4883"/>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24662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3"/>
          </w:cols>
          <w:pgMar w:left="977" w:top="936" w:right="339" w:bottom="1440" w:gutter="0" w:footer="0" w:header="0"/>
        </w:sectPr>
      </w:pPr>
    </w:p>
    <w:bookmarkStart w:id="843" w:name="page844"/>
    <w:bookmarkEnd w:id="843"/>
    <w:p>
      <w:pPr>
        <w:spacing w:after="0"/>
        <w:tabs>
          <w:tab w:leader="none" w:pos="64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auto"/>
        </w:rPr>
        <w:t>Intellectual Property Rights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Without prejudice and in addition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the Company shall:</w:t>
      </w:r>
    </w:p>
    <w:p>
      <w:pPr>
        <w:spacing w:after="0" w:line="170" w:lineRule="exact"/>
        <w:rPr>
          <w:sz w:val="20"/>
          <w:szCs w:val="20"/>
          <w:color w:val="auto"/>
        </w:rPr>
      </w:pPr>
    </w:p>
    <w:p>
      <w:pPr>
        <w:ind w:left="1300" w:hanging="643"/>
        <w:spacing w:after="0" w:line="342" w:lineRule="auto"/>
        <w:tabs>
          <w:tab w:leader="none" w:pos="1300" w:val="left"/>
        </w:tabs>
        <w:numPr>
          <w:ilvl w:val="1"/>
          <w:numId w:val="904"/>
        </w:numPr>
        <w:rPr>
          <w:rFonts w:ascii="Arial" w:cs="Arial" w:eastAsia="Arial" w:hAnsi="Arial"/>
          <w:sz w:val="16"/>
          <w:szCs w:val="16"/>
          <w:color w:val="auto"/>
        </w:rPr>
      </w:pPr>
      <w:r>
        <w:rPr>
          <w:rFonts w:ascii="Arial" w:cs="Arial" w:eastAsia="Arial" w:hAnsi="Arial"/>
          <w:sz w:val="16"/>
          <w:szCs w:val="16"/>
          <w:color w:val="auto"/>
        </w:rPr>
        <w:t>promptly on the reasonable request by the Collateral Agent , execute and do all acts, things and documents as the Collateral Agent may reasonably require to record the Collateral Agent 's interest in any registers relating to any of the Intellectual Property Rights; and</w:t>
      </w:r>
    </w:p>
    <w:p>
      <w:pPr>
        <w:spacing w:after="0" w:line="123" w:lineRule="exact"/>
        <w:rPr>
          <w:rFonts w:ascii="Arial" w:cs="Arial" w:eastAsia="Arial" w:hAnsi="Arial"/>
          <w:sz w:val="16"/>
          <w:szCs w:val="16"/>
          <w:color w:val="auto"/>
        </w:rPr>
      </w:pPr>
    </w:p>
    <w:p>
      <w:pPr>
        <w:jc w:val="both"/>
        <w:ind w:left="1300" w:hanging="643"/>
        <w:spacing w:after="0" w:line="264" w:lineRule="auto"/>
        <w:tabs>
          <w:tab w:leader="none" w:pos="1300" w:val="left"/>
        </w:tabs>
        <w:numPr>
          <w:ilvl w:val="1"/>
          <w:numId w:val="904"/>
        </w:numPr>
        <w:rPr>
          <w:rFonts w:ascii="Arial" w:cs="Arial" w:eastAsia="Arial" w:hAnsi="Arial"/>
          <w:sz w:val="18"/>
          <w:szCs w:val="18"/>
          <w:color w:val="auto"/>
        </w:rPr>
      </w:pPr>
      <w:r>
        <w:rPr>
          <w:rFonts w:ascii="Arial" w:cs="Arial" w:eastAsia="Arial" w:hAnsi="Arial"/>
          <w:sz w:val="18"/>
          <w:szCs w:val="18"/>
          <w:color w:val="auto"/>
        </w:rPr>
        <w:t>not, save with the prior written consent of the Collateral Agent or as may be permitted pursuant to the terms of the Loan Agreement, grant any registered user agreement or licence or other right in relation to any such Intellectual Property Rights or permit the use of such Intellectual Property Rights by any person.</w:t>
      </w:r>
    </w:p>
    <w:p>
      <w:pPr>
        <w:spacing w:after="0" w:line="177" w:lineRule="exact"/>
        <w:rPr>
          <w:rFonts w:ascii="Arial" w:cs="Arial" w:eastAsia="Arial" w:hAnsi="Arial"/>
          <w:sz w:val="18"/>
          <w:szCs w:val="18"/>
          <w:color w:val="auto"/>
        </w:rPr>
      </w:pPr>
    </w:p>
    <w:p>
      <w:pPr>
        <w:ind w:left="660" w:hanging="651"/>
        <w:spacing w:after="0"/>
        <w:tabs>
          <w:tab w:leader="none" w:pos="660" w:val="left"/>
        </w:tabs>
        <w:numPr>
          <w:ilvl w:val="0"/>
          <w:numId w:val="905"/>
        </w:numPr>
        <w:rPr>
          <w:rFonts w:ascii="Arial" w:cs="Arial" w:eastAsia="Arial" w:hAnsi="Arial"/>
          <w:sz w:val="18"/>
          <w:szCs w:val="18"/>
          <w:b w:val="1"/>
          <w:bCs w:val="1"/>
          <w:color w:val="auto"/>
        </w:rPr>
      </w:pPr>
      <w:r>
        <w:rPr>
          <w:rFonts w:ascii="Arial" w:cs="Arial" w:eastAsia="Arial" w:hAnsi="Arial"/>
          <w:sz w:val="18"/>
          <w:szCs w:val="18"/>
          <w:b w:val="1"/>
          <w:bCs w:val="1"/>
          <w:color w:val="auto"/>
        </w:rPr>
        <w:t>GENERAL COVENANTS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shall:</w:t>
      </w:r>
    </w:p>
    <w:p>
      <w:pPr>
        <w:spacing w:after="0" w:line="225" w:lineRule="exact"/>
        <w:rPr>
          <w:sz w:val="20"/>
          <w:szCs w:val="20"/>
          <w:color w:val="auto"/>
        </w:rPr>
      </w:pPr>
    </w:p>
    <w:p>
      <w:pPr>
        <w:jc w:val="both"/>
        <w:ind w:left="1300" w:hanging="643"/>
        <w:spacing w:after="0" w:line="264" w:lineRule="auto"/>
        <w:tabs>
          <w:tab w:leader="none" w:pos="1300" w:val="left"/>
        </w:tabs>
        <w:numPr>
          <w:ilvl w:val="1"/>
          <w:numId w:val="906"/>
        </w:numPr>
        <w:rPr>
          <w:rFonts w:ascii="Arial" w:cs="Arial" w:eastAsia="Arial" w:hAnsi="Arial"/>
          <w:sz w:val="18"/>
          <w:szCs w:val="18"/>
          <w:color w:val="auto"/>
        </w:rPr>
      </w:pPr>
      <w:r>
        <w:rPr>
          <w:rFonts w:ascii="Arial" w:cs="Arial" w:eastAsia="Arial" w:hAnsi="Arial"/>
          <w:sz w:val="18"/>
          <w:szCs w:val="18"/>
          <w:color w:val="auto"/>
        </w:rPr>
        <w:t>at any time after an Enforcement Event, promptly give to the Collateral Agent such information and evidence (and in such form) as the Collateral Agent may from time to time reasonably request for the purpose of or with a view to discharging the duties and rights vested in it under and in accordance with this Deed or by operation of law; and</w:t>
      </w:r>
    </w:p>
    <w:p>
      <w:pPr>
        <w:spacing w:after="0" w:line="181" w:lineRule="exact"/>
        <w:rPr>
          <w:rFonts w:ascii="Arial" w:cs="Arial" w:eastAsia="Arial" w:hAnsi="Arial"/>
          <w:sz w:val="18"/>
          <w:szCs w:val="18"/>
          <w:color w:val="auto"/>
        </w:rPr>
      </w:pPr>
    </w:p>
    <w:p>
      <w:pPr>
        <w:ind w:left="1300" w:hanging="643"/>
        <w:spacing w:after="0"/>
        <w:tabs>
          <w:tab w:leader="none" w:pos="1300" w:val="left"/>
        </w:tabs>
        <w:numPr>
          <w:ilvl w:val="1"/>
          <w:numId w:val="906"/>
        </w:numPr>
        <w:rPr>
          <w:rFonts w:ascii="Arial" w:cs="Arial" w:eastAsia="Arial" w:hAnsi="Arial"/>
          <w:sz w:val="18"/>
          <w:szCs w:val="18"/>
          <w:color w:val="auto"/>
        </w:rPr>
      </w:pPr>
      <w:r>
        <w:rPr>
          <w:rFonts w:ascii="Arial" w:cs="Arial" w:eastAsia="Arial" w:hAnsi="Arial"/>
          <w:sz w:val="18"/>
          <w:szCs w:val="18"/>
          <w:color w:val="auto"/>
        </w:rPr>
        <w:t>not have its Centre of Main Interests situated, or permit its Centre of Main Interests to be situated, outside the UK.</w:t>
      </w:r>
    </w:p>
    <w:p>
      <w:pPr>
        <w:spacing w:after="0" w:line="221" w:lineRule="exact"/>
        <w:rPr>
          <w:rFonts w:ascii="Arial" w:cs="Arial" w:eastAsia="Arial" w:hAnsi="Arial"/>
          <w:sz w:val="18"/>
          <w:szCs w:val="18"/>
          <w:color w:val="auto"/>
        </w:rPr>
      </w:pPr>
    </w:p>
    <w:p>
      <w:pPr>
        <w:ind w:left="660" w:hanging="651"/>
        <w:spacing w:after="0"/>
        <w:tabs>
          <w:tab w:leader="none" w:pos="660" w:val="left"/>
        </w:tabs>
        <w:numPr>
          <w:ilvl w:val="0"/>
          <w:numId w:val="907"/>
        </w:numPr>
        <w:rPr>
          <w:rFonts w:ascii="Arial" w:cs="Arial" w:eastAsia="Arial" w:hAnsi="Arial"/>
          <w:sz w:val="18"/>
          <w:szCs w:val="18"/>
          <w:b w:val="1"/>
          <w:bCs w:val="1"/>
          <w:color w:val="auto"/>
        </w:rPr>
      </w:pPr>
      <w:r>
        <w:rPr>
          <w:rFonts w:ascii="Arial" w:cs="Arial" w:eastAsia="Arial" w:hAnsi="Arial"/>
          <w:sz w:val="18"/>
          <w:szCs w:val="18"/>
          <w:b w:val="1"/>
          <w:bCs w:val="1"/>
          <w:color w:val="auto"/>
        </w:rPr>
        <w:t>CRYSTALLISATION OF FLOATING CHARGE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In addition and without prejudice to any other event resulting in crystallisation of the floating charge, but subject to any prohibition or restriction imposed by law, if at any time:</w:t>
      </w:r>
    </w:p>
    <w:p>
      <w:pPr>
        <w:spacing w:after="0" w:line="170" w:lineRule="exact"/>
        <w:rPr>
          <w:sz w:val="20"/>
          <w:szCs w:val="20"/>
          <w:color w:val="auto"/>
        </w:rPr>
      </w:pPr>
    </w:p>
    <w:p>
      <w:pPr>
        <w:ind w:left="1300" w:hanging="643"/>
        <w:spacing w:after="0"/>
        <w:tabs>
          <w:tab w:leader="none" w:pos="130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an Event of Default occurs and is continuing; or</w:t>
      </w:r>
    </w:p>
    <w:p>
      <w:pPr>
        <w:spacing w:after="0" w:line="225" w:lineRule="exact"/>
        <w:rPr>
          <w:rFonts w:ascii="Arial" w:cs="Arial" w:eastAsia="Arial" w:hAnsi="Arial"/>
          <w:sz w:val="18"/>
          <w:szCs w:val="18"/>
          <w:color w:val="auto"/>
        </w:rPr>
      </w:pPr>
    </w:p>
    <w:p>
      <w:pPr>
        <w:ind w:left="1300" w:hanging="643"/>
        <w:spacing w:after="0" w:line="277" w:lineRule="auto"/>
        <w:tabs>
          <w:tab w:leader="none" w:pos="130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the Collateral Agent (acting reasonably) considers that any of the Floating Charged Assets, which is material to the context of the business as a whole, are in danger of being seized or is otherwise in jeopardy,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Collateral Agent may by notice in writing to the Company convert the floating charge created by Clause 6.5 (</w:t>
      </w:r>
      <w:r>
        <w:rPr>
          <w:rFonts w:ascii="Arial" w:cs="Arial" w:eastAsia="Arial" w:hAnsi="Arial"/>
          <w:sz w:val="18"/>
          <w:szCs w:val="18"/>
          <w:i w:val="1"/>
          <w:iCs w:val="1"/>
          <w:color w:val="auto"/>
        </w:rPr>
        <w:t>Floating Charge</w:t>
      </w:r>
      <w:r>
        <w:rPr>
          <w:rFonts w:ascii="Arial" w:cs="Arial" w:eastAsia="Arial" w:hAnsi="Arial"/>
          <w:sz w:val="18"/>
          <w:szCs w:val="18"/>
          <w:color w:val="auto"/>
        </w:rPr>
        <w:t>) into a fixed charge as regards any Floating Charge Assets as may be specified in that notice (and for the avoidance of doubt, in the case of paragraph (b) above, only to the extent that paragraph (b) applies to such Floating Charge Asset).</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addition and without prejudice to any law or other event resulting in crystallisation of the floating charge, but subject to any prohibition or restriction imposed by law, the floating charge created by Clause 6.5 (</w:t>
      </w:r>
      <w:r>
        <w:rPr>
          <w:rFonts w:ascii="Arial" w:cs="Arial" w:eastAsia="Arial" w:hAnsi="Arial"/>
          <w:sz w:val="18"/>
          <w:szCs w:val="18"/>
          <w:i w:val="1"/>
          <w:iCs w:val="1"/>
          <w:color w:val="auto"/>
        </w:rPr>
        <w:t>Floating Charge</w:t>
      </w:r>
      <w:r>
        <w:rPr>
          <w:rFonts w:ascii="Arial" w:cs="Arial" w:eastAsia="Arial" w:hAnsi="Arial"/>
          <w:sz w:val="18"/>
          <w:szCs w:val="18"/>
          <w:color w:val="auto"/>
        </w:rPr>
        <w:t>) shall without notice automatically be converted into a fixed charge over:</w:t>
      </w:r>
    </w:p>
    <w:p>
      <w:pPr>
        <w:spacing w:after="0" w:line="181" w:lineRule="exact"/>
        <w:rPr>
          <w:sz w:val="20"/>
          <w:szCs w:val="20"/>
          <w:color w:val="auto"/>
        </w:rPr>
      </w:pPr>
    </w:p>
    <w:p>
      <w:pPr>
        <w:jc w:val="both"/>
        <w:ind w:left="1300" w:hanging="643"/>
        <w:spacing w:after="0" w:line="259" w:lineRule="auto"/>
        <w:tabs>
          <w:tab w:leader="none" w:pos="130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any Floating Charge Assets which become subject or continue to be subject to any Security Interest in favour of any person other than the Collateral Agent or which is/are the subject of any sale, transfer or other disposition, in either case contrary to the covenants contained in this Deed or any of the other Loan Documents, immediately prior to such actual or purported Security Interest arising or such actual or purported sale, transfer or other disposition being made;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44" w:name="page845"/>
    <w:bookmarkEnd w:id="844"/>
    <w:p>
      <w:pPr>
        <w:ind w:left="1291" w:hanging="643"/>
        <w:spacing w:after="0" w:line="277" w:lineRule="auto"/>
        <w:tabs>
          <w:tab w:leader="none" w:pos="1291" w:val="left"/>
        </w:tabs>
        <w:numPr>
          <w:ilvl w:val="1"/>
          <w:numId w:val="910"/>
        </w:numPr>
        <w:rPr>
          <w:rFonts w:ascii="Arial" w:cs="Arial" w:eastAsia="Arial" w:hAnsi="Arial"/>
          <w:sz w:val="18"/>
          <w:szCs w:val="18"/>
          <w:color w:val="auto"/>
        </w:rPr>
      </w:pPr>
      <w:r>
        <w:rPr>
          <w:rFonts w:ascii="Arial" w:cs="Arial" w:eastAsia="Arial" w:hAnsi="Arial"/>
          <w:sz w:val="18"/>
          <w:szCs w:val="18"/>
          <w:color w:val="auto"/>
        </w:rPr>
        <w:t>any Floating Charge Assets affected by any attachment, distress, execution or other legal process against such Floating Charge Asset, immediately prior to such distress, attachment, execution or other legal process.</w:t>
      </w:r>
    </w:p>
    <w:p>
      <w:pPr>
        <w:spacing w:after="0" w:line="166" w:lineRule="exact"/>
        <w:rPr>
          <w:rFonts w:ascii="Arial" w:cs="Arial" w:eastAsia="Arial" w:hAnsi="Arial"/>
          <w:sz w:val="18"/>
          <w:szCs w:val="18"/>
          <w:color w:val="auto"/>
        </w:rPr>
      </w:pPr>
    </w:p>
    <w:p>
      <w:pPr>
        <w:ind w:left="651" w:hanging="651"/>
        <w:spacing w:after="0"/>
        <w:tabs>
          <w:tab w:leader="none" w:pos="651" w:val="left"/>
        </w:tabs>
        <w:numPr>
          <w:ilvl w:val="0"/>
          <w:numId w:val="911"/>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9" w:lineRule="exact"/>
        <w:rPr>
          <w:sz w:val="20"/>
          <w:szCs w:val="20"/>
          <w:color w:val="auto"/>
        </w:rPr>
      </w:pPr>
    </w:p>
    <w:p>
      <w:pPr>
        <w:jc w:val="both"/>
        <w:ind w:left="651" w:hanging="647"/>
        <w:spacing w:after="0" w:line="277" w:lineRule="auto"/>
        <w:tabs>
          <w:tab w:leader="none" w:pos="631"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security constituted by this Deed shall, subject to any prohibition or restriction imposed by law, become enforceable upon and at any time after an Event of Default occurs and is continuing (an "</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170" w:lineRule="exact"/>
        <w:rPr>
          <w:sz w:val="20"/>
          <w:szCs w:val="20"/>
          <w:color w:val="auto"/>
        </w:rPr>
      </w:pPr>
    </w:p>
    <w:p>
      <w:pPr>
        <w:jc w:val="both"/>
        <w:ind w:left="651" w:hanging="647"/>
        <w:spacing w:after="0" w:line="279" w:lineRule="auto"/>
        <w:tabs>
          <w:tab w:leader="none" w:pos="631"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At any time after an Enforcement Event, the Collateral Agent may (but shall not be obliged to) enforce all or any part of the Charges at such time, on such terms and in such manner as it thinks fit, and take possession of, hold or dispose of all or any part of the Charged Assets, and may (whether or not it has taken possession or appointed a Receiver or Administrator) exercise any rights conferred by the Law of Property Act (as varied or extended by this Deed) on mortgagees or by this Deed or otherwise conferred by law on mortgagees.</w:t>
      </w:r>
    </w:p>
    <w:p>
      <w:pPr>
        <w:spacing w:after="0" w:line="171" w:lineRule="exact"/>
        <w:rPr>
          <w:sz w:val="20"/>
          <w:szCs w:val="20"/>
          <w:color w:val="auto"/>
        </w:rPr>
      </w:pPr>
    </w:p>
    <w:p>
      <w:pPr>
        <w:jc w:val="both"/>
        <w:ind w:left="651" w:hanging="647"/>
        <w:spacing w:after="0" w:line="264" w:lineRule="auto"/>
        <w:tabs>
          <w:tab w:leader="none" w:pos="631"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Without prejudice to the generality of the foregoing, at any time after an Enforcement Event, the Collateral Agent may (but shall not be obliged to) by notice to the company in writing appropriate all or any part of the Charged Assets which constitute financial collateral. If the Collateral Agent exercises such power of appropriation:</w:t>
      </w:r>
    </w:p>
    <w:p>
      <w:pPr>
        <w:spacing w:after="0" w:line="181" w:lineRule="exact"/>
        <w:rPr>
          <w:sz w:val="20"/>
          <w:szCs w:val="20"/>
          <w:color w:val="auto"/>
        </w:rPr>
      </w:pPr>
    </w:p>
    <w:p>
      <w:pPr>
        <w:jc w:val="both"/>
        <w:ind w:left="1291" w:hanging="643"/>
        <w:spacing w:after="0" w:line="279" w:lineRule="auto"/>
        <w:tabs>
          <w:tab w:leader="none" w:pos="1291" w:val="left"/>
        </w:tabs>
        <w:numPr>
          <w:ilvl w:val="0"/>
          <w:numId w:val="912"/>
        </w:numPr>
        <w:rPr>
          <w:rFonts w:ascii="Arial" w:cs="Arial" w:eastAsia="Arial" w:hAnsi="Arial"/>
          <w:sz w:val="17"/>
          <w:szCs w:val="17"/>
          <w:color w:val="auto"/>
        </w:rPr>
      </w:pPr>
      <w:r>
        <w:rPr>
          <w:rFonts w:ascii="Arial" w:cs="Arial" w:eastAsia="Arial" w:hAnsi="Arial"/>
          <w:sz w:val="17"/>
          <w:szCs w:val="17"/>
          <w:color w:val="auto"/>
        </w:rPr>
        <w:t>it shall determine the value of any Charged Asset appropriated which consists of a financial instrument or a Credit Claim as at the time of exercise of that power as the current value of the cash payment which it determines would be received on a sale or other disposal of such Charged Asset effected for payment as soon as reasonably possible after such time. Any such determination shall be made by the Collateral Agent in a commercially reasonable manner (including by way of an independent valuation); and</w:t>
      </w:r>
    </w:p>
    <w:p>
      <w:pPr>
        <w:spacing w:after="0" w:line="171" w:lineRule="exact"/>
        <w:rPr>
          <w:rFonts w:ascii="Arial" w:cs="Arial" w:eastAsia="Arial" w:hAnsi="Arial"/>
          <w:sz w:val="17"/>
          <w:szCs w:val="17"/>
          <w:color w:val="auto"/>
        </w:rPr>
      </w:pPr>
    </w:p>
    <w:p>
      <w:pPr>
        <w:jc w:val="both"/>
        <w:ind w:left="1291" w:hanging="643"/>
        <w:spacing w:after="0" w:line="264" w:lineRule="auto"/>
        <w:tabs>
          <w:tab w:leader="none" w:pos="1291" w:val="left"/>
        </w:tabs>
        <w:numPr>
          <w:ilvl w:val="0"/>
          <w:numId w:val="912"/>
        </w:numPr>
        <w:rPr>
          <w:rFonts w:ascii="Arial" w:cs="Arial" w:eastAsia="Arial" w:hAnsi="Arial"/>
          <w:sz w:val="18"/>
          <w:szCs w:val="18"/>
          <w:color w:val="auto"/>
        </w:rPr>
      </w:pPr>
      <w:r>
        <w:rPr>
          <w:rFonts w:ascii="Arial" w:cs="Arial" w:eastAsia="Arial" w:hAnsi="Arial"/>
          <w:sz w:val="18"/>
          <w:szCs w:val="18"/>
          <w:color w:val="auto"/>
        </w:rPr>
        <w:t>any Charged Asset appropriated which constitutes cash and which is not denominated in dollars shall be valued as if it were converted to dollars at the rate certified by the Collateral Agent to be the spot rate of exchange for the purchase of dollars with the currency of such cash as soon as practicable after the appropriation thereof.</w:t>
      </w:r>
    </w:p>
    <w:p>
      <w:pPr>
        <w:spacing w:after="0" w:line="181" w:lineRule="exact"/>
        <w:rPr>
          <w:sz w:val="20"/>
          <w:szCs w:val="20"/>
          <w:color w:val="auto"/>
        </w:rPr>
      </w:pPr>
    </w:p>
    <w:p>
      <w:pPr>
        <w:jc w:val="both"/>
        <w:ind w:left="651" w:hanging="647"/>
        <w:spacing w:after="0" w:line="264" w:lineRule="auto"/>
        <w:tabs>
          <w:tab w:leader="none" w:pos="631"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exercise by the Collateral Agent of its right of appropriation under Clause 12.3 (</w:t>
      </w:r>
      <w:r>
        <w:rPr>
          <w:rFonts w:ascii="Arial" w:cs="Arial" w:eastAsia="Arial" w:hAnsi="Arial"/>
          <w:sz w:val="18"/>
          <w:szCs w:val="18"/>
          <w:i w:val="1"/>
          <w:iCs w:val="1"/>
          <w:color w:val="auto"/>
        </w:rPr>
        <w:t>Enforcement</w:t>
      </w:r>
      <w:r>
        <w:rPr>
          <w:rFonts w:ascii="Arial" w:cs="Arial" w:eastAsia="Arial" w:hAnsi="Arial"/>
          <w:sz w:val="18"/>
          <w:szCs w:val="18"/>
          <w:color w:val="auto"/>
        </w:rPr>
        <w:t>) of any part of the Charged Assets shall not prejudice or affect any of the Collateral Agent 's rights and remedies in respect of the remainder of the Charged Assets for any Secured Obligations which remain to be paid or discharged.</w:t>
      </w:r>
    </w:p>
    <w:p>
      <w:pPr>
        <w:spacing w:after="0" w:line="177" w:lineRule="exact"/>
        <w:rPr>
          <w:sz w:val="20"/>
          <w:szCs w:val="20"/>
          <w:color w:val="auto"/>
        </w:rPr>
      </w:pPr>
    </w:p>
    <w:p>
      <w:pPr>
        <w:ind w:left="651" w:hanging="651"/>
        <w:spacing w:after="0"/>
        <w:tabs>
          <w:tab w:leader="none" w:pos="651" w:val="left"/>
        </w:tabs>
        <w:numPr>
          <w:ilvl w:val="0"/>
          <w:numId w:val="913"/>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SECURITY, OTHER SECURITY ETC.</w:t>
      </w:r>
    </w:p>
    <w:p>
      <w:pPr>
        <w:spacing w:after="0" w:line="229" w:lineRule="exact"/>
        <w:rPr>
          <w:sz w:val="20"/>
          <w:szCs w:val="20"/>
          <w:color w:val="auto"/>
        </w:rPr>
      </w:pPr>
    </w:p>
    <w:p>
      <w:pPr>
        <w:jc w:val="both"/>
        <w:ind w:left="651" w:hanging="647"/>
        <w:spacing w:after="0" w:line="302" w:lineRule="auto"/>
        <w:tabs>
          <w:tab w:leader="none" w:pos="631"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Clauses 7.1 (</w:t>
      </w:r>
      <w:r>
        <w:rPr>
          <w:rFonts w:ascii="Arial" w:cs="Arial" w:eastAsia="Arial" w:hAnsi="Arial"/>
          <w:sz w:val="16"/>
          <w:szCs w:val="16"/>
          <w:i w:val="1"/>
          <w:iCs w:val="1"/>
          <w:color w:val="auto"/>
        </w:rPr>
        <w:t>Redemption of Security</w:t>
      </w:r>
      <w:r>
        <w:rPr>
          <w:rFonts w:ascii="Arial" w:cs="Arial" w:eastAsia="Arial" w:hAnsi="Arial"/>
          <w:sz w:val="16"/>
          <w:szCs w:val="16"/>
          <w:color w:val="auto"/>
        </w:rPr>
        <w:t>) and 7.2 (</w:t>
      </w:r>
      <w:r>
        <w:rPr>
          <w:rFonts w:ascii="Arial" w:cs="Arial" w:eastAsia="Arial" w:hAnsi="Arial"/>
          <w:sz w:val="16"/>
          <w:szCs w:val="16"/>
          <w:i w:val="1"/>
          <w:iCs w:val="1"/>
          <w:color w:val="auto"/>
        </w:rPr>
        <w:t>Redemption of Security</w:t>
      </w:r>
      <w:r>
        <w:rPr>
          <w:rFonts w:ascii="Arial" w:cs="Arial" w:eastAsia="Arial" w:hAnsi="Arial"/>
          <w:sz w:val="16"/>
          <w:szCs w:val="16"/>
          <w:color w:val="auto"/>
        </w:rPr>
        <w:t>), the Charges, covenants, undertakings and provisions contained in or granted pursuant to this Deed shall remain in full force and effect as a continuing security to the Collateral Agent for the Secured Obligations and shall not be satisfied, discharged or affected by any intermediate payment or settlement of account of all or part of the Secured Obligations (whether any Secured Obligations remain outstanding thereafter) or any other act, event, matter, or thing whatsoever.</w:t>
      </w:r>
    </w:p>
    <w:p>
      <w:pPr>
        <w:spacing w:after="0" w:line="370"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08" w:right="339" w:bottom="1440" w:gutter="0" w:footer="0" w:header="0"/>
        </w:sectPr>
      </w:pPr>
    </w:p>
    <w:bookmarkStart w:id="845" w:name="page846"/>
    <w:bookmarkEnd w:id="845"/>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Charges are cumulative, in addition to and independent of, and shall neither be merged with nor prejudiced by nor in any way exclude or prejudice, any other Security Interest, guarantee, indemnity, right of recourse or any other right whatsoever which the Collateral Agent may now or hereafter hold or have (or would apart from this Deed or the Charges hold or have) from the Company or any other person in respect of any of the Secured Obligations.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restriction on consolidation of mortgages contained in section 93 of the Law of Property Act shall not apply in relation to the Charges.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If the Collateral Agent receives or is deemed to be affected by notice (actual or constructive) of any Security Interest over any Charged Asset or if an Insolvency Event occurs in relation to the Company:</w:t>
      </w:r>
    </w:p>
    <w:p>
      <w:pPr>
        <w:spacing w:after="0" w:line="170" w:lineRule="exact"/>
        <w:rPr>
          <w:sz w:val="20"/>
          <w:szCs w:val="20"/>
          <w:color w:val="auto"/>
        </w:rPr>
      </w:pPr>
    </w:p>
    <w:p>
      <w:pPr>
        <w:jc w:val="both"/>
        <w:ind w:left="1300" w:hanging="643"/>
        <w:spacing w:after="0" w:line="264" w:lineRule="auto"/>
        <w:tabs>
          <w:tab w:leader="none" w:pos="130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the Collateral Agent may open a new account or accounts with or on behalf of the Company (whether or not it allows any existing account to continue) and, if it does not, it shall nevertheless be deemed to have done so at the time it received or was deemed to have received such notice or at the time that the Insolvency Event occurred; and</w:t>
      </w:r>
    </w:p>
    <w:p>
      <w:pPr>
        <w:spacing w:after="0" w:line="181" w:lineRule="exact"/>
        <w:rPr>
          <w:rFonts w:ascii="Arial" w:cs="Arial" w:eastAsia="Arial" w:hAnsi="Arial"/>
          <w:sz w:val="18"/>
          <w:szCs w:val="18"/>
          <w:color w:val="auto"/>
        </w:rPr>
      </w:pPr>
    </w:p>
    <w:p>
      <w:pPr>
        <w:jc w:val="both"/>
        <w:ind w:left="1300" w:hanging="643"/>
        <w:spacing w:after="0" w:line="279" w:lineRule="auto"/>
        <w:tabs>
          <w:tab w:leader="none" w:pos="1300" w:val="left"/>
        </w:tabs>
        <w:numPr>
          <w:ilvl w:val="0"/>
          <w:numId w:val="914"/>
        </w:numPr>
        <w:rPr>
          <w:rFonts w:ascii="Arial" w:cs="Arial" w:eastAsia="Arial" w:hAnsi="Arial"/>
          <w:sz w:val="17"/>
          <w:szCs w:val="17"/>
          <w:color w:val="auto"/>
        </w:rPr>
      </w:pPr>
      <w:r>
        <w:rPr>
          <w:rFonts w:ascii="Arial" w:cs="Arial" w:eastAsia="Arial" w:hAnsi="Arial"/>
          <w:sz w:val="17"/>
          <w:szCs w:val="17"/>
          <w:color w:val="auto"/>
        </w:rPr>
        <w:t>all payments made by the Company to the Collateral Agent after the Collateral Agent received or is deemed to have received such notice or after such Insolvency Event occurred shall be credited or deemed to have been credited to the new account or accounts, and in no circumstances whatsoever shall operate to reduce the Secured Obligations as at the time the Collateral Agent received or was deemed to have received such notice or as at the time that such Insolvency Event occurred.</w:t>
      </w:r>
    </w:p>
    <w:p>
      <w:pPr>
        <w:spacing w:after="0" w:line="17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This Deed shall remain valid and enforceable notwithstanding any change in the name, composition or constitution of the Collateral Agent or the Company or any amalgamation or consolidation by the Collateral Agent or the Company with any other corporation.</w:t>
      </w:r>
    </w:p>
    <w:p>
      <w:pPr>
        <w:spacing w:after="0" w:line="166" w:lineRule="exact"/>
        <w:rPr>
          <w:sz w:val="20"/>
          <w:szCs w:val="20"/>
          <w:color w:val="auto"/>
        </w:rPr>
      </w:pPr>
    </w:p>
    <w:p>
      <w:pPr>
        <w:ind w:left="660" w:hanging="651"/>
        <w:spacing w:after="0"/>
        <w:tabs>
          <w:tab w:leader="none" w:pos="660" w:val="left"/>
        </w:tabs>
        <w:numPr>
          <w:ilvl w:val="0"/>
          <w:numId w:val="915"/>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 POWER OF ATTORNEY, ETC.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shall, at its own cost, promptly take whatever action the Collateral Agent or any Receiver may reasonably require with a view to:</w:t>
      </w:r>
    </w:p>
    <w:p>
      <w:pPr>
        <w:spacing w:after="0" w:line="225" w:lineRule="exact"/>
        <w:rPr>
          <w:sz w:val="20"/>
          <w:szCs w:val="20"/>
          <w:color w:val="auto"/>
        </w:rPr>
      </w:pPr>
    </w:p>
    <w:p>
      <w:pPr>
        <w:ind w:left="1300" w:hanging="643"/>
        <w:spacing w:after="0"/>
        <w:tabs>
          <w:tab w:leader="none" w:pos="13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creating, preserving, perfecting or protecting any of the Charges or the first priority of any of the Charges;</w:t>
      </w:r>
    </w:p>
    <w:p>
      <w:pPr>
        <w:spacing w:after="0" w:line="225" w:lineRule="exact"/>
        <w:rPr>
          <w:rFonts w:ascii="Arial" w:cs="Arial" w:eastAsia="Arial" w:hAnsi="Arial"/>
          <w:sz w:val="18"/>
          <w:szCs w:val="18"/>
          <w:color w:val="auto"/>
        </w:rPr>
      </w:pPr>
    </w:p>
    <w:p>
      <w:pPr>
        <w:ind w:left="1300" w:right="20" w:hanging="643"/>
        <w:spacing w:after="0" w:line="277" w:lineRule="auto"/>
        <w:tabs>
          <w:tab w:leader="none" w:pos="13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facilitating the enforcement of the Security created under this Deed or the exercise of any rights vested in the Collateral Agent or any Receiver in connection with this Deed; or</w:t>
      </w:r>
    </w:p>
    <w:p>
      <w:pPr>
        <w:spacing w:after="0" w:line="170" w:lineRule="exact"/>
        <w:rPr>
          <w:rFonts w:ascii="Arial" w:cs="Arial" w:eastAsia="Arial" w:hAnsi="Arial"/>
          <w:sz w:val="18"/>
          <w:szCs w:val="18"/>
          <w:color w:val="auto"/>
        </w:rPr>
      </w:pPr>
    </w:p>
    <w:p>
      <w:pPr>
        <w:ind w:left="1300" w:right="20" w:hanging="643"/>
        <w:spacing w:after="0" w:line="277" w:lineRule="auto"/>
        <w:tabs>
          <w:tab w:leader="none" w:pos="13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846" w:name="page847"/>
    <w:bookmarkEnd w:id="846"/>
    <w:p>
      <w:pPr>
        <w:jc w:val="both"/>
        <w:ind w:left="651"/>
        <w:spacing w:after="0" w:line="312" w:lineRule="auto"/>
        <w:rPr>
          <w:sz w:val="20"/>
          <w:szCs w:val="20"/>
          <w:color w:val="auto"/>
        </w:rPr>
      </w:pPr>
      <w:r>
        <w:rPr>
          <w:rFonts w:ascii="Arial" w:cs="Arial" w:eastAsia="Arial" w:hAnsi="Arial"/>
          <w:sz w:val="16"/>
          <w:szCs w:val="16"/>
          <w:color w:val="auto"/>
        </w:rPr>
        <w:t>including, without limitation, executing such assignments, transfers and conveyances of the Charged Assets (whether in favour of the Collateral Agent ,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147" w:lineRule="exact"/>
        <w:rPr>
          <w:sz w:val="20"/>
          <w:szCs w:val="20"/>
          <w:color w:val="auto"/>
        </w:rPr>
      </w:pPr>
    </w:p>
    <w:p>
      <w:pPr>
        <w:jc w:val="both"/>
        <w:ind w:left="651" w:hanging="647"/>
        <w:spacing w:after="0" w:line="269" w:lineRule="auto"/>
        <w:tabs>
          <w:tab w:leader="none" w:pos="631"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Company irrevocably and by way of security appoints the Collateral Agent and every Receiver jointly and also severally to be its attorney (with full power to appoint substitutes and to sub-delegate, including power to authorise the person so appointed to make further appointments) on behalf of the Company and in its name or otherwise, and in such manner as the attorney may think fit, after the occurrence of an Enforcement Event, to execute, deliver, perfect and do any deed, document, act or thing (a) which the Collateral Agent or such Receiver (or any such substitute or sub-delegate) may, reasonably consider appropriate in connection with the exercise of any of the rights of the Collateral Agent or such Receiver, or (b) which the Company is obliged to execute or do under this Deed but has not executed or done in a timely manner (including the execution and delivery of mortgages, assignments, transfers or charges or notices or directions in relation to any of the Charged Assets). Without prejudice to the generality of its right to appoint substitutes and to sub-delegate, the Collateral Agent may appoint the Receiver as its substitute or sub-delegate, and any person appointed the substitute or sub-delegate of the Collateral Agent shall, in connection with the exercise of such power of attorney, be the agent of the Company. The Company acknowledges that such power of attorney is as regards the Collateral Agent and any Receiver granted irrevocably and for value to secure proprietary interests in and the performance of obligations owed to the respective donees within the meaning of the Powers of Attorney Act 1971.</w:t>
      </w:r>
    </w:p>
    <w:p>
      <w:pPr>
        <w:spacing w:after="0" w:line="180" w:lineRule="exact"/>
        <w:rPr>
          <w:sz w:val="20"/>
          <w:szCs w:val="20"/>
          <w:color w:val="auto"/>
        </w:rPr>
      </w:pPr>
    </w:p>
    <w:p>
      <w:pPr>
        <w:jc w:val="both"/>
        <w:ind w:left="651" w:hanging="647"/>
        <w:spacing w:after="0" w:line="259" w:lineRule="auto"/>
        <w:tabs>
          <w:tab w:leader="none" w:pos="631"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Company hereby ratifies and confirms and agrees to ratify and confirm whatever any such attorney shall do or purport to do in the exercise or purported exercise of all or any of the rights referred to in this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(save where any such attorney acts with gross negligence or wilful misconduct or otherwise exceeds its rights under this Clause 14 (</w:t>
      </w:r>
      <w:r>
        <w:rPr>
          <w:rFonts w:ascii="Arial" w:cs="Arial" w:eastAsia="Arial" w:hAnsi="Arial"/>
          <w:sz w:val="18"/>
          <w:szCs w:val="18"/>
          <w:i w:val="1"/>
          <w:iCs w:val="1"/>
          <w:color w:val="auto"/>
        </w:rPr>
        <w:t>Further Assurances,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 etc.</w:t>
      </w:r>
      <w:r>
        <w:rPr>
          <w:rFonts w:ascii="Arial" w:cs="Arial" w:eastAsia="Arial" w:hAnsi="Arial"/>
          <w:sz w:val="18"/>
          <w:szCs w:val="18"/>
          <w:color w:val="auto"/>
        </w:rPr>
        <w:t>)).</w:t>
      </w:r>
    </w:p>
    <w:p>
      <w:pPr>
        <w:spacing w:after="0" w:line="187" w:lineRule="exact"/>
        <w:rPr>
          <w:sz w:val="20"/>
          <w:szCs w:val="20"/>
          <w:color w:val="auto"/>
        </w:rPr>
      </w:pPr>
    </w:p>
    <w:p>
      <w:pPr>
        <w:jc w:val="both"/>
        <w:ind w:left="651" w:hanging="647"/>
        <w:spacing w:after="0" w:line="277" w:lineRule="auto"/>
        <w:tabs>
          <w:tab w:leader="none" w:pos="631"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References in Clause 14.1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and Clause 14.2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to the Collateral Agent or the Receiver shall include references to any Delegate.</w:t>
      </w:r>
    </w:p>
    <w:p>
      <w:pPr>
        <w:spacing w:after="0" w:line="166" w:lineRule="exact"/>
        <w:rPr>
          <w:sz w:val="20"/>
          <w:szCs w:val="20"/>
          <w:color w:val="auto"/>
        </w:rPr>
      </w:pPr>
    </w:p>
    <w:p>
      <w:pPr>
        <w:ind w:left="651" w:hanging="651"/>
        <w:spacing w:after="0"/>
        <w:tabs>
          <w:tab w:leader="none" w:pos="651" w:val="left"/>
        </w:tabs>
        <w:numPr>
          <w:ilvl w:val="0"/>
          <w:numId w:val="917"/>
        </w:numPr>
        <w:rPr>
          <w:rFonts w:ascii="Arial" w:cs="Arial" w:eastAsia="Arial" w:hAnsi="Arial"/>
          <w:sz w:val="18"/>
          <w:szCs w:val="18"/>
          <w:b w:val="1"/>
          <w:bCs w:val="1"/>
          <w:color w:val="auto"/>
        </w:rPr>
      </w:pPr>
      <w:r>
        <w:rPr>
          <w:rFonts w:ascii="Arial" w:cs="Arial" w:eastAsia="Arial" w:hAnsi="Arial"/>
          <w:sz w:val="18"/>
          <w:szCs w:val="18"/>
          <w:b w:val="1"/>
          <w:bCs w:val="1"/>
          <w:color w:val="auto"/>
        </w:rPr>
        <w:t>THE COLLATERAL AGENT'S RIGHTS</w:t>
      </w:r>
    </w:p>
    <w:p>
      <w:pPr>
        <w:spacing w:after="0" w:line="229" w:lineRule="exact"/>
        <w:rPr>
          <w:sz w:val="20"/>
          <w:szCs w:val="20"/>
          <w:color w:val="auto"/>
        </w:rPr>
      </w:pPr>
    </w:p>
    <w:p>
      <w:pPr>
        <w:jc w:val="both"/>
        <w:ind w:left="651" w:hanging="647"/>
        <w:spacing w:after="0" w:line="259" w:lineRule="auto"/>
        <w:tabs>
          <w:tab w:leader="none" w:pos="631"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Secured Obligations shall become due for the purposes of section 101 of the Law of Property Act, and the statutory powers of sale and enforcement and of appointing a Receiver which are conferred on the Collateral Agent under that Act (as varied and extended by this Deed) and all other rights of a mortgagee conferred by the Law of Property Act shall be deemed to arise, immediately after execution of and in accordance with this Deed.</w:t>
      </w:r>
    </w:p>
    <w:p>
      <w:pPr>
        <w:spacing w:after="0" w:line="187" w:lineRule="exact"/>
        <w:rPr>
          <w:sz w:val="20"/>
          <w:szCs w:val="20"/>
          <w:color w:val="auto"/>
        </w:rPr>
      </w:pPr>
    </w:p>
    <w:p>
      <w:pPr>
        <w:jc w:val="both"/>
        <w:ind w:left="651" w:right="20" w:hanging="647"/>
        <w:spacing w:after="0" w:line="264" w:lineRule="auto"/>
        <w:tabs>
          <w:tab w:leader="none" w:pos="631"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Section 103 of the Law of Property Act shall not apply to this Deed and upon the occurrence of an Enforcement Event the Charges shall become immediately enforceable and the rights conferred by the Law of Property Act and this Deed immediately exercisable by the Collateral Agent without the restrictions contained in the Law of Property Act.</w:t>
      </w:r>
    </w:p>
    <w:p>
      <w:pPr>
        <w:spacing w:after="0" w:line="397"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09" w:right="339" w:bottom="1440" w:gutter="0" w:footer="0" w:header="0"/>
        </w:sectPr>
      </w:pPr>
    </w:p>
    <w:bookmarkStart w:id="847" w:name="page848"/>
    <w:bookmarkEnd w:id="847"/>
    <w:p>
      <w:pPr>
        <w:jc w:val="both"/>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At any time after an Enforcement Event occurs, the Collateral Agent shall, in addition to the powers of leasing and accepting surrenders of leases conferred by section 99 and 100 of the Law of Property Act, have power to make any lease or agreement to lease at a premium or otherwise, accept surrenders of leases and grant options, in each case on any terms and in any manner the Collateral Agent thinks fit without needing to comply with any restrictions imposed by such sections or otherwise.</w:t>
      </w:r>
    </w:p>
    <w:p>
      <w:pPr>
        <w:spacing w:after="0" w:line="187"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In making any sale or other disposal of any Charged Assets or making any acquisition in exercise of their respective rights, the Collateral Agent or any Receiver may do so for such consideration (including cash, shares, debentures, loan capital or other securities whatsoever, consideration fluctuating according to or dependent on profit or turnover, and consideration whose amount is to be determined by a third party, and whether such consideration is receivable in a lump sum or by instalments) and otherwise on such terms and conditions and in such manner as it or he reasonably thinks fit, and may also grant any option to purchase and effect exchanges.</w:t>
      </w:r>
    </w:p>
    <w:p>
      <w:pPr>
        <w:spacing w:after="0" w:line="173"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The Collateral Agent may at any time delegate to any person either generally or specifically, on such terms and conditions (including power to sub-delegate) and in such manner as the Collateral Agent reasonably thinks fit, any rights (including the power of attorney) from time to time exercisable by the Collateral Agent under or in connection with this Deed. No such delegation shall preclude the subsequent exercise by the Collateral Agent of such right or any subsequent delegation or revocation thereof.</w:t>
      </w:r>
    </w:p>
    <w:p>
      <w:pPr>
        <w:spacing w:after="0" w:line="187"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The Collateral Agent may, at any time and from time to time and without prejudice to the Collateral Agent 's other rights, set off any Secured Obligations (to the extent beneficially owned by the Collateral Agent) against any obligation or liability (matured or not and whether actual or contingent) owing by the Collateral Agent to, or any amount and sum held or received or receivable by it on behalf or to the order of, the Company or to which the Company is beneficially entitled (such rights extending to the set off or transfer of all or any part of any credit balance on any such account, whether or not then due and whatever the place of payment or booking branch, in or towards satisfaction of any Secured Obligations) to the extent permitted under both the Loan Agreement and any applicable Requirements of Law. For that purpose, if any of the Secured Obligations is in a different currency from such obligation, liability, amount or sum (including credit balance), the Collateral Agent may effect any necessary conversion at its then prevailing spot rates of exchange (as conclusively determined by the Collateral Agent) and may pay out any additional sum which the UK or any other governmental or regulatory body of any jurisdiction may require, as a matter of law, the Collateral Agent to pay in respect of such conversion. The Collateral Agent may in its absolute discretion (in good faith) estimate the amount of any liability of the Company which is unascertained or contingent and set off such estimated amount, and no amount shall be payable by the Collateral Agent to the Company unless and until Payment in Full. The Collateral Agent shall not be obliged to exercise any of its rights under this Clause, which shall be without prejudice and in addition to any rights of set-off, combination of accounts, bankers' lien or other right to which it is at any time otherwise entitled (whether by operation of law, contract or otherwise).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48" w:name="page849"/>
    <w:bookmarkEnd w:id="848"/>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81"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If, after the occurrence of an Enforcement Event, the Company for any reason fails to observe or punctually to perform or to procure the observance or punctual performance of any of the obligations expressed to be assumed by it to the Collateral Agent under this Deed, the Collateral Agent shall have the right (but shall not be obliged), on behalf of or in the name of the Company or otherwise, to perform the obligation and to take any steps which the Collateral Agent may reasonably consider appropriate with a view to remedying, or mitigating the consequences of, the failure, but the exercise of this right, or the failure to exercise it, shall in no circumstances prejudice the Collateral Agent 's rights under this Deed or otherwise or constitute the Collateral Agent a mortgagee in possession.</w:t>
      </w:r>
    </w:p>
    <w:p>
      <w:pPr>
        <w:spacing w:after="0" w:line="174" w:lineRule="exact"/>
        <w:rPr>
          <w:sz w:val="20"/>
          <w:szCs w:val="20"/>
          <w:color w:val="auto"/>
        </w:rPr>
      </w:pPr>
    </w:p>
    <w:p>
      <w:pPr>
        <w:ind w:left="660" w:hanging="651"/>
        <w:spacing w:after="0"/>
        <w:tabs>
          <w:tab w:leader="none" w:pos="660" w:val="left"/>
        </w:tabs>
        <w:numPr>
          <w:ilvl w:val="0"/>
          <w:numId w:val="918"/>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ADMINISTRATOR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Paragraph 14 of Schedule B1 to the Insolvency Act applies to the floating charge created hereunder.</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Subject to any relevant provisions of the Insolvency Act, the Collateral Agent may, by any instrument or deed of appointment, appoint one or more persons to be the Administrator of the Company at any time after:</w:t>
      </w:r>
    </w:p>
    <w:p>
      <w:pPr>
        <w:spacing w:after="0" w:line="170" w:lineRule="exact"/>
        <w:rPr>
          <w:sz w:val="20"/>
          <w:szCs w:val="20"/>
          <w:color w:val="auto"/>
        </w:rPr>
      </w:pPr>
    </w:p>
    <w:p>
      <w:pPr>
        <w:ind w:left="1300" w:hanging="643"/>
        <w:spacing w:after="0"/>
        <w:tabs>
          <w:tab w:leader="none" w:pos="13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the occurrence of an Enforcement Event; or</w:t>
      </w:r>
    </w:p>
    <w:p>
      <w:pPr>
        <w:spacing w:after="0" w:line="225" w:lineRule="exact"/>
        <w:rPr>
          <w:rFonts w:ascii="Arial" w:cs="Arial" w:eastAsia="Arial" w:hAnsi="Arial"/>
          <w:sz w:val="18"/>
          <w:szCs w:val="18"/>
          <w:color w:val="auto"/>
        </w:rPr>
      </w:pPr>
    </w:p>
    <w:p>
      <w:pPr>
        <w:ind w:left="1300" w:hanging="643"/>
        <w:spacing w:after="0"/>
        <w:tabs>
          <w:tab w:leader="none" w:pos="13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being requested to do so by the Company; or</w:t>
      </w:r>
    </w:p>
    <w:p>
      <w:pPr>
        <w:spacing w:after="0" w:line="225" w:lineRule="exact"/>
        <w:rPr>
          <w:rFonts w:ascii="Arial" w:cs="Arial" w:eastAsia="Arial" w:hAnsi="Arial"/>
          <w:sz w:val="18"/>
          <w:szCs w:val="18"/>
          <w:color w:val="auto"/>
        </w:rPr>
      </w:pPr>
    </w:p>
    <w:p>
      <w:pPr>
        <w:ind w:left="1300" w:hanging="643"/>
        <w:spacing w:after="0"/>
        <w:tabs>
          <w:tab w:leader="none" w:pos="13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any application having been made to the court for an administration order under the Insolvency Act; or</w:t>
      </w:r>
    </w:p>
    <w:p>
      <w:pPr>
        <w:spacing w:after="0" w:line="225" w:lineRule="exact"/>
        <w:rPr>
          <w:rFonts w:ascii="Arial" w:cs="Arial" w:eastAsia="Arial" w:hAnsi="Arial"/>
          <w:sz w:val="18"/>
          <w:szCs w:val="18"/>
          <w:color w:val="auto"/>
        </w:rPr>
      </w:pPr>
    </w:p>
    <w:p>
      <w:pPr>
        <w:ind w:left="1300" w:right="60" w:hanging="643"/>
        <w:spacing w:after="0" w:line="277" w:lineRule="auto"/>
        <w:tabs>
          <w:tab w:leader="none" w:pos="13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any person having ceased to be an Administrator as a result of any event specified in paragraph 90 of Schedule B1 to the Insolvency Act; or</w:t>
      </w:r>
    </w:p>
    <w:p>
      <w:pPr>
        <w:spacing w:after="0" w:line="170" w:lineRule="exact"/>
        <w:rPr>
          <w:rFonts w:ascii="Arial" w:cs="Arial" w:eastAsia="Arial" w:hAnsi="Arial"/>
          <w:sz w:val="18"/>
          <w:szCs w:val="18"/>
          <w:color w:val="auto"/>
        </w:rPr>
      </w:pPr>
    </w:p>
    <w:p>
      <w:pPr>
        <w:ind w:left="1300" w:right="80" w:hanging="643"/>
        <w:spacing w:after="0" w:line="277" w:lineRule="auto"/>
        <w:tabs>
          <w:tab w:leader="none" w:pos="130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any notice of intention to appoint an Administrator having been given by any person or persons entitled to make such appointment under the Insolvency Act.</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Where any such appointment is made at a time when an Administrator continues in office, the Administrator shall act either jointly or concurrently with the Administrator previously appointed hereunder, as the appointment specifies.</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Subject to any applicable order of the Court, the Collateral Agent may replace any Administrator, or seek an order replacing the Administrator, in any manner allowed by the Insolvency Act.</w:t>
      </w:r>
    </w:p>
    <w:p>
      <w:pPr>
        <w:spacing w:after="0" w:line="170"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Where the Administrator was appointed by the Collateral Agent under paragraph 14 of Schedule B1 to the Insolvency Act, the Collateral Agent may, by notice in writing to the Company, replace the Administrator in accordance with paragraph 92 of Schedule B1 to the Insolvency Act.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849" w:name="page850"/>
    <w:bookmarkEnd w:id="849"/>
    <w:p>
      <w:pPr>
        <w:spacing w:after="0"/>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Every such appointment shall take effect at the time and in the manner specified by the Insolvency Act.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If at any time and by virtue of any such appointment(s) any two or more persons shall hold office as Administrators of the same assets or income, such Administrators may act jointly or concurrently as the appointment specifies so that, if appointed to act concurrently, each one of such Administrators shall be entitled (unless the contrary shall be stated in any of the deed(s) or other instrument(s) appointing them) to exercise all the functions conferred on an Administrator by the Insolvency Act.</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Every such instrument, notice or deed of appointment, and every delegation or appointment by the Collateral Agent in the exercise of any right to delegate its powers herein contained, may be made in writing under the hand of any manager or officer of the Collateral Agent or any other authorised person or of any Delegate.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Every Administrator shall have all the powers of an administrator under the Insolvency Act.</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16.10</w:t>
        <w:tab/>
        <w:t>In exercising his functions hereunder and under the Insolvency Act, the Administrator acts as agent of the Company and does not act as agent of the Collateral Agent .</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16.11</w:t>
        <w:tab/>
        <w:t>Every Administrator shall be entitled to remuneration for his services in the manner fixed by or pursuant to the Insolvency Act or the Insolvency Rules.</w:t>
      </w:r>
    </w:p>
    <w:p>
      <w:pPr>
        <w:spacing w:after="0" w:line="166" w:lineRule="exact"/>
        <w:rPr>
          <w:sz w:val="20"/>
          <w:szCs w:val="20"/>
          <w:color w:val="auto"/>
        </w:rPr>
      </w:pPr>
    </w:p>
    <w:p>
      <w:pPr>
        <w:ind w:left="660" w:hanging="651"/>
        <w:spacing w:after="0"/>
        <w:tabs>
          <w:tab w:leader="none" w:pos="660" w:val="left"/>
        </w:tabs>
        <w:numPr>
          <w:ilvl w:val="0"/>
          <w:numId w:val="920"/>
        </w:numPr>
        <w:rPr>
          <w:rFonts w:ascii="Arial" w:cs="Arial" w:eastAsia="Arial" w:hAnsi="Arial"/>
          <w:sz w:val="18"/>
          <w:szCs w:val="18"/>
          <w:b w:val="1"/>
          <w:bCs w:val="1"/>
          <w:color w:val="auto"/>
        </w:rPr>
      </w:pPr>
      <w:r>
        <w:rPr>
          <w:rFonts w:ascii="Arial" w:cs="Arial" w:eastAsia="Arial" w:hAnsi="Arial"/>
          <w:sz w:val="18"/>
          <w:szCs w:val="18"/>
          <w:b w:val="1"/>
          <w:bCs w:val="1"/>
          <w:color w:val="auto"/>
        </w:rPr>
        <w:t>RECEIVER</w:t>
      </w:r>
    </w:p>
    <w:p>
      <w:pPr>
        <w:spacing w:after="0" w:line="22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None of the restrictions imposed by the Law of Property Act in relation to the appointment of receivers or the giving of notice or otherwise shall apply. At any time and from time to time upon or after request by the Company or the occurrence of an Enforcement Event, the Collateral Agent may, and in addition to all statutory and other powers of appointment or otherwise, by any instrument or deed signed under the hand of any manager or officer of the Collateral Agent or any other authorised person or of any Delegate, appoint such person or persons (including an officer or officers of the Collateral Agent) as it reasonably thinks fit to be Receiver or Receivers (to act jointly and/or severally as the Collateral Agent may specify in the appointment) of (a) any Fixed Charge Asset or Assets, and/or (b) any Floating Charge Asset or Assets, so that each one of such Receivers shall be entitled (unless the contrary shall be stated in any deed(s) or other instrument(s) appointing them) to exercise individually all the powers and discretions conferred on the Receivers. If any Receiver is appointed of only part of the Charged Assets, references to the rights conferred on a Receiver by any provision of this Deed shall be construed as references to that part of the Charged Assets or any part thereof.</w:t>
      </w:r>
    </w:p>
    <w:p>
      <w:pPr>
        <w:spacing w:after="0" w:line="16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The Collateral Agent may appoint any Receiver on any terms the Collateral Agent reasonably thinks fit. The Collateral Agent may by any instrument or deed signed under the hand of any manager or officer of the Collateral Agent or any other authorised person or any Delegate (subject to section 62 of the Insolvency Act) remove a Receiver appointed by it whether or not appointing another in his place, and may also appoint another Receiver to act with any other Receiver or to replace any Receiver who resigns, retires or otherwise ceases to hold office.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50" w:name="page851"/>
    <w:bookmarkEnd w:id="850"/>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exclusion of any part of the Charged Assets from the appointment of any Receiver shall not preclude the Collateral Agent from subsequently extending his appointment (or that of the Receiver replacing him) to that part or appointing another Receiver over any other part of the Charged Assets.</w:t>
      </w:r>
    </w:p>
    <w:p>
      <w:pPr>
        <w:spacing w:after="0" w:line="181"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Any Receiver shall, so far as the law permits, be the agent of the Company and (subject to any restriction or limitation imposed by applicable law) the Company shall be solely responsible for his remuneration and his acts, omissions or defaults and solely liable on any contracts or engagements made, entered into or adopted by him and any losses, liabilities, costs, charges and expenses incurred by him; and in no circumstances whatsoever shall the Collateral Agent be in any way responsible for or incur any liability in connection with any Receiver's acts, omissions, defaults, contracts, engagements, Losses, liabilities, costs, charges, expenses, misconduct, negligence or default, save, in each case, in circumstances where the liability arises as a direct result of the Receiver’s gross negligence or wilful misconduct. If a liquidator of the Company is appointed, the Receiver shall act as principal and not as agent for the Collateral Agent.</w:t>
      </w:r>
    </w:p>
    <w:p>
      <w:pPr>
        <w:spacing w:after="0" w:line="178"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Subject to section 36 of the Insolvency Act, the remuneration of any Receiver may be fixed by the Collateral Agent without being limited to the maximum rate specified by sections 109(6) of the Law of Property Act (and may be or include a commission calculated by reference to the gross amount of all money received or otherwise and may include remuneration in connection with claims, actions or Proceedings made or brought against the Receiver by the Company or any other person or the performance or discharge of any obligation imposed upon him by statute or otherwise), but such remuneration shall be payable by the Company alone; and the amount of such remuneration may be debited by the Collateral Agent from any account of the Company but shall, in any event, form part of the Secured Obligations and accordingly be secured on the Charged Assets under the Charges. Such remuneration shall be paid on such terms and in such manner as the Collateral Agent and Receiver may from time to time reasonably agree or failing such agreement as the Collateral Agent reasonably determines.</w:t>
      </w:r>
    </w:p>
    <w:p>
      <w:pPr>
        <w:spacing w:after="0" w:line="16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Any Receiver may be invested by the Collateral Agent with such of the powers, authorities and discretions exercisable by the Collateral Agent under this Deed as the Collateral Agent may reasonably think fit. Without prejudice to the generality of the foregoing, any Receiver shall (subject to any restrictions in his appointment) have in relation to the Relevant Charged Assets, in each case in the Company's name or his own name and on such terms and in such manner as he sees fit, all the rights referred to in Schedule 1 (and where applicable Schedule 2) of the Insolvency Act; all rights of the Collateral Agent under this Deed; all the rights conferred by the Law of Property Act on mortgagors, mortgagees in possession and receivers appointed under the Law of Property Act; all rights of an absolute beneficial owner including rights to do or omit to do anything the Company itself could do or omit; and all rights to do all things the Receiver considers necessary, desirable or incidental to any of his rights or exercise thereof including the realisation of any Relevant Charged Assets and getting in of any Assets which would when got in be Relevant Charged Assets.</w:t>
      </w:r>
    </w:p>
    <w:p>
      <w:pPr>
        <w:spacing w:after="0" w:line="197" w:lineRule="exact"/>
        <w:rPr>
          <w:sz w:val="20"/>
          <w:szCs w:val="20"/>
          <w:color w:val="auto"/>
        </w:rPr>
      </w:pPr>
    </w:p>
    <w:p>
      <w:pPr>
        <w:jc w:val="both"/>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The Collateral Agent shall not (save only to the extent caused by its own negligence, fraud, wilful misconduct, breach of trust or breach of any obligation of the Collateral Agent hereunder) be liable for any losses or damages arising from any exercise of his authorities, powers or discretions by any Receiver.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36" w:right="339" w:bottom="1440" w:gutter="0" w:footer="0" w:header="0"/>
        </w:sectPr>
      </w:pPr>
    </w:p>
    <w:bookmarkStart w:id="851" w:name="page852"/>
    <w:bookmarkEnd w:id="851"/>
    <w:p>
      <w:pPr>
        <w:jc w:val="both"/>
        <w:ind w:left="651" w:hanging="647"/>
        <w:spacing w:after="0" w:line="264" w:lineRule="auto"/>
        <w:tabs>
          <w:tab w:leader="none" w:pos="631"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The Collateral Agent may from time to time and at any time require any Receiver to give security for the due performance of his duties as such Receiver and may fix the nature and amount of the security to be so given but the Collateral Agent shall not be bound in any case to require any such security.</w:t>
      </w:r>
    </w:p>
    <w:p>
      <w:pPr>
        <w:spacing w:after="0" w:line="177" w:lineRule="exact"/>
        <w:rPr>
          <w:sz w:val="20"/>
          <w:szCs w:val="20"/>
          <w:color w:val="auto"/>
        </w:rPr>
      </w:pPr>
    </w:p>
    <w:p>
      <w:pPr>
        <w:ind w:left="651" w:hanging="651"/>
        <w:spacing w:after="0"/>
        <w:tabs>
          <w:tab w:leader="none" w:pos="651" w:val="left"/>
        </w:tabs>
        <w:numPr>
          <w:ilvl w:val="0"/>
          <w:numId w:val="921"/>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MONEYS</w:t>
      </w:r>
    </w:p>
    <w:p>
      <w:pPr>
        <w:spacing w:after="0" w:line="229" w:lineRule="exact"/>
        <w:rPr>
          <w:rFonts w:ascii="Arial" w:cs="Arial" w:eastAsia="Arial" w:hAnsi="Arial"/>
          <w:sz w:val="18"/>
          <w:szCs w:val="18"/>
          <w:b w:val="1"/>
          <w:bCs w:val="1"/>
          <w:color w:val="auto"/>
        </w:rPr>
      </w:pPr>
    </w:p>
    <w:p>
      <w:pPr>
        <w:ind w:left="65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moneys realised, received or recovered by the Collateral Agent or any Receiver shall be applied in accordance with the terms of the Loan Agreement.</w:t>
      </w:r>
    </w:p>
    <w:p>
      <w:pPr>
        <w:spacing w:after="0" w:line="166" w:lineRule="exact"/>
        <w:rPr>
          <w:rFonts w:ascii="Arial" w:cs="Arial" w:eastAsia="Arial" w:hAnsi="Arial"/>
          <w:sz w:val="18"/>
          <w:szCs w:val="18"/>
          <w:b w:val="1"/>
          <w:bCs w:val="1"/>
          <w:color w:val="auto"/>
        </w:rPr>
      </w:pPr>
    </w:p>
    <w:p>
      <w:pPr>
        <w:ind w:left="651" w:hanging="651"/>
        <w:spacing w:after="0"/>
        <w:tabs>
          <w:tab w:leader="none" w:pos="651" w:val="left"/>
        </w:tabs>
        <w:numPr>
          <w:ilvl w:val="0"/>
          <w:numId w:val="921"/>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THIRD PARTIES</w:t>
      </w:r>
    </w:p>
    <w:p>
      <w:pPr>
        <w:spacing w:after="0" w:line="229" w:lineRule="exact"/>
        <w:rPr>
          <w:sz w:val="20"/>
          <w:szCs w:val="20"/>
          <w:color w:val="auto"/>
        </w:rPr>
      </w:pPr>
    </w:p>
    <w:p>
      <w:pPr>
        <w:jc w:val="both"/>
        <w:ind w:left="651" w:hanging="647"/>
        <w:spacing w:after="0" w:line="279" w:lineRule="auto"/>
        <w:tabs>
          <w:tab w:leader="none" w:pos="631"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Without prejudice to any other provision of this Deed, the Secured Obligations shall become due for the purposes of section 101 of the Law of Property Act, and the statutory powers of sale and enforcement and of appointing a Receiver which are conferred upon the Collateral Agent (as varied and extended by this Deed) and all other rights of a mortgagee conferred by the Law of Property Act shall in favour of any purchaser be deemed to arise and be exercisable, immediately after the execution of and in accordance with this Deed.</w:t>
      </w:r>
    </w:p>
    <w:p>
      <w:pPr>
        <w:spacing w:after="0" w:line="171" w:lineRule="exact"/>
        <w:rPr>
          <w:sz w:val="20"/>
          <w:szCs w:val="20"/>
          <w:color w:val="auto"/>
        </w:rPr>
      </w:pPr>
    </w:p>
    <w:p>
      <w:pPr>
        <w:jc w:val="both"/>
        <w:ind w:left="651" w:hanging="647"/>
        <w:spacing w:after="0" w:line="289" w:lineRule="auto"/>
        <w:tabs>
          <w:tab w:leader="none" w:pos="631"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No purchaser from, or other person dealing with, the Collateral Agent , any Receiver or any Delegate shall be concerned to enquire whether any event has happened upon which any of the rights which they have exercised or purported to exercise under or in connection with this Deed, the Law of Property Act or the Insolvency Act has arisen or become exercisable, whether the Secured Obligations remain outstanding, whether any event has happened to authorise the Collateral Agent , any Receiver or any Delegate to act, or whether the Receiver is authorised to act, whether any consents, regulations, restrictions or directions relating to such rights have been obtained or complied with, or otherwise as to the propriety, regularity or validity of the exercise or purported exercise of any such right or as to the application of any moneys borrowed or raised or other realisation proceeds; and the title and position of a purchaser or such person shall not be impeachable by reference to any of those matters and the protections contained in sections 104 to 107 of the Law of Property Act, section 42(3) Insolvency Act or any other legislation from time to time in force shall apply to any person purchasing from or dealing with a Receiver, the Collateral Agent or any Delegate.</w:t>
      </w:r>
    </w:p>
    <w:p>
      <w:pPr>
        <w:spacing w:after="0" w:line="167" w:lineRule="exact"/>
        <w:rPr>
          <w:sz w:val="20"/>
          <w:szCs w:val="20"/>
          <w:color w:val="auto"/>
        </w:rPr>
      </w:pPr>
    </w:p>
    <w:p>
      <w:pPr>
        <w:jc w:val="both"/>
        <w:ind w:left="651" w:hanging="647"/>
        <w:spacing w:after="0" w:line="342" w:lineRule="auto"/>
        <w:tabs>
          <w:tab w:leader="none" w:pos="631"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receipt of the Collateral Agent or the Receiver or any Delegate shall be an absolute and conclusive discharge to a purchaser or such person and shall relieve him of any obligation to see to the application of any moneys paid to or by the direction of the Collateral Agent or the Receiver.</w:t>
      </w:r>
    </w:p>
    <w:p>
      <w:pPr>
        <w:spacing w:after="0" w:line="124" w:lineRule="exact"/>
        <w:rPr>
          <w:sz w:val="20"/>
          <w:szCs w:val="20"/>
          <w:color w:val="auto"/>
        </w:rPr>
      </w:pPr>
    </w:p>
    <w:p>
      <w:pPr>
        <w:jc w:val="both"/>
        <w:ind w:left="651" w:hanging="647"/>
        <w:spacing w:after="0" w:line="277" w:lineRule="auto"/>
        <w:tabs>
          <w:tab w:leader="none" w:pos="631"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Clauses 19.1 (</w:t>
      </w:r>
      <w:r>
        <w:rPr>
          <w:rFonts w:ascii="Arial" w:cs="Arial" w:eastAsia="Arial" w:hAnsi="Arial"/>
          <w:sz w:val="18"/>
          <w:szCs w:val="18"/>
          <w:i w:val="1"/>
          <w:iCs w:val="1"/>
          <w:color w:val="auto"/>
        </w:rPr>
        <w:t>Protection of Third Parties</w:t>
      </w:r>
      <w:r>
        <w:rPr>
          <w:rFonts w:ascii="Arial" w:cs="Arial" w:eastAsia="Arial" w:hAnsi="Arial"/>
          <w:sz w:val="18"/>
          <w:szCs w:val="18"/>
          <w:color w:val="auto"/>
        </w:rPr>
        <w:t>) to 19.3 (</w:t>
      </w:r>
      <w:r>
        <w:rPr>
          <w:rFonts w:ascii="Arial" w:cs="Arial" w:eastAsia="Arial" w:hAnsi="Arial"/>
          <w:sz w:val="18"/>
          <w:szCs w:val="18"/>
          <w:i w:val="1"/>
          <w:iCs w:val="1"/>
          <w:color w:val="auto"/>
        </w:rPr>
        <w:t>Protection of Third Parties</w:t>
      </w:r>
      <w:r>
        <w:rPr>
          <w:rFonts w:ascii="Arial" w:cs="Arial" w:eastAsia="Arial" w:hAnsi="Arial"/>
          <w:sz w:val="18"/>
          <w:szCs w:val="18"/>
          <w:color w:val="auto"/>
        </w:rPr>
        <w:t>) above, "purchaser" includes any person acquiring a lease of or Security Interest over, or any other interest or right whatsoever in respect of, any Charged Assets.</w:t>
      </w:r>
    </w:p>
    <w:p>
      <w:pPr>
        <w:spacing w:after="0" w:line="166" w:lineRule="exact"/>
        <w:rPr>
          <w:sz w:val="20"/>
          <w:szCs w:val="20"/>
          <w:color w:val="auto"/>
        </w:rPr>
      </w:pPr>
    </w:p>
    <w:p>
      <w:pPr>
        <w:ind w:left="651" w:hanging="651"/>
        <w:spacing w:after="0"/>
        <w:tabs>
          <w:tab w:leader="none" w:pos="651" w:val="left"/>
        </w:tabs>
        <w:numPr>
          <w:ilvl w:val="0"/>
          <w:numId w:val="922"/>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COLLATERAL AGENT AND RECEIVER</w:t>
      </w:r>
    </w:p>
    <w:p>
      <w:pPr>
        <w:spacing w:after="0" w:line="229" w:lineRule="exact"/>
        <w:rPr>
          <w:sz w:val="20"/>
          <w:szCs w:val="20"/>
          <w:color w:val="auto"/>
        </w:rPr>
      </w:pPr>
    </w:p>
    <w:p>
      <w:pPr>
        <w:ind w:left="651" w:hanging="647"/>
        <w:spacing w:after="0" w:line="342" w:lineRule="auto"/>
        <w:tabs>
          <w:tab w:leader="none" w:pos="631"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In no circumstances (whether by reason of the creation of the Charges or the entry into or taking possession of any Charged Assets or for any other reason whatsoever and whether as mortgagee in possession or on any basis whatsoever) shall the Collateral Agent or any Receiver:</w:t>
      </w:r>
    </w:p>
    <w:p>
      <w:pPr>
        <w:spacing w:after="0" w:line="340"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09" w:right="339" w:bottom="1440" w:gutter="0" w:footer="0" w:header="0"/>
        </w:sectPr>
      </w:pPr>
    </w:p>
    <w:bookmarkStart w:id="852" w:name="page853"/>
    <w:bookmarkEnd w:id="852"/>
    <w:p>
      <w:pPr>
        <w:jc w:val="both"/>
        <w:ind w:left="1291" w:hanging="643"/>
        <w:spacing w:after="0" w:line="293" w:lineRule="auto"/>
        <w:tabs>
          <w:tab w:leader="none" w:pos="1291" w:val="left"/>
        </w:tabs>
        <w:numPr>
          <w:ilvl w:val="0"/>
          <w:numId w:val="923"/>
        </w:numPr>
        <w:rPr>
          <w:rFonts w:ascii="Arial" w:cs="Arial" w:eastAsia="Arial" w:hAnsi="Arial"/>
          <w:sz w:val="16"/>
          <w:szCs w:val="16"/>
          <w:color w:val="auto"/>
        </w:rPr>
      </w:pPr>
      <w:r>
        <w:rPr>
          <w:rFonts w:ascii="Arial" w:cs="Arial" w:eastAsia="Arial" w:hAnsi="Arial"/>
          <w:sz w:val="16"/>
          <w:szCs w:val="16"/>
          <w:color w:val="auto"/>
        </w:rPr>
        <w:t>be liable to the Company or any other person in respect of any cost, charge, expense, liability, Loss or damage arising out of the exercise, or attempted or purported exercise of, or the failure to exercise, any of their respective rights in accordance with this Deed, or arising out of the realisation of any Charged Assets or the manner thereof or arising out of any act, default, omission or misconduct of the Collateral Agent or any Receiver in relation to the Charged Assets or otherwise in connection with this Deed, save only to the extent such cost, charge, expense, liability, Loss or damage has been found by a final non-appealable judgment of a court of competent jurisdiction to have been incurred by reason of its or his own gross negligence, wilful misconduct or unlawful conduct; or</w:t>
      </w:r>
    </w:p>
    <w:p>
      <w:pPr>
        <w:spacing w:after="0" w:line="164" w:lineRule="exact"/>
        <w:rPr>
          <w:rFonts w:ascii="Arial" w:cs="Arial" w:eastAsia="Arial" w:hAnsi="Arial"/>
          <w:sz w:val="16"/>
          <w:szCs w:val="16"/>
          <w:color w:val="auto"/>
        </w:rPr>
      </w:pPr>
    </w:p>
    <w:p>
      <w:pPr>
        <w:jc w:val="both"/>
        <w:ind w:left="1291" w:hanging="643"/>
        <w:spacing w:after="0" w:line="264" w:lineRule="auto"/>
        <w:tabs>
          <w:tab w:leader="none" w:pos="1291" w:val="left"/>
        </w:tabs>
        <w:numPr>
          <w:ilvl w:val="0"/>
          <w:numId w:val="923"/>
        </w:numPr>
        <w:rPr>
          <w:rFonts w:ascii="Arial" w:cs="Arial" w:eastAsia="Arial" w:hAnsi="Arial"/>
          <w:sz w:val="18"/>
          <w:szCs w:val="18"/>
          <w:color w:val="auto"/>
        </w:rPr>
      </w:pPr>
      <w:r>
        <w:rPr>
          <w:rFonts w:ascii="Arial" w:cs="Arial" w:eastAsia="Arial" w:hAnsi="Arial"/>
          <w:sz w:val="18"/>
          <w:szCs w:val="18"/>
          <w:color w:val="auto"/>
        </w:rPr>
        <w:t>be liable to account to the Company or any other person for anything in connection with this Deed except (after Payment in Full) the Collateral Agent 's or Receiver's own actual receipts which have not been paid or distributed to the Company or to any other person who at the time of payment the Collateral Agent or Receiver as the case may be was entitled thereto.</w:t>
      </w:r>
    </w:p>
    <w:p>
      <w:pPr>
        <w:spacing w:after="0" w:line="181" w:lineRule="exact"/>
        <w:rPr>
          <w:sz w:val="20"/>
          <w:szCs w:val="20"/>
          <w:color w:val="auto"/>
        </w:rPr>
      </w:pPr>
    </w:p>
    <w:p>
      <w:pPr>
        <w:jc w:val="both"/>
        <w:ind w:left="651" w:right="20"/>
        <w:spacing w:after="0" w:line="264" w:lineRule="auto"/>
        <w:rPr>
          <w:sz w:val="20"/>
          <w:szCs w:val="20"/>
          <w:color w:val="auto"/>
        </w:rPr>
      </w:pPr>
      <w:r>
        <w:rPr>
          <w:rFonts w:ascii="Arial" w:cs="Arial" w:eastAsia="Arial" w:hAnsi="Arial"/>
          <w:sz w:val="18"/>
          <w:szCs w:val="18"/>
          <w:color w:val="auto"/>
        </w:rPr>
        <w:t>For the avoidance of doubt, neither the Collateral Agent nor any Receiver shall by virtue of this Clause 20.1 (</w:t>
      </w:r>
      <w:r>
        <w:rPr>
          <w:rFonts w:ascii="Arial" w:cs="Arial" w:eastAsia="Arial" w:hAnsi="Arial"/>
          <w:sz w:val="18"/>
          <w:szCs w:val="18"/>
          <w:i w:val="1"/>
          <w:iCs w:val="1"/>
          <w:color w:val="auto"/>
        </w:rPr>
        <w:t>Protection of Collateral Agent and</w:t>
      </w:r>
      <w:r>
        <w:rPr>
          <w:rFonts w:ascii="Arial" w:cs="Arial" w:eastAsia="Arial" w:hAnsi="Arial"/>
          <w:sz w:val="18"/>
          <w:szCs w:val="18"/>
          <w:color w:val="auto"/>
        </w:rPr>
        <w:t xml:space="preserve"> </w:t>
      </w:r>
      <w:r>
        <w:rPr>
          <w:rFonts w:ascii="Arial" w:cs="Arial" w:eastAsia="Arial" w:hAnsi="Arial"/>
          <w:sz w:val="18"/>
          <w:szCs w:val="18"/>
          <w:i w:val="1"/>
          <w:iCs w:val="1"/>
          <w:color w:val="auto"/>
        </w:rPr>
        <w:t>Receiver</w:t>
      </w:r>
      <w:r>
        <w:rPr>
          <w:rFonts w:ascii="Arial" w:cs="Arial" w:eastAsia="Arial" w:hAnsi="Arial"/>
          <w:sz w:val="18"/>
          <w:szCs w:val="18"/>
          <w:color w:val="auto"/>
        </w:rPr>
        <w:t>) owe any duty of care or other duty to any person which it would not owe absent this Clause 20.1 (</w:t>
      </w:r>
      <w:r>
        <w:rPr>
          <w:rFonts w:ascii="Arial" w:cs="Arial" w:eastAsia="Arial" w:hAnsi="Arial"/>
          <w:sz w:val="18"/>
          <w:szCs w:val="18"/>
          <w:i w:val="1"/>
          <w:iCs w:val="1"/>
          <w:color w:val="auto"/>
        </w:rPr>
        <w:t>Protection of Collateral Agent and Receiver</w:t>
      </w:r>
      <w:r>
        <w:rPr>
          <w:rFonts w:ascii="Arial" w:cs="Arial" w:eastAsia="Arial" w:hAnsi="Arial"/>
          <w:sz w:val="18"/>
          <w:szCs w:val="18"/>
          <w:color w:val="auto"/>
        </w:rPr>
        <w:t>).</w:t>
      </w:r>
    </w:p>
    <w:p>
      <w:pPr>
        <w:spacing w:after="0" w:line="181" w:lineRule="exact"/>
        <w:rPr>
          <w:sz w:val="20"/>
          <w:szCs w:val="20"/>
          <w:color w:val="auto"/>
        </w:rPr>
      </w:pPr>
    </w:p>
    <w:p>
      <w:pPr>
        <w:jc w:val="both"/>
        <w:ind w:left="651" w:hanging="647"/>
        <w:spacing w:after="0" w:line="273" w:lineRule="auto"/>
        <w:tabs>
          <w:tab w:leader="none" w:pos="631"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Without prejudice to Clause 20.1 (</w:t>
      </w:r>
      <w:r>
        <w:rPr>
          <w:rFonts w:ascii="Arial" w:cs="Arial" w:eastAsia="Arial" w:hAnsi="Arial"/>
          <w:sz w:val="17"/>
          <w:szCs w:val="17"/>
          <w:i w:val="1"/>
          <w:iCs w:val="1"/>
          <w:color w:val="auto"/>
        </w:rPr>
        <w:t>Protection of Collateral Agent and Receiver</w:t>
      </w:r>
      <w:r>
        <w:rPr>
          <w:rFonts w:ascii="Arial" w:cs="Arial" w:eastAsia="Arial" w:hAnsi="Arial"/>
          <w:sz w:val="17"/>
          <w:szCs w:val="17"/>
          <w:color w:val="auto"/>
        </w:rPr>
        <w:t>), so far as permitted by law the entry into possession of any of the Charged Assets (including by an Administrator) shall not render the Collateral Agent or any Receiver liable to account as mortgagee in possession or to be liable for any Loss on realisation or for any default or omission for which a mortgagee in possession might otherwise be liable in respect of any of the Charged Assets; and if the Collateral Agent or any Receiver takes possession of the Charged Assets, it or he may at any time relinquish such possession. In particular without prejudice to the generality of the foregoing the Collateral Agent shall not become liable as mortgagee in possession by reason of viewing the state of repair or repairing any of the Company's Assets.</w:t>
      </w:r>
    </w:p>
    <w:p>
      <w:pPr>
        <w:spacing w:after="0" w:line="178" w:lineRule="exact"/>
        <w:rPr>
          <w:sz w:val="20"/>
          <w:szCs w:val="20"/>
          <w:color w:val="auto"/>
        </w:rPr>
      </w:pPr>
    </w:p>
    <w:p>
      <w:pPr>
        <w:jc w:val="both"/>
        <w:ind w:left="651" w:hanging="647"/>
        <w:spacing w:after="0" w:line="308" w:lineRule="auto"/>
        <w:tabs>
          <w:tab w:leader="none" w:pos="631"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color w:val="auto"/>
        </w:rPr>
        <w:t>The preceding provisions of this Clause 20 (</w:t>
      </w:r>
      <w:r>
        <w:rPr>
          <w:rFonts w:ascii="Arial" w:cs="Arial" w:eastAsia="Arial" w:hAnsi="Arial"/>
          <w:sz w:val="17"/>
          <w:szCs w:val="17"/>
          <w:i w:val="1"/>
          <w:iCs w:val="1"/>
          <w:color w:val="auto"/>
        </w:rPr>
        <w:t>Protection of Collateral Agent and Receiver</w:t>
      </w:r>
      <w:r>
        <w:rPr>
          <w:rFonts w:ascii="Arial" w:cs="Arial" w:eastAsia="Arial" w:hAnsi="Arial"/>
          <w:sz w:val="17"/>
          <w:szCs w:val="17"/>
          <w:color w:val="auto"/>
        </w:rPr>
        <w:t xml:space="preserve">) applying to the Collateral Agent or any Receiver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Delegate and to any officer, employee or agent of the Collateral Agent , any Receiver and any Delegate.</w:t>
      </w:r>
    </w:p>
    <w:p>
      <w:pPr>
        <w:spacing w:after="0" w:line="143" w:lineRule="exact"/>
        <w:rPr>
          <w:sz w:val="20"/>
          <w:szCs w:val="20"/>
          <w:color w:val="auto"/>
        </w:rPr>
      </w:pPr>
    </w:p>
    <w:p>
      <w:pPr>
        <w:ind w:left="651" w:hanging="651"/>
        <w:spacing w:after="0"/>
        <w:tabs>
          <w:tab w:leader="none" w:pos="651" w:val="left"/>
        </w:tabs>
        <w:numPr>
          <w:ilvl w:val="0"/>
          <w:numId w:val="924"/>
        </w:numPr>
        <w:rPr>
          <w:rFonts w:ascii="Arial" w:cs="Arial" w:eastAsia="Arial" w:hAnsi="Arial"/>
          <w:sz w:val="18"/>
          <w:szCs w:val="18"/>
          <w:b w:val="1"/>
          <w:bCs w:val="1"/>
          <w:color w:val="auto"/>
        </w:rPr>
      </w:pPr>
      <w:r>
        <w:rPr>
          <w:rFonts w:ascii="Arial" w:cs="Arial" w:eastAsia="Arial" w:hAnsi="Arial"/>
          <w:sz w:val="18"/>
          <w:szCs w:val="18"/>
          <w:b w:val="1"/>
          <w:bCs w:val="1"/>
          <w:color w:val="auto"/>
        </w:rPr>
        <w:t>COSTS, EXPENSES AND INDEMNITY</w:t>
      </w:r>
    </w:p>
    <w:p>
      <w:pPr>
        <w:spacing w:after="0" w:line="229" w:lineRule="exact"/>
        <w:rPr>
          <w:sz w:val="20"/>
          <w:szCs w:val="20"/>
          <w:color w:val="auto"/>
        </w:rPr>
      </w:pPr>
    </w:p>
    <w:p>
      <w:pPr>
        <w:jc w:val="both"/>
        <w:ind w:left="651" w:hanging="647"/>
        <w:spacing w:after="0" w:line="277" w:lineRule="auto"/>
        <w:tabs>
          <w:tab w:leader="none" w:pos="631"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shall pay to the Collateral Agent in relation to this Deed such costs and expenses as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70" w:lineRule="exact"/>
        <w:rPr>
          <w:sz w:val="20"/>
          <w:szCs w:val="20"/>
          <w:color w:val="auto"/>
        </w:rPr>
      </w:pPr>
    </w:p>
    <w:p>
      <w:pPr>
        <w:jc w:val="both"/>
        <w:ind w:left="651" w:hanging="647"/>
        <w:spacing w:after="0" w:line="259" w:lineRule="auto"/>
        <w:tabs>
          <w:tab w:leader="none" w:pos="631"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Company shall indemnify each Receiver and Delegate and their respective officers, employees and agents to the extent that and in the manner in which the Borrowers indemnify the Indemnitees under Section 11.04 (</w:t>
      </w:r>
      <w:r>
        <w:rPr>
          <w:rFonts w:ascii="Arial" w:cs="Arial" w:eastAsia="Arial" w:hAnsi="Arial"/>
          <w:sz w:val="18"/>
          <w:szCs w:val="18"/>
          <w:i w:val="1"/>
          <w:iCs w:val="1"/>
          <w:color w:val="auto"/>
        </w:rPr>
        <w:t>Indemnity</w:t>
      </w:r>
      <w:r>
        <w:rPr>
          <w:rFonts w:ascii="Arial" w:cs="Arial" w:eastAsia="Arial" w:hAnsi="Arial"/>
          <w:sz w:val="18"/>
          <w:szCs w:val="18"/>
          <w:color w:val="auto"/>
        </w:rPr>
        <w:t>) of the Loan Agreement. Each Relevant Person may rely on this Clause 21.2 (</w:t>
      </w:r>
      <w:r>
        <w:rPr>
          <w:rFonts w:ascii="Arial" w:cs="Arial" w:eastAsia="Arial" w:hAnsi="Arial"/>
          <w:sz w:val="18"/>
          <w:szCs w:val="18"/>
          <w:i w:val="1"/>
          <w:iCs w:val="1"/>
          <w:color w:val="auto"/>
        </w:rPr>
        <w:t>Costs, Expenses and Indemnity</w:t>
      </w:r>
      <w:r>
        <w:rPr>
          <w:rFonts w:ascii="Arial" w:cs="Arial" w:eastAsia="Arial" w:hAnsi="Arial"/>
          <w:sz w:val="18"/>
          <w:szCs w:val="18"/>
          <w:color w:val="auto"/>
        </w:rPr>
        <w:t>) in accordance with the Contracts (Rights of Third Parties) Act 1999 but subject to Clause 25 (</w:t>
      </w:r>
      <w:r>
        <w:rPr>
          <w:rFonts w:ascii="Arial" w:cs="Arial" w:eastAsia="Arial" w:hAnsi="Arial"/>
          <w:sz w:val="18"/>
          <w:szCs w:val="18"/>
          <w:i w:val="1"/>
          <w:iCs w:val="1"/>
          <w:color w:val="auto"/>
        </w:rPr>
        <w:t>Third Parties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09" w:right="339" w:bottom="1440" w:gutter="0" w:footer="0" w:header="0"/>
        </w:sectPr>
      </w:pPr>
    </w:p>
    <w:bookmarkStart w:id="853" w:name="page854"/>
    <w:bookmarkEnd w:id="853"/>
    <w:p>
      <w:pPr>
        <w:ind w:left="651" w:hanging="651"/>
        <w:spacing w:after="0"/>
        <w:tabs>
          <w:tab w:leader="none" w:pos="651" w:val="left"/>
        </w:tabs>
        <w:numPr>
          <w:ilvl w:val="0"/>
          <w:numId w:val="925"/>
        </w:numPr>
        <w:rPr>
          <w:rFonts w:ascii="Arial" w:cs="Arial" w:eastAsia="Arial" w:hAnsi="Arial"/>
          <w:sz w:val="18"/>
          <w:szCs w:val="18"/>
          <w:b w:val="1"/>
          <w:bCs w:val="1"/>
          <w:color w:val="auto"/>
        </w:rPr>
      </w:pPr>
      <w:r>
        <w:rPr>
          <w:rFonts w:ascii="Arial" w:cs="Arial" w:eastAsia="Arial" w:hAnsi="Arial"/>
          <w:sz w:val="18"/>
          <w:szCs w:val="18"/>
          <w:b w:val="1"/>
          <w:bCs w:val="1"/>
          <w:color w:val="auto"/>
        </w:rPr>
        <w:t>CONSENTS, VARIATIONS, WAIVERS AND RIGHTS</w:t>
      </w:r>
    </w:p>
    <w:p>
      <w:pPr>
        <w:spacing w:after="0" w:line="229" w:lineRule="exact"/>
        <w:rPr>
          <w:rFonts w:ascii="Arial" w:cs="Arial" w:eastAsia="Arial" w:hAnsi="Arial"/>
          <w:sz w:val="18"/>
          <w:szCs w:val="18"/>
          <w:b w:val="1"/>
          <w:bCs w:val="1"/>
          <w:color w:val="auto"/>
        </w:rPr>
      </w:pPr>
    </w:p>
    <w:p>
      <w:pPr>
        <w:jc w:val="both"/>
        <w:ind w:left="1291" w:hanging="643"/>
        <w:spacing w:after="0" w:line="272" w:lineRule="auto"/>
        <w:tabs>
          <w:tab w:leader="none" w:pos="1291" w:val="left"/>
        </w:tabs>
        <w:numPr>
          <w:ilvl w:val="1"/>
          <w:numId w:val="925"/>
        </w:numPr>
        <w:rPr>
          <w:rFonts w:ascii="Arial" w:cs="Arial" w:eastAsia="Arial" w:hAnsi="Arial"/>
          <w:sz w:val="17"/>
          <w:szCs w:val="17"/>
          <w:color w:val="auto"/>
        </w:rPr>
      </w:pPr>
      <w:r>
        <w:rPr>
          <w:rFonts w:ascii="Arial" w:cs="Arial" w:eastAsia="Arial" w:hAnsi="Arial"/>
          <w:sz w:val="17"/>
          <w:szCs w:val="17"/>
          <w:color w:val="auto"/>
        </w:rPr>
        <w:t>No consent or waiver in respect of any provision of this Deed shall be effective unless and until it is agreed in writing duly executed by or on behalf of the Collateral Agent . Any consent or waiver by the Collateral Agent under this Deed may be given subject to any conditions the Collateral Agent reasonably thinks fit and shall be effective only in the instance and for the purpose for which it is given. No failure by the Collateral Agent or any Receiver to exercise or delay in exercising any right provided by law or under this Deed shall operate to impair the same or be construed as a waiver of it. No single or partial exercise of any such right shall prevent any further or other exercise of the same or the exercise of any other right. No waiver of any such right shall constitute a waiver of any other right. The rights provided in this Deed are cumulative and not exclusive of any rights, provided by law.</w:t>
      </w:r>
    </w:p>
    <w:p>
      <w:pPr>
        <w:spacing w:after="0" w:line="177" w:lineRule="exact"/>
        <w:rPr>
          <w:rFonts w:ascii="Arial" w:cs="Arial" w:eastAsia="Arial" w:hAnsi="Arial"/>
          <w:sz w:val="17"/>
          <w:szCs w:val="17"/>
          <w:color w:val="auto"/>
        </w:rPr>
      </w:pPr>
    </w:p>
    <w:p>
      <w:pPr>
        <w:ind w:left="1291" w:hanging="643"/>
        <w:spacing w:after="0" w:line="277" w:lineRule="auto"/>
        <w:tabs>
          <w:tab w:leader="none" w:pos="1291" w:val="left"/>
        </w:tabs>
        <w:numPr>
          <w:ilvl w:val="1"/>
          <w:numId w:val="925"/>
        </w:numPr>
        <w:rPr>
          <w:rFonts w:ascii="Arial" w:cs="Arial" w:eastAsia="Arial" w:hAnsi="Arial"/>
          <w:sz w:val="18"/>
          <w:szCs w:val="18"/>
          <w:color w:val="auto"/>
        </w:rPr>
      </w:pPr>
      <w:r>
        <w:rPr>
          <w:rFonts w:ascii="Arial" w:cs="Arial" w:eastAsia="Arial" w:hAnsi="Arial"/>
          <w:sz w:val="18"/>
          <w:szCs w:val="18"/>
          <w:color w:val="auto"/>
        </w:rPr>
        <w:t>No amendment or variation in respect of any provision of this Deed shall be effective unless and until it is agreed in writing duly executed by or on behalf of the Company and the Collateral Agent .</w:t>
      </w:r>
    </w:p>
    <w:p>
      <w:pPr>
        <w:spacing w:after="0" w:line="166" w:lineRule="exact"/>
        <w:rPr>
          <w:rFonts w:ascii="Arial" w:cs="Arial" w:eastAsia="Arial" w:hAnsi="Arial"/>
          <w:sz w:val="18"/>
          <w:szCs w:val="18"/>
          <w:color w:val="auto"/>
        </w:rPr>
      </w:pPr>
    </w:p>
    <w:p>
      <w:pPr>
        <w:ind w:left="651" w:hanging="651"/>
        <w:spacing w:after="0"/>
        <w:tabs>
          <w:tab w:leader="none" w:pos="651" w:val="left"/>
        </w:tabs>
        <w:numPr>
          <w:ilvl w:val="0"/>
          <w:numId w:val="925"/>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29" w:lineRule="exact"/>
        <w:rPr>
          <w:rFonts w:ascii="Arial" w:cs="Arial" w:eastAsia="Arial" w:hAnsi="Arial"/>
          <w:sz w:val="18"/>
          <w:szCs w:val="18"/>
          <w:b w:val="1"/>
          <w:bCs w:val="1"/>
          <w:color w:val="auto"/>
        </w:rPr>
      </w:pPr>
    </w:p>
    <w:p>
      <w:pPr>
        <w:jc w:val="both"/>
        <w:ind w:left="651"/>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any provision of this Deed is or becomes or is found by a court or other competent authority to be illegal, invalid or unenforceable in any respect, in whole or in part, under any law of any jurisdiction, neither the legality, validity and enforceability in that jurisdiction of any other provision or part of this Deed, nor the legality, validity or enforceability in any other jurisdiction of that provision or part or of any other provision of this Deed, shall be affected or impaired and if any part of the Charges is invalid or unenforceable in any respect for any reason, no other Charges shall be affected or impaired.</w:t>
      </w:r>
    </w:p>
    <w:p>
      <w:pPr>
        <w:spacing w:after="0" w:line="184" w:lineRule="exact"/>
        <w:rPr>
          <w:rFonts w:ascii="Arial" w:cs="Arial" w:eastAsia="Arial" w:hAnsi="Arial"/>
          <w:sz w:val="18"/>
          <w:szCs w:val="18"/>
          <w:b w:val="1"/>
          <w:bCs w:val="1"/>
          <w:color w:val="auto"/>
        </w:rPr>
      </w:pPr>
    </w:p>
    <w:p>
      <w:pPr>
        <w:ind w:left="651" w:hanging="651"/>
        <w:spacing w:after="0"/>
        <w:tabs>
          <w:tab w:leader="none" w:pos="651" w:val="left"/>
        </w:tabs>
        <w:numPr>
          <w:ilvl w:val="0"/>
          <w:numId w:val="92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rFonts w:ascii="Arial" w:cs="Arial" w:eastAsia="Arial" w:hAnsi="Arial"/>
          <w:sz w:val="18"/>
          <w:szCs w:val="18"/>
          <w:b w:val="1"/>
          <w:bCs w:val="1"/>
          <w:color w:val="auto"/>
        </w:rPr>
      </w:pPr>
    </w:p>
    <w:p>
      <w:pPr>
        <w:jc w:val="both"/>
        <w:ind w:left="651"/>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delivered, shall constitute an original of this Deed, but all the counterparts together shall constitute one and the same instrument.</w:t>
      </w:r>
    </w:p>
    <w:p>
      <w:pPr>
        <w:spacing w:after="0" w:line="161" w:lineRule="exact"/>
        <w:rPr>
          <w:rFonts w:ascii="Arial" w:cs="Arial" w:eastAsia="Arial" w:hAnsi="Arial"/>
          <w:sz w:val="18"/>
          <w:szCs w:val="18"/>
          <w:b w:val="1"/>
          <w:bCs w:val="1"/>
          <w:color w:val="auto"/>
        </w:rPr>
      </w:pPr>
    </w:p>
    <w:p>
      <w:pPr>
        <w:ind w:left="651" w:hanging="651"/>
        <w:spacing w:after="0"/>
        <w:tabs>
          <w:tab w:leader="none" w:pos="651" w:val="left"/>
        </w:tabs>
        <w:numPr>
          <w:ilvl w:val="0"/>
          <w:numId w:val="92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w:t>
      </w:r>
    </w:p>
    <w:p>
      <w:pPr>
        <w:spacing w:after="0" w:line="229" w:lineRule="exact"/>
        <w:rPr>
          <w:rFonts w:ascii="Arial" w:cs="Arial" w:eastAsia="Arial" w:hAnsi="Arial"/>
          <w:sz w:val="18"/>
          <w:szCs w:val="18"/>
          <w:b w:val="1"/>
          <w:bCs w:val="1"/>
          <w:color w:val="auto"/>
        </w:rPr>
      </w:pPr>
    </w:p>
    <w:p>
      <w:pPr>
        <w:jc w:val="both"/>
        <w:ind w:left="651"/>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otherwise provided in this Deed, a person who is not a party to this Deed has no right under the Contracts (Rights of Third Parties) Act 1999 to enforce or to enjoy the benefit of any term of this Deed but this does not affect any right or remedy of a third party which exists or is available apart from that Act.</w:t>
      </w:r>
    </w:p>
    <w:p>
      <w:pPr>
        <w:spacing w:after="0" w:line="397"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05" w:right="339" w:bottom="1440" w:gutter="0" w:footer="0" w:header="0"/>
        </w:sectPr>
      </w:pPr>
    </w:p>
    <w:bookmarkStart w:id="854" w:name="page855"/>
    <w:bookmarkEnd w:id="854"/>
    <w:p>
      <w:pPr>
        <w:ind w:left="660" w:hanging="651"/>
        <w:spacing w:after="0"/>
        <w:tabs>
          <w:tab w:leader="none" w:pos="660" w:val="left"/>
        </w:tabs>
        <w:numPr>
          <w:ilvl w:val="0"/>
          <w:numId w:val="926"/>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determination as to any amount payable which the Collateral Agent or any Receiver may make under this Deed in good faith shall (save in the case of manifest error) be conclusive.</w:t>
      </w:r>
    </w:p>
    <w:p>
      <w:pPr>
        <w:spacing w:after="0" w:line="166" w:lineRule="exact"/>
        <w:rPr>
          <w:rFonts w:ascii="Arial" w:cs="Arial" w:eastAsia="Arial" w:hAnsi="Arial"/>
          <w:sz w:val="18"/>
          <w:szCs w:val="18"/>
          <w:b w:val="1"/>
          <w:bCs w:val="1"/>
          <w:color w:val="auto"/>
        </w:rPr>
      </w:pPr>
    </w:p>
    <w:p>
      <w:pPr>
        <w:ind w:left="660" w:hanging="651"/>
        <w:spacing w:after="0"/>
        <w:tabs>
          <w:tab w:leader="none" w:pos="660" w:val="left"/>
        </w:tabs>
        <w:numPr>
          <w:ilvl w:val="0"/>
          <w:numId w:val="92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The Company shall not (whether by way of security or otherwise howsoever) be entitled to assign, grant an equitable interest in or transfer and declare itself a trustee of all or any of its rights, interests or obligations hereunder, except as permitted under the Loan Agreement (save with respect to its rights and benefits which shall be assigned or to be assigned to the Collateral Agent under this Deed).</w:t>
      </w:r>
    </w:p>
    <w:p>
      <w:pPr>
        <w:spacing w:after="0" w:line="166"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7"/>
          <w:szCs w:val="17"/>
          <w:color w:val="auto"/>
        </w:rPr>
        <w:t>The Collateral Agent may at any time assign or transfer, in accordance with the Loan Agreement, all or any part of its rights or interests under this Deed or the Charges to any person who succeeds to its role as security agent or collateral agent under the Loan Agreement.</w:t>
      </w:r>
    </w:p>
    <w:p>
      <w:pPr>
        <w:spacing w:after="0" w:line="147"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7"/>
          <w:szCs w:val="17"/>
          <w:color w:val="auto"/>
        </w:rPr>
        <w:t>Subject to Section 11.06 (</w:t>
      </w:r>
      <w:r>
        <w:rPr>
          <w:rFonts w:ascii="Arial" w:cs="Arial" w:eastAsia="Arial" w:hAnsi="Arial"/>
          <w:sz w:val="17"/>
          <w:szCs w:val="17"/>
          <w:i w:val="1"/>
          <w:iCs w:val="1"/>
          <w:color w:val="auto"/>
        </w:rPr>
        <w:t>Confidentiality</w:t>
      </w:r>
      <w:r>
        <w:rPr>
          <w:rFonts w:ascii="Arial" w:cs="Arial" w:eastAsia="Arial" w:hAnsi="Arial"/>
          <w:sz w:val="17"/>
          <w:szCs w:val="17"/>
          <w:color w:val="auto"/>
        </w:rPr>
        <w:t>) of the Loan Agreement, the Collateral Agent may disclose to an actual or proposed successor, assignee or transferee any information the Collateral Agent reasonably considers appropriate regarding any provision of this Deed or other Loan Documents and the Company which it considers appropriate for the purposes of the proposed assignment or transfer.</w:t>
      </w:r>
    </w:p>
    <w:p>
      <w:pPr>
        <w:spacing w:after="0" w:line="162" w:lineRule="exact"/>
        <w:rPr>
          <w:sz w:val="20"/>
          <w:szCs w:val="20"/>
          <w:color w:val="auto"/>
        </w:rPr>
      </w:pPr>
    </w:p>
    <w:p>
      <w:pPr>
        <w:ind w:left="660" w:hanging="651"/>
        <w:spacing w:after="0"/>
        <w:tabs>
          <w:tab w:leader="none" w:pos="660" w:val="left"/>
        </w:tabs>
        <w:numPr>
          <w:ilvl w:val="0"/>
          <w:numId w:val="92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Any notice or other communication under this Deed shall be made in accordance with the provisions set out in the Loan Agreement. Any notice delivered to the Parent or the Borrowers on behalf of the Company shall be deemed to have been delivered to the Company.</w:t>
      </w:r>
    </w:p>
    <w:p>
      <w:pPr>
        <w:spacing w:after="0" w:line="142" w:lineRule="exact"/>
        <w:rPr>
          <w:rFonts w:ascii="Arial" w:cs="Arial" w:eastAsia="Arial" w:hAnsi="Arial"/>
          <w:sz w:val="18"/>
          <w:szCs w:val="18"/>
          <w:b w:val="1"/>
          <w:bCs w:val="1"/>
          <w:color w:val="auto"/>
        </w:rPr>
      </w:pPr>
    </w:p>
    <w:p>
      <w:pPr>
        <w:ind w:left="660" w:hanging="651"/>
        <w:spacing w:after="0"/>
        <w:tabs>
          <w:tab w:leader="none" w:pos="660" w:val="left"/>
        </w:tabs>
        <w:numPr>
          <w:ilvl w:val="0"/>
          <w:numId w:val="92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Deed (including any non-contractual obligations or liabilities arising out of it or in connection with it) is governed by and is to be construed in accordance with English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000" w:hanging="343"/>
        <w:spacing w:after="0"/>
        <w:tabs>
          <w:tab w:leader="none" w:pos="1000" w:val="left"/>
        </w:tabs>
        <w:numPr>
          <w:ilvl w:val="0"/>
          <w:numId w:val="928"/>
        </w:numPr>
        <w:rPr>
          <w:rFonts w:ascii="Arial" w:cs="Arial" w:eastAsia="Arial" w:hAnsi="Arial"/>
          <w:sz w:val="18"/>
          <w:szCs w:val="18"/>
          <w:color w:val="auto"/>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auto"/>
        </w:rPr>
      </w:pPr>
    </w:p>
    <w:p>
      <w:pPr>
        <w:ind w:left="1960" w:right="20" w:hanging="654"/>
        <w:spacing w:after="0" w:line="277" w:lineRule="auto"/>
        <w:tabs>
          <w:tab w:leader="none" w:pos="1960" w:val="left"/>
        </w:tabs>
        <w:numPr>
          <w:ilvl w:val="1"/>
          <w:numId w:val="928"/>
        </w:numPr>
        <w:rPr>
          <w:rFonts w:ascii="Arial" w:cs="Arial" w:eastAsia="Arial" w:hAnsi="Arial"/>
          <w:sz w:val="18"/>
          <w:szCs w:val="18"/>
          <w:color w:val="auto"/>
        </w:rPr>
      </w:pPr>
      <w:r>
        <w:rPr>
          <w:rFonts w:ascii="Arial" w:cs="Arial" w:eastAsia="Arial" w:hAnsi="Arial"/>
          <w:sz w:val="18"/>
          <w:szCs w:val="18"/>
          <w:color w:val="auto"/>
        </w:rPr>
        <w:t>the English courts have non-exclusive jurisdiction to hear and determine any Proceedings and to settle any Disputes and each party irrevocably submits to the jurisdiction of the English courts;</w:t>
      </w:r>
    </w:p>
    <w:p>
      <w:pPr>
        <w:spacing w:after="0" w:line="170" w:lineRule="exact"/>
        <w:rPr>
          <w:rFonts w:ascii="Arial" w:cs="Arial" w:eastAsia="Arial" w:hAnsi="Arial"/>
          <w:sz w:val="18"/>
          <w:szCs w:val="18"/>
          <w:color w:val="auto"/>
        </w:rPr>
      </w:pPr>
    </w:p>
    <w:p>
      <w:pPr>
        <w:ind w:left="1960" w:hanging="654"/>
        <w:spacing w:after="0"/>
        <w:tabs>
          <w:tab w:leader="none" w:pos="1960" w:val="left"/>
        </w:tabs>
        <w:numPr>
          <w:ilvl w:val="1"/>
          <w:numId w:val="928"/>
        </w:numPr>
        <w:rPr>
          <w:rFonts w:ascii="Arial" w:cs="Arial" w:eastAsia="Arial" w:hAnsi="Arial"/>
          <w:sz w:val="18"/>
          <w:szCs w:val="18"/>
          <w:color w:val="auto"/>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auto"/>
        </w:rPr>
      </w:pPr>
    </w:p>
    <w:p>
      <w:pPr>
        <w:ind w:left="1960" w:right="20" w:hanging="654"/>
        <w:spacing w:after="0" w:line="277" w:lineRule="auto"/>
        <w:tabs>
          <w:tab w:leader="none" w:pos="1960" w:val="left"/>
        </w:tabs>
        <w:numPr>
          <w:ilvl w:val="1"/>
          <w:numId w:val="928"/>
        </w:numPr>
        <w:rPr>
          <w:rFonts w:ascii="Arial" w:cs="Arial" w:eastAsia="Arial" w:hAnsi="Arial"/>
          <w:sz w:val="18"/>
          <w:szCs w:val="18"/>
          <w:color w:val="auto"/>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5" w:name="page856"/>
    <w:bookmarkEnd w:id="855"/>
    <w:p>
      <w:pPr>
        <w:jc w:val="both"/>
        <w:ind w:left="343" w:hanging="343"/>
        <w:spacing w:after="0" w:line="264" w:lineRule="auto"/>
        <w:tabs>
          <w:tab w:leader="none" w:pos="34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 xml:space="preserve">Each party also irrevocably waives (and irrevocably agrees not to raise) any objection which it might at any time have on the ground of </w:t>
      </w:r>
      <w:r>
        <w:rPr>
          <w:rFonts w:ascii="Arial" w:cs="Arial" w:eastAsia="Arial" w:hAnsi="Arial"/>
          <w:sz w:val="18"/>
          <w:szCs w:val="18"/>
          <w:i w:val="1"/>
          <w:iCs w:val="1"/>
          <w:color w:val="auto"/>
        </w:rPr>
        <w:t>forum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 conveniens </w:t>
      </w:r>
      <w:r>
        <w:rPr>
          <w:rFonts w:ascii="Arial" w:cs="Arial" w:eastAsia="Arial" w:hAnsi="Arial"/>
          <w:sz w:val="18"/>
          <w:szCs w:val="18"/>
          <w:color w:val="auto"/>
        </w:rPr>
        <w:t>or on any other ground to Proceedings being taken in any court referred to in this Clause 29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343" w:right="20" w:hanging="343"/>
        <w:spacing w:after="0" w:line="277" w:lineRule="auto"/>
        <w:tabs>
          <w:tab w:leader="none" w:pos="34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Nothing in this Clause 29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shall limit any party's right to take Proceedings against the other party in any other jurisdiction or in more than one jurisdiction concurrently.</w:t>
      </w:r>
    </w:p>
    <w:p>
      <w:pPr>
        <w:spacing w:after="0" w:line="170" w:lineRule="exact"/>
        <w:rPr>
          <w:rFonts w:ascii="Arial" w:cs="Arial" w:eastAsia="Arial" w:hAnsi="Arial"/>
          <w:sz w:val="18"/>
          <w:szCs w:val="18"/>
          <w:color w:val="auto"/>
        </w:rPr>
      </w:pPr>
    </w:p>
    <w:p>
      <w:pPr>
        <w:ind w:left="343" w:hanging="343"/>
        <w:spacing w:after="0"/>
        <w:tabs>
          <w:tab w:leader="none" w:pos="34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This jurisdiction agreement is not concluded for the benefit of only one party.</w:t>
      </w:r>
    </w:p>
    <w:p>
      <w:pPr>
        <w:spacing w:after="0" w:line="225" w:lineRule="exact"/>
        <w:rPr>
          <w:sz w:val="20"/>
          <w:szCs w:val="20"/>
          <w:color w:val="auto"/>
        </w:rPr>
      </w:pPr>
    </w:p>
    <w:p>
      <w:pPr>
        <w:ind w:left="39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3"/>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24662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3"/>
          </w:cols>
          <w:pgMar w:left="977" w:top="936" w:right="339" w:bottom="1440" w:gutter="0" w:footer="0" w:header="0"/>
        </w:sectPr>
      </w:pPr>
    </w:p>
    <w:bookmarkStart w:id="856" w:name="page857"/>
    <w:bookmarkEnd w:id="856"/>
    <w:p>
      <w:pPr>
        <w:ind w:left="12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Deed to be executed and delivered as a deed on the day and year first before written.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gridSpan w:val="2"/>
          </w:tcPr>
          <w:p>
            <w:pPr>
              <w:ind w:left="120"/>
              <w:spacing w:after="0"/>
              <w:rPr>
                <w:sz w:val="20"/>
                <w:szCs w:val="20"/>
                <w:color w:val="auto"/>
              </w:rPr>
            </w:pPr>
            <w:r>
              <w:rPr>
                <w:rFonts w:ascii="Arial" w:cs="Arial" w:eastAsia="Arial" w:hAnsi="Arial"/>
                <w:sz w:val="18"/>
                <w:szCs w:val="18"/>
                <w:color w:val="auto"/>
                <w:w w:val="97"/>
              </w:rPr>
              <w:t xml:space="preserve">Executed as deed by </w:t>
            </w:r>
            <w:r>
              <w:rPr>
                <w:rFonts w:ascii="Arial" w:cs="Arial" w:eastAsia="Arial" w:hAnsi="Arial"/>
                <w:sz w:val="18"/>
                <w:szCs w:val="18"/>
                <w:b w:val="1"/>
                <w:bCs w:val="1"/>
                <w:color w:val="auto"/>
                <w:w w:val="97"/>
              </w:rPr>
              <w:t>WEATHERFORD</w:t>
            </w:r>
          </w:p>
        </w:tc>
        <w:tc>
          <w:tcPr>
            <w:tcW w:w="2340" w:type="dxa"/>
            <w:vAlign w:val="bottom"/>
          </w:tcPr>
          <w:p>
            <w:pPr>
              <w:jc w:val="right"/>
              <w:ind w:right="19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20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U.K. LIMITED </w:t>
            </w:r>
            <w:r>
              <w:rPr>
                <w:rFonts w:ascii="Arial" w:cs="Arial" w:eastAsia="Arial" w:hAnsi="Arial"/>
                <w:sz w:val="18"/>
                <w:szCs w:val="18"/>
                <w:color w:val="auto"/>
              </w:rPr>
              <w:t>acting by a director,</w:t>
            </w:r>
          </w:p>
        </w:tc>
        <w:tc>
          <w:tcPr>
            <w:tcW w:w="2340" w:type="dxa"/>
            <w:vAlign w:val="bottom"/>
          </w:tcPr>
          <w:p>
            <w:pPr>
              <w:jc w:val="right"/>
              <w:ind w:right="19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2340" w:type="dxa"/>
            <w:vAlign w:val="bottom"/>
          </w:tcPr>
          <w:p>
            <w:pPr>
              <w:jc w:val="right"/>
              <w:ind w:right="19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tcPr>
          <w:p>
            <w:pPr>
              <w:spacing w:after="0"/>
              <w:rPr>
                <w:sz w:val="24"/>
                <w:szCs w:val="24"/>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Witness</w:t>
            </w:r>
          </w:p>
        </w:tc>
        <w:tc>
          <w:tcPr>
            <w:tcW w:w="20" w:type="dxa"/>
            <w:vAlign w:val="bottom"/>
          </w:tcPr>
          <w:p>
            <w:pPr>
              <w:spacing w:after="0"/>
              <w:rPr>
                <w:sz w:val="24"/>
                <w:szCs w:val="24"/>
                <w:color w:val="auto"/>
              </w:rPr>
            </w:pPr>
          </w:p>
        </w:tc>
      </w:tr>
      <w:tr>
        <w:trPr>
          <w:trHeight w:val="432"/>
        </w:trPr>
        <w:tc>
          <w:tcPr>
            <w:tcW w:w="3200" w:type="dxa"/>
            <w:vAlign w:val="bottom"/>
            <w:gridSpan w:val="2"/>
          </w:tcPr>
          <w:p>
            <w:pPr>
              <w:ind w:left="120"/>
              <w:spacing w:after="0"/>
              <w:rPr>
                <w:sz w:val="20"/>
                <w:szCs w:val="20"/>
                <w:color w:val="auto"/>
              </w:rPr>
            </w:pPr>
            <w:r>
              <w:rPr>
                <w:rFonts w:ascii="Arial" w:cs="Arial" w:eastAsia="Arial" w:hAnsi="Arial"/>
                <w:sz w:val="18"/>
                <w:szCs w:val="18"/>
                <w:i w:val="1"/>
                <w:iCs w:val="1"/>
                <w:color w:val="auto"/>
              </w:rPr>
              <w:t>Name:</w:t>
            </w:r>
          </w:p>
        </w:tc>
        <w:tc>
          <w:tcPr>
            <w:tcW w:w="2340" w:type="dxa"/>
            <w:vAlign w:val="bottom"/>
          </w:tcPr>
          <w:p>
            <w:pPr>
              <w:spacing w:after="0"/>
              <w:rPr>
                <w:sz w:val="24"/>
                <w:szCs w:val="24"/>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i w:val="1"/>
                <w:iCs w:val="1"/>
                <w:color w:val="auto"/>
              </w:rPr>
              <w:t>Name:</w:t>
            </w:r>
          </w:p>
        </w:tc>
        <w:tc>
          <w:tcPr>
            <w:tcW w:w="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i w:val="1"/>
                <w:iCs w:val="1"/>
                <w:color w:val="auto"/>
              </w:rPr>
              <w:t>Occupation:</w:t>
            </w:r>
          </w:p>
        </w:tc>
        <w:tc>
          <w:tcPr>
            <w:tcW w:w="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i w:val="1"/>
                <w:iCs w:val="1"/>
                <w:color w:val="auto"/>
              </w:rPr>
              <w:t>Address:</w:t>
            </w:r>
          </w:p>
        </w:tc>
        <w:tc>
          <w:tcPr>
            <w:tcW w:w="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Signtature page to LC Weatherford U.K. Limited Deed of Charge</w:t>
            </w: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675"/>
        </w:trPr>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857" w:name="page858"/>
    <w:bookmarkEnd w:id="8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COLLATERAL AGENT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DEUTSCHE BANK</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TRUST COMPANY AMERICAS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acting by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0"/>
              </w:rPr>
              <w:t>..........................................................................</w:t>
            </w: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who, in accordance with the laws of the territory</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 which Deutsche Bank Trust Company Americas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is incorporated, is/are acting under its authority</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68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Authorised signatory</w:t>
            </w:r>
          </w:p>
        </w:tc>
        <w:tc>
          <w:tcPr>
            <w:tcW w:w="6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68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Authorised signatory</w:t>
            </w:r>
          </w:p>
        </w:tc>
        <w:tc>
          <w:tcPr>
            <w:tcW w:w="6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Signtature page to LC Weatherford U.K. Limited Deed of Charge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443865</wp:posOffset>
            </wp:positionV>
            <wp:extent cx="724662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904" w:right="1440" w:bottom="1440" w:gutter="0" w:footer="0" w:header="0"/>
        </w:sectPr>
      </w:pPr>
    </w:p>
    <w:bookmarkStart w:id="858" w:name="page859"/>
    <w:bookmarkEnd w:id="858"/>
    <w:p>
      <w:pPr>
        <w:jc w:val="center"/>
        <w:ind w:right="179"/>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BANK ACCOUNTS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PART 1 – GENERAL BANK ACCOUNTS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859" w:name="page860"/>
    <w:bookmarkEnd w:id="859"/>
    <w:p>
      <w:pPr>
        <w:jc w:val="center"/>
        <w:ind w:right="-20"/>
        <w:spacing w:after="0"/>
        <w:rPr>
          <w:sz w:val="20"/>
          <w:szCs w:val="20"/>
          <w:color w:val="auto"/>
        </w:rPr>
      </w:pPr>
      <w:r>
        <w:rPr>
          <w:rFonts w:ascii="Arial" w:cs="Arial" w:eastAsia="Arial" w:hAnsi="Arial"/>
          <w:sz w:val="17"/>
          <w:szCs w:val="17"/>
          <w:b w:val="1"/>
          <w:bCs w:val="1"/>
          <w:color w:val="auto"/>
        </w:rPr>
        <w:t>PART 2 – COLLECTION BANK ACCOUNT</w:t>
      </w:r>
    </w:p>
    <w:p>
      <w:pPr>
        <w:sectPr>
          <w:pgSz w:w="11900" w:h="16838" w:orient="portrait"/>
          <w:cols w:equalWidth="0" w:num="1">
            <w:col w:w="9019"/>
          </w:cols>
          <w:pgMar w:left="1440" w:top="906" w:right="1440" w:bottom="1440" w:gutter="0" w:footer="0" w:header="0"/>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[Redacted.]</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type w:val="continuous"/>
        </w:sectPr>
      </w:pPr>
    </w:p>
    <w:bookmarkStart w:id="860" w:name="page861"/>
    <w:bookmarkEnd w:id="860"/>
    <w:p>
      <w:pPr>
        <w:jc w:val="center"/>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AGREEMENTS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00" w:type="dxa"/>
            <w:vAlign w:val="bottom"/>
            <w:tcBorders>
              <w:top w:val="single" w:sz="8" w:color="auto"/>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Date of Relevant Contract</w:t>
            </w:r>
          </w:p>
        </w:tc>
        <w:tc>
          <w:tcPr>
            <w:tcW w:w="37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Parties</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Details of Relevant</w:t>
            </w:r>
          </w:p>
        </w:tc>
        <w:tc>
          <w:tcPr>
            <w:tcW w:w="0" w:type="dxa"/>
            <w:vAlign w:val="bottom"/>
          </w:tcPr>
          <w:p>
            <w:pPr>
              <w:spacing w:after="0"/>
              <w:rPr>
                <w:sz w:val="1"/>
                <w:szCs w:val="1"/>
                <w:color w:val="auto"/>
              </w:rPr>
            </w:pPr>
          </w:p>
        </w:tc>
      </w:tr>
      <w:tr>
        <w:trPr>
          <w:trHeight w:val="140"/>
        </w:trPr>
        <w:tc>
          <w:tcPr>
            <w:tcW w:w="3900" w:type="dxa"/>
            <w:vAlign w:val="bottom"/>
            <w:tcBorders>
              <w:left w:val="single" w:sz="8" w:color="auto"/>
              <w:right w:val="single" w:sz="8" w:color="auto"/>
            </w:tcBorders>
            <w:gridSpan w:val="2"/>
            <w:vMerge w:val="continue"/>
          </w:tcPr>
          <w:p>
            <w:pPr>
              <w:spacing w:after="0"/>
              <w:rPr>
                <w:sz w:val="12"/>
                <w:szCs w:val="12"/>
                <w:color w:val="auto"/>
              </w:rPr>
            </w:pPr>
          </w:p>
        </w:tc>
        <w:tc>
          <w:tcPr>
            <w:tcW w:w="3780" w:type="dxa"/>
            <w:vAlign w:val="bottom"/>
            <w:tcBorders>
              <w:right w:val="single" w:sz="8" w:color="auto"/>
            </w:tcBorders>
            <w:vMerge w:val="continue"/>
          </w:tcPr>
          <w:p>
            <w:pPr>
              <w:spacing w:after="0"/>
              <w:rPr>
                <w:sz w:val="12"/>
                <w:szCs w:val="12"/>
                <w:color w:val="auto"/>
              </w:rPr>
            </w:pPr>
          </w:p>
        </w:tc>
        <w:tc>
          <w:tcPr>
            <w:tcW w:w="3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95"/>
        </w:trPr>
        <w:tc>
          <w:tcPr>
            <w:tcW w:w="220" w:type="dxa"/>
            <w:vAlign w:val="bottom"/>
            <w:tcBorders>
              <w:left w:val="single" w:sz="8" w:color="auto"/>
            </w:tcBorders>
          </w:tcPr>
          <w:p>
            <w:pPr>
              <w:spacing w:after="0"/>
              <w:rPr>
                <w:sz w:val="8"/>
                <w:szCs w:val="8"/>
                <w:color w:val="auto"/>
              </w:rPr>
            </w:pPr>
          </w:p>
        </w:tc>
        <w:tc>
          <w:tcPr>
            <w:tcW w:w="3680" w:type="dxa"/>
            <w:vAlign w:val="bottom"/>
            <w:tcBorders>
              <w:right w:val="single" w:sz="8" w:color="auto"/>
            </w:tcBorders>
          </w:tcPr>
          <w:p>
            <w:pPr>
              <w:spacing w:after="0"/>
              <w:rPr>
                <w:sz w:val="8"/>
                <w:szCs w:val="8"/>
                <w:color w:val="auto"/>
              </w:rPr>
            </w:pPr>
          </w:p>
        </w:tc>
        <w:tc>
          <w:tcPr>
            <w:tcW w:w="3780" w:type="dxa"/>
            <w:vAlign w:val="bottom"/>
            <w:tcBorders>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bottom w:val="single" w:sz="8" w:color="auto"/>
              <w:right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31 July 2018</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Completion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Total E&amp;P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bottom w:val="single" w:sz="8" w:color="auto"/>
              <w:right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10 August 2016</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Drilling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Total E&amp;P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bottom w:val="single" w:sz="8" w:color="auto"/>
              <w:right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18 September 2017</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Casing and Tubular Running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Total E&amp;P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bottom w:val="single" w:sz="8" w:color="auto"/>
              <w:right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20 December 2017</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Managed Pressure Drilling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Total E&amp;P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November 2019</w:t>
            </w:r>
          </w:p>
        </w:tc>
        <w:tc>
          <w:tcPr>
            <w:tcW w:w="37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Drilling Related Fishing, Milling &amp; Thru-Tubing</w:t>
            </w: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Total E&amp;P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Fishing Services</w:t>
            </w: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vMerge w:val="continue"/>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September 2019</w:t>
            </w:r>
          </w:p>
        </w:tc>
        <w:tc>
          <w:tcPr>
            <w:tcW w:w="37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High  Pressure  High  Temperature  Drilling</w:t>
            </w:r>
          </w:p>
        </w:tc>
        <w:tc>
          <w:tcPr>
            <w:tcW w:w="0" w:type="dxa"/>
            <w:vAlign w:val="bottom"/>
          </w:tcPr>
          <w:p>
            <w:pPr>
              <w:spacing w:after="0"/>
              <w:rPr>
                <w:sz w:val="1"/>
                <w:szCs w:val="1"/>
                <w:color w:val="auto"/>
              </w:rPr>
            </w:pPr>
          </w:p>
        </w:tc>
      </w:tr>
      <w:tr>
        <w:trPr>
          <w:trHeight w:val="230"/>
        </w:trPr>
        <w:tc>
          <w:tcPr>
            <w:tcW w:w="22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Shell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vMerge w:val="continue"/>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2017</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Heavy Duty Wireline Fishing</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Shell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2012</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Tubular Running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CNOOC Petroleum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2012</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Drilling Rental Tools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CNOOC Petroleum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2012</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Fishing and Re-Entry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CNOOC Petroleum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2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39</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61" w:name="page862"/>
    <w:bookmarkEnd w:id="8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00" w:type="dxa"/>
            <w:vAlign w:val="bottom"/>
            <w:tcBorders>
              <w:top w:val="single" w:sz="8" w:color="auto"/>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Date of Relevant Contract</w:t>
            </w:r>
          </w:p>
        </w:tc>
        <w:tc>
          <w:tcPr>
            <w:tcW w:w="37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Parties</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Details of Relevant</w:t>
            </w:r>
          </w:p>
        </w:tc>
        <w:tc>
          <w:tcPr>
            <w:tcW w:w="0" w:type="dxa"/>
            <w:vAlign w:val="bottom"/>
          </w:tcPr>
          <w:p>
            <w:pPr>
              <w:spacing w:after="0"/>
              <w:rPr>
                <w:sz w:val="1"/>
                <w:szCs w:val="1"/>
                <w:color w:val="auto"/>
              </w:rPr>
            </w:pPr>
          </w:p>
        </w:tc>
      </w:tr>
      <w:tr>
        <w:trPr>
          <w:trHeight w:val="140"/>
        </w:trPr>
        <w:tc>
          <w:tcPr>
            <w:tcW w:w="3900" w:type="dxa"/>
            <w:vAlign w:val="bottom"/>
            <w:tcBorders>
              <w:left w:val="single" w:sz="8" w:color="auto"/>
              <w:right w:val="single" w:sz="8" w:color="auto"/>
            </w:tcBorders>
            <w:gridSpan w:val="2"/>
            <w:vMerge w:val="continue"/>
          </w:tcPr>
          <w:p>
            <w:pPr>
              <w:spacing w:after="0"/>
              <w:rPr>
                <w:sz w:val="12"/>
                <w:szCs w:val="12"/>
                <w:color w:val="auto"/>
              </w:rPr>
            </w:pPr>
          </w:p>
        </w:tc>
        <w:tc>
          <w:tcPr>
            <w:tcW w:w="3780" w:type="dxa"/>
            <w:vAlign w:val="bottom"/>
            <w:tcBorders>
              <w:right w:val="single" w:sz="8" w:color="auto"/>
            </w:tcBorders>
            <w:vMerge w:val="continue"/>
          </w:tcPr>
          <w:p>
            <w:pPr>
              <w:spacing w:after="0"/>
              <w:rPr>
                <w:sz w:val="12"/>
                <w:szCs w:val="12"/>
                <w:color w:val="auto"/>
              </w:rPr>
            </w:pPr>
          </w:p>
        </w:tc>
        <w:tc>
          <w:tcPr>
            <w:tcW w:w="3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95"/>
        </w:trPr>
        <w:tc>
          <w:tcPr>
            <w:tcW w:w="220" w:type="dxa"/>
            <w:vAlign w:val="bottom"/>
            <w:tcBorders>
              <w:left w:val="single" w:sz="8" w:color="auto"/>
            </w:tcBorders>
          </w:tcPr>
          <w:p>
            <w:pPr>
              <w:spacing w:after="0"/>
              <w:rPr>
                <w:sz w:val="8"/>
                <w:szCs w:val="8"/>
                <w:color w:val="auto"/>
              </w:rPr>
            </w:pPr>
          </w:p>
        </w:tc>
        <w:tc>
          <w:tcPr>
            <w:tcW w:w="3680" w:type="dxa"/>
            <w:vAlign w:val="bottom"/>
            <w:tcBorders>
              <w:right w:val="single" w:sz="8" w:color="auto"/>
            </w:tcBorders>
          </w:tcPr>
          <w:p>
            <w:pPr>
              <w:spacing w:after="0"/>
              <w:rPr>
                <w:sz w:val="8"/>
                <w:szCs w:val="8"/>
                <w:color w:val="auto"/>
              </w:rPr>
            </w:pPr>
          </w:p>
        </w:tc>
        <w:tc>
          <w:tcPr>
            <w:tcW w:w="3780" w:type="dxa"/>
            <w:vAlign w:val="bottom"/>
            <w:tcBorders>
              <w:right w:val="single" w:sz="8" w:color="auto"/>
            </w:tcBorders>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2011</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Sand Control, PDMS and Liner Hanger</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CNOOC Petroleum U.K.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July 2009</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Completion Equipment and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BP Exploration Operating Company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June 2010</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Tubular Running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BP Exploration Operating Company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November 2015</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Casing and Tubular Running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Apache North Sea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auto"/>
              <w:bottom w:val="single" w:sz="8" w:color="auto"/>
              <w:right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25 September 2016</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Drilling Jar and Accelerator Rental Tools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Apache North Sea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August 2016</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Weatherford U.K. Limited</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Liner Hanger Systems and Associated Services</w:t>
            </w:r>
          </w:p>
        </w:tc>
        <w:tc>
          <w:tcPr>
            <w:tcW w:w="0" w:type="dxa"/>
            <w:vAlign w:val="bottom"/>
          </w:tcPr>
          <w:p>
            <w:pPr>
              <w:spacing w:after="0"/>
              <w:rPr>
                <w:sz w:val="1"/>
                <w:szCs w:val="1"/>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Apache North Sea Limited</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2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40</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862" w:name="page863"/>
    <w:bookmarkEnd w:id="862"/>
    <w:p>
      <w:pPr>
        <w:jc w:val="center"/>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POLICIES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863" w:name="page864"/>
    <w:bookmarkEnd w:id="863"/>
    <w:p>
      <w:pPr>
        <w:jc w:val="center"/>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CHARGE OF BANK ACCOUNTS</w:t>
      </w:r>
    </w:p>
    <w:p>
      <w:pPr>
        <w:spacing w:after="0" w:line="261"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PART 1 – FORM OF NOTICE OF CHARGE FOR GENERAL BANK ACCOUNTS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tab/>
        <w:t>[</w:t>
      </w:r>
      <w:r>
        <w:rPr>
          <w:rFonts w:ascii="Arial" w:cs="Arial" w:eastAsia="Arial" w:hAnsi="Arial"/>
          <w:sz w:val="18"/>
          <w:szCs w:val="18"/>
          <w:b w:val="1"/>
          <w:bCs w:val="1"/>
          <w:color w:val="auto"/>
        </w:rPr>
        <w:t>Name of General Account Bank</w:t>
      </w:r>
      <w:r>
        <w:rPr>
          <w:rFonts w:ascii="Arial" w:cs="Arial" w:eastAsia="Arial" w:hAnsi="Arial"/>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give you irrevocable notice that we (the "</w:t>
      </w:r>
      <w:r>
        <w:rPr>
          <w:rFonts w:ascii="Arial" w:cs="Arial" w:eastAsia="Arial" w:hAnsi="Arial"/>
          <w:sz w:val="18"/>
          <w:szCs w:val="18"/>
          <w:b w:val="1"/>
          <w:bCs w:val="1"/>
          <w:color w:val="auto"/>
        </w:rPr>
        <w:t>Company</w:t>
      </w:r>
      <w:r>
        <w:rPr>
          <w:rFonts w:ascii="Arial" w:cs="Arial" w:eastAsia="Arial" w:hAnsi="Arial"/>
          <w:sz w:val="18"/>
          <w:szCs w:val="18"/>
          <w:color w:val="auto"/>
        </w:rPr>
        <w:t>") have charged to Deutsche Bank Trust Company Americas (the "</w:t>
      </w:r>
      <w:r>
        <w:rPr>
          <w:rFonts w:ascii="Arial" w:cs="Arial" w:eastAsia="Arial" w:hAnsi="Arial"/>
          <w:sz w:val="18"/>
          <w:szCs w:val="18"/>
          <w:b w:val="1"/>
          <w:bCs w:val="1"/>
          <w:color w:val="auto"/>
        </w:rPr>
        <w:t>Collateral Agent</w:t>
      </w:r>
      <w:r>
        <w:rPr>
          <w:rFonts w:ascii="Arial" w:cs="Arial" w:eastAsia="Arial" w:hAnsi="Arial"/>
          <w:sz w:val="18"/>
          <w:szCs w:val="18"/>
          <w:color w:val="auto"/>
        </w:rPr>
        <w:t>") all of our right, title, interest and benefit in, to and under account numbers [•] and [•], account name [•] (including any renewal or redesignation thereof) including all moneys standing to the credit of that account from time to time (the "</w:t>
      </w:r>
      <w:r>
        <w:rPr>
          <w:rFonts w:ascii="Arial" w:cs="Arial" w:eastAsia="Arial" w:hAnsi="Arial"/>
          <w:sz w:val="18"/>
          <w:szCs w:val="18"/>
          <w:b w:val="1"/>
          <w:bCs w:val="1"/>
          <w:color w:val="auto"/>
        </w:rPr>
        <w:t>Accounts</w:t>
      </w:r>
      <w:r>
        <w:rPr>
          <w:rFonts w:ascii="Arial" w:cs="Arial" w:eastAsia="Arial" w:hAnsi="Arial"/>
          <w:sz w:val="18"/>
          <w:szCs w:val="18"/>
          <w:color w:val="auto"/>
        </w:rPr>
        <w:t>"). This charge is subject, and without prejudice, to the charge to the Collateral Agent of all our right, title and interest in and to the monies from time to time standing to the credit of the Accounts pursuant to the ABL deed of charge and assignment dated [5] December 2019, notice of which was given to you by a notice dated [●] (the “</w:t>
      </w:r>
      <w:r>
        <w:rPr>
          <w:rFonts w:ascii="Arial" w:cs="Arial" w:eastAsia="Arial" w:hAnsi="Arial"/>
          <w:sz w:val="18"/>
          <w:szCs w:val="18"/>
          <w:b w:val="1"/>
          <w:bCs w:val="1"/>
          <w:color w:val="auto"/>
        </w:rPr>
        <w:t>ABL Deed of Charge and Assignment</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192" w:lineRule="exact"/>
        <w:rPr>
          <w:sz w:val="20"/>
          <w:szCs w:val="20"/>
          <w:color w:val="auto"/>
        </w:rPr>
      </w:pPr>
    </w:p>
    <w:p>
      <w:pPr>
        <w:ind w:left="720" w:hanging="712"/>
        <w:spacing w:after="0"/>
        <w:tabs>
          <w:tab w:leader="none" w:pos="720" w:val="left"/>
        </w:tabs>
        <w:numPr>
          <w:ilvl w:val="0"/>
          <w:numId w:val="930"/>
        </w:numPr>
        <w:rPr>
          <w:rFonts w:ascii="Arial" w:cs="Arial" w:eastAsia="Arial" w:hAnsi="Arial"/>
          <w:sz w:val="18"/>
          <w:szCs w:val="18"/>
          <w:color w:val="auto"/>
        </w:rPr>
      </w:pPr>
      <w:r>
        <w:rPr>
          <w:rFonts w:ascii="Arial" w:cs="Arial" w:eastAsia="Arial" w:hAnsi="Arial"/>
          <w:sz w:val="18"/>
          <w:szCs w:val="18"/>
          <w:color w:val="auto"/>
        </w:rPr>
        <w:t>We irrevocably authorise and instruct you:</w:t>
      </w:r>
    </w:p>
    <w:p>
      <w:pPr>
        <w:spacing w:after="0" w:line="225" w:lineRule="exact"/>
        <w:rPr>
          <w:rFonts w:ascii="Arial" w:cs="Arial" w:eastAsia="Arial" w:hAnsi="Arial"/>
          <w:sz w:val="18"/>
          <w:szCs w:val="18"/>
          <w:color w:val="auto"/>
        </w:rPr>
      </w:pPr>
    </w:p>
    <w:p>
      <w:pPr>
        <w:jc w:val="both"/>
        <w:ind w:left="1360" w:hanging="636"/>
        <w:spacing w:after="0" w:line="264" w:lineRule="auto"/>
        <w:tabs>
          <w:tab w:leader="none" w:pos="136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to hold all monies from time to time standing to the credit of the Accounts to the order of the Collateral Agent and to pay all or any part of those monies to the Collateral Agent (or as it may direct) promptly following receipt of written instructions from the Collateral Agent to that effect; and</w:t>
      </w:r>
    </w:p>
    <w:p>
      <w:pPr>
        <w:spacing w:after="0" w:line="181" w:lineRule="exact"/>
        <w:rPr>
          <w:rFonts w:ascii="Arial" w:cs="Arial" w:eastAsia="Arial" w:hAnsi="Arial"/>
          <w:sz w:val="18"/>
          <w:szCs w:val="18"/>
          <w:color w:val="auto"/>
        </w:rPr>
      </w:pPr>
    </w:p>
    <w:p>
      <w:pPr>
        <w:ind w:left="1360" w:hanging="636"/>
        <w:spacing w:after="0" w:line="277" w:lineRule="auto"/>
        <w:tabs>
          <w:tab w:leader="none" w:pos="136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Company and the Accounts which the Collateral Agent may from time to time request you to provide.</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930"/>
        </w:numPr>
        <w:rPr>
          <w:rFonts w:ascii="Arial" w:cs="Arial" w:eastAsia="Arial" w:hAnsi="Arial"/>
          <w:sz w:val="18"/>
          <w:szCs w:val="18"/>
          <w:color w:val="auto"/>
        </w:rPr>
      </w:pPr>
      <w:r>
        <w:rPr>
          <w:rFonts w:ascii="Arial" w:cs="Arial" w:eastAsia="Arial" w:hAnsi="Arial"/>
          <w:sz w:val="18"/>
          <w:szCs w:val="18"/>
          <w:color w:val="auto"/>
        </w:rPr>
        <w:t>We also advise you that:</w:t>
      </w:r>
    </w:p>
    <w:p>
      <w:pPr>
        <w:spacing w:after="0" w:line="225" w:lineRule="exact"/>
        <w:rPr>
          <w:rFonts w:ascii="Arial" w:cs="Arial" w:eastAsia="Arial" w:hAnsi="Arial"/>
          <w:sz w:val="18"/>
          <w:szCs w:val="18"/>
          <w:color w:val="auto"/>
        </w:rPr>
      </w:pPr>
    </w:p>
    <w:p>
      <w:pPr>
        <w:ind w:left="1360" w:hanging="636"/>
        <w:spacing w:after="0" w:line="277" w:lineRule="auto"/>
        <w:tabs>
          <w:tab w:leader="none" w:pos="136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Company may make withdrawals from the Accounts and you may continue to deal with the Company until such time as the Collateral Agent shall notify you (with a copy to the Company) in writing that its permission is withdrawn; and</w:t>
      </w:r>
    </w:p>
    <w:p>
      <w:pPr>
        <w:spacing w:after="0" w:line="170" w:lineRule="exact"/>
        <w:rPr>
          <w:rFonts w:ascii="Arial" w:cs="Arial" w:eastAsia="Arial" w:hAnsi="Arial"/>
          <w:sz w:val="18"/>
          <w:szCs w:val="18"/>
          <w:color w:val="auto"/>
        </w:rPr>
      </w:pPr>
    </w:p>
    <w:p>
      <w:pPr>
        <w:ind w:left="1360" w:hanging="636"/>
        <w:spacing w:after="0"/>
        <w:tabs>
          <w:tab w:leader="none" w:pos="1360" w:val="left"/>
        </w:tabs>
        <w:numPr>
          <w:ilvl w:val="1"/>
          <w:numId w:val="930"/>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prior written consent of the Collateral Agent .</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Please acknowledge receipt of this notice by signing the acknowledgement on the enclosed copy of this notice and returning it to the Collateral Agent .</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64" w:name="page865"/>
    <w:bookmarkEnd w:id="864"/>
    <w:p>
      <w:pPr>
        <w:ind w:left="5540"/>
        <w:spacing w:after="0"/>
        <w:rPr>
          <w:sz w:val="20"/>
          <w:szCs w:val="20"/>
          <w:color w:val="auto"/>
        </w:rPr>
      </w:pPr>
      <w:r>
        <w:rPr>
          <w:rFonts w:ascii="Arial" w:cs="Arial" w:eastAsia="Arial" w:hAnsi="Arial"/>
          <w:sz w:val="15"/>
          <w:szCs w:val="15"/>
          <w:b w:val="1"/>
          <w:bCs w:val="1"/>
          <w:color w:val="auto"/>
        </w:rPr>
        <w:t>Schedule</w:t>
      </w:r>
    </w:p>
    <w:p>
      <w:pPr>
        <w:sectPr>
          <w:pgSz w:w="11900" w:h="16838" w:orient="portrait"/>
          <w:cols w:equalWidth="0" w:num="1">
            <w:col w:w="10219"/>
          </w:cols>
          <w:pgMar w:left="240" w:top="905" w:right="1440"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Sort Code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Status</w:t>
      </w:r>
    </w:p>
    <w:p>
      <w:pPr>
        <w:spacing w:after="0" w:line="211" w:lineRule="exact"/>
        <w:rPr>
          <w:sz w:val="20"/>
          <w:szCs w:val="20"/>
          <w:color w:val="auto"/>
        </w:rPr>
      </w:pPr>
    </w:p>
    <w:p>
      <w:pPr>
        <w:sectPr>
          <w:pgSz w:w="11900" w:h="16838" w:orient="portrait"/>
          <w:cols w:equalWidth="0" w:num="4">
            <w:col w:w="2160" w:space="720"/>
            <w:col w:w="2120" w:space="720"/>
            <w:col w:w="2140" w:space="720"/>
            <w:col w:w="1639"/>
          </w:cols>
          <w:pgMar w:left="240" w:top="905"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blocked</w:t>
      </w:r>
    </w:p>
    <w:p>
      <w:pPr>
        <w:spacing w:after="0" w:line="222" w:lineRule="exact"/>
        <w:rPr>
          <w:sz w:val="20"/>
          <w:szCs w:val="20"/>
          <w:color w:val="auto"/>
        </w:rPr>
      </w:pPr>
    </w:p>
    <w:p>
      <w:pPr>
        <w:sectPr>
          <w:pgSz w:w="11900" w:h="16838" w:orient="portrait"/>
          <w:cols w:equalWidth="0" w:num="4">
            <w:col w:w="2160" w:space="720"/>
            <w:col w:w="2120" w:space="720"/>
            <w:col w:w="2140" w:space="720"/>
            <w:col w:w="1639"/>
          </w:cols>
          <w:pgMar w:left="240" w:top="905"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Weatherford U.K. Limited</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type w:val="continuous"/>
        </w:sectPr>
      </w:pPr>
    </w:p>
    <w:bookmarkStart w:id="865" w:name="page866"/>
    <w:bookmarkEnd w:id="86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On copy only</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Deutsche Bank Trust Company Americas [•]</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request of the Collateral Agent and the Company we acknowledge receipt of a notice of charge in the terms set out above in respect of the Accounts (as described in those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 we will comply with the term of that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further confirm that:</w:t>
      </w:r>
    </w:p>
    <w:p>
      <w:pPr>
        <w:spacing w:after="0" w:line="225" w:lineRule="exact"/>
        <w:rPr>
          <w:sz w:val="20"/>
          <w:szCs w:val="20"/>
          <w:color w:val="auto"/>
        </w:rPr>
      </w:pPr>
    </w:p>
    <w:p>
      <w:pPr>
        <w:jc w:val="both"/>
        <w:ind w:left="660" w:hanging="652"/>
        <w:spacing w:after="0" w:line="264" w:lineRule="auto"/>
        <w:tabs>
          <w:tab w:leader="none" w:pos="66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the balance standing to the Accounts at today's date is [•], no fees or periodic charges are payable in respect of the Accounts and there are no restrictions on the payment of the credit balance on the Accounts (except, in the case of a time deposit, the expiry of the relevant period) or on the assignment of the Accounts to the Collateral Agent or any third party;</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31"/>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we have not received notice of any previous assignments of, charges or other security interests over, or trusts in respect of, any of the rights, title, interests or benefits in, to, under or in respect of the Accounts;</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we will not, save with the Collateral Agent 's prior written consent, exercise any right of combination, consolidation or set-off which we may have in respect of the Accounts; and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after receipt of the notification referred to in paragraph 2(a) of the notice above, we will act only in accordance with the instructions given by persons authorised by the Collateral Agent and we shall send all statements and other notices given by us relating to the Accounts to the Collateral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w:t>
      </w:r>
      <w:r>
        <w:rPr>
          <w:rFonts w:ascii="Arial" w:cs="Arial" w:eastAsia="Arial" w:hAnsi="Arial"/>
          <w:sz w:val="18"/>
          <w:szCs w:val="18"/>
          <w:i w:val="1"/>
          <w:iCs w:val="1"/>
          <w:color w:val="auto"/>
        </w:rPr>
        <w:t>name of account-holding bank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48170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[Ÿ]</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66" w:name="page867"/>
    <w:bookmarkEnd w:id="866"/>
    <w:p>
      <w:pPr>
        <w:jc w:val="center"/>
        <w:spacing w:after="0"/>
        <w:rPr>
          <w:sz w:val="20"/>
          <w:szCs w:val="20"/>
          <w:color w:val="auto"/>
        </w:rPr>
      </w:pPr>
      <w:r>
        <w:rPr>
          <w:rFonts w:ascii="Arial" w:cs="Arial" w:eastAsia="Arial" w:hAnsi="Arial"/>
          <w:sz w:val="17"/>
          <w:szCs w:val="17"/>
          <w:b w:val="1"/>
          <w:bCs w:val="1"/>
          <w:color w:val="auto"/>
        </w:rPr>
        <w:t>PART 2 – FORM OF NOTICE OF CHARGE FOR COLLECTION BANK ACCOUNTS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Charge for Collection Bank Accounts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Barclays, Level 10, 1 Churchill Place, Canary Wharf, London, E14 5HP</w:t>
      </w:r>
    </w:p>
    <w:p>
      <w:pPr>
        <w:spacing w:after="0" w:line="200" w:lineRule="exact"/>
        <w:rPr>
          <w:sz w:val="20"/>
          <w:szCs w:val="20"/>
          <w:color w:val="auto"/>
        </w:rPr>
      </w:pPr>
    </w:p>
    <w:p>
      <w:pPr>
        <w:sectPr>
          <w:pgSz w:w="11900" w:h="16838" w:orient="portrait"/>
          <w:cols w:equalWidth="0" w:num="2">
            <w:col w:w="240" w:space="680"/>
            <w:col w:w="10500"/>
          </w:cols>
          <w:pgMar w:left="240" w:top="905"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Simon Clark</w:t>
      </w:r>
    </w:p>
    <w:p>
      <w:pPr>
        <w:spacing w:after="0" w:line="211" w:lineRule="exact"/>
        <w:rPr>
          <w:sz w:val="20"/>
          <w:szCs w:val="20"/>
          <w:color w:val="auto"/>
        </w:rPr>
      </w:pPr>
    </w:p>
    <w:p>
      <w:pPr>
        <w:sectPr>
          <w:pgSz w:w="11900" w:h="16838" w:orient="portrait"/>
          <w:cols w:equalWidth="0" w:num="2">
            <w:col w:w="740" w:space="180"/>
            <w:col w:w="10500"/>
          </w:cols>
          <w:pgMar w:left="240" w:top="90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20"/>
          </w:cols>
          <w:pgMar w:left="240" w:top="905" w:right="239" w:bottom="1440" w:gutter="0" w:footer="0" w:header="0"/>
          <w:type w:val="continuous"/>
        </w:sect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Weatherford U.K. Limited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hereby gives notice to Barclays Bank PLC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that by a deed of charge and assignment dated [•] (the </w:t>
      </w:r>
      <w:r>
        <w:rPr>
          <w:rFonts w:ascii="Arial" w:cs="Arial" w:eastAsia="Arial" w:hAnsi="Arial"/>
          <w:sz w:val="18"/>
          <w:szCs w:val="18"/>
          <w:b w:val="1"/>
          <w:bCs w:val="1"/>
          <w:color w:val="auto"/>
        </w:rPr>
        <w:t>Deed</w:t>
      </w:r>
      <w:r>
        <w:rPr>
          <w:rFonts w:ascii="Arial" w:cs="Arial" w:eastAsia="Arial" w:hAnsi="Arial"/>
          <w:sz w:val="18"/>
          <w:szCs w:val="18"/>
          <w:color w:val="auto"/>
        </w:rPr>
        <w:t>), the Company charged to Wells Fargo Bank N.A., London Branch as collateral agent (the</w:t>
      </w:r>
      <w:r>
        <w:rPr>
          <w:rFonts w:ascii="Arial" w:cs="Arial" w:eastAsia="Arial" w:hAnsi="Arial"/>
          <w:sz w:val="18"/>
          <w:szCs w:val="18"/>
          <w:b w:val="1"/>
          <w:bCs w:val="1"/>
          <w:color w:val="auto"/>
        </w:rPr>
        <w:t xml:space="preserve"> Collateral Agent</w:t>
      </w:r>
      <w:r>
        <w:rPr>
          <w:rFonts w:ascii="Arial" w:cs="Arial" w:eastAsia="Arial" w:hAnsi="Arial"/>
          <w:sz w:val="18"/>
          <w:szCs w:val="18"/>
          <w:color w:val="auto"/>
        </w:rPr>
        <w:t>) by way of first fixed charge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rights, title, interest and benefit in and to the following account(s) held with the Bank and all amounts standing to the credit of such account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 sort code [•]-[•]-[•];</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Blocked Account</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acknowledge receipt of this letter by returning a copy of the attached letter on the Bank’s headed notepaper with a receipted copy of this notice forthwith, to Wells Fargo Bank N.A., London Branch, 8th Floor, 33 King William Street, London, EC4R 9AT Attention: Portfolio Manager – [•] and to the Company at the address given above.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attached acknowledgement letter constitutes our irrevocable instruction to you. Without prejudice to the generality thereof, we hereby acknowledge the provisions of the acknowledgement letter in its entirety and agree in your favour to be bound by the limitations on your responsibility under paragraph (i) of the acknowledgment letter, in each case as if we had signed it in your favour.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Weatherford U.K.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867" w:name="page868"/>
    <w:bookmarkEnd w:id="867"/>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 BE PRINTED ON RELEVANT BARCLAYS ENTITY LETTERHEAD</w:t>
      </w:r>
      <w:r>
        <w:rPr>
          <w:rFonts w:ascii="Arial" w:cs="Arial" w:eastAsia="Arial" w:hAnsi="Arial"/>
          <w:sz w:val="16"/>
          <w:szCs w:val="16"/>
          <w:color w:val="auto"/>
        </w:rPr>
        <w: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 London Branch</w:t>
      </w:r>
    </w:p>
    <w:p>
      <w:pPr>
        <w:spacing w:after="0" w:line="186" w:lineRule="auto"/>
        <w:rPr>
          <w:sz w:val="20"/>
          <w:szCs w:val="20"/>
          <w:color w:val="auto"/>
        </w:rPr>
      </w:pPr>
      <w:r>
        <w:rPr>
          <w:rFonts w:ascii="Arial" w:cs="Arial" w:eastAsia="Arial" w:hAnsi="Arial"/>
          <w:sz w:val="18"/>
          <w:szCs w:val="18"/>
          <w:color w:val="auto"/>
        </w:rPr>
        <w:t>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33 King William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EC4R 9AT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Chargee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Gotham Road, East Leake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Loughborough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Leicestershire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LE12 6JX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Chargor</w:t>
      </w:r>
      <w:r>
        <w:rPr>
          <w:rFonts w:ascii="Arial" w:cs="Arial" w:eastAsia="Arial" w:hAnsi="Arial"/>
          <w:sz w:val="18"/>
          <w:szCs w:val="18"/>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Dear All</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charge dated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 the account as set out in the Notice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20[XX] (the “</w:t>
      </w:r>
      <w:r>
        <w:rPr>
          <w:rFonts w:ascii="Arial" w:cs="Arial" w:eastAsia="Arial" w:hAnsi="Arial"/>
          <w:sz w:val="16"/>
          <w:szCs w:val="16"/>
          <w:b w:val="1"/>
          <w:bCs w:val="1"/>
          <w:color w:val="auto"/>
        </w:rPr>
        <w:t>Notice</w:t>
      </w:r>
      <w:r>
        <w:rPr>
          <w:rFonts w:ascii="Arial" w:cs="Arial" w:eastAsia="Arial" w:hAnsi="Arial"/>
          <w:sz w:val="16"/>
          <w:szCs w:val="16"/>
          <w:color w:val="auto"/>
        </w:rPr>
        <w:t>”) relating to the creation of security interest by the Chargor in favour of the Chargee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6350</wp:posOffset>
            </wp:positionV>
            <wp:extent cx="7169785"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7">
                      <a:extLst>
                        <a:ext uri="{28A0092B-C50C-407E-A947-70E740481C1C}"/>
                      </a:extLst>
                    </a:blip>
                    <a:srcRect/>
                    <a:stretch>
                      <a:fillRect/>
                    </a:stretch>
                  </pic:blipFill>
                  <pic:spPr bwMode="auto">
                    <a:xfrm>
                      <a:off x="0" y="0"/>
                      <a:ext cx="7169785" cy="8890"/>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2720" w:space="160"/>
            <w:col w:w="8540"/>
          </w:cols>
          <w:pgMar w:left="240" w:top="908"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refer to the Notice relating to the account, details of which are set out below (the “</w:t>
      </w:r>
      <w:r>
        <w:rPr>
          <w:rFonts w:ascii="Arial" w:cs="Arial" w:eastAsia="Arial" w:hAnsi="Arial"/>
          <w:sz w:val="16"/>
          <w:szCs w:val="16"/>
          <w:b w:val="1"/>
          <w:bCs w:val="1"/>
          <w:color w:val="auto"/>
        </w:rPr>
        <w:t>Account</w:t>
      </w:r>
      <w:r>
        <w:rPr>
          <w:rFonts w:ascii="Arial" w:cs="Arial" w:eastAsia="Arial" w:hAnsi="Arial"/>
          <w:sz w:val="16"/>
          <w:szCs w:val="16"/>
          <w:color w:val="auto"/>
        </w:rPr>
        <w:t>”):</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6604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8">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 HOLDER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ACCOUNT NUMBER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SORT CODE</w:t>
      </w:r>
    </w:p>
    <w:p>
      <w:pPr>
        <w:spacing w:after="0" w:line="211" w:lineRule="exact"/>
        <w:rPr>
          <w:sz w:val="20"/>
          <w:szCs w:val="20"/>
          <w:color w:val="auto"/>
        </w:rPr>
      </w:pPr>
    </w:p>
    <w:p>
      <w:pPr>
        <w:sectPr>
          <w:pgSz w:w="11900" w:h="16838" w:orient="portrait"/>
          <w:cols w:equalWidth="0" w:num="3">
            <w:col w:w="3280" w:space="720"/>
            <w:col w:w="3040" w:space="720"/>
            <w:col w:w="366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jc w:val="both"/>
        <w:ind w:left="760" w:hanging="319"/>
        <w:spacing w:after="0" w:line="279" w:lineRule="auto"/>
        <w:tabs>
          <w:tab w:leader="none" w:pos="740" w:val="left"/>
        </w:tabs>
        <w:rPr>
          <w:sz w:val="20"/>
          <w:szCs w:val="20"/>
          <w:color w:val="auto"/>
        </w:rPr>
      </w:pPr>
      <w:r>
        <w:rPr>
          <w:rFonts w:ascii="Arial" w:cs="Arial" w:eastAsia="Arial" w:hAnsi="Arial"/>
          <w:sz w:val="17"/>
          <w:szCs w:val="17"/>
          <w:color w:val="auto"/>
        </w:rPr>
        <w:t>1.</w:t>
        <w:tab/>
        <w:t>we will block the Account and not permit any further withdrawals by the Chargor unless and until we receive and acknowledge a notice from the Chargee informing us otherwise. Please note that we will not be able to permit withdrawals from the Account in accordance with the instructions of the Chargee unless and until it has provided a list of authorised signatories confirming which persons have authority on behalf of the Chargee to operate the Account and the Account will remain blocked and non- operational until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0975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Only include account details where these were also included in the Notice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868" w:name="page869"/>
    <w:bookmarkEnd w:id="868"/>
    <w:p>
      <w:pPr>
        <w:jc w:val="both"/>
        <w:ind w:left="640" w:hanging="327"/>
        <w:spacing w:after="0" w:line="264" w:lineRule="auto"/>
        <w:tabs>
          <w:tab w:leader="none" w:pos="640" w:val="left"/>
        </w:tabs>
        <w:numPr>
          <w:ilvl w:val="0"/>
          <w:numId w:val="932"/>
        </w:numPr>
        <w:rPr>
          <w:rFonts w:ascii="Arial" w:cs="Arial" w:eastAsia="Arial" w:hAnsi="Arial"/>
          <w:sz w:val="18"/>
          <w:szCs w:val="18"/>
          <w:color w:val="auto"/>
        </w:rPr>
      </w:pPr>
      <w:r>
        <w:rPr>
          <w:rFonts w:ascii="Arial" w:cs="Arial" w:eastAsia="Arial" w:hAnsi="Arial"/>
          <w:sz w:val="18"/>
          <w:szCs w:val="18"/>
          <w:color w:val="auto"/>
        </w:rPr>
        <w:t>to the best of our knowledge and belief the business team responsible for the Account has not, as at the date of this acknowledgement, received any notice that any third party has any right or interest whatsoever in or has made any claim or demand or taking any action whatsoever against the Account and / or the debts represented thereby, or any part of any of it or them; and</w:t>
      </w:r>
    </w:p>
    <w:p>
      <w:pPr>
        <w:spacing w:after="0" w:line="248" w:lineRule="exact"/>
        <w:rPr>
          <w:rFonts w:ascii="Arial" w:cs="Arial" w:eastAsia="Arial" w:hAnsi="Arial"/>
          <w:sz w:val="18"/>
          <w:szCs w:val="18"/>
          <w:color w:val="auto"/>
        </w:rPr>
      </w:pPr>
    </w:p>
    <w:p>
      <w:pPr>
        <w:ind w:left="640" w:hanging="327"/>
        <w:spacing w:after="0" w:line="277" w:lineRule="auto"/>
        <w:tabs>
          <w:tab w:leader="none" w:pos="640" w:val="left"/>
        </w:tabs>
        <w:numPr>
          <w:ilvl w:val="0"/>
          <w:numId w:val="932"/>
        </w:numPr>
        <w:rPr>
          <w:rFonts w:ascii="Arial" w:cs="Arial" w:eastAsia="Arial" w:hAnsi="Arial"/>
          <w:sz w:val="18"/>
          <w:szCs w:val="18"/>
          <w:color w:val="auto"/>
        </w:rPr>
      </w:pPr>
      <w:r>
        <w:rPr>
          <w:rFonts w:ascii="Arial" w:cs="Arial" w:eastAsia="Arial" w:hAnsi="Arial"/>
          <w:sz w:val="18"/>
          <w:szCs w:val="18"/>
          <w:color w:val="auto"/>
        </w:rPr>
        <w:t>we are not, in priority to the Chargee, entitled to combine the Account with any other account or to exercise any right of set-off or counterclaim against money in the Account in respect of any sum owed to us provided that, notwithstanding any term of the Notice:</w:t>
      </w:r>
    </w:p>
    <w:p>
      <w:pPr>
        <w:spacing w:after="0" w:line="170" w:lineRule="exact"/>
        <w:rPr>
          <w:rFonts w:ascii="Arial" w:cs="Arial" w:eastAsia="Arial" w:hAnsi="Arial"/>
          <w:sz w:val="18"/>
          <w:szCs w:val="18"/>
          <w:color w:val="auto"/>
        </w:rPr>
      </w:pPr>
    </w:p>
    <w:p>
      <w:pPr>
        <w:ind w:left="1280" w:hanging="319"/>
        <w:spacing w:after="0" w:line="274" w:lineRule="auto"/>
        <w:tabs>
          <w:tab w:leader="none" w:pos="1280" w:val="left"/>
        </w:tabs>
        <w:numPr>
          <w:ilvl w:val="1"/>
          <w:numId w:val="932"/>
        </w:numPr>
        <w:rPr>
          <w:rFonts w:ascii="Arial" w:cs="Arial" w:eastAsia="Arial" w:hAnsi="Arial"/>
          <w:sz w:val="17"/>
          <w:szCs w:val="17"/>
          <w:color w:val="auto"/>
        </w:rPr>
      </w:pPr>
      <w:r>
        <w:rPr>
          <w:rFonts w:ascii="Arial" w:cs="Arial" w:eastAsia="Arial" w:hAnsi="Arial"/>
          <w:sz w:val="17"/>
          <w:szCs w:val="17"/>
          <w:color w:val="auto"/>
        </w:rPr>
        <w:t>we shall be entitled at any time to deduct from the Account any amounts to satisfy any of our or the Chargor’s obligations and / or liabilities incurred under the direct debit scheme or in respect of other unpaid sums in relation to cheques and payment reversals; and</w:t>
      </w:r>
    </w:p>
    <w:p>
      <w:pPr>
        <w:jc w:val="both"/>
        <w:ind w:left="1280" w:hanging="319"/>
        <w:spacing w:after="0" w:line="255" w:lineRule="auto"/>
        <w:tabs>
          <w:tab w:leader="none" w:pos="1280" w:val="left"/>
        </w:tabs>
        <w:numPr>
          <w:ilvl w:val="1"/>
          <w:numId w:val="932"/>
        </w:numPr>
        <w:rPr>
          <w:rFonts w:ascii="Arial" w:cs="Arial" w:eastAsia="Arial" w:hAnsi="Arial"/>
          <w:sz w:val="18"/>
          <w:szCs w:val="18"/>
          <w:color w:val="auto"/>
        </w:rPr>
      </w:pPr>
      <w:r>
        <w:rPr>
          <w:rFonts w:ascii="Arial" w:cs="Arial" w:eastAsia="Arial" w:hAnsi="Arial"/>
          <w:sz w:val="18"/>
          <w:szCs w:val="18"/>
          <w:color w:val="auto"/>
        </w:rPr>
        <w:t>our agreement in this Acknowledgement not to exercise any right of combination of accounts, set-off or lien over any monies standing to the credit of the Account in priority to the Chargee, shall not apply in relation to our standard bank charges and fees and any cash pooling arrangements provided to the Chargor; and</w:t>
      </w:r>
    </w:p>
    <w:p>
      <w:pPr>
        <w:spacing w:after="0" w:line="257" w:lineRule="exact"/>
        <w:rPr>
          <w:rFonts w:ascii="Arial" w:cs="Arial" w:eastAsia="Arial" w:hAnsi="Arial"/>
          <w:sz w:val="18"/>
          <w:szCs w:val="18"/>
          <w:color w:val="auto"/>
        </w:rPr>
      </w:pPr>
    </w:p>
    <w:p>
      <w:pPr>
        <w:ind w:left="640" w:hanging="327"/>
        <w:spacing w:after="0"/>
        <w:tabs>
          <w:tab w:leader="none" w:pos="640" w:val="left"/>
        </w:tabs>
        <w:numPr>
          <w:ilvl w:val="0"/>
          <w:numId w:val="932"/>
        </w:numPr>
        <w:rPr>
          <w:rFonts w:ascii="Arial" w:cs="Arial" w:eastAsia="Arial" w:hAnsi="Arial"/>
          <w:sz w:val="18"/>
          <w:szCs w:val="18"/>
          <w:color w:val="auto"/>
        </w:rPr>
      </w:pPr>
      <w:r>
        <w:rPr>
          <w:rFonts w:ascii="Arial" w:cs="Arial" w:eastAsia="Arial" w:hAnsi="Arial"/>
          <w:sz w:val="18"/>
          <w:szCs w:val="18"/>
          <w:color w:val="auto"/>
        </w:rPr>
        <w:t>we will disclose to the Chargee any information relating the Account which the Chargee may from time to time request us to provide.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do not confirm or agree to any of the other matters set out in the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acknowledgement of the Notice is subject to the following conditions:</w:t>
      </w:r>
    </w:p>
    <w:p>
      <w:pPr>
        <w:spacing w:after="0" w:line="225" w:lineRule="exact"/>
        <w:rPr>
          <w:sz w:val="20"/>
          <w:szCs w:val="20"/>
          <w:color w:val="auto"/>
        </w:rPr>
      </w:pPr>
    </w:p>
    <w:p>
      <w:pPr>
        <w:jc w:val="both"/>
        <w:ind w:left="640" w:hanging="327"/>
        <w:spacing w:after="0" w:line="264" w:lineRule="auto"/>
        <w:tabs>
          <w:tab w:leader="none" w:pos="64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we shall not be bound to enquire whether the right of any person (including, but not limited to, the Chargee) to withdraw any monies from the Account has arisen or be concerned with (A) the propriety or regularity of the exercise of that right or (B) be responsible for the application of any monies received by such person (including, but not limited to, the Chargee);</w:t>
      </w:r>
    </w:p>
    <w:p>
      <w:pPr>
        <w:spacing w:after="0" w:line="181" w:lineRule="exact"/>
        <w:rPr>
          <w:rFonts w:ascii="Arial" w:cs="Arial" w:eastAsia="Arial" w:hAnsi="Arial"/>
          <w:sz w:val="18"/>
          <w:szCs w:val="18"/>
          <w:color w:val="auto"/>
        </w:rPr>
      </w:pPr>
    </w:p>
    <w:p>
      <w:pPr>
        <w:jc w:val="both"/>
        <w:ind w:left="640" w:hanging="327"/>
        <w:spacing w:after="0" w:line="286" w:lineRule="auto"/>
        <w:tabs>
          <w:tab w:leader="none" w:pos="640" w:val="left"/>
        </w:tabs>
        <w:numPr>
          <w:ilvl w:val="0"/>
          <w:numId w:val="933"/>
        </w:numPr>
        <w:rPr>
          <w:rFonts w:ascii="Arial" w:cs="Arial" w:eastAsia="Arial" w:hAnsi="Arial"/>
          <w:sz w:val="17"/>
          <w:szCs w:val="17"/>
          <w:color w:val="auto"/>
        </w:rPr>
      </w:pPr>
      <w:r>
        <w:rPr>
          <w:rFonts w:ascii="Arial" w:cs="Arial" w:eastAsia="Arial" w:hAnsi="Arial"/>
          <w:sz w:val="17"/>
          <w:szCs w:val="17"/>
          <w:color w:val="auto"/>
        </w:rPr>
        <w:t>we shall have no liability to the Chargee relating to the Account whatsoever, including, without limitation, for having acted on instructions of the Chargee which on their face appear to be genuine, which comply with the terms of this notice and which otherwise comply with the Chargee’s latest list of signatories held by us or relevant electronic banking system procedures in the case of an electronic instruction, and</w:t>
      </w:r>
    </w:p>
    <w:p>
      <w:pPr>
        <w:spacing w:after="0" w:line="165" w:lineRule="exact"/>
        <w:rPr>
          <w:rFonts w:ascii="Arial" w:cs="Arial" w:eastAsia="Arial" w:hAnsi="Arial"/>
          <w:sz w:val="17"/>
          <w:szCs w:val="17"/>
          <w:color w:val="auto"/>
        </w:rPr>
      </w:pPr>
    </w:p>
    <w:p>
      <w:pPr>
        <w:ind w:left="640" w:hanging="327"/>
        <w:spacing w:after="0"/>
        <w:tabs>
          <w:tab w:leader="none" w:pos="64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we shall not be deemed to be a trustee for the Chargor or the Chargee of the Account.</w:t>
      </w:r>
    </w:p>
    <w:p>
      <w:pPr>
        <w:spacing w:after="0" w:line="200" w:lineRule="exact"/>
        <w:rPr>
          <w:sz w:val="20"/>
          <w:szCs w:val="20"/>
          <w:color w:val="auto"/>
        </w:rPr>
      </w:pPr>
    </w:p>
    <w:p>
      <w:pPr>
        <w:spacing w:after="0" w:line="3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9" w:right="239" w:bottom="1440" w:gutter="0" w:footer="0" w:header="0"/>
        </w:sectPr>
      </w:pPr>
    </w:p>
    <w:bookmarkStart w:id="869" w:name="page870"/>
    <w:bookmarkEnd w:id="869"/>
    <w:p>
      <w:pPr>
        <w:spacing w:after="0"/>
        <w:rPr>
          <w:sz w:val="20"/>
          <w:szCs w:val="20"/>
          <w:color w:val="auto"/>
        </w:rPr>
      </w:pPr>
      <w:r>
        <w:rPr>
          <w:rFonts w:ascii="Arial" w:cs="Arial" w:eastAsia="Arial" w:hAnsi="Arial"/>
          <w:sz w:val="16"/>
          <w:szCs w:val="16"/>
          <w:color w:val="auto"/>
        </w:rPr>
        <w:t>This letter and any non-contractual obligations arising out of or in connection with this letter are governed by the laws of England and Wales.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91" w:right="1440" w:bottom="1440" w:gutter="0" w:footer="0" w:header="0"/>
        </w:sectPr>
      </w:pPr>
    </w:p>
    <w:bookmarkStart w:id="870" w:name="page871"/>
    <w:bookmarkEnd w:id="870"/>
    <w:p>
      <w:pPr>
        <w:jc w:val="center"/>
        <w:ind w:left="980"/>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FORM OF NOTICE OF CHARGE OF ASSIGNED AGREEMENTS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Insert name and address of relevant party</w:t>
      </w:r>
      <w:r>
        <w:rPr>
          <w:rFonts w:ascii="Arial" w:cs="Arial" w:eastAsia="Arial" w:hAnsi="Arial"/>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w:t>
      </w:r>
      <w:r>
        <w:rPr>
          <w:rFonts w:ascii="Arial" w:cs="Arial" w:eastAsia="Arial" w:hAnsi="Arial"/>
          <w:sz w:val="18"/>
          <w:szCs w:val="18"/>
          <w:b w:val="1"/>
          <w:bCs w:val="1"/>
          <w:i w:val="1"/>
          <w:iCs w:val="1"/>
          <w:color w:val="auto"/>
        </w:rPr>
        <w:t>describe assigned agreement</w:t>
      </w:r>
      <w:r>
        <w:rPr>
          <w:rFonts w:ascii="Arial" w:cs="Arial" w:eastAsia="Arial" w:hAnsi="Arial"/>
          <w:sz w:val="18"/>
          <w:szCs w:val="18"/>
          <w:b w:val="1"/>
          <w:bCs w:val="1"/>
          <w:color w:val="auto"/>
        </w:rPr>
        <w:t xml:space="preserve">] dated </w:t>
      </w:r>
      <w:r>
        <w:rPr>
          <w:rFonts w:ascii="Arial" w:cs="Arial" w:eastAsia="Arial" w:hAnsi="Arial"/>
          <w:sz w:val="18"/>
          <w:szCs w:val="18"/>
          <w:color w:val="auto"/>
        </w:rPr>
        <w:t>[●]</w:t>
      </w:r>
      <w:r>
        <w:rPr>
          <w:rFonts w:ascii="Arial" w:cs="Arial" w:eastAsia="Arial" w:hAnsi="Arial"/>
          <w:sz w:val="18"/>
          <w:szCs w:val="18"/>
          <w:b w:val="1"/>
          <w:bCs w:val="1"/>
          <w:color w:val="auto"/>
        </w:rPr>
        <w:t xml:space="preserve"> between you and Weatherford U.K. Limited (the "Company")</w:t>
      </w:r>
    </w:p>
    <w:p>
      <w:pPr>
        <w:spacing w:after="0" w:line="225" w:lineRule="exact"/>
        <w:rPr>
          <w:sz w:val="20"/>
          <w:szCs w:val="20"/>
          <w:color w:val="auto"/>
        </w:rPr>
      </w:pPr>
    </w:p>
    <w:p>
      <w:pPr>
        <w:jc w:val="both"/>
        <w:ind w:left="740" w:hanging="732"/>
        <w:spacing w:after="0" w:line="255" w:lineRule="auto"/>
        <w:tabs>
          <w:tab w:leader="none" w:pos="74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 xml:space="preserve">We give notice that, by a deed of charge and assignment dated [●] (the </w:t>
      </w:r>
      <w:r>
        <w:rPr>
          <w:rFonts w:ascii="Arial" w:cs="Arial" w:eastAsia="Arial" w:hAnsi="Arial"/>
          <w:sz w:val="18"/>
          <w:szCs w:val="18"/>
          <w:b w:val="1"/>
          <w:bCs w:val="1"/>
          <w:color w:val="auto"/>
        </w:rPr>
        <w:t>"Deed"</w:t>
      </w:r>
      <w:r>
        <w:rPr>
          <w:rFonts w:ascii="Arial" w:cs="Arial" w:eastAsia="Arial" w:hAnsi="Arial"/>
          <w:sz w:val="18"/>
          <w:szCs w:val="18"/>
          <w:color w:val="auto"/>
        </w:rPr>
        <w:t xml:space="preserve">), we have assigned to Deutsche Bank Trust Company Americas (the </w:t>
      </w:r>
      <w:r>
        <w:rPr>
          <w:rFonts w:ascii="Arial" w:cs="Arial" w:eastAsia="Arial" w:hAnsi="Arial"/>
          <w:sz w:val="18"/>
          <w:szCs w:val="18"/>
          <w:b w:val="1"/>
          <w:bCs w:val="1"/>
          <w:color w:val="auto"/>
        </w:rPr>
        <w:t>"Collateral Agent"</w:t>
      </w:r>
      <w:r>
        <w:rPr>
          <w:rFonts w:ascii="Arial" w:cs="Arial" w:eastAsia="Arial" w:hAnsi="Arial"/>
          <w:sz w:val="18"/>
          <w:szCs w:val="18"/>
          <w:color w:val="auto"/>
        </w:rPr>
        <w:t>) as Collateral Agent for certain banks and others all our present and future right, title and interest in and to [</w:t>
      </w:r>
      <w:r>
        <w:rPr>
          <w:rFonts w:ascii="Arial" w:cs="Arial" w:eastAsia="Arial" w:hAnsi="Arial"/>
          <w:sz w:val="18"/>
          <w:szCs w:val="18"/>
          <w:i w:val="1"/>
          <w:iCs w:val="1"/>
          <w:color w:val="auto"/>
        </w:rPr>
        <w:t>insert details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Assigned Agreement</w:t>
      </w:r>
      <w:r>
        <w:rPr>
          <w:rFonts w:ascii="Arial" w:cs="Arial" w:eastAsia="Arial" w:hAnsi="Arial"/>
          <w:sz w:val="18"/>
          <w:szCs w:val="18"/>
          <w:color w:val="auto"/>
        </w:rPr>
        <w:t>] (together with any other agreement supplementing or amending the same,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including all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in connection with the Agreement and all proceeds and claims arising from the Agreement. This charge and assignment is subject, and without prejudice, to the charge and assignment to the Collateral Agent of all our right, title and interest in the Agreement pursuant to the ABL deed of charge and assignment dated [5] December 2019, notice of which was given to you by a notice dated [●] (the “</w:t>
      </w:r>
      <w:r>
        <w:rPr>
          <w:rFonts w:ascii="Arial" w:cs="Arial" w:eastAsia="Arial" w:hAnsi="Arial"/>
          <w:sz w:val="18"/>
          <w:szCs w:val="18"/>
          <w:b w:val="1"/>
          <w:bCs w:val="1"/>
          <w:color w:val="auto"/>
        </w:rPr>
        <w:t>ABL Deed of Charge and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 Notice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740" w:hanging="732"/>
        <w:spacing w:after="0" w:line="277" w:lineRule="auto"/>
        <w:tabs>
          <w:tab w:leader="none" w:pos="74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an Enforcement Event (as defined in the Deed) has occurred (but not at any other time) the Company instructs you:</w:t>
      </w:r>
    </w:p>
    <w:p>
      <w:pPr>
        <w:spacing w:after="0" w:line="170" w:lineRule="exact"/>
        <w:rPr>
          <w:rFonts w:ascii="Arial" w:cs="Arial" w:eastAsia="Arial" w:hAnsi="Arial"/>
          <w:sz w:val="18"/>
          <w:szCs w:val="18"/>
          <w:color w:val="auto"/>
        </w:rPr>
      </w:pPr>
    </w:p>
    <w:p>
      <w:pPr>
        <w:ind w:left="1380" w:hanging="643"/>
        <w:spacing w:after="0" w:line="342" w:lineRule="auto"/>
        <w:tabs>
          <w:tab w:leader="none" w:pos="1380" w:val="left"/>
        </w:tabs>
        <w:numPr>
          <w:ilvl w:val="1"/>
          <w:numId w:val="934"/>
        </w:numPr>
        <w:rPr>
          <w:rFonts w:ascii="Arial" w:cs="Arial" w:eastAsia="Arial" w:hAnsi="Arial"/>
          <w:sz w:val="16"/>
          <w:szCs w:val="16"/>
          <w:color w:val="auto"/>
        </w:rPr>
      </w:pPr>
      <w:r>
        <w:rPr>
          <w:rFonts w:ascii="Arial" w:cs="Arial" w:eastAsia="Arial" w:hAnsi="Arial"/>
          <w:sz w:val="16"/>
          <w:szCs w:val="16"/>
          <w:color w:val="auto"/>
        </w:rPr>
        <w:t>to disclose to the Collateral Agent at our expense (without any reference to or further authority from us and without any enquiry by you as to the justification for such disclosure), such information relating to the Agreement as the Collateral Agent may from time to time request;</w:t>
      </w:r>
    </w:p>
    <w:p>
      <w:pPr>
        <w:spacing w:after="0" w:line="123" w:lineRule="exact"/>
        <w:rPr>
          <w:rFonts w:ascii="Arial" w:cs="Arial" w:eastAsia="Arial" w:hAnsi="Arial"/>
          <w:sz w:val="16"/>
          <w:szCs w:val="16"/>
          <w:color w:val="auto"/>
        </w:rPr>
      </w:pPr>
    </w:p>
    <w:p>
      <w:pPr>
        <w:ind w:left="1380" w:hanging="643"/>
        <w:spacing w:after="0"/>
        <w:tabs>
          <w:tab w:leader="none" w:pos="1380" w:val="left"/>
        </w:tabs>
        <w:numPr>
          <w:ilvl w:val="1"/>
          <w:numId w:val="934"/>
        </w:numPr>
        <w:rPr>
          <w:rFonts w:ascii="Arial" w:cs="Arial" w:eastAsia="Arial" w:hAnsi="Arial"/>
          <w:sz w:val="18"/>
          <w:szCs w:val="18"/>
          <w:color w:val="auto"/>
        </w:rPr>
      </w:pPr>
      <w:r>
        <w:rPr>
          <w:rFonts w:ascii="Arial" w:cs="Arial" w:eastAsia="Arial" w:hAnsi="Arial"/>
          <w:sz w:val="18"/>
          <w:szCs w:val="18"/>
          <w:color w:val="auto"/>
        </w:rPr>
        <w:t>to hold all sums from time to time due and payable by you to us under the Agreement to the order of the Collateral Agent ;</w:t>
      </w:r>
    </w:p>
    <w:p>
      <w:pPr>
        <w:spacing w:after="0" w:line="225" w:lineRule="exact"/>
        <w:rPr>
          <w:rFonts w:ascii="Arial" w:cs="Arial" w:eastAsia="Arial" w:hAnsi="Arial"/>
          <w:sz w:val="18"/>
          <w:szCs w:val="18"/>
          <w:color w:val="auto"/>
        </w:rPr>
      </w:pPr>
    </w:p>
    <w:p>
      <w:pPr>
        <w:ind w:left="1380" w:hanging="643"/>
        <w:spacing w:after="0" w:line="277" w:lineRule="auto"/>
        <w:tabs>
          <w:tab w:leader="none" w:pos="1380" w:val="left"/>
        </w:tabs>
        <w:numPr>
          <w:ilvl w:val="1"/>
          <w:numId w:val="934"/>
        </w:numPr>
        <w:rPr>
          <w:rFonts w:ascii="Arial" w:cs="Arial" w:eastAsia="Arial" w:hAnsi="Arial"/>
          <w:sz w:val="18"/>
          <w:szCs w:val="18"/>
          <w:color w:val="auto"/>
        </w:rPr>
      </w:pPr>
      <w:r>
        <w:rPr>
          <w:rFonts w:ascii="Arial" w:cs="Arial" w:eastAsia="Arial" w:hAnsi="Arial"/>
          <w:sz w:val="18"/>
          <w:szCs w:val="18"/>
          <w:color w:val="auto"/>
        </w:rPr>
        <w:t>to pay or release all or any part of the sums from time to time due and payable by you to us under the Agreement only in accordance with the written instructions given to you by the Collateral Agent from time to time;</w:t>
      </w:r>
    </w:p>
    <w:p>
      <w:pPr>
        <w:spacing w:after="0" w:line="170" w:lineRule="exact"/>
        <w:rPr>
          <w:rFonts w:ascii="Arial" w:cs="Arial" w:eastAsia="Arial" w:hAnsi="Arial"/>
          <w:sz w:val="18"/>
          <w:szCs w:val="18"/>
          <w:color w:val="auto"/>
        </w:rPr>
      </w:pPr>
    </w:p>
    <w:p>
      <w:pPr>
        <w:jc w:val="both"/>
        <w:ind w:left="1380" w:hanging="643"/>
        <w:spacing w:after="0" w:line="264" w:lineRule="auto"/>
        <w:tabs>
          <w:tab w:leader="none" w:pos="1380" w:val="left"/>
        </w:tabs>
        <w:numPr>
          <w:ilvl w:val="1"/>
          <w:numId w:val="934"/>
        </w:numPr>
        <w:rPr>
          <w:rFonts w:ascii="Arial" w:cs="Arial" w:eastAsia="Arial" w:hAnsi="Arial"/>
          <w:sz w:val="18"/>
          <w:szCs w:val="18"/>
          <w:color w:val="auto"/>
        </w:rPr>
      </w:pPr>
      <w:r>
        <w:rPr>
          <w:rFonts w:ascii="Arial" w:cs="Arial" w:eastAsia="Arial" w:hAnsi="Arial"/>
          <w:sz w:val="18"/>
          <w:szCs w:val="18"/>
          <w:color w:val="auto"/>
        </w:rPr>
        <w:t>to comply with any written notice or instructions in any way relating to, or purporting to relate to, the Deed or the Agreement or the debts represented thereby which you receive at any time from the Collateral Agent without any reference to or further authority from us and without any enquiry by you as to the justification for or validity of such notice or instruction; and</w:t>
      </w:r>
    </w:p>
    <w:p>
      <w:pPr>
        <w:spacing w:after="0" w:line="181" w:lineRule="exact"/>
        <w:rPr>
          <w:rFonts w:ascii="Arial" w:cs="Arial" w:eastAsia="Arial" w:hAnsi="Arial"/>
          <w:sz w:val="18"/>
          <w:szCs w:val="18"/>
          <w:color w:val="auto"/>
        </w:rPr>
      </w:pPr>
    </w:p>
    <w:p>
      <w:pPr>
        <w:ind w:left="1380" w:hanging="643"/>
        <w:spacing w:after="0"/>
        <w:tabs>
          <w:tab w:leader="none" w:pos="1380" w:val="left"/>
        </w:tabs>
        <w:numPr>
          <w:ilvl w:val="1"/>
          <w:numId w:val="934"/>
        </w:numPr>
        <w:rPr>
          <w:rFonts w:ascii="Arial" w:cs="Arial" w:eastAsia="Arial" w:hAnsi="Arial"/>
          <w:sz w:val="18"/>
          <w:szCs w:val="18"/>
          <w:color w:val="auto"/>
        </w:rPr>
      </w:pPr>
      <w:r>
        <w:rPr>
          <w:rFonts w:ascii="Arial" w:cs="Arial" w:eastAsia="Arial" w:hAnsi="Arial"/>
          <w:sz w:val="18"/>
          <w:szCs w:val="18"/>
          <w:color w:val="auto"/>
        </w:rPr>
        <w:t>to send copies of all notices and other information given or received under the Agreement to the Collateral Agent .</w:t>
      </w:r>
    </w:p>
    <w:p>
      <w:pPr>
        <w:spacing w:after="0" w:line="225" w:lineRule="exact"/>
        <w:rPr>
          <w:rFonts w:ascii="Arial" w:cs="Arial" w:eastAsia="Arial" w:hAnsi="Arial"/>
          <w:sz w:val="18"/>
          <w:szCs w:val="18"/>
          <w:color w:val="auto"/>
        </w:rPr>
      </w:pPr>
    </w:p>
    <w:p>
      <w:pPr>
        <w:jc w:val="both"/>
        <w:ind w:left="740" w:hanging="732"/>
        <w:spacing w:after="0" w:line="257" w:lineRule="auto"/>
        <w:tabs>
          <w:tab w:leader="none" w:pos="74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You may continue to deal with us in relation to the Agreement until you review a written notice from the Collateral Agent specifying that an Enforcement Event (as defined in the Deed) has occurred. Following the receipt by you of such a written notice, we are not permitted to receive from you, otherwise than through the Collateral Agent , any amount in respect of or on account of the sums payable to us from time to time under the Agreement or to agree any amendment or supplement to, or waive any obligation under, the Agreement without the prior written consent of the Collateral Agent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1" w:name="page872"/>
    <w:bookmarkEnd w:id="871"/>
    <w:p>
      <w:pPr>
        <w:ind w:left="740" w:hanging="732"/>
        <w:spacing w:after="0"/>
        <w:tabs>
          <w:tab w:leader="none" w:pos="74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This notice may only be revoked or amended with the prior written consent of the Collateral Agent .</w:t>
      </w:r>
    </w:p>
    <w:p>
      <w:pPr>
        <w:spacing w:after="0" w:line="225" w:lineRule="exact"/>
        <w:rPr>
          <w:rFonts w:ascii="Arial" w:cs="Arial" w:eastAsia="Arial" w:hAnsi="Arial"/>
          <w:sz w:val="18"/>
          <w:szCs w:val="18"/>
          <w:color w:val="auto"/>
        </w:rPr>
      </w:pPr>
    </w:p>
    <w:p>
      <w:pPr>
        <w:ind w:left="740" w:hanging="732"/>
        <w:spacing w:after="0" w:line="277" w:lineRule="auto"/>
        <w:tabs>
          <w:tab w:leader="none" w:pos="74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Please confirm by completing the enclosed copy of this notice and returning it to the Collateral Agent (with a copy to us) that you agree to the above and that:</w:t>
      </w:r>
    </w:p>
    <w:p>
      <w:pPr>
        <w:spacing w:after="0" w:line="170" w:lineRule="exact"/>
        <w:rPr>
          <w:rFonts w:ascii="Arial" w:cs="Arial" w:eastAsia="Arial" w:hAnsi="Arial"/>
          <w:sz w:val="18"/>
          <w:szCs w:val="18"/>
          <w:color w:val="auto"/>
        </w:rPr>
      </w:pPr>
    </w:p>
    <w:p>
      <w:pPr>
        <w:ind w:left="1420" w:hanging="656"/>
        <w:spacing w:after="0"/>
        <w:tabs>
          <w:tab w:leader="none" w:pos="1420" w:val="left"/>
        </w:tabs>
        <w:numPr>
          <w:ilvl w:val="1"/>
          <w:numId w:val="935"/>
        </w:numPr>
        <w:rPr>
          <w:rFonts w:ascii="Arial" w:cs="Arial" w:eastAsia="Arial" w:hAnsi="Arial"/>
          <w:sz w:val="18"/>
          <w:szCs w:val="18"/>
          <w:color w:val="auto"/>
        </w:rPr>
      </w:pPr>
      <w:r>
        <w:rPr>
          <w:rFonts w:ascii="Arial" w:cs="Arial" w:eastAsia="Arial" w:hAnsi="Arial"/>
          <w:sz w:val="18"/>
          <w:szCs w:val="18"/>
          <w:color w:val="auto"/>
        </w:rPr>
        <w:t>you accept the instructions and authorisations contained in this notice and you undertake to comply with this notice; and</w:t>
      </w:r>
    </w:p>
    <w:p>
      <w:pPr>
        <w:spacing w:after="0" w:line="225" w:lineRule="exact"/>
        <w:rPr>
          <w:rFonts w:ascii="Arial" w:cs="Arial" w:eastAsia="Arial" w:hAnsi="Arial"/>
          <w:sz w:val="18"/>
          <w:szCs w:val="18"/>
          <w:color w:val="auto"/>
        </w:rPr>
      </w:pPr>
    </w:p>
    <w:p>
      <w:pPr>
        <w:jc w:val="both"/>
        <w:ind w:left="1420" w:hanging="656"/>
        <w:spacing w:after="0" w:line="286" w:lineRule="auto"/>
        <w:tabs>
          <w:tab w:leader="none" w:pos="1420" w:val="left"/>
        </w:tabs>
        <w:numPr>
          <w:ilvl w:val="1"/>
          <w:numId w:val="935"/>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you have not, at the date this notice is returned to the Collateral Agent , received notice of the assignment or charge, the grant of any security or the existence of any other interest of any third party in or to the Agreement or any proceeds of it and you will notify the Collateral Agent promptly if you should do so in future.</w:t>
      </w:r>
    </w:p>
    <w:p>
      <w:pPr>
        <w:spacing w:after="0" w:line="165" w:lineRule="exact"/>
        <w:rPr>
          <w:rFonts w:ascii="Arial" w:cs="Arial" w:eastAsia="Arial" w:hAnsi="Arial"/>
          <w:sz w:val="17"/>
          <w:szCs w:val="17"/>
          <w:color w:val="auto"/>
        </w:rPr>
      </w:pPr>
    </w:p>
    <w:p>
      <w:pPr>
        <w:ind w:left="740" w:hanging="732"/>
        <w:spacing w:after="0" w:line="277" w:lineRule="auto"/>
        <w:tabs>
          <w:tab w:leader="none" w:pos="74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This notice, and any acknowledgement in connection with it, and any non-contractual obligations arising out of or in connection with any of them, shall be governed by English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U.K.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72" w:name="page873"/>
    <w:bookmarkEnd w:id="872"/>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On copy</w:t>
      </w:r>
      <w:r>
        <w:rPr>
          <w:rFonts w:ascii="Arial" w:cs="Arial" w:eastAsia="Arial" w:hAnsi="Arial"/>
          <w:sz w:val="16"/>
          <w:szCs w:val="16"/>
          <w:color w:val="auto"/>
        </w:rPr>
        <w:t>]</w:t>
      </w:r>
    </w:p>
    <w:p>
      <w:pPr>
        <w:sectPr>
          <w:pgSz w:w="11900" w:h="16838" w:orient="portrait"/>
          <w:cols w:equalWidth="0" w:num="1">
            <w:col w:w="11400"/>
          </w:cols>
          <w:pgMar w:left="240" w:top="909"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0" w:space="680"/>
            <w:col w:w="10480"/>
          </w:cols>
          <w:pgMar w:left="240" w:top="909"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U.K. Limited</w:t>
      </w:r>
    </w:p>
    <w:p>
      <w:pPr>
        <w:spacing w:after="0" w:line="211" w:lineRule="exact"/>
        <w:rPr>
          <w:sz w:val="20"/>
          <w:szCs w:val="20"/>
          <w:color w:val="auto"/>
        </w:rPr>
      </w:pPr>
    </w:p>
    <w:p>
      <w:pPr>
        <w:sectPr>
          <w:pgSz w:w="11900" w:h="16838" w:orient="portrait"/>
          <w:cols w:equalWidth="0" w:num="2">
            <w:col w:w="640" w:space="280"/>
            <w:col w:w="10480"/>
          </w:cols>
          <w:pgMar w:left="240" w:top="909" w:right="259" w:bottom="1440" w:gutter="0" w:footer="0" w:header="0"/>
          <w:type w:val="continuous"/>
        </w:sectPr>
      </w:pPr>
    </w:p>
    <w:p>
      <w:pPr>
        <w:spacing w:after="0" w:line="3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Gotham Road, East Leake,</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Loughborough,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Leicestershire LE12 6JX</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00"/>
          </w:cols>
          <w:pgMar w:left="240" w:top="909" w:right="259" w:bottom="144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acknowledge receipt of the above notice and consent and agree to its terms. We confirm and agree to the matters set out in paragraph [5] in the above notice.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relevant party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type w:val="continuous"/>
        </w:sectPr>
      </w:pPr>
    </w:p>
    <w:bookmarkStart w:id="873" w:name="page874"/>
    <w:bookmarkEnd w:id="873"/>
    <w:p>
      <w:pPr>
        <w:jc w:val="center"/>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NOTICE OF CHARGE OF INSURANCE POLICIES</w:t>
      </w:r>
    </w:p>
    <w:p>
      <w:pPr>
        <w:sectPr>
          <w:pgSz w:w="11900" w:h="16838" w:orient="portrait"/>
          <w:cols w:equalWidth="0" w:num="1">
            <w:col w:w="11420"/>
          </w:cols>
          <w:pgMar w:left="240" w:top="905"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insert name and address of insurance company</w:t>
      </w: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240" w:space="360"/>
            <w:col w:w="10820"/>
          </w:cols>
          <w:pgMar w:left="240" w:top="905" w:right="239" w:bottom="1440" w:gutter="0" w:footer="0" w:header="0"/>
          <w:type w:val="continuous"/>
        </w:sectPr>
      </w:pPr>
    </w:p>
    <w:p>
      <w:pPr>
        <w:spacing w:after="0" w:line="48" w:lineRule="exact"/>
        <w:rPr>
          <w:sz w:val="20"/>
          <w:szCs w:val="20"/>
          <w:color w:val="auto"/>
        </w:rPr>
      </w:pPr>
    </w:p>
    <w:p>
      <w:pPr>
        <w:ind w:left="10660"/>
        <w:spacing w:after="0"/>
        <w:rPr>
          <w:sz w:val="20"/>
          <w:szCs w:val="20"/>
          <w:color w:val="auto"/>
        </w:rPr>
      </w:pPr>
      <w:r>
        <w:rPr>
          <w:rFonts w:ascii="Arial" w:cs="Arial" w:eastAsia="Arial" w:hAnsi="Arial"/>
          <w:sz w:val="17"/>
          <w:szCs w:val="17"/>
          <w:color w:val="auto"/>
        </w:rPr>
        <w:t>Dated: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905"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here identify the relevant insurance policy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ies</w:t>
      </w:r>
      <w:r>
        <w:rPr>
          <w:rFonts w:ascii="Arial" w:cs="Arial" w:eastAsia="Arial" w:hAnsi="Arial"/>
          <w:sz w:val="15"/>
          <w:szCs w:val="15"/>
          <w:b w:val="1"/>
          <w:bCs w:val="1"/>
          <w:color w:val="auto"/>
        </w:rPr>
        <w:t>)</w:t>
      </w:r>
      <w:r>
        <w:rPr>
          <w:rFonts w:ascii="Arial" w:cs="Arial" w:eastAsia="Arial" w:hAnsi="Arial"/>
          <w:sz w:val="15"/>
          <w:szCs w:val="15"/>
          <w:color w:val="auto"/>
        </w:rPr>
        <w:t>] (the "</w:t>
      </w:r>
      <w:r>
        <w:rPr>
          <w:rFonts w:ascii="Arial" w:cs="Arial" w:eastAsia="Arial" w:hAnsi="Arial"/>
          <w:sz w:val="15"/>
          <w:szCs w:val="15"/>
          <w:b w:val="1"/>
          <w:bCs w:val="1"/>
          <w:color w:val="auto"/>
        </w:rPr>
        <w:t>Policies</w:t>
      </w:r>
      <w:r>
        <w:rPr>
          <w:rFonts w:ascii="Arial" w:cs="Arial" w:eastAsia="Arial" w:hAnsi="Arial"/>
          <w:sz w:val="15"/>
          <w:szCs w:val="15"/>
          <w:color w:val="auto"/>
        </w:rPr>
        <w:t>")</w:t>
      </w:r>
    </w:p>
    <w:p>
      <w:pPr>
        <w:spacing w:after="0" w:line="215" w:lineRule="exact"/>
        <w:rPr>
          <w:sz w:val="20"/>
          <w:szCs w:val="20"/>
          <w:color w:val="auto"/>
        </w:rPr>
      </w:pPr>
    </w:p>
    <w:p>
      <w:pPr>
        <w:sectPr>
          <w:pgSz w:w="11900" w:h="16838" w:orient="portrait"/>
          <w:cols w:equalWidth="0" w:num="2">
            <w:col w:w="260" w:space="360"/>
            <w:col w:w="10800"/>
          </w:cols>
          <w:pgMar w:left="240" w:top="905" w:right="239" w:bottom="1440" w:gutter="0" w:footer="0" w:header="0"/>
          <w:type w:val="continuous"/>
        </w:sectPr>
      </w:pPr>
    </w:p>
    <w:p>
      <w:pPr>
        <w:spacing w:after="0" w:line="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notify you that, Weatherford U.K. Limited (the "</w:t>
      </w:r>
      <w:r>
        <w:rPr>
          <w:rFonts w:ascii="Arial" w:cs="Arial" w:eastAsia="Arial" w:hAnsi="Arial"/>
          <w:sz w:val="16"/>
          <w:szCs w:val="16"/>
          <w:b w:val="1"/>
          <w:bCs w:val="1"/>
          <w:color w:val="auto"/>
        </w:rPr>
        <w:t>Company</w:t>
      </w:r>
      <w:r>
        <w:rPr>
          <w:rFonts w:ascii="Arial" w:cs="Arial" w:eastAsia="Arial" w:hAnsi="Arial"/>
          <w:sz w:val="16"/>
          <w:szCs w:val="16"/>
          <w:color w:val="auto"/>
        </w:rPr>
        <w:t>") has assigned to Deutsche Bank Trust Company Americas (the "</w:t>
      </w:r>
      <w:r>
        <w:rPr>
          <w:rFonts w:ascii="Arial" w:cs="Arial" w:eastAsia="Arial" w:hAnsi="Arial"/>
          <w:sz w:val="16"/>
          <w:szCs w:val="16"/>
          <w:b w:val="1"/>
          <w:bCs w:val="1"/>
          <w:color w:val="auto"/>
        </w:rPr>
        <w:t>Collateral Agent</w:t>
      </w:r>
      <w:r>
        <w:rPr>
          <w:rFonts w:ascii="Arial" w:cs="Arial" w:eastAsia="Arial" w:hAnsi="Arial"/>
          <w:sz w:val="16"/>
          <w:szCs w:val="16"/>
          <w:color w:val="auto"/>
        </w:rPr>
        <w:t>") for the benefit of itself and certain other banks and financial institutions (the "</w:t>
      </w:r>
      <w:r>
        <w:rPr>
          <w:rFonts w:ascii="Arial" w:cs="Arial" w:eastAsia="Arial" w:hAnsi="Arial"/>
          <w:sz w:val="16"/>
          <w:szCs w:val="16"/>
          <w:b w:val="1"/>
          <w:bCs w:val="1"/>
          <w:color w:val="auto"/>
        </w:rPr>
        <w:t>Secured Parties</w:t>
      </w:r>
      <w:r>
        <w:rPr>
          <w:rFonts w:ascii="Arial" w:cs="Arial" w:eastAsia="Arial" w:hAnsi="Arial"/>
          <w:sz w:val="16"/>
          <w:szCs w:val="16"/>
          <w:color w:val="auto"/>
        </w:rPr>
        <w:t>") all its right, title and interest in the Policies as security for certain obligations owed by the Company to the Secured Parties by way of a deed of charge and assignment dated [●] (the "</w:t>
      </w:r>
      <w:r>
        <w:rPr>
          <w:rFonts w:ascii="Arial" w:cs="Arial" w:eastAsia="Arial" w:hAnsi="Arial"/>
          <w:sz w:val="16"/>
          <w:szCs w:val="16"/>
          <w:b w:val="1"/>
          <w:bCs w:val="1"/>
          <w:color w:val="auto"/>
        </w:rPr>
        <w:t>Deed</w:t>
      </w:r>
      <w:r>
        <w:rPr>
          <w:rFonts w:ascii="Arial" w:cs="Arial" w:eastAsia="Arial" w:hAnsi="Arial"/>
          <w:sz w:val="16"/>
          <w:szCs w:val="16"/>
          <w:color w:val="auto"/>
        </w:rPr>
        <w:t>"). This assignment is subject, and without prejudice, to the assignment to the Collateral Agent of all our right, title and interest in the Policies pursuant to the ABL deed of charge and assignment dated [5] December 2019, notice of which was given to you by a notice dated [●] (the “</w:t>
      </w:r>
      <w:r>
        <w:rPr>
          <w:rFonts w:ascii="Arial" w:cs="Arial" w:eastAsia="Arial" w:hAnsi="Arial"/>
          <w:sz w:val="16"/>
          <w:szCs w:val="16"/>
          <w:b w:val="1"/>
          <w:bCs w:val="1"/>
          <w:color w:val="auto"/>
        </w:rPr>
        <w:t>ABL Deed of Charge and Assignment Notice</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further notify you that:</w:t>
      </w:r>
    </w:p>
    <w:p>
      <w:pPr>
        <w:spacing w:after="0" w:line="225" w:lineRule="exact"/>
        <w:rPr>
          <w:sz w:val="20"/>
          <w:szCs w:val="20"/>
          <w:color w:val="auto"/>
        </w:rPr>
      </w:pPr>
    </w:p>
    <w:p>
      <w:pPr>
        <w:jc w:val="both"/>
        <w:ind w:left="740" w:hanging="732"/>
        <w:spacing w:after="0" w:line="264" w:lineRule="auto"/>
        <w:tabs>
          <w:tab w:leader="none" w:pos="74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Prior to receipt by you of a written notice from the Collateral Agent specifying that an Enforcement Event (as defined in the Deed) has occurred, the Company will continue to have the sole right to deal with you in relation to the Policies (including any amendment, waiver or termination thereof or any claims thereunder).</w:t>
      </w:r>
    </w:p>
    <w:p>
      <w:pPr>
        <w:spacing w:after="0" w:line="181" w:lineRule="exact"/>
        <w:rPr>
          <w:rFonts w:ascii="Arial" w:cs="Arial" w:eastAsia="Arial" w:hAnsi="Arial"/>
          <w:sz w:val="18"/>
          <w:szCs w:val="18"/>
          <w:color w:val="auto"/>
        </w:rPr>
      </w:pPr>
    </w:p>
    <w:p>
      <w:pPr>
        <w:ind w:left="740" w:hanging="732"/>
        <w:spacing w:after="0" w:line="277" w:lineRule="auto"/>
        <w:tabs>
          <w:tab w:leader="none" w:pos="74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 Enforcement Event has occurred (but not at any other time) the Company irrevocably authorises you:</w:t>
      </w:r>
    </w:p>
    <w:p>
      <w:pPr>
        <w:spacing w:after="0" w:line="170" w:lineRule="exact"/>
        <w:rPr>
          <w:rFonts w:ascii="Arial" w:cs="Arial" w:eastAsia="Arial" w:hAnsi="Arial"/>
          <w:sz w:val="18"/>
          <w:szCs w:val="18"/>
          <w:color w:val="auto"/>
        </w:rPr>
      </w:pPr>
    </w:p>
    <w:p>
      <w:pPr>
        <w:ind w:left="1380" w:hanging="643"/>
        <w:spacing w:after="0" w:line="277" w:lineRule="auto"/>
        <w:tabs>
          <w:tab w:leader="none" w:pos="1380" w:val="left"/>
        </w:tabs>
        <w:numPr>
          <w:ilvl w:val="1"/>
          <w:numId w:val="936"/>
        </w:numPr>
        <w:rPr>
          <w:rFonts w:ascii="Arial" w:cs="Arial" w:eastAsia="Arial" w:hAnsi="Arial"/>
          <w:sz w:val="18"/>
          <w:szCs w:val="18"/>
          <w:color w:val="auto"/>
        </w:rPr>
      </w:pPr>
      <w:r>
        <w:rPr>
          <w:rFonts w:ascii="Arial" w:cs="Arial" w:eastAsia="Arial" w:hAnsi="Arial"/>
          <w:sz w:val="18"/>
          <w:szCs w:val="18"/>
          <w:color w:val="auto"/>
        </w:rPr>
        <w:t>to pay all monies to which the Company is entitled under the Policies direct to the Collateral Agent (or as it may direct) promptly following receipt of written instructions from the Collateral Agent to that effect; and</w:t>
      </w:r>
    </w:p>
    <w:p>
      <w:pPr>
        <w:spacing w:after="0" w:line="170" w:lineRule="exact"/>
        <w:rPr>
          <w:rFonts w:ascii="Arial" w:cs="Arial" w:eastAsia="Arial" w:hAnsi="Arial"/>
          <w:sz w:val="18"/>
          <w:szCs w:val="18"/>
          <w:color w:val="auto"/>
        </w:rPr>
      </w:pPr>
    </w:p>
    <w:p>
      <w:pPr>
        <w:ind w:left="1380" w:hanging="643"/>
        <w:spacing w:after="0" w:line="277" w:lineRule="auto"/>
        <w:tabs>
          <w:tab w:leader="none" w:pos="1380" w:val="left"/>
        </w:tabs>
        <w:numPr>
          <w:ilvl w:val="1"/>
          <w:numId w:val="936"/>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Policies which the Collateral Agent may from time to time request in writing.</w:t>
      </w:r>
    </w:p>
    <w:p>
      <w:pPr>
        <w:spacing w:after="0" w:line="170" w:lineRule="exact"/>
        <w:rPr>
          <w:rFonts w:ascii="Arial" w:cs="Arial" w:eastAsia="Arial" w:hAnsi="Arial"/>
          <w:sz w:val="18"/>
          <w:szCs w:val="18"/>
          <w:color w:val="auto"/>
        </w:rPr>
      </w:pPr>
    </w:p>
    <w:p>
      <w:pPr>
        <w:ind w:left="740" w:hanging="732"/>
        <w:spacing w:after="0"/>
        <w:tabs>
          <w:tab w:leader="none" w:pos="74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written consent of the Collateral Agent and the Company.</w:t>
      </w:r>
    </w:p>
    <w:p>
      <w:pPr>
        <w:spacing w:after="0" w:line="225" w:lineRule="exact"/>
        <w:rPr>
          <w:rFonts w:ascii="Arial" w:cs="Arial" w:eastAsia="Arial" w:hAnsi="Arial"/>
          <w:sz w:val="18"/>
          <w:szCs w:val="18"/>
          <w:color w:val="auto"/>
        </w:rPr>
      </w:pPr>
    </w:p>
    <w:p>
      <w:pPr>
        <w:ind w:left="740" w:hanging="732"/>
        <w:spacing w:after="0"/>
        <w:tabs>
          <w:tab w:leader="none" w:pos="740" w:val="left"/>
        </w:tabs>
        <w:numPr>
          <w:ilvl w:val="0"/>
          <w:numId w:val="936"/>
        </w:numPr>
        <w:rPr>
          <w:rFonts w:ascii="Arial" w:cs="Arial" w:eastAsia="Arial" w:hAnsi="Arial"/>
          <w:sz w:val="17"/>
          <w:szCs w:val="17"/>
          <w:color w:val="auto"/>
        </w:rPr>
      </w:pPr>
      <w:r>
        <w:rPr>
          <w:rFonts w:ascii="Arial" w:cs="Arial" w:eastAsia="Arial" w:hAnsi="Arial"/>
          <w:sz w:val="17"/>
          <w:szCs w:val="17"/>
          <w:color w:val="auto"/>
        </w:rPr>
        <w:t>Please sign and return the enclosed copy of this notice to the Collateral Agent (with a copy to the Company) by way of confirmation that:</w:t>
      </w:r>
    </w:p>
    <w:p>
      <w:pPr>
        <w:spacing w:after="0" w:line="236" w:lineRule="exact"/>
        <w:rPr>
          <w:rFonts w:ascii="Arial" w:cs="Arial" w:eastAsia="Arial" w:hAnsi="Arial"/>
          <w:sz w:val="17"/>
          <w:szCs w:val="17"/>
          <w:color w:val="auto"/>
        </w:rPr>
      </w:pPr>
    </w:p>
    <w:p>
      <w:pPr>
        <w:ind w:left="1380" w:hanging="643"/>
        <w:spacing w:after="0"/>
        <w:tabs>
          <w:tab w:leader="none" w:pos="1380" w:val="left"/>
        </w:tabs>
        <w:numPr>
          <w:ilvl w:val="1"/>
          <w:numId w:val="936"/>
        </w:numPr>
        <w:rPr>
          <w:rFonts w:ascii="Arial" w:cs="Arial" w:eastAsia="Arial" w:hAnsi="Arial"/>
          <w:sz w:val="18"/>
          <w:szCs w:val="18"/>
          <w:color w:val="auto"/>
        </w:rPr>
      </w:pPr>
      <w:r>
        <w:rPr>
          <w:rFonts w:ascii="Arial" w:cs="Arial" w:eastAsia="Arial" w:hAnsi="Arial"/>
          <w:sz w:val="18"/>
          <w:szCs w:val="18"/>
          <w:color w:val="auto"/>
        </w:rPr>
        <w:t>you agree to act in accordance with the provisions of this notice;</w:t>
      </w:r>
    </w:p>
    <w:p>
      <w:pPr>
        <w:spacing w:after="0" w:line="225" w:lineRule="exact"/>
        <w:rPr>
          <w:rFonts w:ascii="Arial" w:cs="Arial" w:eastAsia="Arial" w:hAnsi="Arial"/>
          <w:sz w:val="18"/>
          <w:szCs w:val="18"/>
          <w:color w:val="auto"/>
        </w:rPr>
      </w:pPr>
    </w:p>
    <w:p>
      <w:pPr>
        <w:jc w:val="both"/>
        <w:ind w:left="1380" w:hanging="643"/>
        <w:spacing w:after="0" w:line="264" w:lineRule="auto"/>
        <w:tabs>
          <w:tab w:leader="none" w:pos="1380" w:val="left"/>
        </w:tabs>
        <w:numPr>
          <w:ilvl w:val="1"/>
          <w:numId w:val="936"/>
        </w:numPr>
        <w:rPr>
          <w:rFonts w:ascii="Arial" w:cs="Arial" w:eastAsia="Arial" w:hAnsi="Arial"/>
          <w:sz w:val="18"/>
          <w:szCs w:val="18"/>
          <w:color w:val="auto"/>
        </w:rPr>
      </w:pPr>
      <w:r>
        <w:rPr>
          <w:rFonts w:ascii="Arial" w:cs="Arial" w:eastAsia="Arial" w:hAnsi="Arial"/>
          <w:sz w:val="18"/>
          <w:szCs w:val="18"/>
          <w:color w:val="auto"/>
        </w:rPr>
        <w:t>except for the ABL Deed of Charge and Assignment Notice, you have not previously received notice (other than notices which were subsequently irrevocably withdrawn) that the Company has assigned its rights under the Policies to a third party or created any other interest (whether by way of security or otherwise) in the Policies in favour of a third party;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874" w:name="page875"/>
    <w:bookmarkEnd w:id="874"/>
    <w:p>
      <w:pPr>
        <w:ind w:left="1420" w:hanging="656"/>
        <w:spacing w:after="0" w:line="277" w:lineRule="auto"/>
        <w:tabs>
          <w:tab w:leader="none" w:pos="14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you have not claimed or exercised nor do you have any outstanding right to claim or exercise against the Company, any right of set off, counter claim or other right relating to the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notice are governed by English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U.K.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5" w:name="page876"/>
    <w:bookmarkEnd w:id="875"/>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On acknowledgement copy</w:t>
      </w:r>
      <w:r>
        <w:rPr>
          <w:rFonts w:ascii="Arial" w:cs="Arial" w:eastAsia="Arial" w:hAnsi="Arial"/>
          <w:sz w:val="16"/>
          <w:szCs w:val="16"/>
          <w:color w:val="auto"/>
        </w:rPr>
        <w:t>]</w:t>
      </w:r>
    </w:p>
    <w:p>
      <w:pPr>
        <w:sectPr>
          <w:pgSz w:w="11900" w:h="16838" w:orient="portrait"/>
          <w:cols w:equalWidth="0" w:num="1">
            <w:col w:w="10219"/>
          </w:cols>
          <w:pgMar w:left="240" w:top="909"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 [•]</w:t>
      </w:r>
    </w:p>
    <w:p>
      <w:pPr>
        <w:spacing w:after="0" w:line="200" w:lineRule="exact"/>
        <w:rPr>
          <w:sz w:val="20"/>
          <w:szCs w:val="20"/>
          <w:color w:val="auto"/>
        </w:rPr>
      </w:pPr>
    </w:p>
    <w:p>
      <w:pPr>
        <w:sectPr>
          <w:pgSz w:w="11900" w:h="16838" w:orient="portrait"/>
          <w:cols w:equalWidth="0" w:num="2">
            <w:col w:w="240" w:space="680"/>
            <w:col w:w="9299"/>
          </w:cols>
          <w:pgMar w:left="240" w:top="909"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U.K. Limited</w:t>
      </w:r>
    </w:p>
    <w:p>
      <w:pPr>
        <w:spacing w:after="0" w:line="211" w:lineRule="exact"/>
        <w:rPr>
          <w:sz w:val="20"/>
          <w:szCs w:val="20"/>
          <w:color w:val="auto"/>
        </w:rPr>
      </w:pPr>
    </w:p>
    <w:p>
      <w:pPr>
        <w:sectPr>
          <w:pgSz w:w="11900" w:h="16838" w:orient="portrait"/>
          <w:cols w:equalWidth="0" w:num="2">
            <w:col w:w="640" w:space="280"/>
            <w:col w:w="9299"/>
          </w:cols>
          <w:pgMar w:left="240" w:top="909" w:right="1440" w:bottom="1440" w:gutter="0" w:footer="0" w:header="0"/>
          <w:type w:val="continuous"/>
        </w:sectPr>
      </w:pPr>
    </w:p>
    <w:p>
      <w:pPr>
        <w:spacing w:after="0" w:line="3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Gotham Road, East Leake,</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Loughborough,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Leicestershire LE12 6JX</w:t>
      </w:r>
    </w:p>
    <w:p>
      <w:pPr>
        <w:sectPr>
          <w:pgSz w:w="11900" w:h="16838" w:orient="portrait"/>
          <w:cols w:equalWidth="0" w:num="1">
            <w:col w:w="10219"/>
          </w:cols>
          <w:pgMar w:left="240" w:top="909"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acknowledge receipt of the above notice and confirm the matters set out in paragraphs 4(a) to (c)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name of insurance company</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Dated:</w:t>
        <w:tab/>
        <w: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type w:val="continuous"/>
        </w:sectPr>
      </w:pPr>
    </w:p>
    <w:bookmarkStart w:id="876" w:name="page877"/>
    <w:bookmarkEnd w:id="876"/>
    <w:p>
      <w:pPr>
        <w:ind w:left="93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4540"/>
        <w:spacing w:after="0"/>
        <w:tabs>
          <w:tab w:leader="none" w:pos="63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-7620</wp:posOffset>
            </wp:positionV>
            <wp:extent cx="74295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WEATHERFORD EURASIA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Mortgagor)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EQUITABLE SHARE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Equitable Share Mortgage is entered into subject to the terms of the Intercreditor Agreement dated on or about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117475</wp:posOffset>
            </wp:positionV>
            <wp:extent cx="1054735" cy="2743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7">
                      <a:extLst>
                        <a:ext uri="{28A0092B-C50C-407E-A947-70E740481C1C}"/>
                      </a:extLst>
                    </a:blip>
                    <a:srcRect/>
                    <a:stretch>
                      <a:fillRect/>
                    </a:stretch>
                  </pic:blipFill>
                  <pic:spPr bwMode="auto">
                    <a:xfrm>
                      <a:off x="0" y="0"/>
                      <a:ext cx="1054735" cy="27432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7" w:name="page878"/>
    <w:bookmarkEnd w:id="877"/>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9900" w:type="dxa"/>
            <w:vAlign w:val="bottom"/>
          </w:tcPr>
          <w:p>
            <w:pPr>
              <w:ind w:left="4600"/>
              <w:spacing w:after="0"/>
              <w:rPr>
                <w:sz w:val="20"/>
                <w:szCs w:val="20"/>
                <w:color w:val="auto"/>
              </w:rPr>
            </w:pPr>
            <w:r>
              <w:rPr>
                <w:rFonts w:ascii="Arial" w:cs="Arial" w:eastAsia="Arial" w:hAnsi="Arial"/>
                <w:sz w:val="18"/>
                <w:szCs w:val="18"/>
                <w:b w:val="1"/>
                <w:bCs w:val="1"/>
                <w:color w:val="auto"/>
              </w:rPr>
              <w:t>CONTENTS</w:t>
            </w:r>
          </w:p>
        </w:tc>
        <w:tc>
          <w:tcPr>
            <w:tcW w:w="900" w:type="dxa"/>
            <w:vAlign w:val="bottom"/>
          </w:tcPr>
          <w:p>
            <w:pPr>
              <w:spacing w:after="0"/>
              <w:rPr>
                <w:sz w:val="20"/>
                <w:szCs w:val="20"/>
                <w:color w:val="auto"/>
              </w:rPr>
            </w:pPr>
          </w:p>
        </w:tc>
      </w:tr>
      <w:tr>
        <w:trPr>
          <w:trHeight w:val="500"/>
        </w:trPr>
        <w:tc>
          <w:tcPr>
            <w:tcW w:w="62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9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8"/>
        </w:trPr>
        <w:tc>
          <w:tcPr>
            <w:tcW w:w="620" w:type="dxa"/>
            <w:vAlign w:val="bottom"/>
          </w:tcPr>
          <w:p>
            <w:pPr>
              <w:spacing w:after="0"/>
              <w:rPr>
                <w:sz w:val="5"/>
                <w:szCs w:val="5"/>
                <w:color w:val="auto"/>
              </w:rPr>
            </w:pPr>
          </w:p>
        </w:tc>
        <w:tc>
          <w:tcPr>
            <w:tcW w:w="99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010000"/>
              </w:rPr>
              <w:t>1.</w:t>
            </w:r>
          </w:p>
        </w:tc>
        <w:tc>
          <w:tcPr>
            <w:tcW w:w="9900" w:type="dxa"/>
            <w:vAlign w:val="bottom"/>
          </w:tcPr>
          <w:p>
            <w:pPr>
              <w:ind w:left="80"/>
              <w:spacing w:after="0"/>
              <w:rPr>
                <w:sz w:val="20"/>
                <w:szCs w:val="20"/>
                <w:color w:val="auto"/>
              </w:rPr>
            </w:pPr>
            <w:r>
              <w:rPr>
                <w:rFonts w:ascii="Arial" w:cs="Arial" w:eastAsia="Arial" w:hAnsi="Arial"/>
                <w:sz w:val="18"/>
                <w:szCs w:val="18"/>
                <w:color w:val="010000"/>
              </w:rPr>
              <w:t>DEFINITIONS AND INTERPRETATION</w:t>
            </w:r>
          </w:p>
        </w:tc>
        <w:tc>
          <w:tcPr>
            <w:tcW w:w="900" w:type="dxa"/>
            <w:vAlign w:val="bottom"/>
          </w:tcPr>
          <w:p>
            <w:pPr>
              <w:jc w:val="right"/>
              <w:spacing w:after="0"/>
              <w:rPr>
                <w:sz w:val="20"/>
                <w:szCs w:val="20"/>
                <w:color w:val="auto"/>
              </w:rPr>
            </w:pPr>
            <w:r>
              <w:rPr>
                <w:rFonts w:ascii="Arial" w:cs="Arial" w:eastAsia="Arial" w:hAnsi="Arial"/>
                <w:sz w:val="18"/>
                <w:szCs w:val="18"/>
                <w:color w:val="010000"/>
              </w:rPr>
              <w:t>1</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w:t>
            </w:r>
          </w:p>
        </w:tc>
        <w:tc>
          <w:tcPr>
            <w:tcW w:w="9900" w:type="dxa"/>
            <w:vAlign w:val="bottom"/>
          </w:tcPr>
          <w:p>
            <w:pPr>
              <w:ind w:left="80"/>
              <w:spacing w:after="0"/>
              <w:rPr>
                <w:sz w:val="20"/>
                <w:szCs w:val="20"/>
                <w:color w:val="auto"/>
              </w:rPr>
            </w:pPr>
            <w:r>
              <w:rPr>
                <w:rFonts w:ascii="Arial" w:cs="Arial" w:eastAsia="Arial" w:hAnsi="Arial"/>
                <w:sz w:val="18"/>
                <w:szCs w:val="18"/>
                <w:color w:val="010000"/>
              </w:rPr>
              <w:t>TRUST</w:t>
            </w:r>
          </w:p>
        </w:tc>
        <w:tc>
          <w:tcPr>
            <w:tcW w:w="900" w:type="dxa"/>
            <w:vAlign w:val="bottom"/>
          </w:tcPr>
          <w:p>
            <w:pPr>
              <w:jc w:val="right"/>
              <w:spacing w:after="0"/>
              <w:rPr>
                <w:sz w:val="20"/>
                <w:szCs w:val="20"/>
                <w:color w:val="auto"/>
              </w:rPr>
            </w:pPr>
            <w:r>
              <w:rPr>
                <w:rFonts w:ascii="Arial" w:cs="Arial" w:eastAsia="Arial" w:hAnsi="Arial"/>
                <w:sz w:val="18"/>
                <w:szCs w:val="18"/>
                <w:color w:val="010000"/>
              </w:rPr>
              <w:t>5</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3.</w:t>
            </w:r>
          </w:p>
        </w:tc>
        <w:tc>
          <w:tcPr>
            <w:tcW w:w="9900" w:type="dxa"/>
            <w:vAlign w:val="bottom"/>
          </w:tcPr>
          <w:p>
            <w:pPr>
              <w:ind w:left="80"/>
              <w:spacing w:after="0"/>
              <w:rPr>
                <w:sz w:val="20"/>
                <w:szCs w:val="20"/>
                <w:color w:val="auto"/>
              </w:rPr>
            </w:pPr>
            <w:r>
              <w:rPr>
                <w:rFonts w:ascii="Arial" w:cs="Arial" w:eastAsia="Arial" w:hAnsi="Arial"/>
                <w:sz w:val="18"/>
                <w:szCs w:val="18"/>
                <w:color w:val="010000"/>
              </w:rPr>
              <w:t>INTERCREDITOR AGREEMENT</w:t>
            </w:r>
          </w:p>
        </w:tc>
        <w:tc>
          <w:tcPr>
            <w:tcW w:w="900" w:type="dxa"/>
            <w:vAlign w:val="bottom"/>
          </w:tcPr>
          <w:p>
            <w:pPr>
              <w:jc w:val="right"/>
              <w:spacing w:after="0"/>
              <w:rPr>
                <w:sz w:val="20"/>
                <w:szCs w:val="20"/>
                <w:color w:val="auto"/>
              </w:rPr>
            </w:pPr>
            <w:r>
              <w:rPr>
                <w:rFonts w:ascii="Arial" w:cs="Arial" w:eastAsia="Arial" w:hAnsi="Arial"/>
                <w:sz w:val="18"/>
                <w:szCs w:val="18"/>
                <w:color w:val="010000"/>
              </w:rPr>
              <w:t>6</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4.</w:t>
            </w:r>
          </w:p>
        </w:tc>
        <w:tc>
          <w:tcPr>
            <w:tcW w:w="9900" w:type="dxa"/>
            <w:vAlign w:val="bottom"/>
          </w:tcPr>
          <w:p>
            <w:pPr>
              <w:ind w:left="80"/>
              <w:spacing w:after="0"/>
              <w:rPr>
                <w:sz w:val="20"/>
                <w:szCs w:val="20"/>
                <w:color w:val="auto"/>
              </w:rPr>
            </w:pPr>
            <w:r>
              <w:rPr>
                <w:rFonts w:ascii="Arial" w:cs="Arial" w:eastAsia="Arial" w:hAnsi="Arial"/>
                <w:sz w:val="18"/>
                <w:szCs w:val="18"/>
                <w:color w:val="010000"/>
              </w:rPr>
              <w:t>ABL EQUITABLE SHARE MORTGAGE</w:t>
            </w:r>
          </w:p>
        </w:tc>
        <w:tc>
          <w:tcPr>
            <w:tcW w:w="900" w:type="dxa"/>
            <w:vAlign w:val="bottom"/>
          </w:tcPr>
          <w:p>
            <w:pPr>
              <w:jc w:val="right"/>
              <w:spacing w:after="0"/>
              <w:rPr>
                <w:sz w:val="20"/>
                <w:szCs w:val="20"/>
                <w:color w:val="auto"/>
              </w:rPr>
            </w:pPr>
            <w:r>
              <w:rPr>
                <w:rFonts w:ascii="Arial" w:cs="Arial" w:eastAsia="Arial" w:hAnsi="Arial"/>
                <w:sz w:val="18"/>
                <w:szCs w:val="18"/>
                <w:color w:val="010000"/>
              </w:rPr>
              <w:t>6</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5.</w:t>
            </w:r>
          </w:p>
        </w:tc>
        <w:tc>
          <w:tcPr>
            <w:tcW w:w="9900" w:type="dxa"/>
            <w:vAlign w:val="bottom"/>
          </w:tcPr>
          <w:p>
            <w:pPr>
              <w:ind w:left="80"/>
              <w:spacing w:after="0"/>
              <w:rPr>
                <w:sz w:val="20"/>
                <w:szCs w:val="20"/>
                <w:color w:val="auto"/>
              </w:rPr>
            </w:pPr>
            <w:r>
              <w:rPr>
                <w:rFonts w:ascii="Arial" w:cs="Arial" w:eastAsia="Arial" w:hAnsi="Arial"/>
                <w:sz w:val="18"/>
                <w:szCs w:val="18"/>
                <w:color w:val="010000"/>
              </w:rPr>
              <w:t>COVENANT TO PAY</w:t>
            </w:r>
          </w:p>
        </w:tc>
        <w:tc>
          <w:tcPr>
            <w:tcW w:w="900" w:type="dxa"/>
            <w:vAlign w:val="bottom"/>
          </w:tcPr>
          <w:p>
            <w:pPr>
              <w:jc w:val="right"/>
              <w:spacing w:after="0"/>
              <w:rPr>
                <w:sz w:val="20"/>
                <w:szCs w:val="20"/>
                <w:color w:val="auto"/>
              </w:rPr>
            </w:pPr>
            <w:r>
              <w:rPr>
                <w:rFonts w:ascii="Arial" w:cs="Arial" w:eastAsia="Arial" w:hAnsi="Arial"/>
                <w:sz w:val="18"/>
                <w:szCs w:val="18"/>
                <w:color w:val="010000"/>
              </w:rPr>
              <w:t>7</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6.</w:t>
            </w:r>
          </w:p>
        </w:tc>
        <w:tc>
          <w:tcPr>
            <w:tcW w:w="9900" w:type="dxa"/>
            <w:vAlign w:val="bottom"/>
          </w:tcPr>
          <w:p>
            <w:pPr>
              <w:ind w:left="80"/>
              <w:spacing w:after="0"/>
              <w:rPr>
                <w:sz w:val="20"/>
                <w:szCs w:val="20"/>
                <w:color w:val="auto"/>
              </w:rPr>
            </w:pPr>
            <w:r>
              <w:rPr>
                <w:rFonts w:ascii="Arial" w:cs="Arial" w:eastAsia="Arial" w:hAnsi="Arial"/>
                <w:sz w:val="18"/>
                <w:szCs w:val="18"/>
                <w:color w:val="010000"/>
              </w:rPr>
              <w:t>CREATION OF SECURITY</w:t>
            </w:r>
          </w:p>
        </w:tc>
        <w:tc>
          <w:tcPr>
            <w:tcW w:w="900" w:type="dxa"/>
            <w:vAlign w:val="bottom"/>
          </w:tcPr>
          <w:p>
            <w:pPr>
              <w:jc w:val="right"/>
              <w:spacing w:after="0"/>
              <w:rPr>
                <w:sz w:val="20"/>
                <w:szCs w:val="20"/>
                <w:color w:val="auto"/>
              </w:rPr>
            </w:pPr>
            <w:r>
              <w:rPr>
                <w:rFonts w:ascii="Arial" w:cs="Arial" w:eastAsia="Arial" w:hAnsi="Arial"/>
                <w:sz w:val="18"/>
                <w:szCs w:val="18"/>
                <w:color w:val="010000"/>
              </w:rPr>
              <w:t>7</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7.</w:t>
            </w:r>
          </w:p>
        </w:tc>
        <w:tc>
          <w:tcPr>
            <w:tcW w:w="9900" w:type="dxa"/>
            <w:vAlign w:val="bottom"/>
          </w:tcPr>
          <w:p>
            <w:pPr>
              <w:ind w:left="80"/>
              <w:spacing w:after="0"/>
              <w:rPr>
                <w:sz w:val="20"/>
                <w:szCs w:val="20"/>
                <w:color w:val="auto"/>
              </w:rPr>
            </w:pPr>
            <w:r>
              <w:rPr>
                <w:rFonts w:ascii="Arial" w:cs="Arial" w:eastAsia="Arial" w:hAnsi="Arial"/>
                <w:sz w:val="18"/>
                <w:szCs w:val="18"/>
                <w:color w:val="010000"/>
              </w:rPr>
              <w:t>COVENANT TO DEPOSIT</w:t>
            </w:r>
          </w:p>
        </w:tc>
        <w:tc>
          <w:tcPr>
            <w:tcW w:w="900" w:type="dxa"/>
            <w:vAlign w:val="bottom"/>
          </w:tcPr>
          <w:p>
            <w:pPr>
              <w:jc w:val="right"/>
              <w:spacing w:after="0"/>
              <w:rPr>
                <w:sz w:val="20"/>
                <w:szCs w:val="20"/>
                <w:color w:val="auto"/>
              </w:rPr>
            </w:pPr>
            <w:r>
              <w:rPr>
                <w:rFonts w:ascii="Arial" w:cs="Arial" w:eastAsia="Arial" w:hAnsi="Arial"/>
                <w:sz w:val="18"/>
                <w:szCs w:val="18"/>
                <w:color w:val="010000"/>
              </w:rPr>
              <w:t>7</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8.</w:t>
            </w:r>
          </w:p>
        </w:tc>
        <w:tc>
          <w:tcPr>
            <w:tcW w:w="9900" w:type="dxa"/>
            <w:vAlign w:val="bottom"/>
          </w:tcPr>
          <w:p>
            <w:pPr>
              <w:ind w:left="80"/>
              <w:spacing w:after="0"/>
              <w:rPr>
                <w:sz w:val="20"/>
                <w:szCs w:val="20"/>
                <w:color w:val="auto"/>
              </w:rPr>
            </w:pPr>
            <w:r>
              <w:rPr>
                <w:rFonts w:ascii="Arial" w:cs="Arial" w:eastAsia="Arial" w:hAnsi="Arial"/>
                <w:sz w:val="18"/>
                <w:szCs w:val="18"/>
                <w:color w:val="010000"/>
              </w:rPr>
              <w:t>FURTHER ASSURANCE</w:t>
            </w:r>
          </w:p>
        </w:tc>
        <w:tc>
          <w:tcPr>
            <w:tcW w:w="900" w:type="dxa"/>
            <w:vAlign w:val="bottom"/>
          </w:tcPr>
          <w:p>
            <w:pPr>
              <w:jc w:val="right"/>
              <w:spacing w:after="0"/>
              <w:rPr>
                <w:sz w:val="20"/>
                <w:szCs w:val="20"/>
                <w:color w:val="auto"/>
              </w:rPr>
            </w:pPr>
            <w:r>
              <w:rPr>
                <w:rFonts w:ascii="Arial" w:cs="Arial" w:eastAsia="Arial" w:hAnsi="Arial"/>
                <w:sz w:val="18"/>
                <w:szCs w:val="18"/>
                <w:color w:val="010000"/>
              </w:rPr>
              <w:t>8</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9.</w:t>
            </w:r>
          </w:p>
        </w:tc>
        <w:tc>
          <w:tcPr>
            <w:tcW w:w="9900" w:type="dxa"/>
            <w:vAlign w:val="bottom"/>
          </w:tcPr>
          <w:p>
            <w:pPr>
              <w:ind w:left="80"/>
              <w:spacing w:after="0"/>
              <w:rPr>
                <w:sz w:val="20"/>
                <w:szCs w:val="20"/>
                <w:color w:val="auto"/>
              </w:rPr>
            </w:pPr>
            <w:r>
              <w:rPr>
                <w:rFonts w:ascii="Arial" w:cs="Arial" w:eastAsia="Arial" w:hAnsi="Arial"/>
                <w:sz w:val="18"/>
                <w:szCs w:val="18"/>
                <w:color w:val="010000"/>
              </w:rPr>
              <w:t>VOTING RIGHTS AND DIVIDENDS</w:t>
            </w:r>
          </w:p>
        </w:tc>
        <w:tc>
          <w:tcPr>
            <w:tcW w:w="900" w:type="dxa"/>
            <w:vAlign w:val="bottom"/>
          </w:tcPr>
          <w:p>
            <w:pPr>
              <w:jc w:val="right"/>
              <w:spacing w:after="0"/>
              <w:rPr>
                <w:sz w:val="20"/>
                <w:szCs w:val="20"/>
                <w:color w:val="auto"/>
              </w:rPr>
            </w:pPr>
            <w:r>
              <w:rPr>
                <w:rFonts w:ascii="Arial" w:cs="Arial" w:eastAsia="Arial" w:hAnsi="Arial"/>
                <w:sz w:val="18"/>
                <w:szCs w:val="18"/>
                <w:color w:val="010000"/>
              </w:rPr>
              <w:t>8</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10.</w:t>
            </w:r>
          </w:p>
        </w:tc>
        <w:tc>
          <w:tcPr>
            <w:tcW w:w="9900" w:type="dxa"/>
            <w:vAlign w:val="bottom"/>
          </w:tcPr>
          <w:p>
            <w:pPr>
              <w:ind w:left="80"/>
              <w:spacing w:after="0"/>
              <w:rPr>
                <w:sz w:val="20"/>
                <w:szCs w:val="20"/>
                <w:color w:val="auto"/>
              </w:rPr>
            </w:pPr>
            <w:r>
              <w:rPr>
                <w:rFonts w:ascii="Arial" w:cs="Arial" w:eastAsia="Arial" w:hAnsi="Arial"/>
                <w:sz w:val="18"/>
                <w:szCs w:val="18"/>
                <w:color w:val="010000"/>
              </w:rPr>
              <w:t>REPRESENTATIONS AND WARRANTIES</w:t>
            </w:r>
          </w:p>
        </w:tc>
        <w:tc>
          <w:tcPr>
            <w:tcW w:w="900" w:type="dxa"/>
            <w:vAlign w:val="bottom"/>
          </w:tcPr>
          <w:p>
            <w:pPr>
              <w:jc w:val="right"/>
              <w:spacing w:after="0"/>
              <w:rPr>
                <w:sz w:val="20"/>
                <w:szCs w:val="20"/>
                <w:color w:val="auto"/>
              </w:rPr>
            </w:pPr>
            <w:r>
              <w:rPr>
                <w:rFonts w:ascii="Arial" w:cs="Arial" w:eastAsia="Arial" w:hAnsi="Arial"/>
                <w:sz w:val="18"/>
                <w:szCs w:val="18"/>
                <w:color w:val="010000"/>
              </w:rPr>
              <w:t>9</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11.</w:t>
            </w:r>
          </w:p>
        </w:tc>
        <w:tc>
          <w:tcPr>
            <w:tcW w:w="9900" w:type="dxa"/>
            <w:vAlign w:val="bottom"/>
          </w:tcPr>
          <w:p>
            <w:pPr>
              <w:ind w:left="80"/>
              <w:spacing w:after="0"/>
              <w:rPr>
                <w:sz w:val="20"/>
                <w:szCs w:val="20"/>
                <w:color w:val="auto"/>
              </w:rPr>
            </w:pPr>
            <w:r>
              <w:rPr>
                <w:rFonts w:ascii="Arial" w:cs="Arial" w:eastAsia="Arial" w:hAnsi="Arial"/>
                <w:sz w:val="18"/>
                <w:szCs w:val="18"/>
                <w:color w:val="010000"/>
              </w:rPr>
              <w:t>RESTRICTIONS ON DEALINGS</w:t>
            </w:r>
          </w:p>
        </w:tc>
        <w:tc>
          <w:tcPr>
            <w:tcW w:w="900" w:type="dxa"/>
            <w:vAlign w:val="bottom"/>
          </w:tcPr>
          <w:p>
            <w:pPr>
              <w:jc w:val="right"/>
              <w:spacing w:after="0"/>
              <w:rPr>
                <w:sz w:val="20"/>
                <w:szCs w:val="20"/>
                <w:color w:val="auto"/>
              </w:rPr>
            </w:pPr>
            <w:r>
              <w:rPr>
                <w:rFonts w:ascii="Arial" w:cs="Arial" w:eastAsia="Arial" w:hAnsi="Arial"/>
                <w:sz w:val="18"/>
                <w:szCs w:val="18"/>
                <w:color w:val="010000"/>
              </w:rPr>
              <w:t>9</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12.</w:t>
            </w:r>
          </w:p>
        </w:tc>
        <w:tc>
          <w:tcPr>
            <w:tcW w:w="9900" w:type="dxa"/>
            <w:vAlign w:val="bottom"/>
          </w:tcPr>
          <w:p>
            <w:pPr>
              <w:ind w:left="80"/>
              <w:spacing w:after="0"/>
              <w:rPr>
                <w:sz w:val="20"/>
                <w:szCs w:val="20"/>
                <w:color w:val="auto"/>
              </w:rPr>
            </w:pPr>
            <w:r>
              <w:rPr>
                <w:rFonts w:ascii="Arial" w:cs="Arial" w:eastAsia="Arial" w:hAnsi="Arial"/>
                <w:sz w:val="18"/>
                <w:szCs w:val="18"/>
                <w:color w:val="010000"/>
              </w:rPr>
              <w:t>COVENANTS</w:t>
            </w:r>
          </w:p>
        </w:tc>
        <w:tc>
          <w:tcPr>
            <w:tcW w:w="900" w:type="dxa"/>
            <w:vAlign w:val="bottom"/>
          </w:tcPr>
          <w:p>
            <w:pPr>
              <w:jc w:val="right"/>
              <w:spacing w:after="0"/>
              <w:rPr>
                <w:sz w:val="20"/>
                <w:szCs w:val="20"/>
                <w:color w:val="auto"/>
              </w:rPr>
            </w:pPr>
            <w:r>
              <w:rPr>
                <w:rFonts w:ascii="Arial" w:cs="Arial" w:eastAsia="Arial" w:hAnsi="Arial"/>
                <w:sz w:val="18"/>
                <w:szCs w:val="18"/>
                <w:color w:val="010000"/>
              </w:rPr>
              <w:t>9</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13.</w:t>
            </w:r>
          </w:p>
        </w:tc>
        <w:tc>
          <w:tcPr>
            <w:tcW w:w="9900" w:type="dxa"/>
            <w:vAlign w:val="bottom"/>
          </w:tcPr>
          <w:p>
            <w:pPr>
              <w:ind w:left="80"/>
              <w:spacing w:after="0"/>
              <w:rPr>
                <w:sz w:val="20"/>
                <w:szCs w:val="20"/>
                <w:color w:val="auto"/>
              </w:rPr>
            </w:pPr>
            <w:r>
              <w:rPr>
                <w:rFonts w:ascii="Arial" w:cs="Arial" w:eastAsia="Arial" w:hAnsi="Arial"/>
                <w:sz w:val="18"/>
                <w:szCs w:val="18"/>
                <w:color w:val="010000"/>
              </w:rPr>
              <w:t>POWER OF ATTORNEY</w:t>
            </w:r>
          </w:p>
        </w:tc>
        <w:tc>
          <w:tcPr>
            <w:tcW w:w="900" w:type="dxa"/>
            <w:vAlign w:val="bottom"/>
          </w:tcPr>
          <w:p>
            <w:pPr>
              <w:jc w:val="right"/>
              <w:spacing w:after="0"/>
              <w:rPr>
                <w:sz w:val="20"/>
                <w:szCs w:val="20"/>
                <w:color w:val="auto"/>
              </w:rPr>
            </w:pPr>
            <w:r>
              <w:rPr>
                <w:rFonts w:ascii="Arial" w:cs="Arial" w:eastAsia="Arial" w:hAnsi="Arial"/>
                <w:sz w:val="18"/>
                <w:szCs w:val="18"/>
                <w:color w:val="010000"/>
              </w:rPr>
              <w:t>9</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14.</w:t>
            </w:r>
          </w:p>
        </w:tc>
        <w:tc>
          <w:tcPr>
            <w:tcW w:w="9900" w:type="dxa"/>
            <w:vAlign w:val="bottom"/>
          </w:tcPr>
          <w:p>
            <w:pPr>
              <w:ind w:left="80"/>
              <w:spacing w:after="0"/>
              <w:rPr>
                <w:sz w:val="20"/>
                <w:szCs w:val="20"/>
                <w:color w:val="auto"/>
              </w:rPr>
            </w:pPr>
            <w:r>
              <w:rPr>
                <w:rFonts w:ascii="Arial" w:cs="Arial" w:eastAsia="Arial" w:hAnsi="Arial"/>
                <w:sz w:val="18"/>
                <w:szCs w:val="18"/>
                <w:color w:val="010000"/>
              </w:rPr>
              <w:t>ENFORCEMENT</w:t>
            </w:r>
          </w:p>
        </w:tc>
        <w:tc>
          <w:tcPr>
            <w:tcW w:w="900" w:type="dxa"/>
            <w:vAlign w:val="bottom"/>
          </w:tcPr>
          <w:p>
            <w:pPr>
              <w:jc w:val="right"/>
              <w:spacing w:after="0"/>
              <w:rPr>
                <w:sz w:val="20"/>
                <w:szCs w:val="20"/>
                <w:color w:val="auto"/>
              </w:rPr>
            </w:pPr>
            <w:r>
              <w:rPr>
                <w:rFonts w:ascii="Arial" w:cs="Arial" w:eastAsia="Arial" w:hAnsi="Arial"/>
                <w:sz w:val="18"/>
                <w:szCs w:val="18"/>
                <w:color w:val="010000"/>
              </w:rPr>
              <w:t>10</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15.</w:t>
            </w:r>
          </w:p>
        </w:tc>
        <w:tc>
          <w:tcPr>
            <w:tcW w:w="9900" w:type="dxa"/>
            <w:vAlign w:val="bottom"/>
          </w:tcPr>
          <w:p>
            <w:pPr>
              <w:ind w:left="80"/>
              <w:spacing w:after="0"/>
              <w:rPr>
                <w:sz w:val="20"/>
                <w:szCs w:val="20"/>
                <w:color w:val="auto"/>
              </w:rPr>
            </w:pPr>
            <w:r>
              <w:rPr>
                <w:rFonts w:ascii="Arial" w:cs="Arial" w:eastAsia="Arial" w:hAnsi="Arial"/>
                <w:sz w:val="18"/>
                <w:szCs w:val="18"/>
                <w:color w:val="010000"/>
              </w:rPr>
              <w:t>APPOINTMENT OF RECEIVERS</w:t>
            </w:r>
          </w:p>
        </w:tc>
        <w:tc>
          <w:tcPr>
            <w:tcW w:w="900" w:type="dxa"/>
            <w:vAlign w:val="bottom"/>
          </w:tcPr>
          <w:p>
            <w:pPr>
              <w:jc w:val="right"/>
              <w:spacing w:after="0"/>
              <w:rPr>
                <w:sz w:val="20"/>
                <w:szCs w:val="20"/>
                <w:color w:val="auto"/>
              </w:rPr>
            </w:pPr>
            <w:r>
              <w:rPr>
                <w:rFonts w:ascii="Arial" w:cs="Arial" w:eastAsia="Arial" w:hAnsi="Arial"/>
                <w:sz w:val="18"/>
                <w:szCs w:val="18"/>
                <w:color w:val="010000"/>
              </w:rPr>
              <w:t>12</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16.</w:t>
            </w:r>
          </w:p>
        </w:tc>
        <w:tc>
          <w:tcPr>
            <w:tcW w:w="9900" w:type="dxa"/>
            <w:vAlign w:val="bottom"/>
          </w:tcPr>
          <w:p>
            <w:pPr>
              <w:ind w:left="80"/>
              <w:spacing w:after="0"/>
              <w:rPr>
                <w:sz w:val="20"/>
                <w:szCs w:val="20"/>
                <w:color w:val="auto"/>
              </w:rPr>
            </w:pPr>
            <w:r>
              <w:rPr>
                <w:rFonts w:ascii="Arial" w:cs="Arial" w:eastAsia="Arial" w:hAnsi="Arial"/>
                <w:sz w:val="18"/>
                <w:szCs w:val="18"/>
                <w:color w:val="010000"/>
              </w:rPr>
              <w:t>RIGHTS OF RECEIVERS</w:t>
            </w:r>
          </w:p>
        </w:tc>
        <w:tc>
          <w:tcPr>
            <w:tcW w:w="900" w:type="dxa"/>
            <w:vAlign w:val="bottom"/>
          </w:tcPr>
          <w:p>
            <w:pPr>
              <w:jc w:val="right"/>
              <w:spacing w:after="0"/>
              <w:rPr>
                <w:sz w:val="20"/>
                <w:szCs w:val="20"/>
                <w:color w:val="auto"/>
              </w:rPr>
            </w:pPr>
            <w:r>
              <w:rPr>
                <w:rFonts w:ascii="Arial" w:cs="Arial" w:eastAsia="Arial" w:hAnsi="Arial"/>
                <w:sz w:val="18"/>
                <w:szCs w:val="18"/>
                <w:color w:val="010000"/>
              </w:rPr>
              <w:t>13</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17.</w:t>
            </w:r>
          </w:p>
        </w:tc>
        <w:tc>
          <w:tcPr>
            <w:tcW w:w="9900" w:type="dxa"/>
            <w:vAlign w:val="bottom"/>
          </w:tcPr>
          <w:p>
            <w:pPr>
              <w:ind w:left="80"/>
              <w:spacing w:after="0"/>
              <w:rPr>
                <w:sz w:val="20"/>
                <w:szCs w:val="20"/>
                <w:color w:val="auto"/>
              </w:rPr>
            </w:pPr>
            <w:r>
              <w:rPr>
                <w:rFonts w:ascii="Arial" w:cs="Arial" w:eastAsia="Arial" w:hAnsi="Arial"/>
                <w:sz w:val="18"/>
                <w:szCs w:val="18"/>
                <w:color w:val="010000"/>
              </w:rPr>
              <w:t>RIGHTS OF COLLATERAL AGENT AND SECURED PARTIES</w:t>
            </w:r>
          </w:p>
        </w:tc>
        <w:tc>
          <w:tcPr>
            <w:tcW w:w="900" w:type="dxa"/>
            <w:vAlign w:val="bottom"/>
          </w:tcPr>
          <w:p>
            <w:pPr>
              <w:jc w:val="right"/>
              <w:spacing w:after="0"/>
              <w:rPr>
                <w:sz w:val="20"/>
                <w:szCs w:val="20"/>
                <w:color w:val="auto"/>
              </w:rPr>
            </w:pPr>
            <w:r>
              <w:rPr>
                <w:rFonts w:ascii="Arial" w:cs="Arial" w:eastAsia="Arial" w:hAnsi="Arial"/>
                <w:sz w:val="18"/>
                <w:szCs w:val="18"/>
                <w:color w:val="010000"/>
              </w:rPr>
              <w:t>14</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18.</w:t>
            </w:r>
          </w:p>
        </w:tc>
        <w:tc>
          <w:tcPr>
            <w:tcW w:w="9900" w:type="dxa"/>
            <w:vAlign w:val="bottom"/>
          </w:tcPr>
          <w:p>
            <w:pPr>
              <w:ind w:left="80"/>
              <w:spacing w:after="0"/>
              <w:rPr>
                <w:sz w:val="20"/>
                <w:szCs w:val="20"/>
                <w:color w:val="auto"/>
              </w:rPr>
            </w:pPr>
            <w:r>
              <w:rPr>
                <w:rFonts w:ascii="Arial" w:cs="Arial" w:eastAsia="Arial" w:hAnsi="Arial"/>
                <w:sz w:val="18"/>
                <w:szCs w:val="18"/>
                <w:color w:val="010000"/>
              </w:rPr>
              <w:t>APPLICATION OF MONEYS</w:t>
            </w:r>
          </w:p>
        </w:tc>
        <w:tc>
          <w:tcPr>
            <w:tcW w:w="900" w:type="dxa"/>
            <w:vAlign w:val="bottom"/>
          </w:tcPr>
          <w:p>
            <w:pPr>
              <w:jc w:val="right"/>
              <w:spacing w:after="0"/>
              <w:rPr>
                <w:sz w:val="20"/>
                <w:szCs w:val="20"/>
                <w:color w:val="auto"/>
              </w:rPr>
            </w:pPr>
            <w:r>
              <w:rPr>
                <w:rFonts w:ascii="Arial" w:cs="Arial" w:eastAsia="Arial" w:hAnsi="Arial"/>
                <w:sz w:val="18"/>
                <w:szCs w:val="18"/>
                <w:color w:val="010000"/>
              </w:rPr>
              <w:t>15</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19.</w:t>
            </w:r>
          </w:p>
        </w:tc>
        <w:tc>
          <w:tcPr>
            <w:tcW w:w="9900" w:type="dxa"/>
            <w:vAlign w:val="bottom"/>
          </w:tcPr>
          <w:p>
            <w:pPr>
              <w:ind w:left="80"/>
              <w:spacing w:after="0"/>
              <w:rPr>
                <w:sz w:val="20"/>
                <w:szCs w:val="20"/>
                <w:color w:val="auto"/>
              </w:rPr>
            </w:pPr>
            <w:r>
              <w:rPr>
                <w:rFonts w:ascii="Arial" w:cs="Arial" w:eastAsia="Arial" w:hAnsi="Arial"/>
                <w:sz w:val="18"/>
                <w:szCs w:val="18"/>
                <w:color w:val="010000"/>
              </w:rPr>
              <w:t>LIABILITY OF COLLATERAL AGENT, RECEIVER AND DELEGATES</w:t>
            </w:r>
          </w:p>
        </w:tc>
        <w:tc>
          <w:tcPr>
            <w:tcW w:w="900" w:type="dxa"/>
            <w:vAlign w:val="bottom"/>
          </w:tcPr>
          <w:p>
            <w:pPr>
              <w:jc w:val="right"/>
              <w:spacing w:after="0"/>
              <w:rPr>
                <w:sz w:val="20"/>
                <w:szCs w:val="20"/>
                <w:color w:val="auto"/>
              </w:rPr>
            </w:pPr>
            <w:r>
              <w:rPr>
                <w:rFonts w:ascii="Arial" w:cs="Arial" w:eastAsia="Arial" w:hAnsi="Arial"/>
                <w:sz w:val="18"/>
                <w:szCs w:val="18"/>
                <w:color w:val="010000"/>
              </w:rPr>
              <w:t>15</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20.</w:t>
            </w:r>
          </w:p>
        </w:tc>
        <w:tc>
          <w:tcPr>
            <w:tcW w:w="9900" w:type="dxa"/>
            <w:vAlign w:val="bottom"/>
          </w:tcPr>
          <w:p>
            <w:pPr>
              <w:ind w:left="80"/>
              <w:spacing w:after="0"/>
              <w:rPr>
                <w:sz w:val="20"/>
                <w:szCs w:val="20"/>
                <w:color w:val="auto"/>
              </w:rPr>
            </w:pPr>
            <w:r>
              <w:rPr>
                <w:rFonts w:ascii="Arial" w:cs="Arial" w:eastAsia="Arial" w:hAnsi="Arial"/>
                <w:sz w:val="18"/>
                <w:szCs w:val="18"/>
                <w:color w:val="010000"/>
              </w:rPr>
              <w:t>INDEMNITY</w:t>
            </w:r>
          </w:p>
        </w:tc>
        <w:tc>
          <w:tcPr>
            <w:tcW w:w="900" w:type="dxa"/>
            <w:vAlign w:val="bottom"/>
          </w:tcPr>
          <w:p>
            <w:pPr>
              <w:jc w:val="right"/>
              <w:spacing w:after="0"/>
              <w:rPr>
                <w:sz w:val="20"/>
                <w:szCs w:val="20"/>
                <w:color w:val="auto"/>
              </w:rPr>
            </w:pPr>
            <w:r>
              <w:rPr>
                <w:rFonts w:ascii="Arial" w:cs="Arial" w:eastAsia="Arial" w:hAnsi="Arial"/>
                <w:sz w:val="18"/>
                <w:szCs w:val="18"/>
                <w:color w:val="010000"/>
              </w:rPr>
              <w:t>16</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21.</w:t>
            </w:r>
          </w:p>
        </w:tc>
        <w:tc>
          <w:tcPr>
            <w:tcW w:w="9900" w:type="dxa"/>
            <w:vAlign w:val="bottom"/>
          </w:tcPr>
          <w:p>
            <w:pPr>
              <w:ind w:left="80"/>
              <w:spacing w:after="0"/>
              <w:rPr>
                <w:sz w:val="20"/>
                <w:szCs w:val="20"/>
                <w:color w:val="auto"/>
              </w:rPr>
            </w:pPr>
            <w:r>
              <w:rPr>
                <w:rFonts w:ascii="Arial" w:cs="Arial" w:eastAsia="Arial" w:hAnsi="Arial"/>
                <w:sz w:val="18"/>
                <w:szCs w:val="18"/>
                <w:color w:val="010000"/>
              </w:rPr>
              <w:t>PROTECTION OF THIRD PARTIES</w:t>
            </w:r>
          </w:p>
        </w:tc>
        <w:tc>
          <w:tcPr>
            <w:tcW w:w="900" w:type="dxa"/>
            <w:vAlign w:val="bottom"/>
          </w:tcPr>
          <w:p>
            <w:pPr>
              <w:jc w:val="right"/>
              <w:spacing w:after="0"/>
              <w:rPr>
                <w:sz w:val="20"/>
                <w:szCs w:val="20"/>
                <w:color w:val="auto"/>
              </w:rPr>
            </w:pPr>
            <w:r>
              <w:rPr>
                <w:rFonts w:ascii="Arial" w:cs="Arial" w:eastAsia="Arial" w:hAnsi="Arial"/>
                <w:sz w:val="18"/>
                <w:szCs w:val="18"/>
                <w:color w:val="010000"/>
              </w:rPr>
              <w:t>16</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22.</w:t>
            </w:r>
          </w:p>
        </w:tc>
        <w:tc>
          <w:tcPr>
            <w:tcW w:w="9900" w:type="dxa"/>
            <w:vAlign w:val="bottom"/>
          </w:tcPr>
          <w:p>
            <w:pPr>
              <w:ind w:left="80"/>
              <w:spacing w:after="0"/>
              <w:rPr>
                <w:sz w:val="20"/>
                <w:szCs w:val="20"/>
                <w:color w:val="auto"/>
              </w:rPr>
            </w:pPr>
            <w:r>
              <w:rPr>
                <w:rFonts w:ascii="Arial" w:cs="Arial" w:eastAsia="Arial" w:hAnsi="Arial"/>
                <w:sz w:val="18"/>
                <w:szCs w:val="18"/>
                <w:color w:val="010000"/>
              </w:rPr>
              <w:t>SECURITY CONTINUING, CUMULATIVE AND NOT TO BE AFFECTED</w:t>
            </w:r>
          </w:p>
        </w:tc>
        <w:tc>
          <w:tcPr>
            <w:tcW w:w="900" w:type="dxa"/>
            <w:vAlign w:val="bottom"/>
          </w:tcPr>
          <w:p>
            <w:pPr>
              <w:jc w:val="right"/>
              <w:spacing w:after="0"/>
              <w:rPr>
                <w:sz w:val="20"/>
                <w:szCs w:val="20"/>
                <w:color w:val="auto"/>
              </w:rPr>
            </w:pPr>
            <w:r>
              <w:rPr>
                <w:rFonts w:ascii="Arial" w:cs="Arial" w:eastAsia="Arial" w:hAnsi="Arial"/>
                <w:sz w:val="18"/>
                <w:szCs w:val="18"/>
                <w:color w:val="010000"/>
              </w:rPr>
              <w:t>16</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23.</w:t>
            </w:r>
          </w:p>
        </w:tc>
        <w:tc>
          <w:tcPr>
            <w:tcW w:w="9900" w:type="dxa"/>
            <w:vAlign w:val="bottom"/>
          </w:tcPr>
          <w:p>
            <w:pPr>
              <w:ind w:left="80"/>
              <w:spacing w:after="0"/>
              <w:rPr>
                <w:sz w:val="20"/>
                <w:szCs w:val="20"/>
                <w:color w:val="auto"/>
              </w:rPr>
            </w:pPr>
            <w:r>
              <w:rPr>
                <w:rFonts w:ascii="Arial" w:cs="Arial" w:eastAsia="Arial" w:hAnsi="Arial"/>
                <w:sz w:val="18"/>
                <w:szCs w:val="18"/>
                <w:color w:val="010000"/>
              </w:rPr>
              <w:t>CERTIFICATE CONCLUSIVE, ETC</w:t>
            </w:r>
          </w:p>
        </w:tc>
        <w:tc>
          <w:tcPr>
            <w:tcW w:w="900" w:type="dxa"/>
            <w:vAlign w:val="bottom"/>
          </w:tcPr>
          <w:p>
            <w:pPr>
              <w:jc w:val="right"/>
              <w:spacing w:after="0"/>
              <w:rPr>
                <w:sz w:val="20"/>
                <w:szCs w:val="20"/>
                <w:color w:val="auto"/>
              </w:rPr>
            </w:pPr>
            <w:r>
              <w:rPr>
                <w:rFonts w:ascii="Arial" w:cs="Arial" w:eastAsia="Arial" w:hAnsi="Arial"/>
                <w:sz w:val="18"/>
                <w:szCs w:val="18"/>
                <w:color w:val="010000"/>
              </w:rPr>
              <w:t>17</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24.</w:t>
            </w:r>
          </w:p>
        </w:tc>
        <w:tc>
          <w:tcPr>
            <w:tcW w:w="9900" w:type="dxa"/>
            <w:vAlign w:val="bottom"/>
          </w:tcPr>
          <w:p>
            <w:pPr>
              <w:ind w:left="80"/>
              <w:spacing w:after="0"/>
              <w:rPr>
                <w:sz w:val="20"/>
                <w:szCs w:val="20"/>
                <w:color w:val="auto"/>
              </w:rPr>
            </w:pPr>
            <w:r>
              <w:rPr>
                <w:rFonts w:ascii="Arial" w:cs="Arial" w:eastAsia="Arial" w:hAnsi="Arial"/>
                <w:sz w:val="18"/>
                <w:szCs w:val="18"/>
                <w:color w:val="010000"/>
              </w:rPr>
              <w:t>NO SET-OFF BY MORTGAGOR</w:t>
            </w:r>
          </w:p>
        </w:tc>
        <w:tc>
          <w:tcPr>
            <w:tcW w:w="900" w:type="dxa"/>
            <w:vAlign w:val="bottom"/>
          </w:tcPr>
          <w:p>
            <w:pPr>
              <w:jc w:val="right"/>
              <w:spacing w:after="0"/>
              <w:rPr>
                <w:sz w:val="20"/>
                <w:szCs w:val="20"/>
                <w:color w:val="auto"/>
              </w:rPr>
            </w:pPr>
            <w:r>
              <w:rPr>
                <w:rFonts w:ascii="Arial" w:cs="Arial" w:eastAsia="Arial" w:hAnsi="Arial"/>
                <w:sz w:val="18"/>
                <w:szCs w:val="18"/>
                <w:color w:val="010000"/>
              </w:rPr>
              <w:t>17</w:t>
            </w: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010000"/>
              </w:rPr>
              <w:t>25.</w:t>
            </w:r>
          </w:p>
        </w:tc>
        <w:tc>
          <w:tcPr>
            <w:tcW w:w="9900" w:type="dxa"/>
            <w:vAlign w:val="bottom"/>
          </w:tcPr>
          <w:p>
            <w:pPr>
              <w:ind w:left="80"/>
              <w:spacing w:after="0"/>
              <w:rPr>
                <w:sz w:val="20"/>
                <w:szCs w:val="20"/>
                <w:color w:val="auto"/>
              </w:rPr>
            </w:pPr>
            <w:r>
              <w:rPr>
                <w:rFonts w:ascii="Arial" w:cs="Arial" w:eastAsia="Arial" w:hAnsi="Arial"/>
                <w:sz w:val="18"/>
                <w:szCs w:val="18"/>
                <w:color w:val="010000"/>
              </w:rPr>
              <w:t>COSTS AND EXPENSES</w:t>
            </w:r>
          </w:p>
        </w:tc>
        <w:tc>
          <w:tcPr>
            <w:tcW w:w="900" w:type="dxa"/>
            <w:vAlign w:val="bottom"/>
          </w:tcPr>
          <w:p>
            <w:pPr>
              <w:jc w:val="right"/>
              <w:spacing w:after="0"/>
              <w:rPr>
                <w:sz w:val="20"/>
                <w:szCs w:val="20"/>
                <w:color w:val="auto"/>
              </w:rPr>
            </w:pPr>
            <w:r>
              <w:rPr>
                <w:rFonts w:ascii="Arial" w:cs="Arial" w:eastAsia="Arial" w:hAnsi="Arial"/>
                <w:sz w:val="18"/>
                <w:szCs w:val="18"/>
                <w:color w:val="010000"/>
              </w:rPr>
              <w:t>17</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78" w:name="page879"/>
    <w:bookmarkEnd w:id="878"/>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010000"/>
              </w:rPr>
              <w:t>26.</w:t>
            </w:r>
          </w:p>
        </w:tc>
        <w:tc>
          <w:tcPr>
            <w:tcW w:w="7500" w:type="dxa"/>
            <w:vAlign w:val="bottom"/>
            <w:gridSpan w:val="2"/>
          </w:tcPr>
          <w:p>
            <w:pPr>
              <w:ind w:left="240"/>
              <w:spacing w:after="0"/>
              <w:rPr>
                <w:sz w:val="20"/>
                <w:szCs w:val="20"/>
                <w:color w:val="auto"/>
              </w:rPr>
            </w:pPr>
            <w:r>
              <w:rPr>
                <w:rFonts w:ascii="Arial" w:cs="Arial" w:eastAsia="Arial" w:hAnsi="Arial"/>
                <w:sz w:val="18"/>
                <w:szCs w:val="18"/>
                <w:color w:val="010000"/>
              </w:rPr>
              <w:t>RELEASE OF SECURITY</w:t>
            </w:r>
          </w:p>
        </w:tc>
        <w:tc>
          <w:tcPr>
            <w:tcW w:w="3460" w:type="dxa"/>
            <w:vAlign w:val="bottom"/>
          </w:tcPr>
          <w:p>
            <w:pPr>
              <w:jc w:val="right"/>
              <w:spacing w:after="0"/>
              <w:rPr>
                <w:sz w:val="20"/>
                <w:szCs w:val="20"/>
                <w:color w:val="auto"/>
              </w:rPr>
            </w:pPr>
            <w:r>
              <w:rPr>
                <w:rFonts w:ascii="Arial" w:cs="Arial" w:eastAsia="Arial" w:hAnsi="Arial"/>
                <w:sz w:val="18"/>
                <w:szCs w:val="18"/>
                <w:color w:val="010000"/>
              </w:rPr>
              <w:t>17</w:t>
            </w:r>
          </w:p>
        </w:tc>
        <w:tc>
          <w:tcPr>
            <w:tcW w:w="0" w:type="dxa"/>
            <w:vAlign w:val="bottom"/>
          </w:tcPr>
          <w:p>
            <w:pPr>
              <w:spacing w:after="0"/>
              <w:rPr>
                <w:sz w:val="1"/>
                <w:szCs w:val="1"/>
                <w:color w:val="auto"/>
              </w:rPr>
            </w:pPr>
          </w:p>
        </w:tc>
      </w:tr>
      <w:tr>
        <w:trPr>
          <w:trHeight w:val="351"/>
        </w:trPr>
        <w:tc>
          <w:tcPr>
            <w:tcW w:w="460" w:type="dxa"/>
            <w:vAlign w:val="bottom"/>
          </w:tcPr>
          <w:p>
            <w:pPr>
              <w:spacing w:after="0"/>
              <w:rPr>
                <w:sz w:val="20"/>
                <w:szCs w:val="20"/>
                <w:color w:val="auto"/>
              </w:rPr>
            </w:pPr>
            <w:r>
              <w:rPr>
                <w:rFonts w:ascii="Arial" w:cs="Arial" w:eastAsia="Arial" w:hAnsi="Arial"/>
                <w:sz w:val="18"/>
                <w:szCs w:val="18"/>
                <w:color w:val="010000"/>
              </w:rPr>
              <w:t>27.</w:t>
            </w:r>
          </w:p>
        </w:tc>
        <w:tc>
          <w:tcPr>
            <w:tcW w:w="7500" w:type="dxa"/>
            <w:vAlign w:val="bottom"/>
            <w:gridSpan w:val="2"/>
          </w:tcPr>
          <w:p>
            <w:pPr>
              <w:ind w:left="240"/>
              <w:spacing w:after="0"/>
              <w:rPr>
                <w:sz w:val="20"/>
                <w:szCs w:val="20"/>
                <w:color w:val="auto"/>
              </w:rPr>
            </w:pPr>
            <w:r>
              <w:rPr>
                <w:rFonts w:ascii="Arial" w:cs="Arial" w:eastAsia="Arial" w:hAnsi="Arial"/>
                <w:sz w:val="18"/>
                <w:szCs w:val="18"/>
                <w:color w:val="010000"/>
              </w:rPr>
              <w:t>MISCELLANEOUS</w:t>
            </w:r>
          </w:p>
        </w:tc>
        <w:tc>
          <w:tcPr>
            <w:tcW w:w="3460" w:type="dxa"/>
            <w:vAlign w:val="bottom"/>
          </w:tcPr>
          <w:p>
            <w:pPr>
              <w:jc w:val="right"/>
              <w:spacing w:after="0"/>
              <w:rPr>
                <w:sz w:val="20"/>
                <w:szCs w:val="20"/>
                <w:color w:val="auto"/>
              </w:rPr>
            </w:pPr>
            <w:r>
              <w:rPr>
                <w:rFonts w:ascii="Arial" w:cs="Arial" w:eastAsia="Arial" w:hAnsi="Arial"/>
                <w:sz w:val="18"/>
                <w:szCs w:val="18"/>
                <w:color w:val="010000"/>
              </w:rPr>
              <w:t>18</w:t>
            </w:r>
          </w:p>
        </w:tc>
        <w:tc>
          <w:tcPr>
            <w:tcW w:w="0" w:type="dxa"/>
            <w:vAlign w:val="bottom"/>
          </w:tcPr>
          <w:p>
            <w:pPr>
              <w:spacing w:after="0"/>
              <w:rPr>
                <w:sz w:val="1"/>
                <w:szCs w:val="1"/>
                <w:color w:val="auto"/>
              </w:rPr>
            </w:pPr>
          </w:p>
        </w:tc>
      </w:tr>
      <w:tr>
        <w:trPr>
          <w:trHeight w:val="351"/>
        </w:trPr>
        <w:tc>
          <w:tcPr>
            <w:tcW w:w="460" w:type="dxa"/>
            <w:vAlign w:val="bottom"/>
          </w:tcPr>
          <w:p>
            <w:pPr>
              <w:spacing w:after="0"/>
              <w:rPr>
                <w:sz w:val="20"/>
                <w:szCs w:val="20"/>
                <w:color w:val="auto"/>
              </w:rPr>
            </w:pPr>
            <w:r>
              <w:rPr>
                <w:rFonts w:ascii="Arial" w:cs="Arial" w:eastAsia="Arial" w:hAnsi="Arial"/>
                <w:sz w:val="18"/>
                <w:szCs w:val="18"/>
                <w:color w:val="010000"/>
              </w:rPr>
              <w:t>28.</w:t>
            </w:r>
          </w:p>
        </w:tc>
        <w:tc>
          <w:tcPr>
            <w:tcW w:w="7500" w:type="dxa"/>
            <w:vAlign w:val="bottom"/>
            <w:gridSpan w:val="2"/>
          </w:tcPr>
          <w:p>
            <w:pPr>
              <w:ind w:left="240"/>
              <w:spacing w:after="0"/>
              <w:rPr>
                <w:sz w:val="20"/>
                <w:szCs w:val="20"/>
                <w:color w:val="auto"/>
              </w:rPr>
            </w:pPr>
            <w:r>
              <w:rPr>
                <w:rFonts w:ascii="Arial" w:cs="Arial" w:eastAsia="Arial" w:hAnsi="Arial"/>
                <w:sz w:val="18"/>
                <w:szCs w:val="18"/>
                <w:color w:val="010000"/>
              </w:rPr>
              <w:t>ASSIGNMENT, ETC</w:t>
            </w:r>
          </w:p>
        </w:tc>
        <w:tc>
          <w:tcPr>
            <w:tcW w:w="3460" w:type="dxa"/>
            <w:vAlign w:val="bottom"/>
          </w:tcPr>
          <w:p>
            <w:pPr>
              <w:jc w:val="right"/>
              <w:spacing w:after="0"/>
              <w:rPr>
                <w:sz w:val="20"/>
                <w:szCs w:val="20"/>
                <w:color w:val="auto"/>
              </w:rPr>
            </w:pPr>
            <w:r>
              <w:rPr>
                <w:rFonts w:ascii="Arial" w:cs="Arial" w:eastAsia="Arial" w:hAnsi="Arial"/>
                <w:sz w:val="18"/>
                <w:szCs w:val="18"/>
                <w:color w:val="010000"/>
              </w:rPr>
              <w:t>19</w:t>
            </w:r>
          </w:p>
        </w:tc>
        <w:tc>
          <w:tcPr>
            <w:tcW w:w="0" w:type="dxa"/>
            <w:vAlign w:val="bottom"/>
          </w:tcPr>
          <w:p>
            <w:pPr>
              <w:spacing w:after="0"/>
              <w:rPr>
                <w:sz w:val="1"/>
                <w:szCs w:val="1"/>
                <w:color w:val="auto"/>
              </w:rPr>
            </w:pPr>
          </w:p>
        </w:tc>
      </w:tr>
      <w:tr>
        <w:trPr>
          <w:trHeight w:val="351"/>
        </w:trPr>
        <w:tc>
          <w:tcPr>
            <w:tcW w:w="460" w:type="dxa"/>
            <w:vAlign w:val="bottom"/>
          </w:tcPr>
          <w:p>
            <w:pPr>
              <w:spacing w:after="0"/>
              <w:rPr>
                <w:sz w:val="20"/>
                <w:szCs w:val="20"/>
                <w:color w:val="auto"/>
              </w:rPr>
            </w:pPr>
            <w:r>
              <w:rPr>
                <w:rFonts w:ascii="Arial" w:cs="Arial" w:eastAsia="Arial" w:hAnsi="Arial"/>
                <w:sz w:val="18"/>
                <w:szCs w:val="18"/>
                <w:color w:val="010000"/>
              </w:rPr>
              <w:t>29.</w:t>
            </w:r>
          </w:p>
        </w:tc>
        <w:tc>
          <w:tcPr>
            <w:tcW w:w="7500" w:type="dxa"/>
            <w:vAlign w:val="bottom"/>
            <w:gridSpan w:val="2"/>
          </w:tcPr>
          <w:p>
            <w:pPr>
              <w:ind w:left="240"/>
              <w:spacing w:after="0"/>
              <w:rPr>
                <w:sz w:val="20"/>
                <w:szCs w:val="20"/>
                <w:color w:val="auto"/>
              </w:rPr>
            </w:pPr>
            <w:r>
              <w:rPr>
                <w:rFonts w:ascii="Arial" w:cs="Arial" w:eastAsia="Arial" w:hAnsi="Arial"/>
                <w:sz w:val="18"/>
                <w:szCs w:val="18"/>
                <w:color w:val="010000"/>
              </w:rPr>
              <w:t>NOTICES</w:t>
            </w:r>
          </w:p>
        </w:tc>
        <w:tc>
          <w:tcPr>
            <w:tcW w:w="3460" w:type="dxa"/>
            <w:vAlign w:val="bottom"/>
          </w:tcPr>
          <w:p>
            <w:pPr>
              <w:jc w:val="right"/>
              <w:spacing w:after="0"/>
              <w:rPr>
                <w:sz w:val="20"/>
                <w:szCs w:val="20"/>
                <w:color w:val="auto"/>
              </w:rPr>
            </w:pPr>
            <w:r>
              <w:rPr>
                <w:rFonts w:ascii="Arial" w:cs="Arial" w:eastAsia="Arial" w:hAnsi="Arial"/>
                <w:sz w:val="18"/>
                <w:szCs w:val="18"/>
                <w:color w:val="010000"/>
              </w:rPr>
              <w:t>19</w:t>
            </w:r>
          </w:p>
        </w:tc>
        <w:tc>
          <w:tcPr>
            <w:tcW w:w="0" w:type="dxa"/>
            <w:vAlign w:val="bottom"/>
          </w:tcPr>
          <w:p>
            <w:pPr>
              <w:spacing w:after="0"/>
              <w:rPr>
                <w:sz w:val="1"/>
                <w:szCs w:val="1"/>
                <w:color w:val="auto"/>
              </w:rPr>
            </w:pPr>
          </w:p>
        </w:tc>
      </w:tr>
      <w:tr>
        <w:trPr>
          <w:trHeight w:val="351"/>
        </w:trPr>
        <w:tc>
          <w:tcPr>
            <w:tcW w:w="460" w:type="dxa"/>
            <w:vAlign w:val="bottom"/>
          </w:tcPr>
          <w:p>
            <w:pPr>
              <w:spacing w:after="0"/>
              <w:rPr>
                <w:sz w:val="20"/>
                <w:szCs w:val="20"/>
                <w:color w:val="auto"/>
              </w:rPr>
            </w:pPr>
            <w:r>
              <w:rPr>
                <w:rFonts w:ascii="Arial" w:cs="Arial" w:eastAsia="Arial" w:hAnsi="Arial"/>
                <w:sz w:val="18"/>
                <w:szCs w:val="18"/>
                <w:color w:val="010000"/>
              </w:rPr>
              <w:t>30.</w:t>
            </w:r>
          </w:p>
        </w:tc>
        <w:tc>
          <w:tcPr>
            <w:tcW w:w="7500" w:type="dxa"/>
            <w:vAlign w:val="bottom"/>
            <w:gridSpan w:val="2"/>
            <w:vMerge w:val="restart"/>
          </w:tcPr>
          <w:p>
            <w:pPr>
              <w:ind w:left="240"/>
              <w:spacing w:after="0"/>
              <w:rPr>
                <w:sz w:val="20"/>
                <w:szCs w:val="20"/>
                <w:color w:val="auto"/>
              </w:rPr>
            </w:pPr>
            <w:r>
              <w:rPr>
                <w:rFonts w:ascii="Arial" w:cs="Arial" w:eastAsia="Arial" w:hAnsi="Arial"/>
                <w:sz w:val="18"/>
                <w:szCs w:val="18"/>
                <w:color w:val="010000"/>
              </w:rPr>
              <w:t>GOVERNING LAW AND JURISDICTION</w:t>
            </w:r>
          </w:p>
        </w:tc>
        <w:tc>
          <w:tcPr>
            <w:tcW w:w="3460" w:type="dxa"/>
            <w:vAlign w:val="bottom"/>
          </w:tcPr>
          <w:p>
            <w:pPr>
              <w:jc w:val="right"/>
              <w:spacing w:after="0"/>
              <w:rPr>
                <w:sz w:val="20"/>
                <w:szCs w:val="20"/>
                <w:color w:val="auto"/>
              </w:rPr>
            </w:pPr>
            <w:r>
              <w:rPr>
                <w:rFonts w:ascii="Arial" w:cs="Arial" w:eastAsia="Arial" w:hAnsi="Arial"/>
                <w:sz w:val="18"/>
                <w:szCs w:val="18"/>
                <w:color w:val="010000"/>
              </w:rPr>
              <w:t>19</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7500" w:type="dxa"/>
            <w:vAlign w:val="bottom"/>
            <w:gridSpan w:val="2"/>
            <w:vMerge w:val="continue"/>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124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6720" w:type="dxa"/>
            <w:vAlign w:val="bottom"/>
          </w:tcPr>
          <w:p>
            <w:pPr>
              <w:ind w:left="140"/>
              <w:spacing w:after="0"/>
              <w:rPr>
                <w:sz w:val="20"/>
                <w:szCs w:val="20"/>
                <w:color w:val="auto"/>
              </w:rPr>
            </w:pPr>
            <w:r>
              <w:rPr>
                <w:rFonts w:ascii="Arial" w:cs="Arial" w:eastAsia="Arial" w:hAnsi="Arial"/>
                <w:sz w:val="18"/>
                <w:szCs w:val="18"/>
                <w:color w:val="auto"/>
              </w:rPr>
              <w:t>ORIGINAL SHARES</w:t>
            </w:r>
          </w:p>
        </w:tc>
        <w:tc>
          <w:tcPr>
            <w:tcW w:w="3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51"/>
        </w:trPr>
        <w:tc>
          <w:tcPr>
            <w:tcW w:w="124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672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3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51"/>
        </w:trPr>
        <w:tc>
          <w:tcPr>
            <w:tcW w:w="1240" w:type="dxa"/>
            <w:vAlign w:val="bottom"/>
            <w:gridSpan w:val="2"/>
          </w:tcPr>
          <w:p>
            <w:pPr>
              <w:spacing w:after="0"/>
              <w:rPr>
                <w:sz w:val="20"/>
                <w:szCs w:val="20"/>
                <w:color w:val="auto"/>
              </w:rPr>
            </w:pPr>
            <w:r>
              <w:rPr>
                <w:rFonts w:ascii="Arial" w:cs="Arial" w:eastAsia="Arial" w:hAnsi="Arial"/>
                <w:sz w:val="18"/>
                <w:szCs w:val="18"/>
                <w:color w:val="auto"/>
              </w:rPr>
              <w:t>SCHEDULE 3</w:t>
            </w:r>
          </w:p>
        </w:tc>
        <w:tc>
          <w:tcPr>
            <w:tcW w:w="6720" w:type="dxa"/>
            <w:vAlign w:val="bottom"/>
            <w:vMerge w:val="restart"/>
          </w:tcPr>
          <w:p>
            <w:pPr>
              <w:ind w:left="140"/>
              <w:spacing w:after="0"/>
              <w:rPr>
                <w:sz w:val="20"/>
                <w:szCs w:val="20"/>
                <w:color w:val="auto"/>
              </w:rPr>
            </w:pPr>
            <w:r>
              <w:rPr>
                <w:rFonts w:ascii="Arial" w:cs="Arial" w:eastAsia="Arial" w:hAnsi="Arial"/>
                <w:sz w:val="18"/>
                <w:szCs w:val="18"/>
                <w:color w:val="auto"/>
              </w:rPr>
              <w:t>COVENANTS</w:t>
            </w:r>
          </w:p>
        </w:tc>
        <w:tc>
          <w:tcPr>
            <w:tcW w:w="3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7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7" w:right="239" w:bottom="1440" w:gutter="0" w:footer="0" w:header="0"/>
        </w:sectPr>
      </w:pPr>
    </w:p>
    <w:bookmarkStart w:id="879" w:name="page880"/>
    <w:bookmarkEnd w:id="879"/>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b w:val="1"/>
                <w:bCs w:val="1"/>
                <w:color w:val="auto"/>
                <w:w w:val="96"/>
              </w:rPr>
              <w:t xml:space="preserve">THIS DEED </w:t>
            </w:r>
            <w:r>
              <w:rPr>
                <w:rFonts w:ascii="Arial" w:cs="Arial" w:eastAsia="Arial" w:hAnsi="Arial"/>
                <w:sz w:val="18"/>
                <w:szCs w:val="18"/>
                <w:color w:val="auto"/>
                <w:w w:val="96"/>
              </w:rPr>
              <w:t>is made 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1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hanging="651"/>
        <w:spacing w:after="0" w:line="313" w:lineRule="auto"/>
        <w:tabs>
          <w:tab w:leader="none" w:pos="660" w:val="left"/>
        </w:tabs>
        <w:numPr>
          <w:ilvl w:val="0"/>
          <w:numId w:val="938"/>
        </w:numPr>
        <w:rPr>
          <w:rFonts w:ascii="Arial" w:cs="Arial" w:eastAsia="Arial" w:hAnsi="Arial"/>
          <w:sz w:val="17"/>
          <w:szCs w:val="17"/>
          <w:color w:val="auto"/>
        </w:rPr>
      </w:pPr>
      <w:r>
        <w:rPr>
          <w:rFonts w:ascii="Arial" w:cs="Arial" w:eastAsia="Arial" w:hAnsi="Arial"/>
          <w:sz w:val="17"/>
          <w:szCs w:val="17"/>
          <w:b w:val="1"/>
          <w:bCs w:val="1"/>
          <w:color w:val="auto"/>
        </w:rPr>
        <w:t>WEATHERFORD EURASIA LIMITED</w:t>
      </w:r>
      <w:r>
        <w:rPr>
          <w:rFonts w:ascii="Arial" w:cs="Arial" w:eastAsia="Arial" w:hAnsi="Arial"/>
          <w:sz w:val="17"/>
          <w:szCs w:val="17"/>
          <w:color w:val="auto"/>
        </w:rPr>
        <w:t>, a limited company incorporated in England and Wales under registered number 02440463,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is at Weatherford Gotham Road, East Leake, Loughborough, Leicestershire LE12 6JX, (the "</w:t>
      </w:r>
      <w:r>
        <w:rPr>
          <w:rFonts w:ascii="Arial" w:cs="Arial" w:eastAsia="Arial" w:hAnsi="Arial"/>
          <w:sz w:val="17"/>
          <w:szCs w:val="17"/>
          <w:b w:val="1"/>
          <w:bCs w:val="1"/>
          <w:color w:val="auto"/>
        </w:rPr>
        <w:t>Mortgagor</w:t>
      </w:r>
      <w:r>
        <w:rPr>
          <w:rFonts w:ascii="Arial" w:cs="Arial" w:eastAsia="Arial" w:hAnsi="Arial"/>
          <w:sz w:val="17"/>
          <w:szCs w:val="17"/>
          <w:color w:val="auto"/>
        </w:rPr>
        <w:t>"); and</w:t>
      </w:r>
    </w:p>
    <w:p>
      <w:pPr>
        <w:spacing w:after="0" w:line="138" w:lineRule="exact"/>
        <w:rPr>
          <w:rFonts w:ascii="Arial" w:cs="Arial" w:eastAsia="Arial" w:hAnsi="Arial"/>
          <w:sz w:val="17"/>
          <w:szCs w:val="17"/>
          <w:color w:val="auto"/>
        </w:rPr>
      </w:pPr>
    </w:p>
    <w:p>
      <w:pPr>
        <w:ind w:left="660" w:hanging="651"/>
        <w:spacing w:after="0" w:line="282" w:lineRule="auto"/>
        <w:tabs>
          <w:tab w:leader="none" w:pos="660" w:val="left"/>
        </w:tabs>
        <w:numPr>
          <w:ilvl w:val="0"/>
          <w:numId w:val="938"/>
        </w:numPr>
        <w:rPr>
          <w:rFonts w:ascii="Arial" w:cs="Arial" w:eastAsia="Arial" w:hAnsi="Arial"/>
          <w:sz w:val="18"/>
          <w:szCs w:val="18"/>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1"/>
        <w:spacing w:after="0"/>
        <w:tabs>
          <w:tab w:leader="none" w:pos="660" w:val="left"/>
        </w:tabs>
        <w:numPr>
          <w:ilvl w:val="0"/>
          <w:numId w:val="939"/>
        </w:numPr>
        <w:rPr>
          <w:rFonts w:ascii="Arial" w:cs="Arial" w:eastAsia="Arial" w:hAnsi="Arial"/>
          <w:sz w:val="17"/>
          <w:szCs w:val="17"/>
          <w:color w:val="auto"/>
        </w:rPr>
      </w:pPr>
      <w:r>
        <w:rPr>
          <w:rFonts w:ascii="Arial" w:cs="Arial" w:eastAsia="Arial" w:hAnsi="Arial"/>
          <w:sz w:val="17"/>
          <w:szCs w:val="17"/>
          <w:color w:val="auto"/>
        </w:rPr>
        <w:t>Under the Loan Agreement (as defined below) the Lenders have granted to the Borrowers a letter of credit line facility (the "</w:t>
      </w:r>
      <w:r>
        <w:rPr>
          <w:rFonts w:ascii="Arial" w:cs="Arial" w:eastAsia="Arial" w:hAnsi="Arial"/>
          <w:sz w:val="17"/>
          <w:szCs w:val="17"/>
          <w:b w:val="1"/>
          <w:bCs w:val="1"/>
          <w:i w:val="1"/>
          <w:iCs w:val="1"/>
          <w:color w:val="auto"/>
        </w:rPr>
        <w:t>Facility</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660" w:hanging="651"/>
        <w:spacing w:after="0" w:line="277" w:lineRule="auto"/>
        <w:tabs>
          <w:tab w:leader="none" w:pos="66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Mortgagor, have guaranteed the obligations of the Borrowers under the Loan Agreement.</w:t>
      </w:r>
    </w:p>
    <w:p>
      <w:pPr>
        <w:spacing w:after="0" w:line="170" w:lineRule="exact"/>
        <w:rPr>
          <w:rFonts w:ascii="Arial" w:cs="Arial" w:eastAsia="Arial" w:hAnsi="Arial"/>
          <w:sz w:val="18"/>
          <w:szCs w:val="18"/>
          <w:color w:val="auto"/>
        </w:rPr>
      </w:pPr>
    </w:p>
    <w:p>
      <w:pPr>
        <w:ind w:left="660" w:hanging="651"/>
        <w:spacing w:after="0"/>
        <w:tabs>
          <w:tab w:leader="none" w:pos="66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The Mortgagor is the direct owner of the entire issued share capital of the Company.</w:t>
      </w:r>
    </w:p>
    <w:p>
      <w:pPr>
        <w:spacing w:after="0" w:line="225" w:lineRule="exact"/>
        <w:rPr>
          <w:rFonts w:ascii="Arial" w:cs="Arial" w:eastAsia="Arial" w:hAnsi="Arial"/>
          <w:sz w:val="18"/>
          <w:szCs w:val="18"/>
          <w:color w:val="auto"/>
        </w:rPr>
      </w:pPr>
    </w:p>
    <w:p>
      <w:pPr>
        <w:jc w:val="both"/>
        <w:ind w:left="660" w:hanging="651"/>
        <w:spacing w:after="0" w:line="264" w:lineRule="auto"/>
        <w:tabs>
          <w:tab w:leader="none" w:pos="66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Under the terms of the Loan Agreement the Mortgagor is required to execute and deliver this equitable share mortgage of the entire issued share capital of the Company in favour of the Collateral Agent for the benefit of the Secured Parties to secure the Secured Obligations (each as defined below).</w:t>
      </w:r>
    </w:p>
    <w:p>
      <w:pPr>
        <w:spacing w:after="0" w:line="181" w:lineRule="exact"/>
        <w:rPr>
          <w:rFonts w:ascii="Arial" w:cs="Arial" w:eastAsia="Arial" w:hAnsi="Arial"/>
          <w:sz w:val="18"/>
          <w:szCs w:val="18"/>
          <w:color w:val="auto"/>
        </w:rPr>
      </w:pPr>
    </w:p>
    <w:p>
      <w:pPr>
        <w:ind w:left="660" w:hanging="651"/>
        <w:spacing w:after="0"/>
        <w:tabs>
          <w:tab w:leader="none" w:pos="660" w:val="left"/>
        </w:tabs>
        <w:numPr>
          <w:ilvl w:val="0"/>
          <w:numId w:val="939"/>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 IS AGREED AS FOLLOWS</w:t>
      </w:r>
    </w:p>
    <w:p>
      <w:pPr>
        <w:spacing w:after="0" w:line="225" w:lineRule="exact"/>
        <w:rPr>
          <w:sz w:val="20"/>
          <w:szCs w:val="20"/>
          <w:color w:val="auto"/>
        </w:rPr>
      </w:pPr>
    </w:p>
    <w:p>
      <w:pPr>
        <w:ind w:left="660" w:hanging="651"/>
        <w:spacing w:after="0"/>
        <w:tabs>
          <w:tab w:leader="none" w:pos="660" w:val="left"/>
        </w:tabs>
        <w:numPr>
          <w:ilvl w:val="0"/>
          <w:numId w:val="940"/>
        </w:numPr>
        <w:rPr>
          <w:rFonts w:ascii="Arial" w:cs="Arial" w:eastAsia="Arial" w:hAnsi="Arial"/>
          <w:sz w:val="18"/>
          <w:szCs w:val="18"/>
          <w:b w:val="1"/>
          <w:bCs w:val="1"/>
          <w:color w:val="010000"/>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this Deed, capitalised words and phrases used but not defined herein shall have the meanings set out in the Loan Agreement and the following words and phrases shall have the meanings set out below.</w:t>
      </w:r>
    </w:p>
    <w:p>
      <w:pPr>
        <w:spacing w:after="0" w:line="166"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Equitable Share Mortgage</w:t>
      </w:r>
      <w:r>
        <w:rPr>
          <w:rFonts w:ascii="Arial" w:cs="Arial" w:eastAsia="Arial" w:hAnsi="Arial"/>
          <w:sz w:val="18"/>
          <w:szCs w:val="18"/>
          <w:color w:val="auto"/>
        </w:rPr>
        <w:t>" means an equitable share mortgage dated on or about the date hereof between, amongst others, the Mortgagor and Wells Fargo Bank, National Association as collateral agent, granted pursuant to an asset based loan credit agreement dated on or about the date of this Deed between, amongst others, Weatherford International Ltd. and Weatherford International, LLC as borrowers, the lenders party thereto, and Wells Fargo Bank, National Association as collateral agent.</w:t>
      </w:r>
    </w:p>
    <w:p>
      <w:pPr>
        <w:spacing w:after="0" w:line="180"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bank holiday on which banks are open for business in London and New York City.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cash within the meaning of Financial Collateral Arrangements (No. 2) Regulations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292100</wp:posOffset>
            </wp:positionV>
            <wp:extent cx="724662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80" w:name="page881"/>
    <w:bookmarkEnd w:id="880"/>
    <w:p>
      <w:pPr>
        <w:jc w:val="both"/>
        <w:ind w:left="3"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Weatherford U.K. Limited, a company incorporated in England and Wales under registered number 00862925, whose registered office is at Gotham Road, East Leake, Loughborough, Leicestershire LE12 6JX.</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 delegate or a sub-delegate of the Collateral Agent or of any Receiver appointed under this Deed.</w:t>
      </w:r>
    </w:p>
    <w:p>
      <w:pPr>
        <w:spacing w:after="0" w:line="225" w:lineRule="exact"/>
        <w:rPr>
          <w:sz w:val="20"/>
          <w:szCs w:val="20"/>
          <w:color w:val="auto"/>
        </w:rPr>
      </w:pPr>
    </w:p>
    <w:p>
      <w:pPr>
        <w:jc w:val="both"/>
        <w:ind w:left="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Derived Assets</w:t>
      </w:r>
      <w:r>
        <w:rPr>
          <w:rFonts w:ascii="Arial" w:cs="Arial" w:eastAsia="Arial" w:hAnsi="Arial"/>
          <w:sz w:val="18"/>
          <w:szCs w:val="18"/>
          <w:color w:val="auto"/>
        </w:rPr>
        <w:t>" means, with respect to the Company, any Shares, rights or other property of a capital nature which accrue or are offered, issued or paid at any time (whether by way of rights, redemption, substitution, exchange, conversion, purchase, bonus, consolidation, subdivision, preference, warrant, option or otherwise) in respect of:</w:t>
      </w:r>
    </w:p>
    <w:p>
      <w:pPr>
        <w:spacing w:after="0" w:line="180" w:lineRule="exact"/>
        <w:rPr>
          <w:sz w:val="20"/>
          <w:szCs w:val="20"/>
          <w:color w:val="auto"/>
        </w:rPr>
      </w:pPr>
    </w:p>
    <w:p>
      <w:pPr>
        <w:ind w:left="643" w:hanging="643"/>
        <w:spacing w:after="0"/>
        <w:tabs>
          <w:tab w:leader="none" w:pos="643"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Original Shares;</w:t>
      </w:r>
    </w:p>
    <w:p>
      <w:pPr>
        <w:spacing w:after="0" w:line="225" w:lineRule="exact"/>
        <w:rPr>
          <w:rFonts w:ascii="Arial" w:cs="Arial" w:eastAsia="Arial" w:hAnsi="Arial"/>
          <w:sz w:val="18"/>
          <w:szCs w:val="18"/>
          <w:color w:val="auto"/>
        </w:rPr>
      </w:pPr>
    </w:p>
    <w:p>
      <w:pPr>
        <w:ind w:left="643" w:hanging="643"/>
        <w:spacing w:after="0"/>
        <w:tabs>
          <w:tab w:leader="none" w:pos="643" w:val="left"/>
        </w:tabs>
        <w:numPr>
          <w:ilvl w:val="0"/>
          <w:numId w:val="941"/>
        </w:numPr>
        <w:rPr>
          <w:rFonts w:ascii="Arial" w:cs="Arial" w:eastAsia="Arial" w:hAnsi="Arial"/>
          <w:sz w:val="18"/>
          <w:szCs w:val="18"/>
          <w:color w:val="auto"/>
        </w:rPr>
      </w:pPr>
      <w:r>
        <w:rPr>
          <w:rFonts w:ascii="Arial" w:cs="Arial" w:eastAsia="Arial" w:hAnsi="Arial"/>
          <w:sz w:val="18"/>
          <w:szCs w:val="18"/>
          <w:color w:val="auto"/>
        </w:rPr>
        <w:t>any Further Shares; and</w:t>
      </w:r>
    </w:p>
    <w:p>
      <w:pPr>
        <w:spacing w:after="0" w:line="225" w:lineRule="exact"/>
        <w:rPr>
          <w:rFonts w:ascii="Arial" w:cs="Arial" w:eastAsia="Arial" w:hAnsi="Arial"/>
          <w:sz w:val="18"/>
          <w:szCs w:val="18"/>
          <w:color w:val="auto"/>
        </w:rPr>
      </w:pPr>
    </w:p>
    <w:p>
      <w:pPr>
        <w:ind w:left="3" w:right="1940" w:hanging="3"/>
        <w:spacing w:after="0" w:line="498" w:lineRule="auto"/>
        <w:tabs>
          <w:tab w:leader="none" w:pos="642" w:val="left"/>
        </w:tabs>
        <w:numPr>
          <w:ilvl w:val="0"/>
          <w:numId w:val="941"/>
        </w:numPr>
        <w:rPr>
          <w:rFonts w:ascii="Arial" w:cs="Arial" w:eastAsia="Arial" w:hAnsi="Arial"/>
          <w:sz w:val="18"/>
          <w:szCs w:val="18"/>
          <w:color w:val="auto"/>
        </w:rPr>
      </w:pPr>
      <w:r>
        <w:rPr>
          <w:rFonts w:ascii="Arial" w:cs="Arial" w:eastAsia="Arial" w:hAnsi="Arial"/>
          <w:sz w:val="18"/>
          <w:szCs w:val="18"/>
          <w:color w:val="auto"/>
        </w:rPr>
        <w:t>any Shares, rights or other property previously accruing, offered, issued or paid as mentioned in this definition, provided, however, that "</w:t>
      </w:r>
      <w:r>
        <w:rPr>
          <w:rFonts w:ascii="Arial" w:cs="Arial" w:eastAsia="Arial" w:hAnsi="Arial"/>
          <w:sz w:val="18"/>
          <w:szCs w:val="18"/>
          <w:b w:val="1"/>
          <w:bCs w:val="1"/>
          <w:color w:val="auto"/>
        </w:rPr>
        <w:t>Derived Assets</w:t>
      </w:r>
      <w:r>
        <w:rPr>
          <w:rFonts w:ascii="Arial" w:cs="Arial" w:eastAsia="Arial" w:hAnsi="Arial"/>
          <w:sz w:val="18"/>
          <w:szCs w:val="18"/>
          <w:color w:val="auto"/>
        </w:rPr>
        <w:t>" shall not include any Excluded Assets.</w:t>
      </w:r>
    </w:p>
    <w:p>
      <w:pPr>
        <w:spacing w:after="0" w:line="1" w:lineRule="exact"/>
        <w:rPr>
          <w:sz w:val="20"/>
          <w:szCs w:val="20"/>
          <w:color w:val="auto"/>
        </w:rPr>
      </w:pPr>
    </w:p>
    <w:p>
      <w:pPr>
        <w:ind w:left="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Disputes</w:t>
      </w:r>
      <w:r>
        <w:rPr>
          <w:rFonts w:ascii="Arial" w:cs="Arial" w:eastAsia="Arial" w:hAnsi="Arial"/>
          <w:sz w:val="17"/>
          <w:szCs w:val="17"/>
          <w:color w:val="auto"/>
        </w:rPr>
        <w:t>" means any disputes or claims which may arise out of or in connection with this Deed or the Security (including, without limitation, regarding their respective existence, validity or termination and any non-contractual obligations or liabilities arising in connection with them).</w:t>
      </w:r>
    </w:p>
    <w:p>
      <w:pPr>
        <w:spacing w:after="0" w:line="138" w:lineRule="exact"/>
        <w:rPr>
          <w:sz w:val="20"/>
          <w:szCs w:val="20"/>
          <w:color w:val="auto"/>
        </w:rPr>
      </w:pPr>
    </w:p>
    <w:p>
      <w:pPr>
        <w:ind w:left="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Dividends</w:t>
      </w:r>
      <w:r>
        <w:rPr>
          <w:rFonts w:ascii="Arial" w:cs="Arial" w:eastAsia="Arial" w:hAnsi="Arial"/>
          <w:sz w:val="18"/>
          <w:szCs w:val="18"/>
          <w:color w:val="auto"/>
        </w:rPr>
        <w:t>" means any dividends, interest and other income paid or payable in respect of the Original Shares, any Further Shares or any Derived Assets (but "</w:t>
      </w:r>
      <w:r>
        <w:rPr>
          <w:rFonts w:ascii="Arial" w:cs="Arial" w:eastAsia="Arial" w:hAnsi="Arial"/>
          <w:sz w:val="18"/>
          <w:szCs w:val="18"/>
          <w:b w:val="1"/>
          <w:bCs w:val="1"/>
          <w:color w:val="auto"/>
        </w:rPr>
        <w:t>Dividends</w:t>
      </w:r>
      <w:r>
        <w:rPr>
          <w:rFonts w:ascii="Arial" w:cs="Arial" w:eastAsia="Arial" w:hAnsi="Arial"/>
          <w:sz w:val="18"/>
          <w:szCs w:val="18"/>
          <w:color w:val="auto"/>
        </w:rPr>
        <w:t>" shall exclude, for the avoidance of doubt, any Excluded Assets).</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Event</w:t>
      </w:r>
      <w:r>
        <w:rPr>
          <w:rFonts w:ascii="Arial" w:cs="Arial" w:eastAsia="Arial" w:hAnsi="Arial"/>
          <w:sz w:val="18"/>
          <w:szCs w:val="18"/>
          <w:color w:val="auto"/>
        </w:rPr>
        <w:t>" has the meaning set out in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Collateral</w:t>
      </w:r>
      <w:r>
        <w:rPr>
          <w:rFonts w:ascii="Arial" w:cs="Arial" w:eastAsia="Arial" w:hAnsi="Arial"/>
          <w:sz w:val="18"/>
          <w:szCs w:val="18"/>
          <w:color w:val="auto"/>
        </w:rPr>
        <w:t>" means financial collateral within the meaning of the Financial Collateral Arrangements Regulations.</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Collateral Arrangements Regulations</w:t>
      </w:r>
      <w:r>
        <w:rPr>
          <w:rFonts w:ascii="Arial" w:cs="Arial" w:eastAsia="Arial" w:hAnsi="Arial"/>
          <w:sz w:val="17"/>
          <w:szCs w:val="17"/>
          <w:color w:val="auto"/>
        </w:rPr>
        <w:t>" means the Financial Collateral Arrangements (No.2) Regulations 2003, as amended.</w:t>
      </w:r>
    </w:p>
    <w:p>
      <w:pPr>
        <w:spacing w:after="0" w:line="237" w:lineRule="exact"/>
        <w:rPr>
          <w:sz w:val="20"/>
          <w:szCs w:val="20"/>
          <w:color w:val="auto"/>
        </w:rPr>
      </w:pPr>
    </w:p>
    <w:p>
      <w:pPr>
        <w:ind w:left="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Shares</w:t>
      </w:r>
      <w:r>
        <w:rPr>
          <w:rFonts w:ascii="Arial" w:cs="Arial" w:eastAsia="Arial" w:hAnsi="Arial"/>
          <w:sz w:val="18"/>
          <w:szCs w:val="18"/>
          <w:color w:val="auto"/>
        </w:rPr>
        <w:t>" means all Shares (other than the Original Shares and any Shares comprised in any Derived Assets) issued by the Company at any time after the execution of this Deed.</w:t>
      </w:r>
    </w:p>
    <w:p>
      <w:pPr>
        <w:spacing w:after="0" w:line="162" w:lineRule="exact"/>
        <w:rPr>
          <w:sz w:val="20"/>
          <w:szCs w:val="20"/>
          <w:color w:val="auto"/>
        </w:rPr>
      </w:pPr>
    </w:p>
    <w:p>
      <w:pPr>
        <w:ind w:left="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an Affiliate Guaranty dated as of on or about the date of this Deed between, among others, the Parent and the Collateral Agent.</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Act</w:t>
      </w:r>
      <w:r>
        <w:rPr>
          <w:rFonts w:ascii="Arial" w:cs="Arial" w:eastAsia="Arial" w:hAnsi="Arial"/>
          <w:sz w:val="18"/>
          <w:szCs w:val="18"/>
          <w:color w:val="auto"/>
        </w:rPr>
        <w:t>" means the Insolvency Act 1986.</w:t>
      </w:r>
    </w:p>
    <w:p>
      <w:pPr>
        <w:spacing w:after="0" w:line="200" w:lineRule="exact"/>
        <w:rPr>
          <w:sz w:val="20"/>
          <w:szCs w:val="20"/>
          <w:color w:val="auto"/>
        </w:rPr>
      </w:pPr>
    </w:p>
    <w:p>
      <w:pPr>
        <w:spacing w:after="0" w:line="245"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24662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3"/>
          </w:cols>
          <w:pgMar w:left="977" w:top="904" w:right="339" w:bottom="1440" w:gutter="0" w:footer="0" w:header="0"/>
        </w:sectPr>
      </w:pPr>
    </w:p>
    <w:bookmarkStart w:id="881" w:name="page882"/>
    <w:bookmarkEnd w:id="881"/>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Event</w:t>
      </w:r>
      <w:r>
        <w:rPr>
          <w:rFonts w:ascii="Arial" w:cs="Arial" w:eastAsia="Arial" w:hAnsi="Arial"/>
          <w:sz w:val="17"/>
          <w:szCs w:val="17"/>
          <w:color w:val="auto"/>
        </w:rPr>
        <w:t>" in relation to any person, means: (a) such person is unable or admits inability to pay its debts as they fall due, suspends making payments on any of its debts or, by reason of actual or anticipated financial difficulties, commences negotiations with one or more of its creditors with a view to rescheduling any of its indebtedness (including any composition, assignment or arrangement with any creditor of such person); (b) any resolution is passed or order made for the winding up, dissolution, administration or reorganisation of that person, a moratorium is declared in relation to any indebtedness of that person or an administrator is appointed to that person (other than a solvent liquidation or reorganisation of such person on terms previously approved in writing by the Collateral Agent); (c) the appointment of any liquidator (other than a solvent liquidation or reorganisation of such person on terms previously approved in writing by the Collateral Agent), receiver, administrator, administrative receiver, compulsory manager or other similar officer in respect of that person or any of its assets; or (d) in respect of any person, any analogous procedure or step is taken in any jurisdiction.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the intercreditor agreement, dated on or about the date of this Deed, among the Collateral Agent, Wells Fargo Bank, National Association, the Parent, Weatherford International Ltd., Weatherford International LLC, and the other grantors of the Parent named therein.</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means the letter of credit facility agreement, between, among others, the Parent, the Collateral Agent and the Lenders, dated on or about the date of this Deed.</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w:t>
      </w:r>
      <w:r>
        <w:rPr>
          <w:rFonts w:ascii="Arial" w:cs="Arial" w:eastAsia="Arial" w:hAnsi="Arial"/>
          <w:sz w:val="17"/>
          <w:szCs w:val="17"/>
          <w:color w:val="auto"/>
        </w:rPr>
        <w:t>" means any liability, damages, claim, cost, loss, penalty, expense, demand (or actions in respect thereof) including, without limitation, all charges and fees (professional and otherwise), together with all costs, disbursements and expenses in connection therewith.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LPA</w:t>
      </w:r>
      <w:r>
        <w:rPr>
          <w:rFonts w:ascii="Arial" w:cs="Arial" w:eastAsia="Arial" w:hAnsi="Arial"/>
          <w:sz w:val="18"/>
          <w:szCs w:val="18"/>
          <w:color w:val="auto"/>
        </w:rPr>
        <w:t>" means the Law of Property Act 1925.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Shares</w:t>
      </w:r>
      <w:r>
        <w:rPr>
          <w:rFonts w:ascii="Arial" w:cs="Arial" w:eastAsia="Arial" w:hAnsi="Arial"/>
          <w:sz w:val="18"/>
          <w:szCs w:val="18"/>
          <w:color w:val="auto"/>
        </w:rPr>
        <w:t>" means the Shares in the Company details of which are set out in Schedule 1 (</w:t>
      </w:r>
      <w:r>
        <w:rPr>
          <w:rFonts w:ascii="Arial" w:cs="Arial" w:eastAsia="Arial" w:hAnsi="Arial"/>
          <w:sz w:val="18"/>
          <w:szCs w:val="18"/>
          <w:i w:val="1"/>
          <w:iCs w:val="1"/>
          <w:color w:val="auto"/>
        </w:rPr>
        <w:t>Original Shares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Parent</w:t>
      </w:r>
      <w:r>
        <w:rPr>
          <w:rFonts w:ascii="Arial" w:cs="Arial" w:eastAsia="Arial" w:hAnsi="Arial"/>
          <w:sz w:val="18"/>
          <w:szCs w:val="18"/>
          <w:color w:val="auto"/>
        </w:rPr>
        <w:t>" means Weatherford International Public Limited Company, a public limited company incorporated in the Republic of Ireland,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number 540406 whose registered office address is 70 Sir John Rogerson's Quay, Dublin 2.</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in Full</w:t>
      </w:r>
      <w:r>
        <w:rPr>
          <w:rFonts w:ascii="Arial" w:cs="Arial" w:eastAsia="Arial" w:hAnsi="Arial"/>
          <w:sz w:val="18"/>
          <w:szCs w:val="18"/>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Mortgagor) shall have been paid in full in cash.</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means any proceedings, suit or action arising out of or in connection with any Disputes or otherwise arising out of or in connection with this Deed or the Security (including, without limitation, regarding their respective existence, validity or termination and any non-contractual obligations or liabilities arising in connection with them).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and manager or receiver of all or any of the Secured Assets, in each case appointed under this Deed.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means each Receiver and each Delegate and each such person's respective officers, employees and agents.</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980" w:top="905" w:right="339" w:bottom="1440" w:gutter="0" w:footer="0" w:header="0"/>
        </w:sectPr>
      </w:pPr>
    </w:p>
    <w:bookmarkStart w:id="882" w:name="page883"/>
    <w:bookmarkEnd w:id="8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Currency</w:t>
      </w:r>
      <w:r>
        <w:rPr>
          <w:rFonts w:ascii="Arial" w:cs="Arial" w:eastAsia="Arial" w:hAnsi="Arial"/>
          <w:sz w:val="18"/>
          <w:szCs w:val="18"/>
          <w:color w:val="auto"/>
        </w:rPr>
        <w:t>" has the meaning set out in Clause 14.3(b)(ii) (</w:t>
      </w:r>
      <w:r>
        <w:rPr>
          <w:rFonts w:ascii="Arial" w:cs="Arial" w:eastAsia="Arial" w:hAnsi="Arial"/>
          <w:sz w:val="18"/>
          <w:szCs w:val="18"/>
          <w:i w:val="1"/>
          <w:iCs w:val="1"/>
          <w:color w:val="auto"/>
        </w:rPr>
        <w:t>Appropriation of Financial Collateral</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Rights</w:t>
      </w:r>
      <w:r>
        <w:rPr>
          <w:rFonts w:ascii="Arial" w:cs="Arial" w:eastAsia="Arial" w:hAnsi="Arial"/>
          <w:sz w:val="17"/>
          <w:szCs w:val="17"/>
          <w:color w:val="auto"/>
        </w:rPr>
        <w:t>" means rights, benefits, powers, privileges, authorities, discretions, remedies and liberties (in each case, of any nature whatsoever).</w:t>
      </w:r>
    </w:p>
    <w:p>
      <w:pPr>
        <w:spacing w:after="0" w:line="237"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Assets</w:t>
      </w:r>
      <w:r>
        <w:rPr>
          <w:rFonts w:ascii="Arial" w:cs="Arial" w:eastAsia="Arial" w:hAnsi="Arial"/>
          <w:sz w:val="18"/>
          <w:szCs w:val="18"/>
          <w:color w:val="auto"/>
        </w:rPr>
        <w:t>" means the Original Shares, any Further Shares, any Derived Assets and any Dividends (but "</w:t>
      </w:r>
      <w:r>
        <w:rPr>
          <w:rFonts w:ascii="Arial" w:cs="Arial" w:eastAsia="Arial" w:hAnsi="Arial"/>
          <w:sz w:val="18"/>
          <w:szCs w:val="18"/>
          <w:b w:val="1"/>
          <w:bCs w:val="1"/>
          <w:color w:val="auto"/>
        </w:rPr>
        <w:t>Secured Assets</w:t>
      </w:r>
      <w:r>
        <w:rPr>
          <w:rFonts w:ascii="Arial" w:cs="Arial" w:eastAsia="Arial" w:hAnsi="Arial"/>
          <w:sz w:val="18"/>
          <w:szCs w:val="18"/>
          <w:color w:val="auto"/>
        </w:rPr>
        <w:t>" shall exclude, for the avoidance of doubt, any Excluded Assets).</w:t>
      </w:r>
    </w:p>
    <w:p>
      <w:pPr>
        <w:spacing w:after="0" w:line="16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to it in the Loan Agreement but, for the avoidance of doubt, shall also include all reasonable and documented legal costs, charges and expenses and any other Loss which the Collateral Agent, any Receiver or any Delegate may incur in enforcing or obtaining, or attempting to enforce or obtain, payment of any such moneys and liabilities to the extent that such costs, charges, expenses and other Losses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to it in the Loan Agreement.</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or all of the Security Interests created or expressed to be created, or which may at any time hereafter be created, by or pursuant to this Deed.</w:t>
      </w:r>
    </w:p>
    <w:p>
      <w:pPr>
        <w:spacing w:after="0" w:line="16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 any mortgage, fixed or floating charge, sub-mortgage or charge, pledge, lien, assignment by way of security or subject to a proviso for reassignment, encumbrance, hypothecation, any title retention arrangement (other than in respect of goods purchased in the ordinary course of trading), any agreement or arrangement having substantially the same economic or financial effect as any of the foregoing (including any "hold back" or "flawed asset" arrangement) and any security interest or agreement or arrangement analogous to any of the foregoing arising under the laws of any other jurisdiction.</w:t>
      </w:r>
    </w:p>
    <w:p>
      <w:pPr>
        <w:spacing w:after="0" w:line="184"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with respect to the Company, stocks and shares of any kind (but "</w:t>
      </w:r>
      <w:r>
        <w:rPr>
          <w:rFonts w:ascii="Arial" w:cs="Arial" w:eastAsia="Arial" w:hAnsi="Arial"/>
          <w:sz w:val="18"/>
          <w:szCs w:val="18"/>
          <w:b w:val="1"/>
          <w:bCs w:val="1"/>
          <w:color w:val="auto"/>
        </w:rPr>
        <w:t>Shares</w:t>
      </w:r>
      <w:r>
        <w:rPr>
          <w:rFonts w:ascii="Arial" w:cs="Arial" w:eastAsia="Arial" w:hAnsi="Arial"/>
          <w:sz w:val="18"/>
          <w:szCs w:val="18"/>
          <w:color w:val="auto"/>
        </w:rPr>
        <w:t>" shall exclude, for the avoidance of doubt, any Excluded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to it in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Parties Act</w:t>
      </w:r>
      <w:r>
        <w:rPr>
          <w:rFonts w:ascii="Arial" w:cs="Arial" w:eastAsia="Arial" w:hAnsi="Arial"/>
          <w:sz w:val="18"/>
          <w:szCs w:val="18"/>
          <w:color w:val="auto"/>
        </w:rPr>
        <w:t>" means the Contracts (Rights of Third Parties) Act 1999.</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1.2</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Deed, the following rules of interpretation apply, unless otherwise specified or the context otherwise requires.</w:t>
      </w:r>
    </w:p>
    <w:p>
      <w:pPr>
        <w:spacing w:after="0" w:line="221" w:lineRule="exact"/>
        <w:rPr>
          <w:sz w:val="20"/>
          <w:szCs w:val="20"/>
          <w:color w:val="auto"/>
        </w:rPr>
      </w:pPr>
    </w:p>
    <w:p>
      <w:pPr>
        <w:jc w:val="both"/>
        <w:ind w:left="1300" w:hanging="643"/>
        <w:spacing w:after="0" w:line="266" w:lineRule="auto"/>
        <w:tabs>
          <w:tab w:leader="none" w:pos="1300" w:val="left"/>
        </w:tabs>
        <w:numPr>
          <w:ilvl w:val="0"/>
          <w:numId w:val="942"/>
        </w:numPr>
        <w:rPr>
          <w:rFonts w:ascii="Arial" w:cs="Arial" w:eastAsia="Arial" w:hAnsi="Arial"/>
          <w:sz w:val="18"/>
          <w:szCs w:val="18"/>
          <w:color w:val="010000"/>
        </w:rPr>
      </w:pPr>
      <w:r>
        <w:rPr>
          <w:rFonts w:ascii="Arial" w:cs="Arial" w:eastAsia="Arial" w:hAnsi="Arial"/>
          <w:sz w:val="18"/>
          <w:szCs w:val="18"/>
          <w:b w:val="1"/>
          <w:bCs w:val="1"/>
          <w:color w:val="auto"/>
        </w:rPr>
        <w:t>Person</w:t>
      </w:r>
      <w:r>
        <w:rPr>
          <w:rFonts w:ascii="Arial" w:cs="Arial" w:eastAsia="Arial" w:hAnsi="Arial"/>
          <w:sz w:val="18"/>
          <w:szCs w:val="18"/>
          <w:color w:val="auto"/>
        </w:rPr>
        <w:t>: a reference to a "person" includes any individual, firm, partnership, body corporate, unincorporated association,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agency of a state, local or municipal authority or government body, trust, foundation, joint venture or association (in each case whether or not having separate legal personality).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3" w:name="page884"/>
    <w:bookmarkEnd w:id="883"/>
    <w:p>
      <w:pPr>
        <w:jc w:val="both"/>
        <w:ind w:left="1300" w:right="100" w:hanging="643"/>
        <w:spacing w:after="0" w:line="261" w:lineRule="auto"/>
        <w:tabs>
          <w:tab w:leader="none" w:pos="1300" w:val="left"/>
        </w:tabs>
        <w:numPr>
          <w:ilvl w:val="1"/>
          <w:numId w:val="943"/>
        </w:numPr>
        <w:rPr>
          <w:rFonts w:ascii="Arial" w:cs="Arial" w:eastAsia="Arial" w:hAnsi="Arial"/>
          <w:sz w:val="18"/>
          <w:szCs w:val="18"/>
          <w:color w:val="010000"/>
        </w:rPr>
      </w:pPr>
      <w:r>
        <w:rPr>
          <w:rFonts w:ascii="Arial" w:cs="Arial" w:eastAsia="Arial" w:hAnsi="Arial"/>
          <w:sz w:val="18"/>
          <w:szCs w:val="18"/>
          <w:b w:val="1"/>
          <w:bCs w:val="1"/>
          <w:color w:val="auto"/>
        </w:rPr>
        <w:t>References to this Deed and other agreements and documents</w:t>
      </w:r>
      <w:r>
        <w:rPr>
          <w:rFonts w:ascii="Arial" w:cs="Arial" w:eastAsia="Arial" w:hAnsi="Arial"/>
          <w:sz w:val="18"/>
          <w:szCs w:val="18"/>
          <w:color w:val="auto"/>
        </w:rPr>
        <w:t>: a reference to this Deed or to another deed, agreement,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(including, without limitation, any share certificate and any Loan Document) is a reference to this Deed or to the relevant other deed, agreement, document or instrument as supplemented, varied, amended, modified, novated or replaced from time to time and to any agreement, deed or document executed pursuant thereto.</w:t>
      </w:r>
    </w:p>
    <w:p>
      <w:pPr>
        <w:spacing w:after="0" w:line="180" w:lineRule="exact"/>
        <w:rPr>
          <w:rFonts w:ascii="Arial" w:cs="Arial" w:eastAsia="Arial" w:hAnsi="Arial"/>
          <w:sz w:val="18"/>
          <w:szCs w:val="18"/>
          <w:color w:val="010000"/>
        </w:rPr>
      </w:pPr>
    </w:p>
    <w:p>
      <w:pPr>
        <w:jc w:val="both"/>
        <w:ind w:left="1300" w:right="100" w:hanging="643"/>
        <w:spacing w:after="0" w:line="258" w:lineRule="auto"/>
        <w:tabs>
          <w:tab w:leader="none" w:pos="1300" w:val="left"/>
        </w:tabs>
        <w:numPr>
          <w:ilvl w:val="1"/>
          <w:numId w:val="943"/>
        </w:numPr>
        <w:rPr>
          <w:rFonts w:ascii="Arial" w:cs="Arial" w:eastAsia="Arial" w:hAnsi="Arial"/>
          <w:sz w:val="18"/>
          <w:szCs w:val="18"/>
          <w:color w:val="010000"/>
        </w:rPr>
      </w:pPr>
      <w:r>
        <w:rPr>
          <w:rFonts w:ascii="Arial" w:cs="Arial" w:eastAsia="Arial" w:hAnsi="Arial"/>
          <w:sz w:val="18"/>
          <w:szCs w:val="18"/>
          <w:b w:val="1"/>
          <w:bCs w:val="1"/>
          <w:color w:val="auto"/>
        </w:rPr>
        <w:t>Successors, transferees and assigns</w:t>
      </w:r>
      <w:r>
        <w:rPr>
          <w:rFonts w:ascii="Arial" w:cs="Arial" w:eastAsia="Arial" w:hAnsi="Arial"/>
          <w:sz w:val="18"/>
          <w:szCs w:val="18"/>
          <w:color w:val="auto"/>
        </w:rPr>
        <w:t>: a reference to a person (including, without limitation, any party to this Deed, any Secured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party to any Loan Document) shall include reference to its successors, transferees (including by novation) and assigns and any person deriving title under or through it, whether in security or otherwise, any person into which such person may be merged or consolidated, any company resulting from any merger or consolidation of such person and any person succeeding to all or substantially all of the business of that person.</w:t>
      </w:r>
    </w:p>
    <w:p>
      <w:pPr>
        <w:spacing w:after="0" w:line="183" w:lineRule="exact"/>
        <w:rPr>
          <w:rFonts w:ascii="Arial" w:cs="Arial" w:eastAsia="Arial" w:hAnsi="Arial"/>
          <w:sz w:val="18"/>
          <w:szCs w:val="18"/>
          <w:color w:val="010000"/>
        </w:rPr>
      </w:pPr>
    </w:p>
    <w:p>
      <w:pPr>
        <w:jc w:val="both"/>
        <w:ind w:left="1300" w:right="100" w:hanging="643"/>
        <w:spacing w:after="0" w:line="266" w:lineRule="auto"/>
        <w:tabs>
          <w:tab w:leader="none" w:pos="1300" w:val="left"/>
        </w:tabs>
        <w:numPr>
          <w:ilvl w:val="1"/>
          <w:numId w:val="943"/>
        </w:numPr>
        <w:rPr>
          <w:rFonts w:ascii="Arial" w:cs="Arial" w:eastAsia="Arial" w:hAnsi="Arial"/>
          <w:sz w:val="18"/>
          <w:szCs w:val="18"/>
          <w:color w:val="010000"/>
        </w:rPr>
      </w:pPr>
      <w:r>
        <w:rPr>
          <w:rFonts w:ascii="Arial" w:cs="Arial" w:eastAsia="Arial" w:hAnsi="Arial"/>
          <w:sz w:val="18"/>
          <w:szCs w:val="18"/>
          <w:b w:val="1"/>
          <w:bCs w:val="1"/>
          <w:color w:val="auto"/>
        </w:rPr>
        <w:t>Statutory provisions</w:t>
      </w:r>
      <w:r>
        <w:rPr>
          <w:rFonts w:ascii="Arial" w:cs="Arial" w:eastAsia="Arial" w:hAnsi="Arial"/>
          <w:sz w:val="18"/>
          <w:szCs w:val="18"/>
          <w:color w:val="auto"/>
        </w:rPr>
        <w:t>: a reference to any statute, statutory provision, order, instrument, rule or regulation is to that statute,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order, instrument, rule or regulation as amended or re-enacted from time to time, any provision of which it is a re-enactment or consolidation and any order, instrument or regulation made or issued under it.</w:t>
      </w:r>
    </w:p>
    <w:p>
      <w:pPr>
        <w:spacing w:after="0" w:line="176" w:lineRule="exact"/>
        <w:rPr>
          <w:rFonts w:ascii="Arial" w:cs="Arial" w:eastAsia="Arial" w:hAnsi="Arial"/>
          <w:sz w:val="18"/>
          <w:szCs w:val="18"/>
          <w:color w:val="010000"/>
        </w:rPr>
      </w:pPr>
    </w:p>
    <w:p>
      <w:pPr>
        <w:ind w:left="1300" w:hanging="643"/>
        <w:spacing w:after="0"/>
        <w:tabs>
          <w:tab w:leader="none" w:pos="1300" w:val="left"/>
        </w:tabs>
        <w:numPr>
          <w:ilvl w:val="1"/>
          <w:numId w:val="943"/>
        </w:numPr>
        <w:rPr>
          <w:rFonts w:ascii="Arial" w:cs="Arial" w:eastAsia="Arial" w:hAnsi="Arial"/>
          <w:sz w:val="18"/>
          <w:szCs w:val="18"/>
          <w:color w:val="010000"/>
        </w:rPr>
      </w:pPr>
      <w:r>
        <w:rPr>
          <w:rFonts w:ascii="Arial" w:cs="Arial" w:eastAsia="Arial" w:hAnsi="Arial"/>
          <w:sz w:val="18"/>
          <w:szCs w:val="18"/>
          <w:b w:val="1"/>
          <w:bCs w:val="1"/>
          <w:color w:val="auto"/>
        </w:rPr>
        <w:t>Headings</w:t>
      </w:r>
      <w:r>
        <w:rPr>
          <w:rFonts w:ascii="Arial" w:cs="Arial" w:eastAsia="Arial" w:hAnsi="Arial"/>
          <w:sz w:val="18"/>
          <w:szCs w:val="18"/>
          <w:color w:val="auto"/>
        </w:rPr>
        <w:t>: headings are for convenience only and shall not affect the interpretation of this Deed.</w:t>
      </w:r>
    </w:p>
    <w:p>
      <w:pPr>
        <w:spacing w:after="0" w:line="225" w:lineRule="exact"/>
        <w:rPr>
          <w:rFonts w:ascii="Arial" w:cs="Arial" w:eastAsia="Arial" w:hAnsi="Arial"/>
          <w:sz w:val="18"/>
          <w:szCs w:val="18"/>
          <w:color w:val="010000"/>
        </w:rPr>
      </w:pPr>
    </w:p>
    <w:p>
      <w:pPr>
        <w:jc w:val="both"/>
        <w:ind w:left="1300" w:right="120" w:hanging="643"/>
        <w:spacing w:after="0" w:line="266" w:lineRule="auto"/>
        <w:tabs>
          <w:tab w:leader="none" w:pos="1300" w:val="left"/>
        </w:tabs>
        <w:numPr>
          <w:ilvl w:val="1"/>
          <w:numId w:val="943"/>
        </w:numPr>
        <w:rPr>
          <w:rFonts w:ascii="Arial" w:cs="Arial" w:eastAsia="Arial" w:hAnsi="Arial"/>
          <w:sz w:val="18"/>
          <w:szCs w:val="18"/>
          <w:color w:val="010000"/>
        </w:rPr>
      </w:pPr>
      <w:r>
        <w:rPr>
          <w:rFonts w:ascii="Arial" w:cs="Arial" w:eastAsia="Arial" w:hAnsi="Arial"/>
          <w:sz w:val="18"/>
          <w:szCs w:val="18"/>
          <w:b w:val="1"/>
          <w:bCs w:val="1"/>
          <w:color w:val="auto"/>
        </w:rPr>
        <w:t>Clauses, Schedules and Paragraphs</w:t>
      </w:r>
      <w:r>
        <w:rPr>
          <w:rFonts w:ascii="Arial" w:cs="Arial" w:eastAsia="Arial" w:hAnsi="Arial"/>
          <w:sz w:val="18"/>
          <w:szCs w:val="18"/>
          <w:color w:val="auto"/>
        </w:rPr>
        <w:t>: a reference to a Clause is to a clause in this Deed; a reference to a Schedule is to a schedule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Deed; a reference to a Paragraph is to a paragraph of a Schedule; and a reference to this Deed includes a reference to each of its Schedules.</w:t>
      </w:r>
    </w:p>
    <w:p>
      <w:pPr>
        <w:spacing w:after="0" w:line="176" w:lineRule="exact"/>
        <w:rPr>
          <w:rFonts w:ascii="Arial" w:cs="Arial" w:eastAsia="Arial" w:hAnsi="Arial"/>
          <w:sz w:val="18"/>
          <w:szCs w:val="18"/>
          <w:color w:val="010000"/>
        </w:rPr>
      </w:pPr>
    </w:p>
    <w:p>
      <w:pPr>
        <w:ind w:left="1300" w:hanging="643"/>
        <w:spacing w:after="0"/>
        <w:tabs>
          <w:tab w:leader="none" w:pos="1300" w:val="left"/>
        </w:tabs>
        <w:numPr>
          <w:ilvl w:val="1"/>
          <w:numId w:val="943"/>
        </w:numPr>
        <w:rPr>
          <w:rFonts w:ascii="Arial" w:cs="Arial" w:eastAsia="Arial" w:hAnsi="Arial"/>
          <w:sz w:val="16"/>
          <w:szCs w:val="16"/>
          <w:color w:val="010000"/>
        </w:rPr>
      </w:pPr>
      <w:r>
        <w:rPr>
          <w:rFonts w:ascii="Arial" w:cs="Arial" w:eastAsia="Arial" w:hAnsi="Arial"/>
          <w:sz w:val="16"/>
          <w:szCs w:val="16"/>
          <w:b w:val="1"/>
          <w:bCs w:val="1"/>
          <w:color w:val="auto"/>
        </w:rPr>
        <w:t>Disposal</w:t>
      </w:r>
      <w:r>
        <w:rPr>
          <w:rFonts w:ascii="Arial" w:cs="Arial" w:eastAsia="Arial" w:hAnsi="Arial"/>
          <w:sz w:val="16"/>
          <w:szCs w:val="16"/>
          <w:color w:val="auto"/>
        </w:rPr>
        <w:t>: a reference to "disposal" includes any of the following, whether by a single transaction or series of transactions whether related</w:t>
      </w:r>
    </w:p>
    <w:p>
      <w:pPr>
        <w:spacing w:after="0" w:line="50" w:lineRule="exact"/>
        <w:rPr>
          <w:rFonts w:ascii="Arial" w:cs="Arial" w:eastAsia="Arial" w:hAnsi="Arial"/>
          <w:sz w:val="16"/>
          <w:szCs w:val="16"/>
          <w:color w:val="010000"/>
        </w:rPr>
      </w:pPr>
    </w:p>
    <w:p>
      <w:pPr>
        <w:jc w:val="both"/>
        <w:ind w:left="1300" w:right="100"/>
        <w:spacing w:after="0" w:line="255" w:lineRule="auto"/>
        <w:rPr>
          <w:rFonts w:ascii="Arial" w:cs="Arial" w:eastAsia="Arial" w:hAnsi="Arial"/>
          <w:sz w:val="16"/>
          <w:szCs w:val="16"/>
          <w:color w:val="010000"/>
        </w:rPr>
      </w:pPr>
      <w:r>
        <w:rPr>
          <w:rFonts w:ascii="Arial" w:cs="Arial" w:eastAsia="Arial" w:hAnsi="Arial"/>
          <w:sz w:val="18"/>
          <w:szCs w:val="18"/>
          <w:color w:val="auto"/>
        </w:rPr>
        <w:t>or not, and whether voluntary or involuntary: a sale, transfer, assignment, loan, parting with any interest in or permitting the use by another person of, the grant of any option to purchase or pre-emption right or other present or future right to acquire or create any interest in, or any other disposal or dealing, and "dispose" shall be construed accordingly.</w:t>
      </w:r>
    </w:p>
    <w:p>
      <w:pPr>
        <w:spacing w:after="0" w:line="186" w:lineRule="exact"/>
        <w:rPr>
          <w:rFonts w:ascii="Arial" w:cs="Arial" w:eastAsia="Arial" w:hAnsi="Arial"/>
          <w:sz w:val="16"/>
          <w:szCs w:val="16"/>
          <w:color w:val="010000"/>
        </w:rPr>
      </w:pPr>
    </w:p>
    <w:p>
      <w:pPr>
        <w:jc w:val="both"/>
        <w:ind w:left="1300" w:right="100" w:hanging="643"/>
        <w:spacing w:after="0" w:line="303" w:lineRule="auto"/>
        <w:tabs>
          <w:tab w:leader="none" w:pos="1300" w:val="left"/>
        </w:tabs>
        <w:numPr>
          <w:ilvl w:val="1"/>
          <w:numId w:val="943"/>
        </w:numPr>
        <w:rPr>
          <w:rFonts w:ascii="Arial" w:cs="Arial" w:eastAsia="Arial" w:hAnsi="Arial"/>
          <w:sz w:val="16"/>
          <w:szCs w:val="16"/>
          <w:color w:val="010000"/>
        </w:rPr>
      </w:pPr>
      <w:r>
        <w:rPr>
          <w:rFonts w:ascii="Arial" w:cs="Arial" w:eastAsia="Arial" w:hAnsi="Arial"/>
          <w:sz w:val="16"/>
          <w:szCs w:val="16"/>
          <w:b w:val="1"/>
          <w:bCs w:val="1"/>
          <w:color w:val="auto"/>
        </w:rPr>
        <w:t>Loan Agreement and Intercreditor Agreement</w:t>
      </w:r>
      <w:r>
        <w:rPr>
          <w:rFonts w:ascii="Arial" w:cs="Arial" w:eastAsia="Arial" w:hAnsi="Arial"/>
          <w:sz w:val="16"/>
          <w:szCs w:val="16"/>
          <w:color w:val="auto"/>
        </w:rPr>
        <w:t>: The undertakings and other obligations of the Mortgagor, Collateral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under this Deed shall at all times be read and construed as subject to the provisions of the Loan Agreement, the Intercreditor Agreement and the Guarantee which shall prevail in case of any conflict. The terms of this Deed shall not operate or be construed so as to prohibit or restrict any transaction or matter that is permitted by the Loan Agreement or the Intercreditor Agreement.</w:t>
      </w:r>
    </w:p>
    <w:p>
      <w:pPr>
        <w:spacing w:after="0" w:line="151" w:lineRule="exact"/>
        <w:rPr>
          <w:rFonts w:ascii="Arial" w:cs="Arial" w:eastAsia="Arial" w:hAnsi="Arial"/>
          <w:sz w:val="16"/>
          <w:szCs w:val="16"/>
          <w:color w:val="010000"/>
        </w:rPr>
      </w:pPr>
    </w:p>
    <w:p>
      <w:pPr>
        <w:ind w:left="660" w:hanging="651"/>
        <w:spacing w:after="0"/>
        <w:tabs>
          <w:tab w:leader="none" w:pos="660" w:val="left"/>
        </w:tabs>
        <w:numPr>
          <w:ilvl w:val="0"/>
          <w:numId w:val="944"/>
        </w:numPr>
        <w:rPr>
          <w:rFonts w:ascii="Arial" w:cs="Arial" w:eastAsia="Arial" w:hAnsi="Arial"/>
          <w:sz w:val="18"/>
          <w:szCs w:val="18"/>
          <w:b w:val="1"/>
          <w:bCs w:val="1"/>
          <w:color w:val="010000"/>
        </w:rPr>
      </w:pPr>
      <w:r>
        <w:rPr>
          <w:rFonts w:ascii="Arial" w:cs="Arial" w:eastAsia="Arial" w:hAnsi="Arial"/>
          <w:sz w:val="18"/>
          <w:szCs w:val="18"/>
          <w:b w:val="1"/>
          <w:bCs w:val="1"/>
          <w:color w:val="auto"/>
        </w:rPr>
        <w:t>TRUST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8"/>
          <w:szCs w:val="18"/>
          <w:color w:val="auto"/>
        </w:rPr>
        <w:t>The Collateral Agent shall hold, and hereby declares that it shall hold, the benefit of the Security and the benefit of all representations, warranties, covenants and undertakings under this Deed on trust for the Secured Parties on and subject to the terms of this Deed and the Mortgagor hereby acknowledges such trusts.</w:t>
      </w: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84" w:name="page885"/>
    <w:bookmarkEnd w:id="884"/>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8"/>
          <w:szCs w:val="18"/>
          <w:color w:val="auto"/>
        </w:rPr>
        <w:t>In this Deed the Collateral Agent acts under the authority of the Secured Parties contained in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 of the Loan Agreement and in accordance with, subject to and with the full benefit of the provisions of such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w:t>
      </w:r>
    </w:p>
    <w:p>
      <w:pPr>
        <w:spacing w:after="0" w:line="166" w:lineRule="exact"/>
        <w:rPr>
          <w:sz w:val="20"/>
          <w:szCs w:val="20"/>
          <w:color w:val="auto"/>
        </w:rPr>
      </w:pPr>
    </w:p>
    <w:p>
      <w:pPr>
        <w:ind w:left="660" w:hanging="651"/>
        <w:spacing w:after="0"/>
        <w:tabs>
          <w:tab w:leader="none" w:pos="660" w:val="left"/>
        </w:tabs>
        <w:numPr>
          <w:ilvl w:val="0"/>
          <w:numId w:val="945"/>
        </w:numPr>
        <w:rPr>
          <w:rFonts w:ascii="Arial" w:cs="Arial" w:eastAsia="Arial" w:hAnsi="Arial"/>
          <w:sz w:val="18"/>
          <w:szCs w:val="18"/>
          <w:b w:val="1"/>
          <w:bCs w:val="1"/>
          <w:color w:val="010000"/>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8"/>
          <w:szCs w:val="18"/>
          <w:color w:val="auto"/>
        </w:rPr>
        <w:t>The priority of claims in relation to this Deed and the ABL Equitable Share Mortgage shall be subject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8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8"/>
          <w:szCs w:val="18"/>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83" w:lineRule="exact"/>
        <w:rPr>
          <w:sz w:val="20"/>
          <w:szCs w:val="20"/>
          <w:color w:val="auto"/>
        </w:rPr>
      </w:pPr>
    </w:p>
    <w:p>
      <w:pPr>
        <w:ind w:left="660" w:hanging="651"/>
        <w:spacing w:after="0"/>
        <w:tabs>
          <w:tab w:leader="none" w:pos="660" w:val="left"/>
        </w:tabs>
        <w:numPr>
          <w:ilvl w:val="0"/>
          <w:numId w:val="946"/>
        </w:numPr>
        <w:rPr>
          <w:rFonts w:ascii="Arial" w:cs="Arial" w:eastAsia="Arial" w:hAnsi="Arial"/>
          <w:sz w:val="18"/>
          <w:szCs w:val="18"/>
          <w:b w:val="1"/>
          <w:bCs w:val="1"/>
          <w:color w:val="010000"/>
        </w:rPr>
      </w:pPr>
      <w:r>
        <w:rPr>
          <w:rFonts w:ascii="Arial" w:cs="Arial" w:eastAsia="Arial" w:hAnsi="Arial"/>
          <w:sz w:val="18"/>
          <w:szCs w:val="18"/>
          <w:b w:val="1"/>
          <w:bCs w:val="1"/>
          <w:color w:val="auto"/>
        </w:rPr>
        <w:t>ABL EQUITABLE SHARE MORTGAGE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color w:val="auto"/>
        </w:rPr>
        <w:t>All security created under this Deed does not affect the security created by the ABL Equitable Share Mortgage.</w:t>
      </w:r>
    </w:p>
    <w:p>
      <w:pPr>
        <w:spacing w:after="0" w:line="225"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010000"/>
        </w:rPr>
        <w:t>4.2</w:t>
      </w:r>
      <w:r>
        <w:rPr>
          <w:sz w:val="20"/>
          <w:szCs w:val="20"/>
          <w:color w:val="auto"/>
        </w:rPr>
        <w:tab/>
      </w:r>
      <w:r>
        <w:rPr>
          <w:rFonts w:ascii="Arial" w:cs="Arial" w:eastAsia="Arial" w:hAnsi="Arial"/>
          <w:sz w:val="17"/>
          <w:szCs w:val="17"/>
          <w:color w:val="auto"/>
        </w:rPr>
        <w:t>Notwithstanding any provision of this Deed, provided that the Mortgagor is in compliance with the terms of the ABL Equitable Share Mortgage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Mortgagor will be deemed to have complied with the relevant obligations under this Deed by virtue of its compliance under the ABL Equitable Share Mortgage, provided however that, in the event that the terms of the ABL Equitable Share Mortgage no longer continue to be in full force and effect or the ABL Equitable Share Mortgage is released or discharged (or as otherwise required by the Intercreditor Agreement) the Mortgagor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885" w:name="page886"/>
    <w:bookmarkEnd w:id="885"/>
    <w:p>
      <w:pPr>
        <w:ind w:left="660" w:hanging="651"/>
        <w:spacing w:after="0"/>
        <w:tabs>
          <w:tab w:leader="none" w:pos="660" w:val="left"/>
        </w:tabs>
        <w:numPr>
          <w:ilvl w:val="0"/>
          <w:numId w:val="947"/>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 TO PAY</w:t>
      </w:r>
    </w:p>
    <w:p>
      <w:pPr>
        <w:spacing w:after="0" w:line="229" w:lineRule="exact"/>
        <w:rPr>
          <w:rFonts w:ascii="Arial" w:cs="Arial" w:eastAsia="Arial" w:hAnsi="Arial"/>
          <w:sz w:val="18"/>
          <w:szCs w:val="18"/>
          <w:b w:val="1"/>
          <w:bCs w:val="1"/>
          <w:color w:val="010000"/>
        </w:rPr>
      </w:pPr>
    </w:p>
    <w:p>
      <w:pPr>
        <w:jc w:val="both"/>
        <w:ind w:left="660"/>
        <w:spacing w:after="0" w:line="276" w:lineRule="auto"/>
        <w:rPr>
          <w:rFonts w:ascii="Arial" w:cs="Arial" w:eastAsia="Arial" w:hAnsi="Arial"/>
          <w:sz w:val="18"/>
          <w:szCs w:val="18"/>
          <w:b w:val="1"/>
          <w:bCs w:val="1"/>
          <w:color w:val="010000"/>
        </w:rPr>
      </w:pPr>
      <w:r>
        <w:rPr>
          <w:rFonts w:ascii="Arial" w:cs="Arial" w:eastAsia="Arial" w:hAnsi="Arial"/>
          <w:sz w:val="17"/>
          <w:szCs w:val="17"/>
          <w:color w:val="auto"/>
        </w:rPr>
        <w:t>Subject to any limits on its liability and any grace periods specifically recorded in the Loan Documents, the Mortgagor covenants with the Collateral Agent to pay and discharge all Secured Obligations which may from time to time be or become due, owing or payable by the Mortgagor (whether as principal or surety and whether or not jointly with another) to or to the order of the Collateral Agent under, pursuant to or in connection with the Loan Agreement, the Guarantee and/or this Deed, as applicable, in each case at the times when, and in the currency or currencies and in the manner in which, they are expressed to be due, owing or payable herein or therein.</w:t>
      </w:r>
    </w:p>
    <w:p>
      <w:pPr>
        <w:spacing w:after="0" w:line="168"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47"/>
        </w:numPr>
        <w:rPr>
          <w:rFonts w:ascii="Arial" w:cs="Arial" w:eastAsia="Arial" w:hAnsi="Arial"/>
          <w:sz w:val="18"/>
          <w:szCs w:val="18"/>
          <w:b w:val="1"/>
          <w:bCs w:val="1"/>
          <w:color w:val="010000"/>
        </w:rPr>
      </w:pPr>
      <w:r>
        <w:rPr>
          <w:rFonts w:ascii="Arial" w:cs="Arial" w:eastAsia="Arial" w:hAnsi="Arial"/>
          <w:sz w:val="18"/>
          <w:szCs w:val="18"/>
          <w:b w:val="1"/>
          <w:bCs w:val="1"/>
          <w:color w:val="auto"/>
        </w:rPr>
        <w:t>CREATION OF SECURITY</w:t>
      </w:r>
    </w:p>
    <w:p>
      <w:pPr>
        <w:spacing w:after="0" w:line="229" w:lineRule="exact"/>
        <w:rPr>
          <w:rFonts w:ascii="Arial" w:cs="Arial" w:eastAsia="Arial" w:hAnsi="Arial"/>
          <w:sz w:val="18"/>
          <w:szCs w:val="18"/>
          <w:b w:val="1"/>
          <w:bCs w:val="1"/>
          <w:color w:val="010000"/>
        </w:rPr>
      </w:pPr>
    </w:p>
    <w:p>
      <w:pPr>
        <w:jc w:val="both"/>
        <w:ind w:left="660" w:right="100"/>
        <w:spacing w:after="0" w:line="264" w:lineRule="auto"/>
        <w:rPr>
          <w:rFonts w:ascii="Arial" w:cs="Arial" w:eastAsia="Arial" w:hAnsi="Arial"/>
          <w:sz w:val="18"/>
          <w:szCs w:val="18"/>
          <w:b w:val="1"/>
          <w:bCs w:val="1"/>
          <w:color w:val="010000"/>
        </w:rPr>
      </w:pPr>
      <w:r>
        <w:rPr>
          <w:rFonts w:ascii="Arial" w:cs="Arial" w:eastAsia="Arial" w:hAnsi="Arial"/>
          <w:sz w:val="18"/>
          <w:szCs w:val="18"/>
          <w:color w:val="auto"/>
        </w:rPr>
        <w:t>The Mortgagor, as continuing security for the payment and discharge of the Secured Obligations and with full title guarantee, charges by way of fixed charge all of its Rights, title and interest in and to the Original Shares, all Further Shares, all Derived Assets and all Dividends in favour of the Collateral Agent.</w:t>
      </w:r>
    </w:p>
    <w:p>
      <w:pPr>
        <w:spacing w:after="0" w:line="177"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47"/>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 TO DEPOSIT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7.1</w:t>
      </w:r>
      <w:r>
        <w:rPr>
          <w:sz w:val="20"/>
          <w:szCs w:val="20"/>
          <w:color w:val="auto"/>
        </w:rPr>
        <w:tab/>
      </w:r>
      <w:r>
        <w:rPr>
          <w:rFonts w:ascii="Arial" w:cs="Arial" w:eastAsia="Arial" w:hAnsi="Arial"/>
          <w:sz w:val="16"/>
          <w:szCs w:val="16"/>
          <w:b w:val="1"/>
          <w:bCs w:val="1"/>
          <w:color w:val="auto"/>
        </w:rPr>
        <w:t>Original Shares and Further Shares</w:t>
      </w:r>
    </w:p>
    <w:p>
      <w:pPr>
        <w:spacing w:after="0" w:line="229"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The Mortgagor shall, promptly after execution of this Deed in the case of the Original Shares, and within 15 Business Days (or such later date as may be agreed upon by the Collateral Agent) of issue of any Further Shares deposit with the Collateral Agent (or other person nominated by the Collateral Agent):</w:t>
      </w:r>
    </w:p>
    <w:p>
      <w:pPr>
        <w:spacing w:after="0" w:line="181" w:lineRule="exact"/>
        <w:rPr>
          <w:sz w:val="20"/>
          <w:szCs w:val="20"/>
          <w:color w:val="auto"/>
        </w:rPr>
      </w:pPr>
    </w:p>
    <w:p>
      <w:pPr>
        <w:ind w:left="1300" w:hanging="643"/>
        <w:spacing w:after="0"/>
        <w:tabs>
          <w:tab w:leader="none" w:pos="1300" w:val="left"/>
        </w:tabs>
        <w:numPr>
          <w:ilvl w:val="0"/>
          <w:numId w:val="948"/>
        </w:numPr>
        <w:rPr>
          <w:rFonts w:ascii="Arial" w:cs="Arial" w:eastAsia="Arial" w:hAnsi="Arial"/>
          <w:sz w:val="18"/>
          <w:szCs w:val="18"/>
          <w:color w:val="010000"/>
        </w:rPr>
      </w:pPr>
      <w:r>
        <w:rPr>
          <w:rFonts w:ascii="Arial" w:cs="Arial" w:eastAsia="Arial" w:hAnsi="Arial"/>
          <w:sz w:val="18"/>
          <w:szCs w:val="18"/>
          <w:color w:val="auto"/>
        </w:rPr>
        <w:t>all share certificates, documents of title and other documentary evidence of ownership in relation to such Shares; and</w:t>
      </w:r>
    </w:p>
    <w:p>
      <w:pPr>
        <w:spacing w:after="0" w:line="225" w:lineRule="exact"/>
        <w:rPr>
          <w:rFonts w:ascii="Arial" w:cs="Arial" w:eastAsia="Arial" w:hAnsi="Arial"/>
          <w:sz w:val="18"/>
          <w:szCs w:val="18"/>
          <w:color w:val="010000"/>
        </w:rPr>
      </w:pPr>
    </w:p>
    <w:p>
      <w:pPr>
        <w:ind w:left="1300" w:right="100" w:hanging="643"/>
        <w:spacing w:after="0" w:line="308" w:lineRule="auto"/>
        <w:tabs>
          <w:tab w:leader="none" w:pos="1300" w:val="left"/>
        </w:tabs>
        <w:numPr>
          <w:ilvl w:val="0"/>
          <w:numId w:val="948"/>
        </w:numPr>
        <w:rPr>
          <w:rFonts w:ascii="Arial" w:cs="Arial" w:eastAsia="Arial" w:hAnsi="Arial"/>
          <w:sz w:val="17"/>
          <w:szCs w:val="17"/>
          <w:color w:val="010000"/>
        </w:rPr>
      </w:pPr>
      <w:r>
        <w:rPr>
          <w:rFonts w:ascii="Arial" w:cs="Arial" w:eastAsia="Arial" w:hAnsi="Arial"/>
          <w:sz w:val="17"/>
          <w:szCs w:val="17"/>
          <w:color w:val="auto"/>
        </w:rPr>
        <w:t>transfers of such Shares duly executed by the Mortgagor or its nominee with the name of the transferee left blank, or if the Collateral Agent so requires, duly executed by the Mortgagor or its nominee in favour of the Collateral Agent (or its nominee).</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7.2</w:t>
      </w:r>
      <w:r>
        <w:rPr>
          <w:sz w:val="20"/>
          <w:szCs w:val="20"/>
          <w:color w:val="auto"/>
        </w:rPr>
        <w:tab/>
      </w:r>
      <w:r>
        <w:rPr>
          <w:rFonts w:ascii="Arial" w:cs="Arial" w:eastAsia="Arial" w:hAnsi="Arial"/>
          <w:sz w:val="15"/>
          <w:szCs w:val="15"/>
          <w:b w:val="1"/>
          <w:bCs w:val="1"/>
          <w:color w:val="auto"/>
        </w:rPr>
        <w:t>Derived Assets</w:t>
      </w:r>
    </w:p>
    <w:p>
      <w:pPr>
        <w:spacing w:after="0" w:line="229" w:lineRule="exact"/>
        <w:rPr>
          <w:sz w:val="20"/>
          <w:szCs w:val="20"/>
          <w:color w:val="auto"/>
        </w:rPr>
      </w:pPr>
    </w:p>
    <w:p>
      <w:pPr>
        <w:ind w:left="660" w:right="100"/>
        <w:spacing w:after="0" w:line="308" w:lineRule="auto"/>
        <w:rPr>
          <w:sz w:val="20"/>
          <w:szCs w:val="20"/>
          <w:color w:val="auto"/>
        </w:rPr>
      </w:pPr>
      <w:r>
        <w:rPr>
          <w:rFonts w:ascii="Arial" w:cs="Arial" w:eastAsia="Arial" w:hAnsi="Arial"/>
          <w:sz w:val="17"/>
          <w:szCs w:val="17"/>
          <w:color w:val="auto"/>
        </w:rPr>
        <w:t>The Mortgagor shall promptly and in any event within 15 Business Days (or such later date as may be agreed upon by the Collateral Agent) of the issue, accrual or offer of any Derived Assets, deliver to the Collateral Agent or procure the delivery to the Collateral Agent of:</w:t>
      </w:r>
    </w:p>
    <w:p>
      <w:pPr>
        <w:spacing w:after="0" w:line="147" w:lineRule="exact"/>
        <w:rPr>
          <w:sz w:val="20"/>
          <w:szCs w:val="20"/>
          <w:color w:val="auto"/>
        </w:rPr>
      </w:pPr>
    </w:p>
    <w:p>
      <w:pPr>
        <w:ind w:left="1300" w:right="100" w:hanging="643"/>
        <w:spacing w:after="0" w:line="277" w:lineRule="auto"/>
        <w:tabs>
          <w:tab w:leader="none" w:pos="1300" w:val="left"/>
        </w:tabs>
        <w:numPr>
          <w:ilvl w:val="0"/>
          <w:numId w:val="949"/>
        </w:numPr>
        <w:rPr>
          <w:rFonts w:ascii="Arial" w:cs="Arial" w:eastAsia="Arial" w:hAnsi="Arial"/>
          <w:sz w:val="18"/>
          <w:szCs w:val="18"/>
          <w:color w:val="010000"/>
        </w:rPr>
      </w:pPr>
      <w:r>
        <w:rPr>
          <w:rFonts w:ascii="Arial" w:cs="Arial" w:eastAsia="Arial" w:hAnsi="Arial"/>
          <w:sz w:val="18"/>
          <w:szCs w:val="18"/>
          <w:color w:val="auto"/>
        </w:rPr>
        <w:t>all share certificates, renounceable certificates, letters of allotment, documents of title and other documentary evidence of ownership in relation to the Derived Assets;</w:t>
      </w:r>
    </w:p>
    <w:p>
      <w:pPr>
        <w:spacing w:after="0" w:line="170" w:lineRule="exact"/>
        <w:rPr>
          <w:rFonts w:ascii="Arial" w:cs="Arial" w:eastAsia="Arial" w:hAnsi="Arial"/>
          <w:sz w:val="18"/>
          <w:szCs w:val="18"/>
          <w:color w:val="010000"/>
        </w:rPr>
      </w:pPr>
    </w:p>
    <w:p>
      <w:pPr>
        <w:ind w:left="1300" w:right="120" w:hanging="643"/>
        <w:spacing w:after="0" w:line="277" w:lineRule="auto"/>
        <w:tabs>
          <w:tab w:leader="none" w:pos="1300" w:val="left"/>
        </w:tabs>
        <w:numPr>
          <w:ilvl w:val="0"/>
          <w:numId w:val="949"/>
        </w:numPr>
        <w:rPr>
          <w:rFonts w:ascii="Arial" w:cs="Arial" w:eastAsia="Arial" w:hAnsi="Arial"/>
          <w:sz w:val="18"/>
          <w:szCs w:val="18"/>
          <w:color w:val="010000"/>
        </w:rPr>
      </w:pPr>
      <w:r>
        <w:rPr>
          <w:rFonts w:ascii="Arial" w:cs="Arial" w:eastAsia="Arial" w:hAnsi="Arial"/>
          <w:sz w:val="18"/>
          <w:szCs w:val="18"/>
          <w:color w:val="auto"/>
        </w:rPr>
        <w:t>such documents as are referred to Clauses 7.1(b) (</w:t>
      </w:r>
      <w:r>
        <w:rPr>
          <w:rFonts w:ascii="Arial" w:cs="Arial" w:eastAsia="Arial" w:hAnsi="Arial"/>
          <w:sz w:val="18"/>
          <w:szCs w:val="18"/>
          <w:i w:val="1"/>
          <w:iCs w:val="1"/>
          <w:color w:val="auto"/>
        </w:rPr>
        <w:t>Original Shares and Further Shares</w:t>
      </w:r>
      <w:r>
        <w:rPr>
          <w:rFonts w:ascii="Arial" w:cs="Arial" w:eastAsia="Arial" w:hAnsi="Arial"/>
          <w:sz w:val="18"/>
          <w:szCs w:val="18"/>
          <w:color w:val="auto"/>
        </w:rPr>
        <w:t>) in relation to any Shares comprised in such Derived Assets; and</w:t>
      </w:r>
    </w:p>
    <w:p>
      <w:pPr>
        <w:spacing w:after="0" w:line="170" w:lineRule="exact"/>
        <w:rPr>
          <w:rFonts w:ascii="Arial" w:cs="Arial" w:eastAsia="Arial" w:hAnsi="Arial"/>
          <w:sz w:val="18"/>
          <w:szCs w:val="18"/>
          <w:color w:val="010000"/>
        </w:rPr>
      </w:pPr>
    </w:p>
    <w:p>
      <w:pPr>
        <w:jc w:val="both"/>
        <w:ind w:left="1300" w:right="100" w:hanging="643"/>
        <w:spacing w:after="0" w:line="264" w:lineRule="auto"/>
        <w:tabs>
          <w:tab w:leader="none" w:pos="1300" w:val="left"/>
        </w:tabs>
        <w:numPr>
          <w:ilvl w:val="0"/>
          <w:numId w:val="949"/>
        </w:numPr>
        <w:rPr>
          <w:rFonts w:ascii="Arial" w:cs="Arial" w:eastAsia="Arial" w:hAnsi="Arial"/>
          <w:sz w:val="18"/>
          <w:szCs w:val="18"/>
          <w:color w:val="010000"/>
        </w:rPr>
      </w:pPr>
      <w:r>
        <w:rPr>
          <w:rFonts w:ascii="Arial" w:cs="Arial" w:eastAsia="Arial" w:hAnsi="Arial"/>
          <w:sz w:val="18"/>
          <w:szCs w:val="18"/>
          <w:color w:val="auto"/>
        </w:rPr>
        <w:t>such other documents as the Collateral Agent may reasonably require to enable the Collateral Agent (or its nominee) or, after the occurrence of an Enforcement Event, any Receiver or any purchaser to be registered as the owner of, or otherwise to obtain legal title to, the Derived Assets in accordance with this Deed.</w:t>
      </w: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86" w:name="page887"/>
    <w:bookmarkEnd w:id="886"/>
    <w:p>
      <w:pPr>
        <w:ind w:left="660" w:hanging="651"/>
        <w:spacing w:after="0"/>
        <w:tabs>
          <w:tab w:leader="none" w:pos="660" w:val="left"/>
        </w:tabs>
        <w:numPr>
          <w:ilvl w:val="0"/>
          <w:numId w:val="950"/>
        </w:numPr>
        <w:rPr>
          <w:rFonts w:ascii="Arial" w:cs="Arial" w:eastAsia="Arial" w:hAnsi="Arial"/>
          <w:sz w:val="18"/>
          <w:szCs w:val="18"/>
          <w:b w:val="1"/>
          <w:bCs w:val="1"/>
          <w:color w:val="010000"/>
        </w:rPr>
      </w:pPr>
      <w:r>
        <w:rPr>
          <w:rFonts w:ascii="Arial" w:cs="Arial" w:eastAsia="Arial" w:hAnsi="Arial"/>
          <w:sz w:val="18"/>
          <w:szCs w:val="18"/>
          <w:b w:val="1"/>
          <w:bCs w:val="1"/>
          <w:color w:val="auto"/>
        </w:rPr>
        <w:t>FURTHER ASSURANCE</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6"/>
          <w:szCs w:val="16"/>
          <w:color w:val="auto"/>
        </w:rPr>
        <w:t>The Mortgagor shall, at its own cost, promptly take whatever action the Collateral Agent or any Receiver may reasonably require with a view to:</w:t>
      </w:r>
    </w:p>
    <w:p>
      <w:pPr>
        <w:spacing w:after="0" w:line="248" w:lineRule="exact"/>
        <w:rPr>
          <w:rFonts w:ascii="Arial" w:cs="Arial" w:eastAsia="Arial" w:hAnsi="Arial"/>
          <w:sz w:val="18"/>
          <w:szCs w:val="18"/>
          <w:b w:val="1"/>
          <w:bCs w:val="1"/>
          <w:color w:val="010000"/>
        </w:rPr>
      </w:pPr>
    </w:p>
    <w:p>
      <w:pPr>
        <w:ind w:left="1300" w:hanging="643"/>
        <w:spacing w:after="0" w:line="277" w:lineRule="auto"/>
        <w:tabs>
          <w:tab w:leader="none" w:pos="1300" w:val="left"/>
        </w:tabs>
        <w:numPr>
          <w:ilvl w:val="1"/>
          <w:numId w:val="950"/>
        </w:numPr>
        <w:rPr>
          <w:rFonts w:ascii="Arial" w:cs="Arial" w:eastAsia="Arial" w:hAnsi="Arial"/>
          <w:sz w:val="18"/>
          <w:szCs w:val="18"/>
          <w:color w:val="010000"/>
        </w:rPr>
      </w:pPr>
      <w:r>
        <w:rPr>
          <w:rFonts w:ascii="Arial" w:cs="Arial" w:eastAsia="Arial" w:hAnsi="Arial"/>
          <w:sz w:val="18"/>
          <w:szCs w:val="18"/>
          <w:color w:val="auto"/>
        </w:rPr>
        <w:t>creating, preserving, perfecting or protecting any of the Security or the first priority of any of the Security (subject to any Liens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010000"/>
        </w:rPr>
      </w:pPr>
    </w:p>
    <w:p>
      <w:pPr>
        <w:ind w:left="1300" w:hanging="643"/>
        <w:spacing w:after="0" w:line="277" w:lineRule="auto"/>
        <w:tabs>
          <w:tab w:leader="none" w:pos="1300" w:val="left"/>
        </w:tabs>
        <w:numPr>
          <w:ilvl w:val="1"/>
          <w:numId w:val="950"/>
        </w:numPr>
        <w:rPr>
          <w:rFonts w:ascii="Arial" w:cs="Arial" w:eastAsia="Arial" w:hAnsi="Arial"/>
          <w:sz w:val="18"/>
          <w:szCs w:val="18"/>
          <w:color w:val="010000"/>
        </w:rPr>
      </w:pPr>
      <w:r>
        <w:rPr>
          <w:rFonts w:ascii="Arial" w:cs="Arial" w:eastAsia="Arial" w:hAnsi="Arial"/>
          <w:sz w:val="18"/>
          <w:szCs w:val="18"/>
          <w:color w:val="auto"/>
        </w:rPr>
        <w:t>facilitating the enforcement of the Security or the exercise of any Rights vested in the Collateral Agent or any Receiver in connection with this Deed; or</w:t>
      </w:r>
    </w:p>
    <w:p>
      <w:pPr>
        <w:spacing w:after="0" w:line="170" w:lineRule="exact"/>
        <w:rPr>
          <w:rFonts w:ascii="Arial" w:cs="Arial" w:eastAsia="Arial" w:hAnsi="Arial"/>
          <w:sz w:val="18"/>
          <w:szCs w:val="18"/>
          <w:color w:val="010000"/>
        </w:rPr>
      </w:pPr>
    </w:p>
    <w:p>
      <w:pPr>
        <w:ind w:left="1300" w:right="20" w:hanging="643"/>
        <w:spacing w:after="0" w:line="277" w:lineRule="auto"/>
        <w:tabs>
          <w:tab w:leader="none" w:pos="1300" w:val="left"/>
        </w:tabs>
        <w:numPr>
          <w:ilvl w:val="1"/>
          <w:numId w:val="950"/>
        </w:numPr>
        <w:rPr>
          <w:rFonts w:ascii="Arial" w:cs="Arial" w:eastAsia="Arial" w:hAnsi="Arial"/>
          <w:sz w:val="18"/>
          <w:szCs w:val="18"/>
          <w:color w:val="010000"/>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including, without limitation, executing such assignments, transfers and conveyances of the Secured Assets (whether in favour of the Collateral Agent,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162" w:lineRule="exact"/>
        <w:rPr>
          <w:sz w:val="20"/>
          <w:szCs w:val="20"/>
          <w:color w:val="auto"/>
        </w:rPr>
      </w:pPr>
    </w:p>
    <w:p>
      <w:pPr>
        <w:ind w:left="660" w:hanging="651"/>
        <w:spacing w:after="0"/>
        <w:tabs>
          <w:tab w:leader="none" w:pos="660" w:val="left"/>
        </w:tabs>
        <w:numPr>
          <w:ilvl w:val="0"/>
          <w:numId w:val="951"/>
        </w:numPr>
        <w:rPr>
          <w:rFonts w:ascii="Arial" w:cs="Arial" w:eastAsia="Arial" w:hAnsi="Arial"/>
          <w:sz w:val="18"/>
          <w:szCs w:val="18"/>
          <w:b w:val="1"/>
          <w:bCs w:val="1"/>
          <w:color w:val="010000"/>
        </w:rPr>
      </w:pPr>
      <w:r>
        <w:rPr>
          <w:rFonts w:ascii="Arial" w:cs="Arial" w:eastAsia="Arial" w:hAnsi="Arial"/>
          <w:sz w:val="18"/>
          <w:szCs w:val="18"/>
          <w:b w:val="1"/>
          <w:bCs w:val="1"/>
          <w:color w:val="auto"/>
        </w:rPr>
        <w:t>VOTING RIGHTS AND DIVIDENDS</w:t>
      </w:r>
    </w:p>
    <w:p>
      <w:pPr>
        <w:spacing w:after="0" w:line="225"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18"/>
          <w:szCs w:val="18"/>
          <w:b w:val="1"/>
          <w:bCs w:val="1"/>
          <w:color w:val="010000"/>
        </w:rPr>
        <w:t>9.1</w:t>
      </w:r>
      <w:r>
        <w:rPr>
          <w:rFonts w:ascii="Arial" w:cs="Arial" w:eastAsia="Arial" w:hAnsi="Arial"/>
          <w:sz w:val="16"/>
          <w:szCs w:val="16"/>
          <w:b w:val="1"/>
          <w:bCs w:val="1"/>
          <w:color w:val="auto"/>
        </w:rPr>
        <w:t>Prior to a Enforcement Event</w:t>
      </w:r>
    </w:p>
    <w:p>
      <w:pPr>
        <w:spacing w:after="0" w:line="229" w:lineRule="exact"/>
        <w:rPr>
          <w:rFonts w:ascii="Arial" w:cs="Arial" w:eastAsia="Arial" w:hAnsi="Arial"/>
          <w:sz w:val="18"/>
          <w:szCs w:val="18"/>
          <w:b w:val="1"/>
          <w:bCs w:val="1"/>
          <w:color w:val="010000"/>
        </w:rPr>
      </w:pPr>
    </w:p>
    <w:p>
      <w:pPr>
        <w:jc w:val="both"/>
        <w:ind w:left="1300" w:right="120" w:hanging="643"/>
        <w:spacing w:after="0" w:line="264" w:lineRule="auto"/>
        <w:tabs>
          <w:tab w:leader="none" w:pos="1300" w:val="left"/>
        </w:tabs>
        <w:numPr>
          <w:ilvl w:val="1"/>
          <w:numId w:val="951"/>
        </w:numPr>
        <w:rPr>
          <w:rFonts w:ascii="Arial" w:cs="Arial" w:eastAsia="Arial" w:hAnsi="Arial"/>
          <w:sz w:val="18"/>
          <w:szCs w:val="18"/>
          <w:color w:val="010000"/>
        </w:rPr>
      </w:pPr>
      <w:r>
        <w:rPr>
          <w:rFonts w:ascii="Arial" w:cs="Arial" w:eastAsia="Arial" w:hAnsi="Arial"/>
          <w:sz w:val="18"/>
          <w:szCs w:val="18"/>
          <w:color w:val="auto"/>
        </w:rPr>
        <w:t>Prior to such time as the Collateral Agent has, following the occurrence of an Enforcement Event, notified the Mortgagor in writing that it has elected to collect any Dividends in accordance with the terms of this Deed, the Mortgagor shall be entitled to receive and retain free from the Security any Dividends paid to it.</w:t>
      </w:r>
    </w:p>
    <w:p>
      <w:pPr>
        <w:spacing w:after="0" w:line="181" w:lineRule="exact"/>
        <w:rPr>
          <w:rFonts w:ascii="Arial" w:cs="Arial" w:eastAsia="Arial" w:hAnsi="Arial"/>
          <w:sz w:val="18"/>
          <w:szCs w:val="18"/>
          <w:color w:val="010000"/>
        </w:rPr>
      </w:pPr>
    </w:p>
    <w:p>
      <w:pPr>
        <w:jc w:val="both"/>
        <w:ind w:left="1300" w:right="100" w:hanging="643"/>
        <w:spacing w:after="0" w:line="255" w:lineRule="auto"/>
        <w:tabs>
          <w:tab w:leader="none" w:pos="1300" w:val="left"/>
        </w:tabs>
        <w:numPr>
          <w:ilvl w:val="1"/>
          <w:numId w:val="951"/>
        </w:numPr>
        <w:rPr>
          <w:rFonts w:ascii="Arial" w:cs="Arial" w:eastAsia="Arial" w:hAnsi="Arial"/>
          <w:sz w:val="18"/>
          <w:szCs w:val="18"/>
          <w:color w:val="010000"/>
        </w:rPr>
      </w:pPr>
      <w:r>
        <w:rPr>
          <w:rFonts w:ascii="Arial" w:cs="Arial" w:eastAsia="Arial" w:hAnsi="Arial"/>
          <w:sz w:val="18"/>
          <w:szCs w:val="18"/>
          <w:color w:val="auto"/>
        </w:rPr>
        <w:t>Prior to such time as the Collateral Agent has, following the occurrence of an Enforcement Event, notified the Mortgagor in writing that it has elected to exercise voting and other Rights relating to the Secured Assets in accordance with the terms of this Deed, the Mortgagor shall be entitled to exercise and control the exercise of all voting and other Rights relating to the Secured Assets provided that it shall not exercise any such voting rights or powers in a manner which would diminish the effectiveness or enforceability of the Security Interests created under this Deed in any material respect or restrict the transferability of the Secured Assets by the Collateral Agent or any Relevant Person.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9.2</w:t>
      </w:r>
      <w:r>
        <w:rPr>
          <w:sz w:val="20"/>
          <w:szCs w:val="20"/>
          <w:color w:val="auto"/>
        </w:rPr>
        <w:tab/>
      </w:r>
      <w:r>
        <w:rPr>
          <w:rFonts w:ascii="Arial" w:cs="Arial" w:eastAsia="Arial" w:hAnsi="Arial"/>
          <w:sz w:val="16"/>
          <w:szCs w:val="16"/>
          <w:b w:val="1"/>
          <w:bCs w:val="1"/>
          <w:color w:val="auto"/>
        </w:rPr>
        <w:t>Following an Enforcement Event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and at all times after, the occurrence of any Enforcement Event:</w:t>
      </w:r>
    </w:p>
    <w:p>
      <w:pPr>
        <w:spacing w:after="0" w:line="225" w:lineRule="exact"/>
        <w:rPr>
          <w:sz w:val="20"/>
          <w:szCs w:val="20"/>
          <w:color w:val="auto"/>
        </w:rPr>
      </w:pPr>
    </w:p>
    <w:p>
      <w:pPr>
        <w:jc w:val="both"/>
        <w:ind w:left="1300" w:right="100" w:hanging="643"/>
        <w:spacing w:after="0" w:line="264" w:lineRule="auto"/>
        <w:tabs>
          <w:tab w:leader="none" w:pos="1300" w:val="left"/>
        </w:tabs>
        <w:numPr>
          <w:ilvl w:val="0"/>
          <w:numId w:val="952"/>
        </w:numPr>
        <w:rPr>
          <w:rFonts w:ascii="Arial" w:cs="Arial" w:eastAsia="Arial" w:hAnsi="Arial"/>
          <w:sz w:val="18"/>
          <w:szCs w:val="18"/>
          <w:color w:val="010000"/>
        </w:rPr>
      </w:pPr>
      <w:r>
        <w:rPr>
          <w:rFonts w:ascii="Arial" w:cs="Arial" w:eastAsia="Arial" w:hAnsi="Arial"/>
          <w:sz w:val="18"/>
          <w:szCs w:val="18"/>
          <w:color w:val="auto"/>
        </w:rPr>
        <w:t>at the request of the Collateral Agent, all Dividends shall be paid to and retained by the Collateral Agent or, if appointed, any Receiver and any such monies which may be received by the Mortgagor shall, pending such payment, be segregated from any other property of the Mortgagor and held in trust for the Collateral Agent; and</w:t>
      </w: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87" w:name="page888"/>
    <w:bookmarkEnd w:id="887"/>
    <w:p>
      <w:pPr>
        <w:jc w:val="both"/>
        <w:ind w:left="1300" w:right="100" w:hanging="643"/>
        <w:spacing w:after="0" w:line="255" w:lineRule="auto"/>
        <w:tabs>
          <w:tab w:leader="none" w:pos="1300" w:val="left"/>
        </w:tabs>
        <w:numPr>
          <w:ilvl w:val="1"/>
          <w:numId w:val="953"/>
        </w:numPr>
        <w:rPr>
          <w:rFonts w:ascii="Arial" w:cs="Arial" w:eastAsia="Arial" w:hAnsi="Arial"/>
          <w:sz w:val="18"/>
          <w:szCs w:val="18"/>
          <w:color w:val="010000"/>
        </w:rPr>
      </w:pPr>
      <w:r>
        <w:rPr>
          <w:rFonts w:ascii="Arial" w:cs="Arial" w:eastAsia="Arial" w:hAnsi="Arial"/>
          <w:sz w:val="18"/>
          <w:szCs w:val="18"/>
          <w:color w:val="auto"/>
        </w:rPr>
        <w:t>the Collateral Agent or, if appointed, any Receiver may, for the purpose of preserving the value of the Security or realising it, direct the exercise of all voting and other Rights relating to the Secured Assets and the Mortgagor shall procure that all voting and other Rights relating to the Secured Assets are exercised in accordance with such instructions as may, from time to time, be given to the Mortgagor by the Collateral Agent, or, if appointed, any Receiver and the Mortgagor shall deliver to the Collateral Agent or, if appointed, any Receiver such forms of proxy or other appropriate forms of authorisation as may be required to enable the Collateral Agent or, as the case may be, Receiver to exercise such voting and other Rights.</w:t>
      </w:r>
    </w:p>
    <w:p>
      <w:pPr>
        <w:spacing w:after="0" w:line="189" w:lineRule="exact"/>
        <w:rPr>
          <w:rFonts w:ascii="Arial" w:cs="Arial" w:eastAsia="Arial" w:hAnsi="Arial"/>
          <w:sz w:val="18"/>
          <w:szCs w:val="18"/>
          <w:color w:val="010000"/>
        </w:rPr>
      </w:pPr>
    </w:p>
    <w:p>
      <w:pPr>
        <w:ind w:left="660" w:hanging="651"/>
        <w:spacing w:after="0"/>
        <w:tabs>
          <w:tab w:leader="none" w:pos="660" w:val="left"/>
        </w:tabs>
        <w:numPr>
          <w:ilvl w:val="0"/>
          <w:numId w:val="954"/>
        </w:numPr>
        <w:rPr>
          <w:rFonts w:ascii="Arial" w:cs="Arial" w:eastAsia="Arial" w:hAnsi="Arial"/>
          <w:sz w:val="18"/>
          <w:szCs w:val="18"/>
          <w:b w:val="1"/>
          <w:bCs w:val="1"/>
          <w:color w:val="010000"/>
        </w:rPr>
      </w:pPr>
      <w:r>
        <w:rPr>
          <w:rFonts w:ascii="Arial" w:cs="Arial" w:eastAsia="Arial" w:hAnsi="Arial"/>
          <w:sz w:val="18"/>
          <w:szCs w:val="18"/>
          <w:b w:val="1"/>
          <w:bCs w:val="1"/>
          <w:color w:val="auto"/>
        </w:rPr>
        <w:t>REPRESENTATIONS AND WARRANTIES</w:t>
      </w:r>
    </w:p>
    <w:p>
      <w:pPr>
        <w:spacing w:after="0" w:line="229" w:lineRule="exact"/>
        <w:rPr>
          <w:rFonts w:ascii="Arial" w:cs="Arial" w:eastAsia="Arial" w:hAnsi="Arial"/>
          <w:sz w:val="18"/>
          <w:szCs w:val="18"/>
          <w:b w:val="1"/>
          <w:bCs w:val="1"/>
          <w:color w:val="010000"/>
        </w:rPr>
      </w:pPr>
    </w:p>
    <w:p>
      <w:pPr>
        <w:jc w:val="both"/>
        <w:ind w:left="660" w:right="100"/>
        <w:spacing w:after="0" w:line="264" w:lineRule="auto"/>
        <w:rPr>
          <w:rFonts w:ascii="Arial" w:cs="Arial" w:eastAsia="Arial" w:hAnsi="Arial"/>
          <w:sz w:val="18"/>
          <w:szCs w:val="18"/>
          <w:b w:val="1"/>
          <w:bCs w:val="1"/>
          <w:color w:val="010000"/>
        </w:rPr>
      </w:pPr>
      <w:r>
        <w:rPr>
          <w:rFonts w:ascii="Arial" w:cs="Arial" w:eastAsia="Arial" w:hAnsi="Arial"/>
          <w:sz w:val="18"/>
          <w:szCs w:val="18"/>
          <w:color w:val="auto"/>
        </w:rPr>
        <w:t>The Mortgagor represents and warrants to the Collateral Agent that each of the matters set out in Schedule 2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(save the matters in paragraph 2) is true and correct as at the date hereof. Each representation and warranty 2 will be given (and the matters therein true and correct) on the date of each issue of any Shares referred to in it.</w:t>
      </w:r>
    </w:p>
    <w:p>
      <w:pPr>
        <w:spacing w:after="0" w:line="177"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54"/>
        </w:numPr>
        <w:rPr>
          <w:rFonts w:ascii="Arial" w:cs="Arial" w:eastAsia="Arial" w:hAnsi="Arial"/>
          <w:sz w:val="18"/>
          <w:szCs w:val="18"/>
          <w:b w:val="1"/>
          <w:bCs w:val="1"/>
          <w:color w:val="010000"/>
        </w:rPr>
      </w:pPr>
      <w:r>
        <w:rPr>
          <w:rFonts w:ascii="Arial" w:cs="Arial" w:eastAsia="Arial" w:hAnsi="Arial"/>
          <w:sz w:val="18"/>
          <w:szCs w:val="18"/>
          <w:b w:val="1"/>
          <w:bCs w:val="1"/>
          <w:color w:val="auto"/>
        </w:rPr>
        <w:t>RESTRICTIONS ON DEALINGS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11.1</w:t>
      </w:r>
      <w:r>
        <w:rPr>
          <w:sz w:val="20"/>
          <w:szCs w:val="20"/>
          <w:color w:val="auto"/>
        </w:rPr>
        <w:tab/>
      </w:r>
      <w:r>
        <w:rPr>
          <w:rFonts w:ascii="Arial" w:cs="Arial" w:eastAsia="Arial" w:hAnsi="Arial"/>
          <w:sz w:val="16"/>
          <w:szCs w:val="16"/>
          <w:b w:val="1"/>
          <w:bCs w:val="1"/>
          <w:color w:val="auto"/>
        </w:rPr>
        <w:t>Security</w:t>
      </w:r>
    </w:p>
    <w:p>
      <w:pPr>
        <w:spacing w:after="0" w:line="22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Mortgagor may only create, incur, assume or permit to exist a Security Interest on any Secured Asset if it is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11.2</w:t>
      </w:r>
      <w:r>
        <w:rPr>
          <w:sz w:val="20"/>
          <w:szCs w:val="20"/>
          <w:color w:val="auto"/>
        </w:rPr>
        <w:tab/>
      </w:r>
      <w:r>
        <w:rPr>
          <w:rFonts w:ascii="Arial" w:cs="Arial" w:eastAsia="Arial" w:hAnsi="Arial"/>
          <w:sz w:val="15"/>
          <w:szCs w:val="15"/>
          <w:b w:val="1"/>
          <w:bCs w:val="1"/>
          <w:color w:val="auto"/>
        </w:rPr>
        <w:t>Disposals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Mortgagor may only Dispose of any Secured Asset if it is permitted by Section 8.05 (</w:t>
      </w:r>
      <w:r>
        <w:rPr>
          <w:rFonts w:ascii="Arial" w:cs="Arial" w:eastAsia="Arial" w:hAnsi="Arial"/>
          <w:sz w:val="18"/>
          <w:szCs w:val="18"/>
          <w:i w:val="1"/>
          <w:iCs w:val="1"/>
          <w:color w:val="auto"/>
        </w:rPr>
        <w:t>Asset Dispositions</w:t>
      </w:r>
      <w:r>
        <w:rPr>
          <w:rFonts w:ascii="Arial" w:cs="Arial" w:eastAsia="Arial" w:hAnsi="Arial"/>
          <w:sz w:val="18"/>
          <w:szCs w:val="18"/>
          <w:color w:val="auto"/>
        </w:rPr>
        <w:t>) of the Loan Agreement.</w:t>
      </w:r>
    </w:p>
    <w:p>
      <w:pPr>
        <w:spacing w:after="0" w:line="221" w:lineRule="exact"/>
        <w:rPr>
          <w:sz w:val="20"/>
          <w:szCs w:val="20"/>
          <w:color w:val="auto"/>
        </w:rPr>
      </w:pPr>
    </w:p>
    <w:p>
      <w:pPr>
        <w:ind w:left="660" w:hanging="651"/>
        <w:spacing w:after="0"/>
        <w:tabs>
          <w:tab w:leader="none" w:pos="660" w:val="left"/>
        </w:tabs>
        <w:numPr>
          <w:ilvl w:val="0"/>
          <w:numId w:val="955"/>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The Mortgagor covenants with the Collateral Agent in the terms set out in Schedule 3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55"/>
        </w:numPr>
        <w:rPr>
          <w:rFonts w:ascii="Arial" w:cs="Arial" w:eastAsia="Arial" w:hAnsi="Arial"/>
          <w:sz w:val="18"/>
          <w:szCs w:val="18"/>
          <w:b w:val="1"/>
          <w:bCs w:val="1"/>
          <w:color w:val="010000"/>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010000"/>
        </w:rPr>
        <w:t>13.1</w:t>
      </w:r>
      <w:r>
        <w:rPr>
          <w:sz w:val="20"/>
          <w:szCs w:val="20"/>
          <w:color w:val="auto"/>
        </w:rPr>
        <w:tab/>
      </w:r>
      <w:r>
        <w:rPr>
          <w:rFonts w:ascii="Arial" w:cs="Arial" w:eastAsia="Arial" w:hAnsi="Arial"/>
          <w:sz w:val="18"/>
          <w:szCs w:val="18"/>
          <w:color w:val="auto"/>
        </w:rPr>
        <w:t>The Mortgagor irrevocably and by way of security appoints the Collateral Agent and each Receiver severally to be its attorney (each with full powers of substitution and delegation), on its behalf, in its name or otherwise, and, after the occurrence of an Enforcement Event, at such times and in such manner as the attorney may reasonably think fit:</w:t>
      </w:r>
    </w:p>
    <w:p>
      <w:pPr>
        <w:spacing w:after="0" w:line="181" w:lineRule="exact"/>
        <w:rPr>
          <w:sz w:val="20"/>
          <w:szCs w:val="20"/>
          <w:color w:val="auto"/>
        </w:rPr>
      </w:pPr>
    </w:p>
    <w:p>
      <w:pPr>
        <w:ind w:left="1300" w:hanging="643"/>
        <w:spacing w:after="0"/>
        <w:tabs>
          <w:tab w:leader="none" w:pos="1300" w:val="left"/>
        </w:tabs>
        <w:numPr>
          <w:ilvl w:val="0"/>
          <w:numId w:val="956"/>
        </w:numPr>
        <w:rPr>
          <w:rFonts w:ascii="Arial" w:cs="Arial" w:eastAsia="Arial" w:hAnsi="Arial"/>
          <w:sz w:val="18"/>
          <w:szCs w:val="18"/>
          <w:color w:val="010000"/>
        </w:rPr>
      </w:pPr>
      <w:r>
        <w:rPr>
          <w:rFonts w:ascii="Arial" w:cs="Arial" w:eastAsia="Arial" w:hAnsi="Arial"/>
          <w:sz w:val="18"/>
          <w:szCs w:val="18"/>
          <w:color w:val="auto"/>
        </w:rPr>
        <w:t>to do anything which the Mortgagor is obliged to do under this Deed but has not done in a timely manner; and</w:t>
      </w:r>
    </w:p>
    <w:p>
      <w:pPr>
        <w:spacing w:after="0" w:line="225" w:lineRule="exact"/>
        <w:rPr>
          <w:rFonts w:ascii="Arial" w:cs="Arial" w:eastAsia="Arial" w:hAnsi="Arial"/>
          <w:sz w:val="18"/>
          <w:szCs w:val="18"/>
          <w:color w:val="010000"/>
        </w:rPr>
      </w:pPr>
    </w:p>
    <w:p>
      <w:pPr>
        <w:ind w:left="1300" w:right="120" w:hanging="643"/>
        <w:spacing w:after="0" w:line="277" w:lineRule="auto"/>
        <w:tabs>
          <w:tab w:leader="none" w:pos="1300" w:val="left"/>
        </w:tabs>
        <w:numPr>
          <w:ilvl w:val="0"/>
          <w:numId w:val="956"/>
        </w:numPr>
        <w:rPr>
          <w:rFonts w:ascii="Arial" w:cs="Arial" w:eastAsia="Arial" w:hAnsi="Arial"/>
          <w:sz w:val="18"/>
          <w:szCs w:val="18"/>
          <w:color w:val="010000"/>
        </w:rPr>
      </w:pPr>
      <w:r>
        <w:rPr>
          <w:rFonts w:ascii="Arial" w:cs="Arial" w:eastAsia="Arial" w:hAnsi="Arial"/>
          <w:sz w:val="18"/>
          <w:szCs w:val="18"/>
          <w:color w:val="auto"/>
        </w:rPr>
        <w:t>to do anything which it reasonably considers appropriate in relation to the exercise of any of its Rights under this Deed, the LPA, the Insolvency Act or otherwise,</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888" w:name="page889"/>
    <w:bookmarkEnd w:id="888"/>
    <w:p>
      <w:pPr>
        <w:jc w:val="both"/>
        <w:ind w:left="660"/>
        <w:spacing w:after="0" w:line="276" w:lineRule="auto"/>
        <w:rPr>
          <w:sz w:val="20"/>
          <w:szCs w:val="20"/>
          <w:color w:val="auto"/>
        </w:rPr>
      </w:pPr>
      <w:r>
        <w:rPr>
          <w:rFonts w:ascii="Arial" w:cs="Arial" w:eastAsia="Arial" w:hAnsi="Arial"/>
          <w:sz w:val="17"/>
          <w:szCs w:val="17"/>
          <w:color w:val="auto"/>
        </w:rPr>
        <w:t>including, without limitation, the execution and delivery of transfers of any Secured Asset (to the Collateral Agent or otherwise) (but only after an Enforcement Event), the completion of any stock transfer form deposited with the Collateral Agent pursuant to Clause 7 (</w:t>
      </w:r>
      <w:r>
        <w:rPr>
          <w:rFonts w:ascii="Arial" w:cs="Arial" w:eastAsia="Arial" w:hAnsi="Arial"/>
          <w:sz w:val="17"/>
          <w:szCs w:val="17"/>
          <w:i w:val="1"/>
          <w:iCs w:val="1"/>
          <w:color w:val="auto"/>
        </w:rPr>
        <w:t>Covenant to Deposit</w:t>
      </w:r>
      <w:r>
        <w:rPr>
          <w:rFonts w:ascii="Arial" w:cs="Arial" w:eastAsia="Arial" w:hAnsi="Arial"/>
          <w:sz w:val="17"/>
          <w:szCs w:val="17"/>
          <w:color w:val="auto"/>
        </w:rPr>
        <w:t>) (but only after an Enforcement Event), the giving of any notice relating to all or any of the Secured Assets or Security, the execution of any other document whatsoever and (but only after an Enforcement Event) the exercise of any voting or other Rights of the Mortgagor in its capacity as legal owner of the Original Shares, Further Shares and any other shares comprised in any Derived Asset.</w:t>
      </w:r>
    </w:p>
    <w:p>
      <w:pPr>
        <w:spacing w:after="0" w:line="173"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13.2</w:t>
      </w:r>
      <w:r>
        <w:rPr>
          <w:sz w:val="20"/>
          <w:szCs w:val="20"/>
          <w:color w:val="auto"/>
        </w:rPr>
        <w:tab/>
      </w:r>
      <w:r>
        <w:rPr>
          <w:rFonts w:ascii="Arial" w:cs="Arial" w:eastAsia="Arial" w:hAnsi="Arial"/>
          <w:sz w:val="18"/>
          <w:szCs w:val="18"/>
          <w:color w:val="auto"/>
        </w:rPr>
        <w:t>The Mortgagor hereby ratifies and confirms and agrees to ratify and confirm whatever the attorney shall do or purport to do in the exercise or purported exercise of its Rights as attorney.</w:t>
      </w:r>
    </w:p>
    <w:p>
      <w:pPr>
        <w:spacing w:after="0" w:line="166" w:lineRule="exact"/>
        <w:rPr>
          <w:sz w:val="20"/>
          <w:szCs w:val="20"/>
          <w:color w:val="auto"/>
        </w:rPr>
      </w:pPr>
    </w:p>
    <w:p>
      <w:pPr>
        <w:ind w:left="660" w:hanging="651"/>
        <w:spacing w:after="0"/>
        <w:tabs>
          <w:tab w:leader="none" w:pos="660" w:val="left"/>
        </w:tabs>
        <w:numPr>
          <w:ilvl w:val="0"/>
          <w:numId w:val="957"/>
        </w:numPr>
        <w:rPr>
          <w:rFonts w:ascii="Arial" w:cs="Arial" w:eastAsia="Arial" w:hAnsi="Arial"/>
          <w:sz w:val="18"/>
          <w:szCs w:val="18"/>
          <w:b w:val="1"/>
          <w:bCs w:val="1"/>
          <w:color w:val="010000"/>
        </w:rPr>
      </w:pPr>
      <w:r>
        <w:rPr>
          <w:rFonts w:ascii="Arial" w:cs="Arial" w:eastAsia="Arial" w:hAnsi="Arial"/>
          <w:sz w:val="18"/>
          <w:szCs w:val="18"/>
          <w:b w:val="1"/>
          <w:bCs w:val="1"/>
          <w:color w:val="auto"/>
        </w:rPr>
        <w:t>ENFORCEMENT</w:t>
      </w:r>
    </w:p>
    <w:p>
      <w:pPr>
        <w:spacing w:after="0" w:line="225"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18"/>
          <w:szCs w:val="18"/>
          <w:b w:val="1"/>
          <w:bCs w:val="1"/>
          <w:color w:val="010000"/>
        </w:rPr>
        <w:t xml:space="preserve">14.1    </w:t>
      </w:r>
      <w:r>
        <w:rPr>
          <w:rFonts w:ascii="Arial" w:cs="Arial" w:eastAsia="Arial" w:hAnsi="Arial"/>
          <w:sz w:val="18"/>
          <w:szCs w:val="18"/>
          <w:b w:val="1"/>
          <w:bCs w:val="1"/>
          <w:color w:val="000000"/>
        </w:rPr>
        <w:t>Enforceability</w:t>
      </w:r>
    </w:p>
    <w:p>
      <w:pPr>
        <w:spacing w:after="0" w:line="22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Security shall, subject to any prohibition or restriction imposed by law, become enforceable upon and at any time after an Event of Default occurs and is continuing (an "</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14.2</w:t>
      </w:r>
      <w:r>
        <w:rPr>
          <w:sz w:val="20"/>
          <w:szCs w:val="20"/>
          <w:color w:val="auto"/>
        </w:rPr>
        <w:tab/>
      </w:r>
      <w:r>
        <w:rPr>
          <w:rFonts w:ascii="Arial" w:cs="Arial" w:eastAsia="Arial" w:hAnsi="Arial"/>
          <w:sz w:val="16"/>
          <w:szCs w:val="16"/>
          <w:b w:val="1"/>
          <w:bCs w:val="1"/>
          <w:color w:val="auto"/>
        </w:rPr>
        <w:t>Enforcement</w:t>
      </w:r>
    </w:p>
    <w:p>
      <w:pPr>
        <w:spacing w:after="0" w:line="229" w:lineRule="exact"/>
        <w:rPr>
          <w:sz w:val="20"/>
          <w:szCs w:val="20"/>
          <w:color w:val="auto"/>
        </w:rPr>
      </w:pPr>
    </w:p>
    <w:p>
      <w:pPr>
        <w:ind w:left="1300" w:right="100" w:hanging="643"/>
        <w:spacing w:after="0" w:line="277" w:lineRule="auto"/>
        <w:tabs>
          <w:tab w:leader="none" w:pos="1300" w:val="left"/>
        </w:tabs>
        <w:numPr>
          <w:ilvl w:val="0"/>
          <w:numId w:val="958"/>
        </w:numPr>
        <w:rPr>
          <w:rFonts w:ascii="Arial" w:cs="Arial" w:eastAsia="Arial" w:hAnsi="Arial"/>
          <w:sz w:val="18"/>
          <w:szCs w:val="18"/>
          <w:color w:val="010000"/>
        </w:rPr>
      </w:pPr>
      <w:r>
        <w:rPr>
          <w:rFonts w:ascii="Arial" w:cs="Arial" w:eastAsia="Arial" w:hAnsi="Arial"/>
          <w:sz w:val="18"/>
          <w:szCs w:val="18"/>
          <w:color w:val="auto"/>
        </w:rPr>
        <w:t>At any time after the Security has become enforceable in accordance with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 the Collateral Agent may (but shall not be obliged to) do any one or more of the following:</w:t>
      </w:r>
    </w:p>
    <w:p>
      <w:pPr>
        <w:spacing w:after="0" w:line="170" w:lineRule="exact"/>
        <w:rPr>
          <w:rFonts w:ascii="Arial" w:cs="Arial" w:eastAsia="Arial" w:hAnsi="Arial"/>
          <w:sz w:val="18"/>
          <w:szCs w:val="18"/>
          <w:color w:val="010000"/>
        </w:rPr>
      </w:pPr>
    </w:p>
    <w:p>
      <w:pPr>
        <w:jc w:val="both"/>
        <w:ind w:left="1960" w:hanging="654"/>
        <w:spacing w:after="0" w:line="264" w:lineRule="auto"/>
        <w:tabs>
          <w:tab w:leader="none" w:pos="1960" w:val="left"/>
        </w:tabs>
        <w:numPr>
          <w:ilvl w:val="1"/>
          <w:numId w:val="958"/>
        </w:numPr>
        <w:rPr>
          <w:rFonts w:ascii="Arial" w:cs="Arial" w:eastAsia="Arial" w:hAnsi="Arial"/>
          <w:sz w:val="18"/>
          <w:szCs w:val="18"/>
          <w:color w:val="010000"/>
        </w:rPr>
      </w:pPr>
      <w:r>
        <w:rPr>
          <w:rFonts w:ascii="Arial" w:cs="Arial" w:eastAsia="Arial" w:hAnsi="Arial"/>
          <w:sz w:val="18"/>
          <w:szCs w:val="18"/>
          <w:color w:val="auto"/>
        </w:rPr>
        <w:t>take possession of, get in and collect all or any of the Secured Assets, and in particular take any steps necessary to vest all or any of the Secured Assets in the name of the Collateral Agent or its nominee including completing any transfers of any shares comprised in the Secured Assets and receive and retain any dividends;</w:t>
      </w:r>
    </w:p>
    <w:p>
      <w:pPr>
        <w:spacing w:after="0" w:line="181" w:lineRule="exact"/>
        <w:rPr>
          <w:rFonts w:ascii="Arial" w:cs="Arial" w:eastAsia="Arial" w:hAnsi="Arial"/>
          <w:sz w:val="18"/>
          <w:szCs w:val="18"/>
          <w:color w:val="010000"/>
        </w:rPr>
      </w:pPr>
    </w:p>
    <w:p>
      <w:pPr>
        <w:ind w:left="1960" w:right="20" w:hanging="654"/>
        <w:spacing w:after="0" w:line="277" w:lineRule="auto"/>
        <w:tabs>
          <w:tab w:leader="none" w:pos="1960" w:val="left"/>
        </w:tabs>
        <w:numPr>
          <w:ilvl w:val="1"/>
          <w:numId w:val="958"/>
        </w:numPr>
        <w:rPr>
          <w:rFonts w:ascii="Arial" w:cs="Arial" w:eastAsia="Arial" w:hAnsi="Arial"/>
          <w:sz w:val="18"/>
          <w:szCs w:val="18"/>
          <w:color w:val="010000"/>
        </w:rPr>
      </w:pPr>
      <w:r>
        <w:rPr>
          <w:rFonts w:ascii="Arial" w:cs="Arial" w:eastAsia="Arial" w:hAnsi="Arial"/>
          <w:sz w:val="18"/>
          <w:szCs w:val="18"/>
          <w:color w:val="auto"/>
        </w:rPr>
        <w:t>exercise all rights conferred on a mortgagee by law including, without limitation, under the LPA (as such rights are varied or extended, where applicable, by this Deed);</w:t>
      </w:r>
    </w:p>
    <w:p>
      <w:pPr>
        <w:spacing w:after="0" w:line="170" w:lineRule="exact"/>
        <w:rPr>
          <w:rFonts w:ascii="Arial" w:cs="Arial" w:eastAsia="Arial" w:hAnsi="Arial"/>
          <w:sz w:val="18"/>
          <w:szCs w:val="18"/>
          <w:color w:val="010000"/>
        </w:rPr>
      </w:pPr>
    </w:p>
    <w:p>
      <w:pPr>
        <w:ind w:left="1960" w:hanging="654"/>
        <w:spacing w:after="0"/>
        <w:tabs>
          <w:tab w:leader="none" w:pos="1960" w:val="left"/>
        </w:tabs>
        <w:numPr>
          <w:ilvl w:val="1"/>
          <w:numId w:val="958"/>
        </w:numPr>
        <w:rPr>
          <w:rFonts w:ascii="Arial" w:cs="Arial" w:eastAsia="Arial" w:hAnsi="Arial"/>
          <w:sz w:val="18"/>
          <w:szCs w:val="18"/>
          <w:color w:val="010000"/>
        </w:rPr>
      </w:pPr>
      <w:r>
        <w:rPr>
          <w:rFonts w:ascii="Arial" w:cs="Arial" w:eastAsia="Arial" w:hAnsi="Arial"/>
          <w:sz w:val="18"/>
          <w:szCs w:val="18"/>
          <w:color w:val="auto"/>
        </w:rPr>
        <w:t>exercise its rights under Clause 14.3 (</w:t>
      </w:r>
      <w:r>
        <w:rPr>
          <w:rFonts w:ascii="Arial" w:cs="Arial" w:eastAsia="Arial" w:hAnsi="Arial"/>
          <w:sz w:val="18"/>
          <w:szCs w:val="18"/>
          <w:i w:val="1"/>
          <w:iCs w:val="1"/>
          <w:color w:val="auto"/>
        </w:rPr>
        <w:t>Appropriation of Financial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960" w:hanging="654"/>
        <w:spacing w:after="0" w:line="279" w:lineRule="auto"/>
        <w:tabs>
          <w:tab w:leader="none" w:pos="1960" w:val="left"/>
        </w:tabs>
        <w:numPr>
          <w:ilvl w:val="1"/>
          <w:numId w:val="958"/>
        </w:numPr>
        <w:rPr>
          <w:rFonts w:ascii="Arial" w:cs="Arial" w:eastAsia="Arial" w:hAnsi="Arial"/>
          <w:sz w:val="17"/>
          <w:szCs w:val="17"/>
          <w:color w:val="010000"/>
        </w:rPr>
      </w:pPr>
      <w:r>
        <w:rPr>
          <w:rFonts w:ascii="Arial" w:cs="Arial" w:eastAsia="Arial" w:hAnsi="Arial"/>
          <w:sz w:val="17"/>
          <w:szCs w:val="17"/>
          <w:color w:val="auto"/>
        </w:rPr>
        <w:t>sell, exchange, convert into money or otherwise dispose of or realise the Secured Assets (whether by public offer or private contract) to any person and for such consideration (whether comprising cash, debentures or other obligations, shares or other valuable consideration of any kind) and on such terms (whether payable or deliverable in a lump sum or by instalments) as it may reasonably think fit, and for this purpose complete any transfers of any of the Secured Assets;</w:t>
      </w:r>
    </w:p>
    <w:p>
      <w:pPr>
        <w:spacing w:after="0" w:line="171" w:lineRule="exact"/>
        <w:rPr>
          <w:rFonts w:ascii="Arial" w:cs="Arial" w:eastAsia="Arial" w:hAnsi="Arial"/>
          <w:sz w:val="17"/>
          <w:szCs w:val="17"/>
          <w:color w:val="010000"/>
        </w:rPr>
      </w:pPr>
    </w:p>
    <w:p>
      <w:pPr>
        <w:ind w:left="1960" w:hanging="654"/>
        <w:spacing w:after="0" w:line="277" w:lineRule="auto"/>
        <w:tabs>
          <w:tab w:leader="none" w:pos="1960" w:val="left"/>
        </w:tabs>
        <w:numPr>
          <w:ilvl w:val="1"/>
          <w:numId w:val="958"/>
        </w:numPr>
        <w:rPr>
          <w:rFonts w:ascii="Arial" w:cs="Arial" w:eastAsia="Arial" w:hAnsi="Arial"/>
          <w:sz w:val="18"/>
          <w:szCs w:val="18"/>
          <w:color w:val="010000"/>
        </w:rPr>
      </w:pPr>
      <w:r>
        <w:rPr>
          <w:rFonts w:ascii="Arial" w:cs="Arial" w:eastAsia="Arial" w:hAnsi="Arial"/>
          <w:sz w:val="18"/>
          <w:szCs w:val="18"/>
          <w:color w:val="auto"/>
        </w:rPr>
        <w:t>following written notice to the Mortgagor, exercise or direct the exercise of all voting and other Rights relating to the Secured Assets in such manner as it may reasonably think fit;</w:t>
      </w:r>
    </w:p>
    <w:p>
      <w:pPr>
        <w:spacing w:after="0" w:line="170" w:lineRule="exact"/>
        <w:rPr>
          <w:rFonts w:ascii="Arial" w:cs="Arial" w:eastAsia="Arial" w:hAnsi="Arial"/>
          <w:sz w:val="18"/>
          <w:szCs w:val="18"/>
          <w:color w:val="010000"/>
        </w:rPr>
      </w:pPr>
    </w:p>
    <w:p>
      <w:pPr>
        <w:ind w:left="1960" w:hanging="654"/>
        <w:spacing w:after="0" w:line="277" w:lineRule="auto"/>
        <w:tabs>
          <w:tab w:leader="none" w:pos="1960" w:val="left"/>
        </w:tabs>
        <w:numPr>
          <w:ilvl w:val="1"/>
          <w:numId w:val="958"/>
        </w:numPr>
        <w:rPr>
          <w:rFonts w:ascii="Arial" w:cs="Arial" w:eastAsia="Arial" w:hAnsi="Arial"/>
          <w:sz w:val="18"/>
          <w:szCs w:val="18"/>
          <w:color w:val="010000"/>
        </w:rPr>
      </w:pPr>
      <w:r>
        <w:rPr>
          <w:rFonts w:ascii="Arial" w:cs="Arial" w:eastAsia="Arial" w:hAnsi="Arial"/>
          <w:sz w:val="18"/>
          <w:szCs w:val="18"/>
          <w:color w:val="auto"/>
        </w:rPr>
        <w:t>settle, adjust, refer to arbitration, compromise and arrange any claims, accounts, Disputes, questions and demands relating in any way to the Secured Assets;</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889" w:name="page890"/>
    <w:bookmarkEnd w:id="889"/>
    <w:p>
      <w:pPr>
        <w:ind w:left="1960" w:hanging="654"/>
        <w:spacing w:after="0"/>
        <w:tabs>
          <w:tab w:leader="none" w:pos="1960" w:val="left"/>
        </w:tabs>
        <w:numPr>
          <w:ilvl w:val="1"/>
          <w:numId w:val="959"/>
        </w:numPr>
        <w:rPr>
          <w:rFonts w:ascii="Arial" w:cs="Arial" w:eastAsia="Arial" w:hAnsi="Arial"/>
          <w:sz w:val="18"/>
          <w:szCs w:val="18"/>
          <w:color w:val="010000"/>
        </w:rPr>
      </w:pPr>
      <w:r>
        <w:rPr>
          <w:rFonts w:ascii="Arial" w:cs="Arial" w:eastAsia="Arial" w:hAnsi="Arial"/>
          <w:sz w:val="18"/>
          <w:szCs w:val="18"/>
          <w:color w:val="auto"/>
        </w:rPr>
        <w:t>bring, prosecute, enforce, defend and abandon actions, suits and Proceedings in relation to the Secured Assets;</w:t>
      </w:r>
    </w:p>
    <w:p>
      <w:pPr>
        <w:spacing w:after="0" w:line="225" w:lineRule="exact"/>
        <w:rPr>
          <w:rFonts w:ascii="Arial" w:cs="Arial" w:eastAsia="Arial" w:hAnsi="Arial"/>
          <w:sz w:val="18"/>
          <w:szCs w:val="18"/>
          <w:color w:val="010000"/>
        </w:rPr>
      </w:pPr>
    </w:p>
    <w:p>
      <w:pPr>
        <w:ind w:left="1960" w:hanging="654"/>
        <w:spacing w:after="0"/>
        <w:tabs>
          <w:tab w:leader="none" w:pos="1960" w:val="left"/>
        </w:tabs>
        <w:numPr>
          <w:ilvl w:val="1"/>
          <w:numId w:val="959"/>
        </w:numPr>
        <w:rPr>
          <w:rFonts w:ascii="Arial" w:cs="Arial" w:eastAsia="Arial" w:hAnsi="Arial"/>
          <w:sz w:val="18"/>
          <w:szCs w:val="18"/>
          <w:color w:val="010000"/>
        </w:rPr>
      </w:pPr>
      <w:r>
        <w:rPr>
          <w:rFonts w:ascii="Arial" w:cs="Arial" w:eastAsia="Arial" w:hAnsi="Arial"/>
          <w:sz w:val="18"/>
          <w:szCs w:val="18"/>
          <w:color w:val="auto"/>
        </w:rPr>
        <w:t>exercise its rights under Clause 15 (</w:t>
      </w:r>
      <w:r>
        <w:rPr>
          <w:rFonts w:ascii="Arial" w:cs="Arial" w:eastAsia="Arial" w:hAnsi="Arial"/>
          <w:sz w:val="18"/>
          <w:szCs w:val="18"/>
          <w:i w:val="1"/>
          <w:iCs w:val="1"/>
          <w:color w:val="auto"/>
        </w:rPr>
        <w:t>Appointment Of Receivers</w:t>
      </w:r>
      <w:r>
        <w:rPr>
          <w:rFonts w:ascii="Arial" w:cs="Arial" w:eastAsia="Arial" w:hAnsi="Arial"/>
          <w:sz w:val="18"/>
          <w:szCs w:val="18"/>
          <w:color w:val="auto"/>
        </w:rPr>
        <w:t>); and</w:t>
      </w:r>
    </w:p>
    <w:p>
      <w:pPr>
        <w:spacing w:after="0" w:line="225" w:lineRule="exact"/>
        <w:rPr>
          <w:rFonts w:ascii="Arial" w:cs="Arial" w:eastAsia="Arial" w:hAnsi="Arial"/>
          <w:sz w:val="18"/>
          <w:szCs w:val="18"/>
          <w:color w:val="010000"/>
        </w:rPr>
      </w:pPr>
    </w:p>
    <w:p>
      <w:pPr>
        <w:jc w:val="both"/>
        <w:ind w:left="1960" w:hanging="654"/>
        <w:spacing w:after="0" w:line="264" w:lineRule="auto"/>
        <w:tabs>
          <w:tab w:leader="none" w:pos="1960" w:val="left"/>
        </w:tabs>
        <w:numPr>
          <w:ilvl w:val="1"/>
          <w:numId w:val="959"/>
        </w:numPr>
        <w:rPr>
          <w:rFonts w:ascii="Arial" w:cs="Arial" w:eastAsia="Arial" w:hAnsi="Arial"/>
          <w:sz w:val="18"/>
          <w:szCs w:val="18"/>
          <w:color w:val="010000"/>
        </w:rPr>
      </w:pPr>
      <w:r>
        <w:rPr>
          <w:rFonts w:ascii="Arial" w:cs="Arial" w:eastAsia="Arial" w:hAnsi="Arial"/>
          <w:sz w:val="18"/>
          <w:szCs w:val="18"/>
          <w:color w:val="auto"/>
        </w:rPr>
        <w:t>do all such other acts and things it may consider necessary or expedient for the realisation of the Secured Assets, or incidental to the exercise of any of the Rights conferred on it, under or in connection with this Deed or the LPA and to concur in the doing of anything which it has the Right to do and to do any such thing jointly with any other person.</w:t>
      </w:r>
    </w:p>
    <w:p>
      <w:pPr>
        <w:spacing w:after="0" w:line="181" w:lineRule="exact"/>
        <w:rPr>
          <w:rFonts w:ascii="Arial" w:cs="Arial" w:eastAsia="Arial" w:hAnsi="Arial"/>
          <w:sz w:val="18"/>
          <w:szCs w:val="18"/>
          <w:color w:val="010000"/>
        </w:rPr>
      </w:pPr>
    </w:p>
    <w:p>
      <w:pPr>
        <w:ind w:left="1300" w:right="100" w:hanging="643"/>
        <w:spacing w:after="0" w:line="342" w:lineRule="auto"/>
        <w:tabs>
          <w:tab w:leader="none" w:pos="1300" w:val="left"/>
        </w:tabs>
        <w:numPr>
          <w:ilvl w:val="0"/>
          <w:numId w:val="960"/>
        </w:numPr>
        <w:rPr>
          <w:rFonts w:ascii="Arial" w:cs="Arial" w:eastAsia="Arial" w:hAnsi="Arial"/>
          <w:sz w:val="16"/>
          <w:szCs w:val="16"/>
          <w:color w:val="010000"/>
        </w:rPr>
      </w:pPr>
      <w:r>
        <w:rPr>
          <w:rFonts w:ascii="Arial" w:cs="Arial" w:eastAsia="Arial" w:hAnsi="Arial"/>
          <w:sz w:val="16"/>
          <w:szCs w:val="16"/>
          <w:color w:val="auto"/>
        </w:rPr>
        <w:t>For the purposes only of section 101 of the LPA, the Secured Obligations shall be deemed to have become due, and the powers conferred by that section (as varied and extended by this Deed) shall be deemed to have arisen immediately upon execution of this Deed.</w:t>
      </w:r>
    </w:p>
    <w:p>
      <w:pPr>
        <w:spacing w:after="0" w:line="123" w:lineRule="exact"/>
        <w:rPr>
          <w:rFonts w:ascii="Arial" w:cs="Arial" w:eastAsia="Arial" w:hAnsi="Arial"/>
          <w:sz w:val="16"/>
          <w:szCs w:val="16"/>
          <w:color w:val="010000"/>
        </w:rPr>
      </w:pPr>
    </w:p>
    <w:p>
      <w:pPr>
        <w:ind w:left="1300" w:hanging="643"/>
        <w:spacing w:after="0"/>
        <w:tabs>
          <w:tab w:leader="none" w:pos="1300" w:val="left"/>
        </w:tabs>
        <w:numPr>
          <w:ilvl w:val="0"/>
          <w:numId w:val="960"/>
        </w:numPr>
        <w:rPr>
          <w:rFonts w:ascii="Arial" w:cs="Arial" w:eastAsia="Arial" w:hAnsi="Arial"/>
          <w:sz w:val="18"/>
          <w:szCs w:val="18"/>
          <w:color w:val="010000"/>
        </w:rPr>
      </w:pPr>
      <w:r>
        <w:rPr>
          <w:rFonts w:ascii="Arial" w:cs="Arial" w:eastAsia="Arial" w:hAnsi="Arial"/>
          <w:sz w:val="18"/>
          <w:szCs w:val="18"/>
          <w:color w:val="auto"/>
        </w:rPr>
        <w:t>Sections 93 and 103 of the LPA shall not apply to this Deed.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14.3</w:t>
      </w:r>
      <w:r>
        <w:rPr>
          <w:sz w:val="20"/>
          <w:szCs w:val="20"/>
          <w:color w:val="auto"/>
        </w:rPr>
        <w:tab/>
      </w:r>
      <w:r>
        <w:rPr>
          <w:rFonts w:ascii="Arial" w:cs="Arial" w:eastAsia="Arial" w:hAnsi="Arial"/>
          <w:sz w:val="16"/>
          <w:szCs w:val="16"/>
          <w:b w:val="1"/>
          <w:bCs w:val="1"/>
          <w:color w:val="auto"/>
        </w:rPr>
        <w:t>Appropriation of Financial Collateral</w:t>
      </w:r>
    </w:p>
    <w:p>
      <w:pPr>
        <w:spacing w:after="0" w:line="229" w:lineRule="exact"/>
        <w:rPr>
          <w:sz w:val="20"/>
          <w:szCs w:val="20"/>
          <w:color w:val="auto"/>
        </w:rPr>
      </w:pPr>
    </w:p>
    <w:p>
      <w:pPr>
        <w:jc w:val="both"/>
        <w:ind w:left="1300" w:right="100" w:hanging="643"/>
        <w:spacing w:after="0" w:line="264" w:lineRule="auto"/>
        <w:tabs>
          <w:tab w:leader="none" w:pos="1300" w:val="left"/>
        </w:tabs>
        <w:numPr>
          <w:ilvl w:val="0"/>
          <w:numId w:val="961"/>
        </w:numPr>
        <w:rPr>
          <w:rFonts w:ascii="Arial" w:cs="Arial" w:eastAsia="Arial" w:hAnsi="Arial"/>
          <w:sz w:val="18"/>
          <w:szCs w:val="18"/>
          <w:color w:val="010000"/>
        </w:rPr>
      </w:pPr>
      <w:r>
        <w:rPr>
          <w:rFonts w:ascii="Arial" w:cs="Arial" w:eastAsia="Arial" w:hAnsi="Arial"/>
          <w:sz w:val="18"/>
          <w:szCs w:val="18"/>
          <w:color w:val="auto"/>
        </w:rPr>
        <w:t>At any time after the Security has become enforceable in accordance with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 the Collateral Agent may, by the giving of written notice to the Mortgagor, appropriate all or any part of the Original Shares, Further Shares, any Shares comprised in any Derived Asset and any other Secured Asset which constitutes Financial Collateral.</w:t>
      </w:r>
    </w:p>
    <w:p>
      <w:pPr>
        <w:spacing w:after="0" w:line="181" w:lineRule="exact"/>
        <w:rPr>
          <w:rFonts w:ascii="Arial" w:cs="Arial" w:eastAsia="Arial" w:hAnsi="Arial"/>
          <w:sz w:val="18"/>
          <w:szCs w:val="18"/>
          <w:color w:val="010000"/>
        </w:rPr>
      </w:pPr>
    </w:p>
    <w:p>
      <w:pPr>
        <w:ind w:left="1300" w:hanging="643"/>
        <w:spacing w:after="0"/>
        <w:tabs>
          <w:tab w:leader="none" w:pos="1300" w:val="left"/>
        </w:tabs>
        <w:numPr>
          <w:ilvl w:val="0"/>
          <w:numId w:val="961"/>
        </w:numPr>
        <w:rPr>
          <w:rFonts w:ascii="Arial" w:cs="Arial" w:eastAsia="Arial" w:hAnsi="Arial"/>
          <w:sz w:val="18"/>
          <w:szCs w:val="18"/>
          <w:color w:val="010000"/>
        </w:rPr>
      </w:pPr>
      <w:r>
        <w:rPr>
          <w:rFonts w:ascii="Arial" w:cs="Arial" w:eastAsia="Arial" w:hAnsi="Arial"/>
          <w:sz w:val="18"/>
          <w:szCs w:val="18"/>
          <w:color w:val="auto"/>
        </w:rPr>
        <w:t>If the Collateral Agent exercises that power of appropriation:</w:t>
      </w:r>
    </w:p>
    <w:p>
      <w:pPr>
        <w:spacing w:after="0" w:line="225" w:lineRule="exact"/>
        <w:rPr>
          <w:rFonts w:ascii="Arial" w:cs="Arial" w:eastAsia="Arial" w:hAnsi="Arial"/>
          <w:sz w:val="18"/>
          <w:szCs w:val="18"/>
          <w:color w:val="010000"/>
        </w:rPr>
      </w:pPr>
    </w:p>
    <w:p>
      <w:pPr>
        <w:jc w:val="both"/>
        <w:ind w:left="1960" w:hanging="654"/>
        <w:spacing w:after="0" w:line="257" w:lineRule="auto"/>
        <w:tabs>
          <w:tab w:leader="none" w:pos="1960" w:val="left"/>
        </w:tabs>
        <w:numPr>
          <w:ilvl w:val="1"/>
          <w:numId w:val="961"/>
        </w:numPr>
        <w:rPr>
          <w:rFonts w:ascii="Arial" w:cs="Arial" w:eastAsia="Arial" w:hAnsi="Arial"/>
          <w:sz w:val="18"/>
          <w:szCs w:val="18"/>
          <w:color w:val="010000"/>
        </w:rPr>
      </w:pPr>
      <w:r>
        <w:rPr>
          <w:rFonts w:ascii="Arial" w:cs="Arial" w:eastAsia="Arial" w:hAnsi="Arial"/>
          <w:sz w:val="18"/>
          <w:szCs w:val="18"/>
          <w:color w:val="auto"/>
        </w:rPr>
        <w:t>any Original Shares, Further Shares or Shares comprised in any Derived Asset shall be valued by the Collateral Agent as at the time of exercise of the power; their value shall be the amount of any cash payment which the Collateral Agent reasonably determines would be received on a sale or other disposal of such Shares effected for payment as soon as reasonably possible after that time; and the Collateral Agent will make that determination in a commercially reasonable manner (including by way of an independent valuation); and</w:t>
      </w:r>
    </w:p>
    <w:p>
      <w:pPr>
        <w:spacing w:after="0" w:line="188" w:lineRule="exact"/>
        <w:rPr>
          <w:rFonts w:ascii="Arial" w:cs="Arial" w:eastAsia="Arial" w:hAnsi="Arial"/>
          <w:sz w:val="18"/>
          <w:szCs w:val="18"/>
          <w:color w:val="010000"/>
        </w:rPr>
      </w:pPr>
    </w:p>
    <w:p>
      <w:pPr>
        <w:jc w:val="both"/>
        <w:ind w:left="1960" w:hanging="654"/>
        <w:spacing w:after="0" w:line="279" w:lineRule="auto"/>
        <w:tabs>
          <w:tab w:leader="none" w:pos="1960" w:val="left"/>
        </w:tabs>
        <w:numPr>
          <w:ilvl w:val="1"/>
          <w:numId w:val="961"/>
        </w:numPr>
        <w:rPr>
          <w:rFonts w:ascii="Arial" w:cs="Arial" w:eastAsia="Arial" w:hAnsi="Arial"/>
          <w:sz w:val="17"/>
          <w:szCs w:val="17"/>
          <w:color w:val="010000"/>
        </w:rPr>
      </w:pPr>
      <w:r>
        <w:rPr>
          <w:rFonts w:ascii="Arial" w:cs="Arial" w:eastAsia="Arial" w:hAnsi="Arial"/>
          <w:sz w:val="17"/>
          <w:szCs w:val="17"/>
          <w:color w:val="auto"/>
        </w:rPr>
        <w:t>any Secured Asset appropriated which constitutes Cash and which is not denominated in the currency in which any Secured Obligations which then remain unpaid are required to be paid (the "</w:t>
      </w:r>
      <w:r>
        <w:rPr>
          <w:rFonts w:ascii="Arial" w:cs="Arial" w:eastAsia="Arial" w:hAnsi="Arial"/>
          <w:sz w:val="17"/>
          <w:szCs w:val="17"/>
          <w:b w:val="1"/>
          <w:bCs w:val="1"/>
          <w:color w:val="auto"/>
        </w:rPr>
        <w:t>Required Currency</w:t>
      </w:r>
      <w:r>
        <w:rPr>
          <w:rFonts w:ascii="Arial" w:cs="Arial" w:eastAsia="Arial" w:hAnsi="Arial"/>
          <w:sz w:val="17"/>
          <w:szCs w:val="17"/>
          <w:color w:val="auto"/>
        </w:rPr>
        <w:t>") shall be valued as if it had been converted into the Required Currency on the date of appropriation (or as soon as practicable thereafter) at the rate of exchange at which the Collateral Agent is able, on the relevant day, to purchase the Required Currency with the other.</w:t>
      </w:r>
    </w:p>
    <w:p>
      <w:pPr>
        <w:spacing w:after="0" w:line="3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10" w:right="239" w:bottom="1440" w:gutter="0" w:footer="0" w:header="0"/>
        </w:sectPr>
      </w:pPr>
    </w:p>
    <w:bookmarkStart w:id="890" w:name="page891"/>
    <w:bookmarkEnd w:id="890"/>
    <w:p>
      <w:pPr>
        <w:ind w:right="7840" w:firstLine="9"/>
        <w:spacing w:after="0" w:line="503" w:lineRule="auto"/>
        <w:tabs>
          <w:tab w:leader="none" w:pos="648" w:val="left"/>
        </w:tabs>
        <w:numPr>
          <w:ilvl w:val="0"/>
          <w:numId w:val="962"/>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APPOINTMENT OF RECEIVERS </w:t>
      </w:r>
      <w:r>
        <w:rPr>
          <w:rFonts w:ascii="Arial" w:cs="Arial" w:eastAsia="Arial" w:hAnsi="Arial"/>
          <w:sz w:val="18"/>
          <w:szCs w:val="18"/>
          <w:b w:val="1"/>
          <w:bCs w:val="1"/>
          <w:color w:val="010000"/>
        </w:rPr>
        <w:t xml:space="preserve">15.1 </w:t>
      </w:r>
      <w:r>
        <w:rPr>
          <w:rFonts w:ascii="Arial" w:cs="Arial" w:eastAsia="Arial" w:hAnsi="Arial"/>
          <w:sz w:val="18"/>
          <w:szCs w:val="18"/>
          <w:b w:val="1"/>
          <w:bCs w:val="1"/>
          <w:color w:val="000000"/>
        </w:rPr>
        <w:t>Appointment and removal</w:t>
      </w:r>
    </w:p>
    <w:p>
      <w:pPr>
        <w:spacing w:after="0" w:line="1" w:lineRule="exact"/>
        <w:rPr>
          <w:sz w:val="20"/>
          <w:szCs w:val="20"/>
          <w:color w:val="auto"/>
        </w:rPr>
      </w:pPr>
    </w:p>
    <w:p>
      <w:pPr>
        <w:jc w:val="both"/>
        <w:ind w:left="660" w:right="20"/>
        <w:spacing w:after="0" w:line="257" w:lineRule="auto"/>
        <w:rPr>
          <w:sz w:val="20"/>
          <w:szCs w:val="20"/>
          <w:color w:val="auto"/>
        </w:rPr>
      </w:pPr>
      <w:r>
        <w:rPr>
          <w:rFonts w:ascii="Arial" w:cs="Arial" w:eastAsia="Arial" w:hAnsi="Arial"/>
          <w:sz w:val="18"/>
          <w:szCs w:val="18"/>
          <w:color w:val="auto"/>
        </w:rPr>
        <w:t>At any time after the Security has become enforceable in accordance with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 the Collateral Agent may, by deed or other instrument signed by any manager or officer of the Collateral Agent or by any other person authorised for this purpose by the Collateral Agent, appoint any person or persons to be Receiver or Receivers of all or any part of the Secured Assets, on such terms as the Collateral Agent reasonably thinks fit, and may similarly remove any Receiver (subject, where relevant, to any requirement for a court order) whether or not the Collateral Agent appoints any person in his place and may replace any Receiver.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15.2</w:t>
      </w:r>
      <w:r>
        <w:rPr>
          <w:sz w:val="20"/>
          <w:szCs w:val="20"/>
          <w:color w:val="auto"/>
        </w:rPr>
        <w:tab/>
      </w:r>
      <w:r>
        <w:rPr>
          <w:rFonts w:ascii="Arial" w:cs="Arial" w:eastAsia="Arial" w:hAnsi="Arial"/>
          <w:sz w:val="16"/>
          <w:szCs w:val="16"/>
          <w:b w:val="1"/>
          <w:bCs w:val="1"/>
          <w:color w:val="auto"/>
        </w:rPr>
        <w:t>More than one Receiver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more than one person is appointed as Receiver, the Collateral Agent may give the relevant persons power to act jointly or severally.</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15.3</w:t>
      </w:r>
      <w:r>
        <w:rPr>
          <w:sz w:val="20"/>
          <w:szCs w:val="20"/>
          <w:color w:val="auto"/>
        </w:rPr>
        <w:tab/>
      </w:r>
      <w:r>
        <w:rPr>
          <w:rFonts w:ascii="Arial" w:cs="Arial" w:eastAsia="Arial" w:hAnsi="Arial"/>
          <w:sz w:val="15"/>
          <w:szCs w:val="15"/>
          <w:b w:val="1"/>
          <w:bCs w:val="1"/>
          <w:color w:val="auto"/>
        </w:rPr>
        <w:t>Appointment over part of the Secured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Receiver is appointed over only part of the Secured Assets:</w:t>
      </w:r>
    </w:p>
    <w:p>
      <w:pPr>
        <w:spacing w:after="0" w:line="225" w:lineRule="exact"/>
        <w:rPr>
          <w:sz w:val="20"/>
          <w:szCs w:val="20"/>
          <w:color w:val="auto"/>
        </w:rPr>
      </w:pPr>
    </w:p>
    <w:p>
      <w:pPr>
        <w:ind w:left="1300" w:hanging="643"/>
        <w:spacing w:after="0" w:line="277" w:lineRule="auto"/>
        <w:tabs>
          <w:tab w:leader="none" w:pos="1300" w:val="left"/>
        </w:tabs>
        <w:numPr>
          <w:ilvl w:val="0"/>
          <w:numId w:val="963"/>
        </w:numPr>
        <w:rPr>
          <w:rFonts w:ascii="Arial" w:cs="Arial" w:eastAsia="Arial" w:hAnsi="Arial"/>
          <w:sz w:val="18"/>
          <w:szCs w:val="18"/>
          <w:color w:val="010000"/>
        </w:rPr>
      </w:pPr>
      <w:r>
        <w:rPr>
          <w:rFonts w:ascii="Arial" w:cs="Arial" w:eastAsia="Arial" w:hAnsi="Arial"/>
          <w:sz w:val="18"/>
          <w:szCs w:val="18"/>
          <w:color w:val="auto"/>
        </w:rPr>
        <w:t>references in this Deed to the Rights of a Receiver in relation to Secured Assets shall be construed as references to the relevant part of the Secured Assets; and</w:t>
      </w:r>
    </w:p>
    <w:p>
      <w:pPr>
        <w:spacing w:after="0" w:line="170" w:lineRule="exact"/>
        <w:rPr>
          <w:rFonts w:ascii="Arial" w:cs="Arial" w:eastAsia="Arial" w:hAnsi="Arial"/>
          <w:sz w:val="18"/>
          <w:szCs w:val="18"/>
          <w:color w:val="010000"/>
        </w:rPr>
      </w:pPr>
    </w:p>
    <w:p>
      <w:pPr>
        <w:ind w:left="1300" w:right="20" w:hanging="643"/>
        <w:spacing w:after="0" w:line="277" w:lineRule="auto"/>
        <w:tabs>
          <w:tab w:leader="none" w:pos="1300" w:val="left"/>
        </w:tabs>
        <w:numPr>
          <w:ilvl w:val="0"/>
          <w:numId w:val="963"/>
        </w:numPr>
        <w:rPr>
          <w:rFonts w:ascii="Arial" w:cs="Arial" w:eastAsia="Arial" w:hAnsi="Arial"/>
          <w:sz w:val="18"/>
          <w:szCs w:val="18"/>
          <w:color w:val="010000"/>
        </w:rPr>
      </w:pPr>
      <w:r>
        <w:rPr>
          <w:rFonts w:ascii="Arial" w:cs="Arial" w:eastAsia="Arial" w:hAnsi="Arial"/>
          <w:sz w:val="18"/>
          <w:szCs w:val="18"/>
          <w:color w:val="auto"/>
        </w:rPr>
        <w:t>the Collateral Agent may subsequently extend his appointment (or that of any Receiver replacing him) to any other part of the Secured Assets, or appoint another Receiver over that or any other part of the Secured Assets.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15.4</w:t>
      </w:r>
      <w:r>
        <w:rPr>
          <w:sz w:val="20"/>
          <w:szCs w:val="20"/>
          <w:color w:val="auto"/>
        </w:rPr>
        <w:tab/>
      </w:r>
      <w:r>
        <w:rPr>
          <w:rFonts w:ascii="Arial" w:cs="Arial" w:eastAsia="Arial" w:hAnsi="Arial"/>
          <w:sz w:val="16"/>
          <w:szCs w:val="16"/>
          <w:b w:val="1"/>
          <w:bCs w:val="1"/>
          <w:color w:val="auto"/>
        </w:rPr>
        <w:t>Statutory restrictions</w:t>
      </w:r>
    </w:p>
    <w:p>
      <w:pPr>
        <w:spacing w:after="0" w:line="229" w:lineRule="exact"/>
        <w:rPr>
          <w:sz w:val="20"/>
          <w:szCs w:val="20"/>
          <w:color w:val="auto"/>
        </w:rPr>
      </w:pPr>
    </w:p>
    <w:p>
      <w:pPr>
        <w:ind w:left="1300" w:hanging="643"/>
        <w:spacing w:after="0"/>
        <w:tabs>
          <w:tab w:leader="none" w:pos="1300" w:val="left"/>
        </w:tabs>
        <w:numPr>
          <w:ilvl w:val="0"/>
          <w:numId w:val="964"/>
        </w:numPr>
        <w:rPr>
          <w:rFonts w:ascii="Arial" w:cs="Arial" w:eastAsia="Arial" w:hAnsi="Arial"/>
          <w:sz w:val="18"/>
          <w:szCs w:val="18"/>
          <w:color w:val="010000"/>
        </w:rPr>
      </w:pPr>
      <w:r>
        <w:rPr>
          <w:rFonts w:ascii="Arial" w:cs="Arial" w:eastAsia="Arial" w:hAnsi="Arial"/>
          <w:sz w:val="18"/>
          <w:szCs w:val="18"/>
          <w:color w:val="auto"/>
        </w:rPr>
        <w:t>Section 109(1) of the LPA shall not apply to this Deed.</w:t>
      </w:r>
    </w:p>
    <w:p>
      <w:pPr>
        <w:spacing w:after="0" w:line="225" w:lineRule="exact"/>
        <w:rPr>
          <w:rFonts w:ascii="Arial" w:cs="Arial" w:eastAsia="Arial" w:hAnsi="Arial"/>
          <w:sz w:val="18"/>
          <w:szCs w:val="18"/>
          <w:color w:val="010000"/>
        </w:rPr>
      </w:pPr>
    </w:p>
    <w:p>
      <w:pPr>
        <w:ind w:left="1300" w:hanging="643"/>
        <w:spacing w:after="0" w:line="277" w:lineRule="auto"/>
        <w:tabs>
          <w:tab w:leader="none" w:pos="1300" w:val="left"/>
        </w:tabs>
        <w:numPr>
          <w:ilvl w:val="0"/>
          <w:numId w:val="964"/>
        </w:numPr>
        <w:rPr>
          <w:rFonts w:ascii="Arial" w:cs="Arial" w:eastAsia="Arial" w:hAnsi="Arial"/>
          <w:sz w:val="18"/>
          <w:szCs w:val="18"/>
          <w:color w:val="010000"/>
        </w:rPr>
      </w:pPr>
      <w:r>
        <w:rPr>
          <w:rFonts w:ascii="Arial" w:cs="Arial" w:eastAsia="Arial" w:hAnsi="Arial"/>
          <w:sz w:val="18"/>
          <w:szCs w:val="18"/>
          <w:color w:val="auto"/>
        </w:rPr>
        <w:t>The Collateral Agent's rights to appoint a Receiver or Receivers hereunder are subject to the restrictions set out in Part III of Schedule A1 to the Insolvency Act.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15.5</w:t>
      </w:r>
      <w:r>
        <w:rPr>
          <w:sz w:val="20"/>
          <w:szCs w:val="20"/>
          <w:color w:val="auto"/>
        </w:rPr>
        <w:tab/>
      </w:r>
      <w:r>
        <w:rPr>
          <w:rFonts w:ascii="Arial" w:cs="Arial" w:eastAsia="Arial" w:hAnsi="Arial"/>
          <w:sz w:val="16"/>
          <w:szCs w:val="16"/>
          <w:b w:val="1"/>
          <w:bCs w:val="1"/>
          <w:color w:val="auto"/>
        </w:rPr>
        <w:t>Agent of the Mortgagor</w:t>
      </w:r>
    </w:p>
    <w:p>
      <w:pPr>
        <w:spacing w:after="0" w:line="229" w:lineRule="exact"/>
        <w:rPr>
          <w:sz w:val="20"/>
          <w:szCs w:val="20"/>
          <w:color w:val="auto"/>
        </w:rPr>
      </w:pPr>
    </w:p>
    <w:p>
      <w:pPr>
        <w:jc w:val="both"/>
        <w:ind w:left="1300" w:hanging="643"/>
        <w:spacing w:after="0" w:line="259" w:lineRule="auto"/>
        <w:tabs>
          <w:tab w:leader="none" w:pos="1300" w:val="left"/>
        </w:tabs>
        <w:numPr>
          <w:ilvl w:val="0"/>
          <w:numId w:val="965"/>
        </w:numPr>
        <w:rPr>
          <w:rFonts w:ascii="Arial" w:cs="Arial" w:eastAsia="Arial" w:hAnsi="Arial"/>
          <w:sz w:val="18"/>
          <w:szCs w:val="18"/>
          <w:color w:val="010000"/>
        </w:rPr>
      </w:pPr>
      <w:r>
        <w:rPr>
          <w:rFonts w:ascii="Arial" w:cs="Arial" w:eastAsia="Arial" w:hAnsi="Arial"/>
          <w:sz w:val="18"/>
          <w:szCs w:val="18"/>
          <w:color w:val="auto"/>
        </w:rPr>
        <w:t>Each Receiver shall, so far as the law permits, be the agent of the Mortgagor and the Mortgagor alone shall be responsible for each Receiver's remuneration and for his acts, omissions or defaults, and shall be liable on any contracts or engagements made, entered into or adopted by him and for any Losses incurred by him save, in each case, in circumstances where the liabilities or Losses arises as a direct result of the Receiver’s gross negligence or wilful misconduct.</w:t>
      </w:r>
    </w:p>
    <w:p>
      <w:pPr>
        <w:spacing w:after="0" w:line="186" w:lineRule="exact"/>
        <w:rPr>
          <w:rFonts w:ascii="Arial" w:cs="Arial" w:eastAsia="Arial" w:hAnsi="Arial"/>
          <w:sz w:val="18"/>
          <w:szCs w:val="18"/>
          <w:color w:val="010000"/>
        </w:rPr>
      </w:pPr>
    </w:p>
    <w:p>
      <w:pPr>
        <w:jc w:val="both"/>
        <w:ind w:left="1300" w:hanging="643"/>
        <w:spacing w:after="0" w:line="264" w:lineRule="auto"/>
        <w:tabs>
          <w:tab w:leader="none" w:pos="1300" w:val="left"/>
        </w:tabs>
        <w:numPr>
          <w:ilvl w:val="0"/>
          <w:numId w:val="965"/>
        </w:numPr>
        <w:rPr>
          <w:rFonts w:ascii="Arial" w:cs="Arial" w:eastAsia="Arial" w:hAnsi="Arial"/>
          <w:sz w:val="18"/>
          <w:szCs w:val="18"/>
          <w:color w:val="010000"/>
        </w:rPr>
      </w:pPr>
      <w:r>
        <w:rPr>
          <w:rFonts w:ascii="Arial" w:cs="Arial" w:eastAsia="Arial" w:hAnsi="Arial"/>
          <w:sz w:val="18"/>
          <w:szCs w:val="18"/>
          <w:color w:val="auto"/>
        </w:rPr>
        <w:t>The Collateral Agent shall not be responsible for or incur any liability (whether to the Mortgagor or any other person) in connection with any Receiver's acts, omissions, defaults, contracts, engagements or Losses save, in each case, in circumstances where the liabilities or Losses arises as a direct result of the Receiver’s gross negligence or wilful misconduct.</w:t>
      </w:r>
    </w:p>
    <w:p>
      <w:pPr>
        <w:spacing w:after="0" w:line="181" w:lineRule="exact"/>
        <w:rPr>
          <w:rFonts w:ascii="Arial" w:cs="Arial" w:eastAsia="Arial" w:hAnsi="Arial"/>
          <w:sz w:val="18"/>
          <w:szCs w:val="18"/>
          <w:color w:val="010000"/>
        </w:rPr>
      </w:pPr>
    </w:p>
    <w:p>
      <w:pPr>
        <w:ind w:left="1300" w:hanging="643"/>
        <w:spacing w:after="0" w:line="277" w:lineRule="auto"/>
        <w:tabs>
          <w:tab w:leader="none" w:pos="1300" w:val="left"/>
        </w:tabs>
        <w:numPr>
          <w:ilvl w:val="0"/>
          <w:numId w:val="965"/>
        </w:numPr>
        <w:rPr>
          <w:rFonts w:ascii="Arial" w:cs="Arial" w:eastAsia="Arial" w:hAnsi="Arial"/>
          <w:sz w:val="18"/>
          <w:szCs w:val="18"/>
          <w:color w:val="010000"/>
        </w:rPr>
      </w:pPr>
      <w:r>
        <w:rPr>
          <w:rFonts w:ascii="Arial" w:cs="Arial" w:eastAsia="Arial" w:hAnsi="Arial"/>
          <w:sz w:val="18"/>
          <w:szCs w:val="18"/>
          <w:color w:val="auto"/>
        </w:rPr>
        <w:t>Notwithstanding Clause 15.5(a) (</w:t>
      </w:r>
      <w:r>
        <w:rPr>
          <w:rFonts w:ascii="Arial" w:cs="Arial" w:eastAsia="Arial" w:hAnsi="Arial"/>
          <w:sz w:val="18"/>
          <w:szCs w:val="18"/>
          <w:i w:val="1"/>
          <w:iCs w:val="1"/>
          <w:color w:val="auto"/>
        </w:rPr>
        <w:t>Agent of the Mortgagor</w:t>
      </w:r>
      <w:r>
        <w:rPr>
          <w:rFonts w:ascii="Arial" w:cs="Arial" w:eastAsia="Arial" w:hAnsi="Arial"/>
          <w:sz w:val="18"/>
          <w:szCs w:val="18"/>
          <w:color w:val="auto"/>
        </w:rPr>
        <w:t>) if a liquidator of the Mortgagor is appointed, the Receiver shall thereafter act as principal and not as agent for the Collateral Agent, unless otherwise agreed by the Collateral Agent.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1" w:name="page892"/>
    <w:bookmarkEnd w:id="891"/>
    <w:p>
      <w:pPr>
        <w:ind w:right="8500" w:firstLine="9"/>
        <w:spacing w:after="0" w:line="503" w:lineRule="auto"/>
        <w:tabs>
          <w:tab w:leader="none" w:pos="648" w:val="left"/>
        </w:tabs>
        <w:numPr>
          <w:ilvl w:val="0"/>
          <w:numId w:val="966"/>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RIGHTS OF RECEIVERS </w:t>
      </w:r>
      <w:r>
        <w:rPr>
          <w:rFonts w:ascii="Arial" w:cs="Arial" w:eastAsia="Arial" w:hAnsi="Arial"/>
          <w:sz w:val="18"/>
          <w:szCs w:val="18"/>
          <w:b w:val="1"/>
          <w:bCs w:val="1"/>
          <w:color w:val="010000"/>
        </w:rPr>
        <w:t xml:space="preserve">16.1 </w:t>
      </w:r>
      <w:r>
        <w:rPr>
          <w:rFonts w:ascii="Arial" w:cs="Arial" w:eastAsia="Arial" w:hAnsi="Arial"/>
          <w:sz w:val="18"/>
          <w:szCs w:val="18"/>
          <w:b w:val="1"/>
          <w:bCs w:val="1"/>
          <w:color w:val="000000"/>
        </w:rPr>
        <w:t>General</w:t>
      </w:r>
    </w:p>
    <w:p>
      <w:pPr>
        <w:spacing w:after="0" w:line="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Any Receiver appointed under this Deed shall (subject to any contrary provision specified in his appointment) have all the Rights of the Collateral Agent under Clause 17 (</w:t>
      </w:r>
      <w:r>
        <w:rPr>
          <w:rFonts w:ascii="Arial" w:cs="Arial" w:eastAsia="Arial" w:hAnsi="Arial"/>
          <w:sz w:val="18"/>
          <w:szCs w:val="18"/>
          <w:i w:val="1"/>
          <w:iCs w:val="1"/>
          <w:color w:val="auto"/>
        </w:rPr>
        <w:t>Rights of Collateral Agent and Secured Parties</w:t>
      </w:r>
      <w:r>
        <w:rPr>
          <w:rFonts w:ascii="Arial" w:cs="Arial" w:eastAsia="Arial" w:hAnsi="Arial"/>
          <w:sz w:val="18"/>
          <w:szCs w:val="18"/>
          <w:color w:val="auto"/>
        </w:rPr>
        <w:t>) (insofar as applicable to a Receiver) and shall exercise the Rights, either in his own name or in the name of the Mortgagor or otherwise and in such manner and upon such terms and conditions as the Receiver reasonably thinks fit:</w:t>
      </w:r>
    </w:p>
    <w:p>
      <w:pPr>
        <w:spacing w:after="0" w:line="183" w:lineRule="exact"/>
        <w:rPr>
          <w:sz w:val="20"/>
          <w:szCs w:val="20"/>
          <w:color w:val="auto"/>
        </w:rPr>
      </w:pPr>
    </w:p>
    <w:p>
      <w:pPr>
        <w:jc w:val="both"/>
        <w:ind w:left="1300" w:hanging="643"/>
        <w:spacing w:after="0" w:line="266" w:lineRule="auto"/>
        <w:tabs>
          <w:tab w:leader="none" w:pos="1300" w:val="left"/>
        </w:tabs>
        <w:numPr>
          <w:ilvl w:val="0"/>
          <w:numId w:val="967"/>
        </w:numPr>
        <w:rPr>
          <w:rFonts w:ascii="Arial" w:cs="Arial" w:eastAsia="Arial" w:hAnsi="Arial"/>
          <w:sz w:val="18"/>
          <w:szCs w:val="18"/>
          <w:color w:val="010000"/>
        </w:rPr>
      </w:pPr>
      <w:r>
        <w:rPr>
          <w:rFonts w:ascii="Arial" w:cs="Arial" w:eastAsia="Arial" w:hAnsi="Arial"/>
          <w:sz w:val="18"/>
          <w:szCs w:val="18"/>
          <w:b w:val="1"/>
          <w:bCs w:val="1"/>
          <w:color w:val="auto"/>
        </w:rPr>
        <w:t>Rights under Clause 14.2(a) (</w:t>
      </w:r>
      <w:r>
        <w:rPr>
          <w:rFonts w:ascii="Arial" w:cs="Arial" w:eastAsia="Arial" w:hAnsi="Arial"/>
          <w:sz w:val="18"/>
          <w:szCs w:val="18"/>
          <w:b w:val="1"/>
          <w:bCs w:val="1"/>
          <w:i w:val="1"/>
          <w:iCs w:val="1"/>
          <w:color w:val="auto"/>
        </w:rPr>
        <w:t>Enforcement</w:t>
      </w:r>
      <w:r>
        <w:rPr>
          <w:rFonts w:ascii="Arial" w:cs="Arial" w:eastAsia="Arial" w:hAnsi="Arial"/>
          <w:sz w:val="18"/>
          <w:szCs w:val="18"/>
          <w:b w:val="1"/>
          <w:bCs w:val="1"/>
          <w:color w:val="auto"/>
        </w:rPr>
        <w:t>)</w:t>
      </w:r>
      <w:r>
        <w:rPr>
          <w:rFonts w:ascii="Arial" w:cs="Arial" w:eastAsia="Arial" w:hAnsi="Arial"/>
          <w:sz w:val="18"/>
          <w:szCs w:val="18"/>
          <w:color w:val="auto"/>
        </w:rPr>
        <w:t>: to exercise any or all of the Rights conferred upon the Collateral Agent under Clause</w:t>
      </w:r>
      <w:r>
        <w:rPr>
          <w:rFonts w:ascii="Arial" w:cs="Arial" w:eastAsia="Arial" w:hAnsi="Arial"/>
          <w:sz w:val="18"/>
          <w:szCs w:val="18"/>
          <w:b w:val="1"/>
          <w:bCs w:val="1"/>
          <w:color w:val="auto"/>
        </w:rPr>
        <w:t xml:space="preserve"> </w:t>
      </w:r>
      <w:r>
        <w:rPr>
          <w:rFonts w:ascii="Arial" w:cs="Arial" w:eastAsia="Arial" w:hAnsi="Arial"/>
          <w:sz w:val="18"/>
          <w:szCs w:val="18"/>
          <w:color w:val="auto"/>
        </w:rPr>
        <w:t>14.2(a)(i) to 14.2(a)(vii) and under Clause 14.2(a)(ix), as if reference to "Collateral Agent" in Clause 14.2(a)(i) were a reference to "Receiver";</w:t>
      </w:r>
    </w:p>
    <w:p>
      <w:pPr>
        <w:spacing w:after="0" w:line="176" w:lineRule="exact"/>
        <w:rPr>
          <w:rFonts w:ascii="Arial" w:cs="Arial" w:eastAsia="Arial" w:hAnsi="Arial"/>
          <w:sz w:val="18"/>
          <w:szCs w:val="18"/>
          <w:color w:val="010000"/>
        </w:rPr>
      </w:pPr>
    </w:p>
    <w:p>
      <w:pPr>
        <w:ind w:left="1300" w:hanging="643"/>
        <w:spacing w:after="0" w:line="282" w:lineRule="auto"/>
        <w:tabs>
          <w:tab w:leader="none" w:pos="1300" w:val="left"/>
        </w:tabs>
        <w:numPr>
          <w:ilvl w:val="0"/>
          <w:numId w:val="967"/>
        </w:numPr>
        <w:rPr>
          <w:rFonts w:ascii="Arial" w:cs="Arial" w:eastAsia="Arial" w:hAnsi="Arial"/>
          <w:sz w:val="18"/>
          <w:szCs w:val="18"/>
          <w:color w:val="010000"/>
        </w:rPr>
      </w:pPr>
      <w:r>
        <w:rPr>
          <w:rFonts w:ascii="Arial" w:cs="Arial" w:eastAsia="Arial" w:hAnsi="Arial"/>
          <w:sz w:val="18"/>
          <w:szCs w:val="18"/>
          <w:b w:val="1"/>
          <w:bCs w:val="1"/>
          <w:color w:val="auto"/>
        </w:rPr>
        <w:t>Insolvency Act</w:t>
      </w:r>
      <w:r>
        <w:rPr>
          <w:rFonts w:ascii="Arial" w:cs="Arial" w:eastAsia="Arial" w:hAnsi="Arial"/>
          <w:sz w:val="18"/>
          <w:szCs w:val="18"/>
          <w:color w:val="auto"/>
        </w:rPr>
        <w:t>: to exercise all rights set out in Schedule 1 of the Insolvency Act as in force at the date of this Deed (whether or not in</w:t>
      </w:r>
      <w:r>
        <w:rPr>
          <w:rFonts w:ascii="Arial" w:cs="Arial" w:eastAsia="Arial" w:hAnsi="Arial"/>
          <w:sz w:val="18"/>
          <w:szCs w:val="18"/>
          <w:b w:val="1"/>
          <w:bCs w:val="1"/>
          <w:color w:val="auto"/>
        </w:rPr>
        <w:t xml:space="preserve"> </w:t>
      </w:r>
      <w:r>
        <w:rPr>
          <w:rFonts w:ascii="Arial" w:cs="Arial" w:eastAsia="Arial" w:hAnsi="Arial"/>
          <w:sz w:val="18"/>
          <w:szCs w:val="18"/>
          <w:color w:val="auto"/>
        </w:rPr>
        <w:t>force at the date of exercise) and all other powers conferred by law, at the time of exercise, on Receivers;</w:t>
      </w:r>
    </w:p>
    <w:p>
      <w:pPr>
        <w:spacing w:after="0" w:line="161" w:lineRule="exact"/>
        <w:rPr>
          <w:rFonts w:ascii="Arial" w:cs="Arial" w:eastAsia="Arial" w:hAnsi="Arial"/>
          <w:sz w:val="18"/>
          <w:szCs w:val="18"/>
          <w:color w:val="010000"/>
        </w:rPr>
      </w:pPr>
    </w:p>
    <w:p>
      <w:pPr>
        <w:jc w:val="both"/>
        <w:ind w:left="1300" w:hanging="643"/>
        <w:spacing w:after="0" w:line="277" w:lineRule="auto"/>
        <w:tabs>
          <w:tab w:leader="none" w:pos="1300" w:val="left"/>
        </w:tabs>
        <w:numPr>
          <w:ilvl w:val="0"/>
          <w:numId w:val="967"/>
        </w:numPr>
        <w:rPr>
          <w:rFonts w:ascii="Arial" w:cs="Arial" w:eastAsia="Arial" w:hAnsi="Arial"/>
          <w:sz w:val="17"/>
          <w:szCs w:val="17"/>
          <w:color w:val="010000"/>
        </w:rPr>
      </w:pPr>
      <w:r>
        <w:rPr>
          <w:rFonts w:ascii="Arial" w:cs="Arial" w:eastAsia="Arial" w:hAnsi="Arial"/>
          <w:sz w:val="17"/>
          <w:szCs w:val="17"/>
          <w:b w:val="1"/>
          <w:bCs w:val="1"/>
          <w:color w:val="auto"/>
        </w:rPr>
        <w:t>Raise or borrow money</w:t>
      </w:r>
      <w:r>
        <w:rPr>
          <w:rFonts w:ascii="Arial" w:cs="Arial" w:eastAsia="Arial" w:hAnsi="Arial"/>
          <w:sz w:val="17"/>
          <w:szCs w:val="17"/>
          <w:color w:val="auto"/>
        </w:rPr>
        <w:t>: to raise or borrow money, either unsecured or on the security of any Secured Asset (either in priority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or otherwise) for any purpose whatsoever, including, without limitation, for the purpose of exercising any of the Rights conferred upon the Receiver by or pursuant to this Deed or of defraying any costs, charges, Losses, liabilities or expenses (including his remuneration) incurred by or due to the Receiver in the exercise thereof, in each case and at all times, in accordance with its express power to raise or borrow money pursuant to Schedule 1 of the Insolvency Act;</w:t>
      </w:r>
    </w:p>
    <w:p>
      <w:pPr>
        <w:spacing w:after="0" w:line="168" w:lineRule="exact"/>
        <w:rPr>
          <w:rFonts w:ascii="Arial" w:cs="Arial" w:eastAsia="Arial" w:hAnsi="Arial"/>
          <w:sz w:val="17"/>
          <w:szCs w:val="17"/>
          <w:color w:val="010000"/>
        </w:rPr>
      </w:pPr>
    </w:p>
    <w:p>
      <w:pPr>
        <w:jc w:val="both"/>
        <w:ind w:left="1300" w:right="20" w:hanging="643"/>
        <w:spacing w:after="0" w:line="347" w:lineRule="auto"/>
        <w:tabs>
          <w:tab w:leader="none" w:pos="1300" w:val="left"/>
        </w:tabs>
        <w:numPr>
          <w:ilvl w:val="0"/>
          <w:numId w:val="967"/>
        </w:numPr>
        <w:rPr>
          <w:rFonts w:ascii="Arial" w:cs="Arial" w:eastAsia="Arial" w:hAnsi="Arial"/>
          <w:sz w:val="16"/>
          <w:szCs w:val="16"/>
          <w:color w:val="010000"/>
        </w:rPr>
      </w:pPr>
      <w:r>
        <w:rPr>
          <w:rFonts w:ascii="Arial" w:cs="Arial" w:eastAsia="Arial" w:hAnsi="Arial"/>
          <w:sz w:val="16"/>
          <w:szCs w:val="16"/>
          <w:b w:val="1"/>
          <w:bCs w:val="1"/>
          <w:color w:val="auto"/>
        </w:rPr>
        <w:t>Redemption of Security Interests</w:t>
      </w:r>
      <w:r>
        <w:rPr>
          <w:rFonts w:ascii="Arial" w:cs="Arial" w:eastAsia="Arial" w:hAnsi="Arial"/>
          <w:sz w:val="16"/>
          <w:szCs w:val="16"/>
          <w:color w:val="auto"/>
        </w:rPr>
        <w:t>: to redeem any Security Interest (whether or not having priority to the Security) over any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Asset and to settle the accounts of holders of such interests and any accounts so settled shall be conclusive and binding on the Mortgagor;</w:t>
      </w:r>
    </w:p>
    <w:p>
      <w:pPr>
        <w:spacing w:after="0" w:line="116" w:lineRule="exact"/>
        <w:rPr>
          <w:rFonts w:ascii="Arial" w:cs="Arial" w:eastAsia="Arial" w:hAnsi="Arial"/>
          <w:sz w:val="16"/>
          <w:szCs w:val="16"/>
          <w:color w:val="010000"/>
        </w:rPr>
      </w:pPr>
    </w:p>
    <w:p>
      <w:pPr>
        <w:ind w:left="1300" w:hanging="643"/>
        <w:spacing w:after="0" w:line="282" w:lineRule="auto"/>
        <w:tabs>
          <w:tab w:leader="none" w:pos="1300" w:val="left"/>
        </w:tabs>
        <w:numPr>
          <w:ilvl w:val="0"/>
          <w:numId w:val="967"/>
        </w:numPr>
        <w:rPr>
          <w:rFonts w:ascii="Arial" w:cs="Arial" w:eastAsia="Arial" w:hAnsi="Arial"/>
          <w:sz w:val="18"/>
          <w:szCs w:val="18"/>
          <w:color w:val="010000"/>
        </w:rPr>
      </w:pPr>
      <w:r>
        <w:rPr>
          <w:rFonts w:ascii="Arial" w:cs="Arial" w:eastAsia="Arial" w:hAnsi="Arial"/>
          <w:sz w:val="18"/>
          <w:szCs w:val="18"/>
          <w:b w:val="1"/>
          <w:bCs w:val="1"/>
          <w:color w:val="auto"/>
        </w:rPr>
        <w:t>Receipts</w:t>
      </w:r>
      <w:r>
        <w:rPr>
          <w:rFonts w:ascii="Arial" w:cs="Arial" w:eastAsia="Arial" w:hAnsi="Arial"/>
          <w:sz w:val="18"/>
          <w:szCs w:val="18"/>
          <w:color w:val="auto"/>
        </w:rPr>
        <w:t>: to give a valid receipt for any moneys and execute any assurance or thing which may be proper or desirable for realising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Asset;</w:t>
      </w:r>
    </w:p>
    <w:p>
      <w:pPr>
        <w:spacing w:after="0" w:line="161" w:lineRule="exact"/>
        <w:rPr>
          <w:rFonts w:ascii="Arial" w:cs="Arial" w:eastAsia="Arial" w:hAnsi="Arial"/>
          <w:sz w:val="18"/>
          <w:szCs w:val="18"/>
          <w:color w:val="010000"/>
        </w:rPr>
      </w:pPr>
    </w:p>
    <w:p>
      <w:pPr>
        <w:ind w:left="1300" w:hanging="643"/>
        <w:spacing w:after="0" w:line="282" w:lineRule="auto"/>
        <w:tabs>
          <w:tab w:leader="none" w:pos="1300" w:val="left"/>
        </w:tabs>
        <w:numPr>
          <w:ilvl w:val="0"/>
          <w:numId w:val="967"/>
        </w:numPr>
        <w:rPr>
          <w:rFonts w:ascii="Arial" w:cs="Arial" w:eastAsia="Arial" w:hAnsi="Arial"/>
          <w:sz w:val="18"/>
          <w:szCs w:val="18"/>
          <w:color w:val="010000"/>
        </w:rPr>
      </w:pPr>
      <w:r>
        <w:rPr>
          <w:rFonts w:ascii="Arial" w:cs="Arial" w:eastAsia="Arial" w:hAnsi="Arial"/>
          <w:sz w:val="18"/>
          <w:szCs w:val="18"/>
          <w:b w:val="1"/>
          <w:bCs w:val="1"/>
          <w:color w:val="auto"/>
        </w:rPr>
        <w:t>Delegation</w:t>
      </w:r>
      <w:r>
        <w:rPr>
          <w:rFonts w:ascii="Arial" w:cs="Arial" w:eastAsia="Arial" w:hAnsi="Arial"/>
          <w:sz w:val="18"/>
          <w:szCs w:val="18"/>
          <w:color w:val="auto"/>
        </w:rPr>
        <w:t>: to delegate to any person any Rights exercisable by the Receiver under or in connection with this Deed, either generally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and on such terms as the Receiver reasonably thinks fit; and</w:t>
      </w:r>
    </w:p>
    <w:p>
      <w:pPr>
        <w:spacing w:after="0" w:line="161" w:lineRule="exact"/>
        <w:rPr>
          <w:rFonts w:ascii="Arial" w:cs="Arial" w:eastAsia="Arial" w:hAnsi="Arial"/>
          <w:sz w:val="18"/>
          <w:szCs w:val="18"/>
          <w:color w:val="010000"/>
        </w:rPr>
      </w:pPr>
    </w:p>
    <w:p>
      <w:pPr>
        <w:jc w:val="both"/>
        <w:ind w:left="1300" w:hanging="643"/>
        <w:spacing w:after="0" w:line="314" w:lineRule="auto"/>
        <w:tabs>
          <w:tab w:leader="none" w:pos="1300" w:val="left"/>
        </w:tabs>
        <w:numPr>
          <w:ilvl w:val="0"/>
          <w:numId w:val="967"/>
        </w:numPr>
        <w:rPr>
          <w:rFonts w:ascii="Arial" w:cs="Arial" w:eastAsia="Arial" w:hAnsi="Arial"/>
          <w:sz w:val="16"/>
          <w:szCs w:val="16"/>
          <w:color w:val="010000"/>
        </w:rPr>
      </w:pPr>
      <w:r>
        <w:rPr>
          <w:rFonts w:ascii="Arial" w:cs="Arial" w:eastAsia="Arial" w:hAnsi="Arial"/>
          <w:sz w:val="16"/>
          <w:szCs w:val="16"/>
          <w:b w:val="1"/>
          <w:bCs w:val="1"/>
          <w:color w:val="auto"/>
        </w:rPr>
        <w:t>General</w:t>
      </w:r>
      <w:r>
        <w:rPr>
          <w:rFonts w:ascii="Arial" w:cs="Arial" w:eastAsia="Arial" w:hAnsi="Arial"/>
          <w:sz w:val="16"/>
          <w:szCs w:val="16"/>
          <w:color w:val="auto"/>
        </w:rPr>
        <w:t>: to do all such other acts and things the Receiver considers necessary or desirable in connection with the exercise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conferred upon the Receiver hereunder or by law and all things the Receiver considers incidental or conducive to the exercise and performance of such Rights and obligations and to do anything which the Receiver has the right to do jointly with any other person.</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16.2</w:t>
      </w:r>
      <w:r>
        <w:rPr>
          <w:sz w:val="20"/>
          <w:szCs w:val="20"/>
          <w:color w:val="auto"/>
        </w:rPr>
        <w:tab/>
      </w:r>
      <w:r>
        <w:rPr>
          <w:rFonts w:ascii="Arial" w:cs="Arial" w:eastAsia="Arial" w:hAnsi="Arial"/>
          <w:sz w:val="16"/>
          <w:szCs w:val="16"/>
          <w:b w:val="1"/>
          <w:bCs w:val="1"/>
          <w:color w:val="auto"/>
        </w:rPr>
        <w:t>Remuneration</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Subject to section 36 of the Insolvency Act, the remuneration of any Receiver may be fixed by the Collateral Agent without being limited to the maximum rate specified by section 109(6) of the LPA. Such remuneration shall be payable by the Mortgagor alone. The amount of such remuneration may be debited by the Collateral Agent from any account of the Mortgagor but shall, in any event, form part of the Secured Obligations and accordingly be secured on the Secured Assets under the Security. Such remuneration shall be paid on such terms and in such manner as the Collateral Agent and Receiver may from time to time agree or failing such agreement as the Collateral Agent reasonably determines.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92" w:name="page893"/>
    <w:bookmarkEnd w:id="892"/>
    <w:p>
      <w:pPr>
        <w:ind w:right="5460" w:firstLine="9"/>
        <w:spacing w:after="0" w:line="503" w:lineRule="auto"/>
        <w:tabs>
          <w:tab w:leader="none" w:pos="648" w:val="left"/>
        </w:tabs>
        <w:numPr>
          <w:ilvl w:val="0"/>
          <w:numId w:val="968"/>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RIGHTS OF COLLATERAL AGENT AND SECURED PARTIES </w:t>
      </w:r>
      <w:r>
        <w:rPr>
          <w:rFonts w:ascii="Arial" w:cs="Arial" w:eastAsia="Arial" w:hAnsi="Arial"/>
          <w:sz w:val="18"/>
          <w:szCs w:val="18"/>
          <w:b w:val="1"/>
          <w:bCs w:val="1"/>
          <w:color w:val="010000"/>
        </w:rPr>
        <w:t xml:space="preserve">17.1 </w:t>
      </w:r>
      <w:r>
        <w:rPr>
          <w:rFonts w:ascii="Arial" w:cs="Arial" w:eastAsia="Arial" w:hAnsi="Arial"/>
          <w:sz w:val="18"/>
          <w:szCs w:val="18"/>
          <w:b w:val="1"/>
          <w:bCs w:val="1"/>
          <w:color w:val="000000"/>
        </w:rPr>
        <w:t>Receipts</w:t>
      </w:r>
    </w:p>
    <w:p>
      <w:pPr>
        <w:spacing w:after="0" w:line="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Collateral Agent may give a valid receipt for any moneys and execute any assurance or thing which may be proper or desirable for realising any Secured Asset.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17.2</w:t>
      </w:r>
      <w:r>
        <w:rPr>
          <w:sz w:val="20"/>
          <w:szCs w:val="20"/>
          <w:color w:val="auto"/>
        </w:rPr>
        <w:tab/>
      </w:r>
      <w:r>
        <w:rPr>
          <w:rFonts w:ascii="Arial" w:cs="Arial" w:eastAsia="Arial" w:hAnsi="Arial"/>
          <w:sz w:val="16"/>
          <w:szCs w:val="16"/>
          <w:b w:val="1"/>
          <w:bCs w:val="1"/>
          <w:color w:val="auto"/>
        </w:rPr>
        <w:t>Delegation</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Collateral Agent may at any time, and from time to time, delegate to any person any Rights exercisable by the Collateral Agent under or in connection with this Deed on such terms and conditions (including power to sub-delegate) as the Collateral Agent thinks fit.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17.3</w:t>
      </w:r>
      <w:r>
        <w:rPr>
          <w:sz w:val="20"/>
          <w:szCs w:val="20"/>
          <w:color w:val="auto"/>
        </w:rPr>
        <w:tab/>
      </w:r>
      <w:r>
        <w:rPr>
          <w:rFonts w:ascii="Arial" w:cs="Arial" w:eastAsia="Arial" w:hAnsi="Arial"/>
          <w:sz w:val="16"/>
          <w:szCs w:val="16"/>
          <w:b w:val="1"/>
          <w:bCs w:val="1"/>
          <w:color w:val="auto"/>
        </w:rPr>
        <w:t>Redemption of prior Security Interests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Collateral Agent may, at any time after an Enforcement Event has occurred, redeem any Security Interest having priority to the Security at any time or procure the transfer thereof to the Collateral Agent and may settle the accounts of holders of such interests and any account so settled shall be conclusive and binding on the Mortgagor. All principal monies, interest and Losses of and incidental to such redemption or transfer shall be paid by the Mortgagor to the Collateral Agent promptly on demand.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17.4</w:t>
      </w:r>
      <w:r>
        <w:rPr>
          <w:sz w:val="20"/>
          <w:szCs w:val="20"/>
          <w:color w:val="auto"/>
        </w:rPr>
        <w:tab/>
      </w:r>
      <w:r>
        <w:rPr>
          <w:rFonts w:ascii="Arial" w:cs="Arial" w:eastAsia="Arial" w:hAnsi="Arial"/>
          <w:sz w:val="15"/>
          <w:szCs w:val="15"/>
          <w:b w:val="1"/>
          <w:bCs w:val="1"/>
          <w:color w:val="auto"/>
        </w:rPr>
        <w:t>Suspense account</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17.5</w:t>
      </w:r>
      <w:r>
        <w:rPr>
          <w:sz w:val="20"/>
          <w:szCs w:val="20"/>
          <w:color w:val="auto"/>
        </w:rPr>
        <w:tab/>
      </w:r>
      <w:r>
        <w:rPr>
          <w:rFonts w:ascii="Arial" w:cs="Arial" w:eastAsia="Arial" w:hAnsi="Arial"/>
          <w:sz w:val="15"/>
          <w:szCs w:val="15"/>
          <w:b w:val="1"/>
          <w:bCs w:val="1"/>
          <w:color w:val="auto"/>
        </w:rPr>
        <w:t>New account</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If the Collateral Agent receives notice (actual or constructive) of any subsequent Security Interest (other than any Security Interest permitted under the Loan Agreement) over any Secured Asset, or if an Insolvency Event in relation to the Mortgagor occurs, each Secured Party may open a new account in the name of the Mortgagor (whether or not it allows any existing account to continue), and if it does not do so, it shall be deemed to have done so at the time the Collateral Agent received or was deemed to have received such notice or at the time that the Insolvency Event commenced (such time the "</w:t>
      </w:r>
      <w:r>
        <w:rPr>
          <w:rFonts w:ascii="Arial" w:cs="Arial" w:eastAsia="Arial" w:hAnsi="Arial"/>
          <w:sz w:val="18"/>
          <w:szCs w:val="18"/>
          <w:b w:val="1"/>
          <w:bCs w:val="1"/>
          <w:color w:val="auto"/>
        </w:rPr>
        <w:t>Relevant Time</w:t>
      </w:r>
      <w:r>
        <w:rPr>
          <w:rFonts w:ascii="Arial" w:cs="Arial" w:eastAsia="Arial" w:hAnsi="Arial"/>
          <w:sz w:val="18"/>
          <w:szCs w:val="18"/>
          <w:color w:val="auto"/>
        </w:rPr>
        <w:t>"). Thereafter, all subsequent payments by the Mortgagor to the relevant Secured Party and all payments received by the relevant Secured Party for the account of the Mortgagor, whether received from the Collateral Agent or otherwise, shall be credited or deemed to have been credited to the new account, and shall not operate to reduce the Secured Obligations owing to such Secured Party at the Relevant Time.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893" w:name="page894"/>
    <w:bookmarkEnd w:id="893"/>
    <w:p>
      <w:pPr>
        <w:spacing w:after="0"/>
        <w:tabs>
          <w:tab w:leader="none" w:pos="640" w:val="left"/>
        </w:tabs>
        <w:rPr>
          <w:sz w:val="20"/>
          <w:szCs w:val="20"/>
          <w:color w:val="auto"/>
        </w:rPr>
      </w:pPr>
      <w:r>
        <w:rPr>
          <w:rFonts w:ascii="Arial" w:cs="Arial" w:eastAsia="Arial" w:hAnsi="Arial"/>
          <w:sz w:val="18"/>
          <w:szCs w:val="18"/>
          <w:b w:val="1"/>
          <w:bCs w:val="1"/>
          <w:color w:val="010000"/>
        </w:rPr>
        <w:t>17.6</w:t>
      </w:r>
      <w:r>
        <w:rPr>
          <w:sz w:val="20"/>
          <w:szCs w:val="20"/>
          <w:color w:val="auto"/>
        </w:rPr>
        <w:tab/>
      </w:r>
      <w:r>
        <w:rPr>
          <w:rFonts w:ascii="Arial" w:cs="Arial" w:eastAsia="Arial" w:hAnsi="Arial"/>
          <w:sz w:val="16"/>
          <w:szCs w:val="16"/>
          <w:b w:val="1"/>
          <w:bCs w:val="1"/>
          <w:color w:val="auto"/>
        </w:rPr>
        <w:t>Other security and rights</w:t>
      </w:r>
    </w:p>
    <w:p>
      <w:pPr>
        <w:spacing w:after="0" w:line="229" w:lineRule="exact"/>
        <w:rPr>
          <w:sz w:val="20"/>
          <w:szCs w:val="20"/>
          <w:color w:val="auto"/>
        </w:rPr>
      </w:pPr>
    </w:p>
    <w:p>
      <w:pPr>
        <w:jc w:val="both"/>
        <w:ind w:left="660" w:right="100"/>
        <w:spacing w:after="0" w:line="276" w:lineRule="auto"/>
        <w:rPr>
          <w:sz w:val="20"/>
          <w:szCs w:val="20"/>
          <w:color w:val="auto"/>
        </w:rPr>
      </w:pPr>
      <w:r>
        <w:rPr>
          <w:rFonts w:ascii="Arial" w:cs="Arial" w:eastAsia="Arial" w:hAnsi="Arial"/>
          <w:sz w:val="17"/>
          <w:szCs w:val="17"/>
          <w:color w:val="auto"/>
        </w:rPr>
        <w:t>The Collateral Agent may, at any time, without affecting the Security or the liability of the Mortgagor under this Deed: (a) refrain from applying or enforcing any other moneys, Security Interests or rights held or received by it (or any trustee or agent on its behalf) in respect of any Secured Obligations; or (b) apply and enforce the same in such manner and order as it reasonably sees fit (whether against those amounts or otherwise), and the Mortgagor waives any right it may have of first requiring the Collateral Agent to proceed against any other person, exercise any other rights or take any other steps before exercising any Rights under or pursuant to this Deed.</w:t>
      </w:r>
    </w:p>
    <w:p>
      <w:pPr>
        <w:spacing w:after="0" w:line="169" w:lineRule="exact"/>
        <w:rPr>
          <w:sz w:val="20"/>
          <w:szCs w:val="20"/>
          <w:color w:val="auto"/>
        </w:rPr>
      </w:pPr>
    </w:p>
    <w:p>
      <w:pPr>
        <w:ind w:right="8300" w:firstLine="9"/>
        <w:spacing w:after="0" w:line="503" w:lineRule="auto"/>
        <w:tabs>
          <w:tab w:leader="none" w:pos="648" w:val="left"/>
        </w:tabs>
        <w:numPr>
          <w:ilvl w:val="0"/>
          <w:numId w:val="969"/>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APPLICATION OF MONEYS </w:t>
      </w:r>
      <w:r>
        <w:rPr>
          <w:rFonts w:ascii="Arial" w:cs="Arial" w:eastAsia="Arial" w:hAnsi="Arial"/>
          <w:sz w:val="18"/>
          <w:szCs w:val="18"/>
          <w:b w:val="1"/>
          <w:bCs w:val="1"/>
          <w:color w:val="010000"/>
        </w:rPr>
        <w:t xml:space="preserve">18.1 </w:t>
      </w:r>
      <w:r>
        <w:rPr>
          <w:rFonts w:ascii="Arial" w:cs="Arial" w:eastAsia="Arial" w:hAnsi="Arial"/>
          <w:sz w:val="18"/>
          <w:szCs w:val="18"/>
          <w:b w:val="1"/>
          <w:bCs w:val="1"/>
          <w:color w:val="000000"/>
        </w:rPr>
        <w:t>Application</w:t>
      </w:r>
    </w:p>
    <w:p>
      <w:pPr>
        <w:spacing w:after="0" w:line="1" w:lineRule="exact"/>
        <w:rPr>
          <w:sz w:val="20"/>
          <w:szCs w:val="20"/>
          <w:color w:val="auto"/>
        </w:rPr>
      </w:pPr>
    </w:p>
    <w:p>
      <w:pPr>
        <w:jc w:val="both"/>
        <w:ind w:left="660" w:right="100"/>
        <w:spacing w:after="0" w:line="264" w:lineRule="auto"/>
        <w:rPr>
          <w:sz w:val="20"/>
          <w:szCs w:val="20"/>
          <w:color w:val="auto"/>
        </w:rPr>
      </w:pPr>
      <w:r>
        <w:rPr>
          <w:rFonts w:ascii="Arial" w:cs="Arial" w:eastAsia="Arial" w:hAnsi="Arial"/>
          <w:sz w:val="18"/>
          <w:szCs w:val="18"/>
          <w:color w:val="auto"/>
        </w:rPr>
        <w:t>All moneys realised, received or recovered by the Collateral Agent or any Receiver in the exercise of their respective Rights under or in connection with this Deed, shall (subject, in each case, to any claims ranking in priority as a matter of law) be applied in or towards, in the order specified in the Loan Agreement.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18.2</w:t>
      </w:r>
      <w:r>
        <w:rPr>
          <w:sz w:val="20"/>
          <w:szCs w:val="20"/>
          <w:color w:val="auto"/>
        </w:rPr>
        <w:tab/>
      </w:r>
      <w:r>
        <w:rPr>
          <w:rFonts w:ascii="Arial" w:cs="Arial" w:eastAsia="Arial" w:hAnsi="Arial"/>
          <w:sz w:val="15"/>
          <w:szCs w:val="15"/>
          <w:b w:val="1"/>
          <w:bCs w:val="1"/>
          <w:color w:val="auto"/>
        </w:rPr>
        <w:t>Statutory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105, 107(2) and 109(8) of the LPA shall not apply to this Deed.</w:t>
      </w:r>
    </w:p>
    <w:p>
      <w:pPr>
        <w:spacing w:after="0" w:line="221" w:lineRule="exact"/>
        <w:rPr>
          <w:sz w:val="20"/>
          <w:szCs w:val="20"/>
          <w:color w:val="auto"/>
        </w:rPr>
      </w:pPr>
    </w:p>
    <w:p>
      <w:pPr>
        <w:ind w:left="660" w:hanging="651"/>
        <w:spacing w:after="0"/>
        <w:tabs>
          <w:tab w:leader="none" w:pos="660" w:val="left"/>
        </w:tabs>
        <w:numPr>
          <w:ilvl w:val="0"/>
          <w:numId w:val="970"/>
        </w:numPr>
        <w:rPr>
          <w:rFonts w:ascii="Arial" w:cs="Arial" w:eastAsia="Arial" w:hAnsi="Arial"/>
          <w:sz w:val="18"/>
          <w:szCs w:val="18"/>
          <w:b w:val="1"/>
          <w:bCs w:val="1"/>
          <w:color w:val="010000"/>
        </w:rPr>
      </w:pPr>
      <w:r>
        <w:rPr>
          <w:rFonts w:ascii="Arial" w:cs="Arial" w:eastAsia="Arial" w:hAnsi="Arial"/>
          <w:sz w:val="18"/>
          <w:szCs w:val="18"/>
          <w:b w:val="1"/>
          <w:bCs w:val="1"/>
          <w:color w:val="auto"/>
        </w:rPr>
        <w:t>LIABILITY OF COLLATERAL AGENT, RECEIVER AND DELEGATES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8"/>
          <w:szCs w:val="18"/>
          <w:color w:val="auto"/>
        </w:rPr>
        <w:t>No Relevant Person shall, in any circumstances, (whether as mortgagee in possession or otherwise) be liable to the Mortgagor or to any other person for any Loss arising under or in connection with this Deed or the Security, including, without limitation, any Loss relating to: (a) the enforcement of the Security in accordance with this Deed; or (b) any exercise, purported exercise or non-exercise of any Right under or in relation to this Deed or the Security.</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b w:val="1"/>
          <w:bCs w:val="1"/>
          <w:color w:val="010000"/>
        </w:rPr>
        <w:t>19.2</w:t>
      </w:r>
      <w:r>
        <w:rPr>
          <w:sz w:val="20"/>
          <w:szCs w:val="20"/>
          <w:color w:val="auto"/>
        </w:rPr>
        <w:tab/>
      </w:r>
      <w:r>
        <w:rPr>
          <w:rFonts w:ascii="Arial" w:cs="Arial" w:eastAsia="Arial" w:hAnsi="Arial"/>
          <w:sz w:val="18"/>
          <w:szCs w:val="18"/>
          <w:color w:val="auto"/>
        </w:rPr>
        <w:t>Clause 19.1 (</w:t>
      </w:r>
      <w:r>
        <w:rPr>
          <w:rFonts w:ascii="Arial" w:cs="Arial" w:eastAsia="Arial" w:hAnsi="Arial"/>
          <w:sz w:val="18"/>
          <w:szCs w:val="18"/>
          <w:i w:val="1"/>
          <w:iCs w:val="1"/>
          <w:color w:val="auto"/>
        </w:rPr>
        <w:t>Liability of Collateral Agent, Receiver</w:t>
      </w:r>
      <w:r>
        <w:rPr>
          <w:rFonts w:ascii="Arial" w:cs="Arial" w:eastAsia="Arial" w:hAnsi="Arial"/>
          <w:sz w:val="18"/>
          <w:szCs w:val="18"/>
          <w:color w:val="auto"/>
        </w:rPr>
        <w:t xml:space="preserve"> ) shall not apply in respect of any Loss to the extent that it has been found by a final non-appealable judgment of a court of competent jurisdiction to have been incurred by reason of the Relevant Person’s gross negligence, wilful misconduct or unlawful conduct.</w:t>
      </w:r>
    </w:p>
    <w:p>
      <w:pPr>
        <w:spacing w:after="0" w:line="181"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b w:val="1"/>
          <w:bCs w:val="1"/>
          <w:color w:val="010000"/>
        </w:rPr>
        <w:t>19.3</w:t>
      </w:r>
      <w:r>
        <w:rPr>
          <w:sz w:val="20"/>
          <w:szCs w:val="20"/>
          <w:color w:val="auto"/>
        </w:rPr>
        <w:tab/>
      </w:r>
      <w:r>
        <w:rPr>
          <w:rFonts w:ascii="Arial" w:cs="Arial" w:eastAsia="Arial" w:hAnsi="Arial"/>
          <w:sz w:val="17"/>
          <w:szCs w:val="17"/>
          <w:color w:val="auto"/>
        </w:rPr>
        <w:t>The Mortgagor may not take any proceedings against any officer, employee or agent of the Collateral Agent or of any Receiver or of any Delegate in respect of any claim against the Collateral Agent, Receiver or Delegate or in respect of any act or omission of such officer, employee or agent (save where such act has been found by a final non-appealable judgment of a court of competent jurisdiction to have been a direct result of his or its gross negligence, wilful misconduct or unlawful conduct), in each case in connection with this Deed.</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010000"/>
        </w:rPr>
        <w:t>19.4</w:t>
      </w:r>
      <w:r>
        <w:rPr>
          <w:sz w:val="20"/>
          <w:szCs w:val="20"/>
          <w:color w:val="auto"/>
        </w:rPr>
        <w:tab/>
      </w:r>
      <w:r>
        <w:rPr>
          <w:rFonts w:ascii="Arial" w:cs="Arial" w:eastAsia="Arial" w:hAnsi="Arial"/>
          <w:sz w:val="18"/>
          <w:szCs w:val="18"/>
          <w:color w:val="auto"/>
        </w:rPr>
        <w:t>Each officer, employee and agent of the Collateral Agent or of any Receiver or Delegate may rely on this Clause 19 (</w:t>
      </w:r>
      <w:r>
        <w:rPr>
          <w:rFonts w:ascii="Arial" w:cs="Arial" w:eastAsia="Arial" w:hAnsi="Arial"/>
          <w:sz w:val="18"/>
          <w:szCs w:val="18"/>
          <w:i w:val="1"/>
          <w:iCs w:val="1"/>
          <w:color w:val="auto"/>
        </w:rPr>
        <w:t>Liability of Collateral Agent,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Receiver </w:t>
      </w:r>
      <w:r>
        <w:rPr>
          <w:rFonts w:ascii="Arial" w:cs="Arial" w:eastAsia="Arial" w:hAnsi="Arial"/>
          <w:sz w:val="18"/>
          <w:szCs w:val="18"/>
          <w:color w:val="auto"/>
        </w:rPr>
        <w:t>) in accordance with the Third Parties Act (but subject to Clause 27.5 (</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3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148" w:right="239" w:bottom="1440" w:gutter="0" w:footer="0" w:header="0"/>
        </w:sectPr>
      </w:pPr>
    </w:p>
    <w:bookmarkStart w:id="894" w:name="page895"/>
    <w:bookmarkEnd w:id="894"/>
    <w:p>
      <w:pPr>
        <w:ind w:left="660" w:hanging="651"/>
        <w:spacing w:after="0"/>
        <w:tabs>
          <w:tab w:leader="none" w:pos="660" w:val="left"/>
        </w:tabs>
        <w:numPr>
          <w:ilvl w:val="0"/>
          <w:numId w:val="971"/>
        </w:numPr>
        <w:rPr>
          <w:rFonts w:ascii="Arial" w:cs="Arial" w:eastAsia="Arial" w:hAnsi="Arial"/>
          <w:sz w:val="18"/>
          <w:szCs w:val="18"/>
          <w:b w:val="1"/>
          <w:bCs w:val="1"/>
          <w:color w:val="010000"/>
        </w:rPr>
      </w:pPr>
      <w:r>
        <w:rPr>
          <w:rFonts w:ascii="Arial" w:cs="Arial" w:eastAsia="Arial" w:hAnsi="Arial"/>
          <w:sz w:val="18"/>
          <w:szCs w:val="18"/>
          <w:b w:val="1"/>
          <w:bCs w:val="1"/>
          <w:color w:val="auto"/>
        </w:rPr>
        <w:t>INDEMNITY</w:t>
      </w:r>
    </w:p>
    <w:p>
      <w:pPr>
        <w:spacing w:after="0" w:line="229" w:lineRule="exact"/>
        <w:rPr>
          <w:rFonts w:ascii="Arial" w:cs="Arial" w:eastAsia="Arial" w:hAnsi="Arial"/>
          <w:sz w:val="18"/>
          <w:szCs w:val="18"/>
          <w:b w:val="1"/>
          <w:bCs w:val="1"/>
          <w:color w:val="010000"/>
        </w:rPr>
      </w:pPr>
    </w:p>
    <w:p>
      <w:pPr>
        <w:jc w:val="both"/>
        <w:ind w:left="660"/>
        <w:spacing w:after="0" w:line="264" w:lineRule="auto"/>
        <w:rPr>
          <w:rFonts w:ascii="Arial" w:cs="Arial" w:eastAsia="Arial" w:hAnsi="Arial"/>
          <w:sz w:val="18"/>
          <w:szCs w:val="18"/>
          <w:b w:val="1"/>
          <w:bCs w:val="1"/>
          <w:color w:val="010000"/>
        </w:rPr>
      </w:pPr>
      <w:r>
        <w:rPr>
          <w:rFonts w:ascii="Arial" w:cs="Arial" w:eastAsia="Arial" w:hAnsi="Arial"/>
          <w:sz w:val="18"/>
          <w:szCs w:val="18"/>
          <w:color w:val="auto"/>
        </w:rPr>
        <w:t>The Mortgagor shall indemnify each Relevant Person to the extent that and in the manner in which the Borrowers indemnify the Indemnitees under Section 11.04 (</w:t>
      </w:r>
      <w:r>
        <w:rPr>
          <w:rFonts w:ascii="Arial" w:cs="Arial" w:eastAsia="Arial" w:hAnsi="Arial"/>
          <w:sz w:val="18"/>
          <w:szCs w:val="18"/>
          <w:i w:val="1"/>
          <w:iCs w:val="1"/>
          <w:color w:val="auto"/>
        </w:rPr>
        <w:t>Indemnity</w:t>
      </w:r>
      <w:r>
        <w:rPr>
          <w:rFonts w:ascii="Arial" w:cs="Arial" w:eastAsia="Arial" w:hAnsi="Arial"/>
          <w:sz w:val="18"/>
          <w:szCs w:val="18"/>
          <w:color w:val="auto"/>
        </w:rPr>
        <w:t>) of the Loan Agreement. Each Relevant Person may rely on this Clause 20 (</w:t>
      </w:r>
      <w:r>
        <w:rPr>
          <w:rFonts w:ascii="Arial" w:cs="Arial" w:eastAsia="Arial" w:hAnsi="Arial"/>
          <w:sz w:val="18"/>
          <w:szCs w:val="18"/>
          <w:i w:val="1"/>
          <w:iCs w:val="1"/>
          <w:color w:val="auto"/>
        </w:rPr>
        <w:t>Indemnity</w:t>
      </w:r>
      <w:r>
        <w:rPr>
          <w:rFonts w:ascii="Arial" w:cs="Arial" w:eastAsia="Arial" w:hAnsi="Arial"/>
          <w:sz w:val="18"/>
          <w:szCs w:val="18"/>
          <w:color w:val="auto"/>
        </w:rPr>
        <w:t>) in accordance with the Third Parties Act but subject to Clause 27.5 (</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71"/>
        </w:numPr>
        <w:rPr>
          <w:rFonts w:ascii="Arial" w:cs="Arial" w:eastAsia="Arial" w:hAnsi="Arial"/>
          <w:sz w:val="18"/>
          <w:szCs w:val="18"/>
          <w:b w:val="1"/>
          <w:bCs w:val="1"/>
          <w:color w:val="010000"/>
        </w:rPr>
      </w:pPr>
      <w:r>
        <w:rPr>
          <w:rFonts w:ascii="Arial" w:cs="Arial" w:eastAsia="Arial" w:hAnsi="Arial"/>
          <w:sz w:val="18"/>
          <w:szCs w:val="18"/>
          <w:b w:val="1"/>
          <w:bCs w:val="1"/>
          <w:color w:val="auto"/>
        </w:rPr>
        <w:t>PROTECTION OF THIRD PARTIES</w:t>
      </w:r>
    </w:p>
    <w:p>
      <w:pPr>
        <w:spacing w:after="0" w:line="229" w:lineRule="exact"/>
        <w:rPr>
          <w:rFonts w:ascii="Arial" w:cs="Arial" w:eastAsia="Arial" w:hAnsi="Arial"/>
          <w:sz w:val="18"/>
          <w:szCs w:val="18"/>
          <w:b w:val="1"/>
          <w:bCs w:val="1"/>
          <w:color w:val="010000"/>
        </w:rPr>
      </w:pPr>
    </w:p>
    <w:p>
      <w:pPr>
        <w:jc w:val="both"/>
        <w:ind w:left="660"/>
        <w:spacing w:after="0" w:line="272" w:lineRule="auto"/>
        <w:rPr>
          <w:rFonts w:ascii="Arial" w:cs="Arial" w:eastAsia="Arial" w:hAnsi="Arial"/>
          <w:sz w:val="18"/>
          <w:szCs w:val="18"/>
          <w:b w:val="1"/>
          <w:bCs w:val="1"/>
          <w:color w:val="010000"/>
        </w:rPr>
      </w:pPr>
      <w:r>
        <w:rPr>
          <w:rFonts w:ascii="Arial" w:cs="Arial" w:eastAsia="Arial" w:hAnsi="Arial"/>
          <w:sz w:val="17"/>
          <w:szCs w:val="17"/>
          <w:color w:val="auto"/>
        </w:rPr>
        <w:t>No person (including a purchaser) dealing with the Collateral Agent, any Receiver or any Delegate shall be concerned to enquire: (a) whether any Secured Obligation has become payable or remains outstanding; (b) whether any event has happened upon which any of the Rights exercised or purported to be exercised by the Collateral Agent, any Receiver or any Delegate under or in connection with this Deed, the LPA, the Insolvency Act or otherwise has arisen or become exercisable; (c) whether any consents, regulations, restrictions or directions relating to any such Rights have been obtained or complied with; (d) otherwise as to the propriety, regularity or validity of the exercise or purported exercise of any such Rights; or (e) as to the application of any moneys borrowed or raised or any realisation proceeds and the receipt of the Collateral Agent, Receiver or Delegate shall be an absolute and conclusive discharge to the relevant person.</w:t>
      </w:r>
    </w:p>
    <w:p>
      <w:pPr>
        <w:spacing w:after="0" w:line="173"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71"/>
        </w:numPr>
        <w:rPr>
          <w:rFonts w:ascii="Arial" w:cs="Arial" w:eastAsia="Arial" w:hAnsi="Arial"/>
          <w:sz w:val="18"/>
          <w:szCs w:val="18"/>
          <w:b w:val="1"/>
          <w:bCs w:val="1"/>
          <w:color w:val="010000"/>
        </w:rPr>
      </w:pPr>
      <w:r>
        <w:rPr>
          <w:rFonts w:ascii="Arial" w:cs="Arial" w:eastAsia="Arial" w:hAnsi="Arial"/>
          <w:sz w:val="18"/>
          <w:szCs w:val="18"/>
          <w:b w:val="1"/>
          <w:bCs w:val="1"/>
          <w:color w:val="auto"/>
        </w:rPr>
        <w:t>SECURITY CONTINUING, CUMULATIVE AND NOT TO BE AFFECTED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22.1</w:t>
      </w:r>
      <w:r>
        <w:rPr>
          <w:sz w:val="20"/>
          <w:szCs w:val="20"/>
          <w:color w:val="auto"/>
        </w:rPr>
        <w:tab/>
      </w:r>
      <w:r>
        <w:rPr>
          <w:rFonts w:ascii="Arial" w:cs="Arial" w:eastAsia="Arial" w:hAnsi="Arial"/>
          <w:sz w:val="16"/>
          <w:szCs w:val="16"/>
          <w:b w:val="1"/>
          <w:bCs w:val="1"/>
          <w:color w:val="auto"/>
        </w:rPr>
        <w:t>Continuing security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Clauses 26.1, 26.2 and 26.3 (</w:t>
      </w:r>
      <w:r>
        <w:rPr>
          <w:rFonts w:ascii="Arial" w:cs="Arial" w:eastAsia="Arial" w:hAnsi="Arial"/>
          <w:sz w:val="18"/>
          <w:szCs w:val="18"/>
          <w:i w:val="1"/>
          <w:iCs w:val="1"/>
          <w:color w:val="auto"/>
        </w:rPr>
        <w:t>Release of Security</w:t>
      </w:r>
      <w:r>
        <w:rPr>
          <w:rFonts w:ascii="Arial" w:cs="Arial" w:eastAsia="Arial" w:hAnsi="Arial"/>
          <w:sz w:val="18"/>
          <w:szCs w:val="18"/>
          <w:color w:val="auto"/>
        </w:rPr>
        <w:t>), the Security shall remain in full force and effect as a continuing security to the Collateral Agent for the Secured Obligations and shall not be satisfied, discharged or affected by any intermediate payment or discharge of all or part of the Secured Obligations or by any other matter or thing whatsoever.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22.2</w:t>
      </w:r>
      <w:r>
        <w:rPr>
          <w:sz w:val="20"/>
          <w:szCs w:val="20"/>
          <w:color w:val="auto"/>
        </w:rPr>
        <w:tab/>
      </w:r>
      <w:r>
        <w:rPr>
          <w:rFonts w:ascii="Arial" w:cs="Arial" w:eastAsia="Arial" w:hAnsi="Arial"/>
          <w:sz w:val="16"/>
          <w:szCs w:val="16"/>
          <w:b w:val="1"/>
          <w:bCs w:val="1"/>
          <w:color w:val="auto"/>
        </w:rPr>
        <w:t>Security Interests cumulative</w:t>
      </w:r>
    </w:p>
    <w:p>
      <w:pPr>
        <w:spacing w:after="0" w:line="22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The Security is in addition to, and shall not be prejudiced by, any other Security Interest, guarantee, indemnity, right of recourse or any other right which the Collateral Agent or any Secured Party may now or hereafter have in respect of all or any part of the Secured Obligations. No prior Security Interest shall merge with any Security.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22.3</w:t>
      </w:r>
      <w:r>
        <w:rPr>
          <w:sz w:val="20"/>
          <w:szCs w:val="20"/>
          <w:color w:val="auto"/>
        </w:rPr>
        <w:tab/>
      </w:r>
      <w:r>
        <w:rPr>
          <w:rFonts w:ascii="Arial" w:cs="Arial" w:eastAsia="Arial" w:hAnsi="Arial"/>
          <w:sz w:val="15"/>
          <w:szCs w:val="15"/>
          <w:b w:val="1"/>
          <w:bCs w:val="1"/>
          <w:color w:val="auto"/>
        </w:rPr>
        <w:t>Security not to be affected</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Neither the obligations of the Mortgagor under or pursuant to this Deed nor the Security will be prejudiced or affected by any act, omission or thing (whether or not known to the Mortgagor or the Collateral Agent or any Secured Party) which, but for this provision, would reduce, release, prejudice or provide any defence in respect of any of the Mortgagor's obligations under or pursuant to this Deed or the Security including, without limitation: (a) any variation, amendment, novation, supplement, extension, restatement or replacement of, or any waiver or release granted under or in connection with, any Loan Document, any document the obligations under which are secured hereunder, any other security, any guarantee, any indemnity or any other document; (b) any time being given, or any other indulgence or concession being granted, by the Collateral Agent to the Mortgagor or any other person; (c) the taking, variation, compromise, exchange, renewal or release of, or refusal or neglect to perfect, take up or enforce, any rights against, or any Security Interest over assets of, any other person; (d) any non-observance of any formality; (e) any incapacity or lack of power or authority of the Mortgagor or any other person; (f) any change in the constitution, membership, ownership, legal form, name or status of the Mortgagor or any other person; (g) any unenforceability, illegality or invalidity of any obligation of any person under any other deed or document; or (h) any insolvency or similar proceedings; (i) any amalgamation, merger or reconstruction effected by the Collateral Agent with any other person or any sale or transfer of the whole or any part of the undertaking and assets of the Collateral Agent to any other person; (j) the existence of any claim, set-off or other right which the Mortgagor may have at any time against the Collateral Agent or any other person; or (k) the making or absence of any demand for payment of any Obligation by the Collateral Agent or otherwise.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895" w:name="page896"/>
    <w:bookmarkEnd w:id="895"/>
    <w:p>
      <w:pPr>
        <w:ind w:left="660" w:hanging="651"/>
        <w:spacing w:after="0"/>
        <w:tabs>
          <w:tab w:leader="none" w:pos="660" w:val="left"/>
        </w:tabs>
        <w:numPr>
          <w:ilvl w:val="0"/>
          <w:numId w:val="972"/>
        </w:numPr>
        <w:rPr>
          <w:rFonts w:ascii="Arial" w:cs="Arial" w:eastAsia="Arial" w:hAnsi="Arial"/>
          <w:sz w:val="18"/>
          <w:szCs w:val="18"/>
          <w:b w:val="1"/>
          <w:bCs w:val="1"/>
          <w:color w:val="010000"/>
        </w:rPr>
      </w:pPr>
      <w:r>
        <w:rPr>
          <w:rFonts w:ascii="Arial" w:cs="Arial" w:eastAsia="Arial" w:hAnsi="Arial"/>
          <w:sz w:val="18"/>
          <w:szCs w:val="18"/>
          <w:b w:val="1"/>
          <w:bCs w:val="1"/>
          <w:color w:val="auto"/>
        </w:rPr>
        <w:t>CERTIFICATE CONCLUSIVE, ETC</w:t>
      </w:r>
    </w:p>
    <w:p>
      <w:pPr>
        <w:spacing w:after="0" w:line="256" w:lineRule="exact"/>
        <w:rPr>
          <w:rFonts w:ascii="Arial" w:cs="Arial" w:eastAsia="Arial" w:hAnsi="Arial"/>
          <w:sz w:val="18"/>
          <w:szCs w:val="18"/>
          <w:b w:val="1"/>
          <w:bCs w:val="1"/>
          <w:color w:val="010000"/>
        </w:rPr>
      </w:pPr>
    </w:p>
    <w:p>
      <w:pPr>
        <w:jc w:val="both"/>
        <w:ind w:left="660" w:right="100"/>
        <w:spacing w:after="0" w:line="279" w:lineRule="auto"/>
        <w:rPr>
          <w:rFonts w:ascii="Arial" w:cs="Arial" w:eastAsia="Arial" w:hAnsi="Arial"/>
          <w:sz w:val="18"/>
          <w:szCs w:val="18"/>
          <w:b w:val="1"/>
          <w:bCs w:val="1"/>
          <w:color w:val="010000"/>
        </w:rPr>
      </w:pPr>
      <w:r>
        <w:rPr>
          <w:rFonts w:ascii="Arial" w:cs="Arial" w:eastAsia="Arial" w:hAnsi="Arial"/>
          <w:sz w:val="17"/>
          <w:szCs w:val="17"/>
          <w:color w:val="auto"/>
        </w:rPr>
        <w:t>For all purposes, including any Proceedings, a certificate signed by any officer or manager of the Collateral Agent (or copy thereof) as to the amount of any indebtedness comprised in the Secured Obligations, any applicable rate of interest or any other amount or interest rate for the purpose of this Deed shall, in the absence of manifest error, be conclusive and binding on the Mortgagor and all entries in any accounts maintained by the Collateral Agent for the purposes of this Deed shall be prima facie evidence of the matters to which they relate.</w:t>
      </w:r>
    </w:p>
    <w:p>
      <w:pPr>
        <w:spacing w:after="0" w:line="167"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72"/>
        </w:numPr>
        <w:rPr>
          <w:rFonts w:ascii="Arial" w:cs="Arial" w:eastAsia="Arial" w:hAnsi="Arial"/>
          <w:sz w:val="18"/>
          <w:szCs w:val="18"/>
          <w:b w:val="1"/>
          <w:bCs w:val="1"/>
          <w:color w:val="010000"/>
        </w:rPr>
      </w:pPr>
      <w:r>
        <w:rPr>
          <w:rFonts w:ascii="Arial" w:cs="Arial" w:eastAsia="Arial" w:hAnsi="Arial"/>
          <w:sz w:val="18"/>
          <w:szCs w:val="18"/>
          <w:b w:val="1"/>
          <w:bCs w:val="1"/>
          <w:color w:val="auto"/>
        </w:rPr>
        <w:t>NO SET-OFF BY MORTGAGOR</w:t>
      </w:r>
    </w:p>
    <w:p>
      <w:pPr>
        <w:spacing w:after="0" w:line="229" w:lineRule="exact"/>
        <w:rPr>
          <w:rFonts w:ascii="Arial" w:cs="Arial" w:eastAsia="Arial" w:hAnsi="Arial"/>
          <w:sz w:val="18"/>
          <w:szCs w:val="18"/>
          <w:b w:val="1"/>
          <w:bCs w:val="1"/>
          <w:color w:val="010000"/>
        </w:rPr>
      </w:pPr>
    </w:p>
    <w:p>
      <w:pPr>
        <w:jc w:val="both"/>
        <w:ind w:left="660" w:right="100"/>
        <w:spacing w:after="0" w:line="259" w:lineRule="auto"/>
        <w:rPr>
          <w:rFonts w:ascii="Arial" w:cs="Arial" w:eastAsia="Arial" w:hAnsi="Arial"/>
          <w:sz w:val="18"/>
          <w:szCs w:val="18"/>
          <w:b w:val="1"/>
          <w:bCs w:val="1"/>
          <w:color w:val="010000"/>
        </w:rPr>
      </w:pPr>
      <w:r>
        <w:rPr>
          <w:rFonts w:ascii="Arial" w:cs="Arial" w:eastAsia="Arial" w:hAnsi="Arial"/>
          <w:sz w:val="18"/>
          <w:szCs w:val="18"/>
          <w:color w:val="auto"/>
        </w:rPr>
        <w:t>The Mortgagor shall not be entitled to, and shall not, set off any obligation owed by the Collateral Agent or any other Secured Party to the Mortgagor against any obligation whether or not matured owed by the Mortgagor to the Collateral Agent or other Secured Party and shall make all payments to be made by it under this Deed in full without any set off, restriction or condition and without any deduction for or on account of any counterclaim.</w:t>
      </w:r>
    </w:p>
    <w:p>
      <w:pPr>
        <w:spacing w:after="0" w:line="182"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72"/>
        </w:numPr>
        <w:rPr>
          <w:rFonts w:ascii="Arial" w:cs="Arial" w:eastAsia="Arial" w:hAnsi="Arial"/>
          <w:sz w:val="18"/>
          <w:szCs w:val="18"/>
          <w:b w:val="1"/>
          <w:bCs w:val="1"/>
          <w:color w:val="010000"/>
        </w:rPr>
      </w:pPr>
      <w:r>
        <w:rPr>
          <w:rFonts w:ascii="Arial" w:cs="Arial" w:eastAsia="Arial" w:hAnsi="Arial"/>
          <w:sz w:val="18"/>
          <w:szCs w:val="18"/>
          <w:b w:val="1"/>
          <w:bCs w:val="1"/>
          <w:color w:val="auto"/>
        </w:rPr>
        <w:t>COSTS AND EXPENSES</w:t>
      </w:r>
    </w:p>
    <w:p>
      <w:pPr>
        <w:spacing w:after="0" w:line="229" w:lineRule="exact"/>
        <w:rPr>
          <w:rFonts w:ascii="Arial" w:cs="Arial" w:eastAsia="Arial" w:hAnsi="Arial"/>
          <w:sz w:val="18"/>
          <w:szCs w:val="18"/>
          <w:b w:val="1"/>
          <w:bCs w:val="1"/>
          <w:color w:val="010000"/>
        </w:rPr>
      </w:pPr>
    </w:p>
    <w:p>
      <w:pPr>
        <w:ind w:left="660" w:right="100"/>
        <w:spacing w:after="0" w:line="277" w:lineRule="auto"/>
        <w:rPr>
          <w:rFonts w:ascii="Arial" w:cs="Arial" w:eastAsia="Arial" w:hAnsi="Arial"/>
          <w:sz w:val="18"/>
          <w:szCs w:val="18"/>
          <w:b w:val="1"/>
          <w:bCs w:val="1"/>
          <w:color w:val="010000"/>
        </w:rPr>
      </w:pPr>
      <w:r>
        <w:rPr>
          <w:rFonts w:ascii="Arial" w:cs="Arial" w:eastAsia="Arial" w:hAnsi="Arial"/>
          <w:sz w:val="18"/>
          <w:szCs w:val="18"/>
          <w:color w:val="auto"/>
        </w:rPr>
        <w:t>The Mortgagor shall pay to the Collateral Agent in relation to this Deed such costs and expenses as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66"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72"/>
        </w:numPr>
        <w:rPr>
          <w:rFonts w:ascii="Arial" w:cs="Arial" w:eastAsia="Arial" w:hAnsi="Arial"/>
          <w:sz w:val="18"/>
          <w:szCs w:val="18"/>
          <w:b w:val="1"/>
          <w:bCs w:val="1"/>
          <w:color w:val="010000"/>
        </w:rPr>
      </w:pPr>
      <w:r>
        <w:rPr>
          <w:rFonts w:ascii="Arial" w:cs="Arial" w:eastAsia="Arial" w:hAnsi="Arial"/>
          <w:sz w:val="18"/>
          <w:szCs w:val="18"/>
          <w:b w:val="1"/>
          <w:bCs w:val="1"/>
          <w:color w:val="auto"/>
        </w:rPr>
        <w:t>RELEASE OF SECURITY</w:t>
      </w:r>
    </w:p>
    <w:p>
      <w:pPr>
        <w:spacing w:after="0" w:line="225" w:lineRule="exact"/>
        <w:rPr>
          <w:sz w:val="20"/>
          <w:szCs w:val="20"/>
          <w:color w:val="auto"/>
        </w:rPr>
      </w:pPr>
    </w:p>
    <w:p>
      <w:pPr>
        <w:jc w:val="both"/>
        <w:ind w:left="660" w:right="20" w:hanging="647"/>
        <w:spacing w:after="0" w:line="313" w:lineRule="auto"/>
        <w:tabs>
          <w:tab w:leader="none" w:pos="640" w:val="left"/>
        </w:tabs>
        <w:rPr>
          <w:sz w:val="20"/>
          <w:szCs w:val="20"/>
          <w:color w:val="auto"/>
        </w:rPr>
      </w:pPr>
      <w:r>
        <w:rPr>
          <w:rFonts w:ascii="Arial" w:cs="Arial" w:eastAsia="Arial" w:hAnsi="Arial"/>
          <w:sz w:val="18"/>
          <w:szCs w:val="18"/>
          <w:b w:val="1"/>
          <w:bCs w:val="1"/>
          <w:color w:val="010000"/>
        </w:rPr>
        <w:t>26.1</w:t>
      </w:r>
      <w:r>
        <w:rPr>
          <w:sz w:val="20"/>
          <w:szCs w:val="20"/>
          <w:color w:val="auto"/>
        </w:rPr>
        <w:tab/>
      </w:r>
      <w:r>
        <w:rPr>
          <w:rFonts w:ascii="Arial" w:cs="Arial" w:eastAsia="Arial" w:hAnsi="Arial"/>
          <w:sz w:val="17"/>
          <w:szCs w:val="17"/>
          <w:color w:val="auto"/>
        </w:rPr>
        <w:t xml:space="preserve">Subject to Clauses 26.2 and 26.3 </w:t>
      </w:r>
      <w:r>
        <w:rPr>
          <w:rFonts w:ascii="Arial" w:cs="Arial" w:eastAsia="Arial" w:hAnsi="Arial"/>
          <w:sz w:val="17"/>
          <w:szCs w:val="17"/>
          <w:i w:val="1"/>
          <w:iCs w:val="1"/>
          <w:color w:val="auto"/>
        </w:rPr>
        <w:t>(Release of Security</w:t>
      </w:r>
      <w:r>
        <w:rPr>
          <w:rFonts w:ascii="Arial" w:cs="Arial" w:eastAsia="Arial" w:hAnsi="Arial"/>
          <w:sz w:val="17"/>
          <w:szCs w:val="17"/>
          <w:b w:val="1"/>
          <w:bCs w:val="1"/>
          <w:color w:val="auto"/>
        </w:rPr>
        <w:t>)</w:t>
      </w:r>
      <w:r>
        <w:rPr>
          <w:rFonts w:ascii="Arial" w:cs="Arial" w:eastAsia="Arial" w:hAnsi="Arial"/>
          <w:sz w:val="17"/>
          <w:szCs w:val="17"/>
          <w:color w:val="auto"/>
        </w:rPr>
        <w:t>, upon Payment in Full, the Collateral Agent shall, at the request and cost of the Mortgagor, execute such documents and do all such things as may be necessary to release the Secured Assets from the Security.</w:t>
      </w:r>
    </w:p>
    <w:p>
      <w:pPr>
        <w:spacing w:after="0" w:line="13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b w:val="1"/>
          <w:bCs w:val="1"/>
          <w:color w:val="010000"/>
        </w:rPr>
        <w:t>26.2</w:t>
      </w:r>
      <w:r>
        <w:rPr>
          <w:sz w:val="20"/>
          <w:szCs w:val="20"/>
          <w:color w:val="auto"/>
        </w:rPr>
        <w:tab/>
      </w:r>
      <w:r>
        <w:rPr>
          <w:rFonts w:ascii="Arial" w:cs="Arial" w:eastAsia="Arial" w:hAnsi="Arial"/>
          <w:sz w:val="18"/>
          <w:szCs w:val="18"/>
          <w:color w:val="auto"/>
        </w:rPr>
        <w:t>Notwithstanding anything to the contrary in this Deed (including, without limitation, Clauses 26.1 and 26.3 (</w:t>
      </w:r>
      <w:r>
        <w:rPr>
          <w:rFonts w:ascii="Arial" w:cs="Arial" w:eastAsia="Arial" w:hAnsi="Arial"/>
          <w:sz w:val="18"/>
          <w:szCs w:val="18"/>
          <w:i w:val="1"/>
          <w:iCs w:val="1"/>
          <w:color w:val="auto"/>
        </w:rPr>
        <w:t>Release of Security</w:t>
      </w:r>
      <w:r>
        <w:rPr>
          <w:rFonts w:ascii="Arial" w:cs="Arial" w:eastAsia="Arial" w:hAnsi="Arial"/>
          <w:sz w:val="18"/>
          <w:szCs w:val="18"/>
          <w:color w:val="auto"/>
        </w:rPr>
        <w:t>) hereof), the obligations of the Mortgagor under this Deed shall automatically terminate and the Collateral Agent shall, at the request and cost of the Mortgagor, execute such documents and do all such things as may be necessary to release the Secured Assets from the Security to the extent provided in and in accordance with Section 11.01(c) (</w:t>
      </w:r>
      <w:r>
        <w:rPr>
          <w:rFonts w:ascii="Arial" w:cs="Arial" w:eastAsia="Arial" w:hAnsi="Arial"/>
          <w:sz w:val="18"/>
          <w:szCs w:val="18"/>
          <w:i w:val="1"/>
          <w:iCs w:val="1"/>
          <w:color w:val="auto"/>
        </w:rPr>
        <w:t>Waiver; Amendments; Joinder; Release of Guarantors; Release of Collateral</w:t>
      </w:r>
      <w:r>
        <w:rPr>
          <w:rFonts w:ascii="Arial" w:cs="Arial" w:eastAsia="Arial" w:hAnsi="Arial"/>
          <w:sz w:val="18"/>
          <w:szCs w:val="18"/>
          <w:color w:val="auto"/>
        </w:rPr>
        <w:t>) and Section 11.23 (</w:t>
      </w:r>
      <w:r>
        <w:rPr>
          <w:rFonts w:ascii="Arial" w:cs="Arial" w:eastAsia="Arial" w:hAnsi="Arial"/>
          <w:sz w:val="18"/>
          <w:szCs w:val="18"/>
          <w:i w:val="1"/>
          <w:iCs w:val="1"/>
          <w:color w:val="auto"/>
        </w:rPr>
        <w:t>Release of</w:t>
      </w:r>
      <w:r>
        <w:rPr>
          <w:rFonts w:ascii="Arial" w:cs="Arial" w:eastAsia="Arial" w:hAnsi="Arial"/>
          <w:sz w:val="18"/>
          <w:szCs w:val="18"/>
          <w:color w:val="auto"/>
        </w:rPr>
        <w:t xml:space="preserve"> </w:t>
      </w:r>
      <w:r>
        <w:rPr>
          <w:rFonts w:ascii="Arial" w:cs="Arial" w:eastAsia="Arial" w:hAnsi="Arial"/>
          <w:sz w:val="18"/>
          <w:szCs w:val="18"/>
          <w:i w:val="1"/>
          <w:iCs w:val="1"/>
          <w:color w:val="auto"/>
        </w:rPr>
        <w:t>Guarantors</w:t>
      </w:r>
      <w:r>
        <w:rPr>
          <w:rFonts w:ascii="Arial" w:cs="Arial" w:eastAsia="Arial" w:hAnsi="Arial"/>
          <w:sz w:val="18"/>
          <w:szCs w:val="18"/>
          <w:color w:val="auto"/>
        </w:rPr>
        <w:t>) of the Loan Agreement.</w:t>
      </w: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96" w:name="page897"/>
    <w:bookmarkEnd w:id="896"/>
    <w:p>
      <w:pPr>
        <w:jc w:val="both"/>
        <w:ind w:left="660" w:hanging="647"/>
        <w:spacing w:after="0" w:line="264" w:lineRule="auto"/>
        <w:tabs>
          <w:tab w:leader="none" w:pos="640" w:val="left"/>
        </w:tabs>
        <w:rPr>
          <w:sz w:val="20"/>
          <w:szCs w:val="20"/>
          <w:color w:val="auto"/>
        </w:rPr>
      </w:pPr>
      <w:r>
        <w:rPr>
          <w:rFonts w:ascii="Arial" w:cs="Arial" w:eastAsia="Arial" w:hAnsi="Arial"/>
          <w:sz w:val="18"/>
          <w:szCs w:val="18"/>
          <w:b w:val="1"/>
          <w:bCs w:val="1"/>
          <w:color w:val="010000"/>
        </w:rPr>
        <w:t>26.3</w:t>
      </w:r>
      <w:r>
        <w:rPr>
          <w:sz w:val="20"/>
          <w:szCs w:val="20"/>
          <w:color w:val="auto"/>
        </w:rPr>
        <w:tab/>
      </w:r>
      <w:r>
        <w:rPr>
          <w:rFonts w:ascii="Arial" w:cs="Arial" w:eastAsia="Arial" w:hAnsi="Arial"/>
          <w:sz w:val="18"/>
          <w:szCs w:val="18"/>
          <w:color w:val="auto"/>
        </w:rPr>
        <w:t>If any amount paid by the Mortgagor in respect of the Secured Obligations is capable of being avoided or set aside on the liquidation or administration of the Mortgagor or otherwise, then for the purposes of this Deed that amount shall not be considered to have been paid. No interest shall accrue on any such amount, unless and until such amount is so avoided or set aside.</w:t>
      </w:r>
    </w:p>
    <w:p>
      <w:pPr>
        <w:spacing w:after="0" w:line="181" w:lineRule="exact"/>
        <w:rPr>
          <w:sz w:val="20"/>
          <w:szCs w:val="20"/>
          <w:color w:val="auto"/>
        </w:rPr>
      </w:pPr>
    </w:p>
    <w:p>
      <w:pPr>
        <w:ind w:right="8980" w:firstLine="9"/>
        <w:spacing w:after="0" w:line="503" w:lineRule="auto"/>
        <w:tabs>
          <w:tab w:leader="none" w:pos="648" w:val="left"/>
        </w:tabs>
        <w:numPr>
          <w:ilvl w:val="0"/>
          <w:numId w:val="973"/>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MISCELLANEOUS </w:t>
      </w:r>
      <w:r>
        <w:rPr>
          <w:rFonts w:ascii="Arial" w:cs="Arial" w:eastAsia="Arial" w:hAnsi="Arial"/>
          <w:sz w:val="18"/>
          <w:szCs w:val="18"/>
          <w:b w:val="1"/>
          <w:bCs w:val="1"/>
          <w:color w:val="010000"/>
        </w:rPr>
        <w:t xml:space="preserve">27.1 </w:t>
      </w:r>
      <w:r>
        <w:rPr>
          <w:rFonts w:ascii="Arial" w:cs="Arial" w:eastAsia="Arial" w:hAnsi="Arial"/>
          <w:sz w:val="18"/>
          <w:szCs w:val="18"/>
          <w:b w:val="1"/>
          <w:bCs w:val="1"/>
          <w:color w:val="000000"/>
        </w:rPr>
        <w:t>Remedies and waivers</w:t>
      </w:r>
    </w:p>
    <w:p>
      <w:pPr>
        <w:spacing w:after="0" w:line="1" w:lineRule="exact"/>
        <w:rPr>
          <w:sz w:val="20"/>
          <w:szCs w:val="20"/>
          <w:color w:val="auto"/>
        </w:rPr>
      </w:pPr>
    </w:p>
    <w:p>
      <w:pPr>
        <w:jc w:val="both"/>
        <w:ind w:left="660" w:right="100"/>
        <w:spacing w:after="0" w:line="257" w:lineRule="auto"/>
        <w:rPr>
          <w:sz w:val="20"/>
          <w:szCs w:val="20"/>
          <w:color w:val="auto"/>
        </w:rPr>
      </w:pPr>
      <w:r>
        <w:rPr>
          <w:rFonts w:ascii="Arial" w:cs="Arial" w:eastAsia="Arial" w:hAnsi="Arial"/>
          <w:sz w:val="18"/>
          <w:szCs w:val="18"/>
          <w:color w:val="auto"/>
        </w:rPr>
        <w:t>No failure to exercise or delay in exercising any right, power or remedy provided by law or under this Deed shall operate to impair the same or be construed as a waiver of it. No single or partial exercise of any such right, power or remedy shall preclude or restrict any further or other exercise of the same or the exercise of any other right, power or remedy. No waiver of any such right, power or remedy shall constitute a waiver of any other right, power or remedy. Except as expressly provided in this Deed, the rights, powers and remedies provided in this Deed are cumulative and not exclusive of any rights provided by law.</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27.2</w:t>
      </w:r>
      <w:r>
        <w:rPr>
          <w:sz w:val="20"/>
          <w:szCs w:val="20"/>
          <w:color w:val="auto"/>
        </w:rPr>
        <w:tab/>
      </w:r>
      <w:r>
        <w:rPr>
          <w:rFonts w:ascii="Arial" w:cs="Arial" w:eastAsia="Arial" w:hAnsi="Arial"/>
          <w:sz w:val="15"/>
          <w:szCs w:val="15"/>
          <w:b w:val="1"/>
          <w:bCs w:val="1"/>
          <w:color w:val="auto"/>
        </w:rPr>
        <w:t>Variations and consents</w:t>
      </w:r>
    </w:p>
    <w:p>
      <w:pPr>
        <w:spacing w:after="0" w:line="229" w:lineRule="exact"/>
        <w:rPr>
          <w:sz w:val="20"/>
          <w:szCs w:val="20"/>
          <w:color w:val="auto"/>
        </w:rPr>
      </w:pPr>
    </w:p>
    <w:p>
      <w:pPr>
        <w:jc w:val="both"/>
        <w:ind w:left="660" w:right="100"/>
        <w:spacing w:after="0" w:line="277" w:lineRule="auto"/>
        <w:rPr>
          <w:sz w:val="20"/>
          <w:szCs w:val="20"/>
          <w:color w:val="auto"/>
        </w:rPr>
      </w:pPr>
      <w:r>
        <w:rPr>
          <w:rFonts w:ascii="Arial" w:cs="Arial" w:eastAsia="Arial" w:hAnsi="Arial"/>
          <w:sz w:val="18"/>
          <w:szCs w:val="18"/>
          <w:color w:val="auto"/>
        </w:rPr>
        <w:t>No consent, variation or waiver in respect of any provision of this Deed shall be effective unless it is agreed in writing and signed by or on behalf of each of the parties to this Deed.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27.3</w:t>
      </w:r>
      <w:r>
        <w:rPr>
          <w:sz w:val="20"/>
          <w:szCs w:val="20"/>
          <w:color w:val="auto"/>
        </w:rPr>
        <w:tab/>
      </w:r>
      <w:r>
        <w:rPr>
          <w:rFonts w:ascii="Arial" w:cs="Arial" w:eastAsia="Arial" w:hAnsi="Arial"/>
          <w:sz w:val="16"/>
          <w:szCs w:val="16"/>
          <w:b w:val="1"/>
          <w:bCs w:val="1"/>
          <w:color w:val="auto"/>
        </w:rPr>
        <w:t>Invalidity and severability</w:t>
      </w:r>
    </w:p>
    <w:p>
      <w:pPr>
        <w:spacing w:after="0" w:line="229" w:lineRule="exact"/>
        <w:rPr>
          <w:sz w:val="20"/>
          <w:szCs w:val="20"/>
          <w:color w:val="auto"/>
        </w:rPr>
      </w:pPr>
    </w:p>
    <w:p>
      <w:pPr>
        <w:jc w:val="both"/>
        <w:ind w:left="660" w:right="100"/>
        <w:spacing w:after="0" w:line="259" w:lineRule="auto"/>
        <w:rPr>
          <w:sz w:val="20"/>
          <w:szCs w:val="20"/>
          <w:color w:val="auto"/>
        </w:rPr>
      </w:pPr>
      <w:r>
        <w:rPr>
          <w:rFonts w:ascii="Arial" w:cs="Arial" w:eastAsia="Arial" w:hAnsi="Arial"/>
          <w:sz w:val="18"/>
          <w:szCs w:val="18"/>
          <w:color w:val="auto"/>
        </w:rPr>
        <w:t>If any provision of this Deed is or becomes or is found by a court or other competent authority to be illegal, invalid or unenforceable in any respect, in whole or in part, under any law of any jurisdiction, that shall not affect or impair the legality, validity and enforceability in that jurisdiction of any other provision of this Deed or the legality, validity or enforceability in any other jurisdiction of that provision or any other provision of this Deed.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27.4</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jc w:val="both"/>
        <w:ind w:left="660" w:right="100"/>
        <w:spacing w:after="0" w:line="259" w:lineRule="auto"/>
        <w:rPr>
          <w:sz w:val="20"/>
          <w:szCs w:val="20"/>
          <w:color w:val="auto"/>
        </w:rPr>
      </w:pPr>
      <w:r>
        <w:rPr>
          <w:rFonts w:ascii="Arial" w:cs="Arial" w:eastAsia="Arial" w:hAnsi="Arial"/>
          <w:sz w:val="18"/>
          <w:szCs w:val="18"/>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where relevant, delivered, shall constitute an original of this Deed or the relevant variation or waiver, but all the counterparts together shall constitute one and the same instrument.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27.5</w:t>
      </w:r>
      <w:r>
        <w:rPr>
          <w:sz w:val="20"/>
          <w:szCs w:val="20"/>
          <w:color w:val="auto"/>
        </w:rPr>
        <w:tab/>
      </w:r>
      <w:r>
        <w:rPr>
          <w:rFonts w:ascii="Arial" w:cs="Arial" w:eastAsia="Arial" w:hAnsi="Arial"/>
          <w:sz w:val="16"/>
          <w:szCs w:val="16"/>
          <w:b w:val="1"/>
          <w:bCs w:val="1"/>
          <w:color w:val="auto"/>
        </w:rPr>
        <w:t>Third party rights</w:t>
      </w:r>
    </w:p>
    <w:p>
      <w:pPr>
        <w:spacing w:after="0" w:line="229" w:lineRule="exact"/>
        <w:rPr>
          <w:sz w:val="20"/>
          <w:szCs w:val="20"/>
          <w:color w:val="auto"/>
        </w:rPr>
      </w:pPr>
    </w:p>
    <w:p>
      <w:pPr>
        <w:jc w:val="both"/>
        <w:ind w:left="660" w:right="100"/>
        <w:spacing w:after="0" w:line="302" w:lineRule="auto"/>
        <w:rPr>
          <w:sz w:val="20"/>
          <w:szCs w:val="20"/>
          <w:color w:val="auto"/>
        </w:rPr>
      </w:pPr>
      <w:r>
        <w:rPr>
          <w:rFonts w:ascii="Arial" w:cs="Arial" w:eastAsia="Arial" w:hAnsi="Arial"/>
          <w:sz w:val="16"/>
          <w:szCs w:val="16"/>
          <w:color w:val="auto"/>
        </w:rPr>
        <w:t>Except for each Secured Party who is not party to this Deed and as otherwise specifically provided herein a person who is not party to this Deed has no right under the Third Parties Act to enforce any provision of this Deed. Each Secured Party (who is not party to this Deed) may enforce and enjoy the benefits of the provisions of Clauses 17 (</w:t>
      </w:r>
      <w:r>
        <w:rPr>
          <w:rFonts w:ascii="Arial" w:cs="Arial" w:eastAsia="Arial" w:hAnsi="Arial"/>
          <w:sz w:val="16"/>
          <w:szCs w:val="16"/>
          <w:i w:val="1"/>
          <w:iCs w:val="1"/>
          <w:color w:val="auto"/>
        </w:rPr>
        <w:t>Rights of Collateral Agent and Secured Parties</w:t>
      </w:r>
      <w:r>
        <w:rPr>
          <w:rFonts w:ascii="Arial" w:cs="Arial" w:eastAsia="Arial" w:hAnsi="Arial"/>
          <w:sz w:val="16"/>
          <w:szCs w:val="16"/>
          <w:color w:val="auto"/>
        </w:rPr>
        <w:t>), 20 (</w:t>
      </w:r>
      <w:r>
        <w:rPr>
          <w:rFonts w:ascii="Arial" w:cs="Arial" w:eastAsia="Arial" w:hAnsi="Arial"/>
          <w:sz w:val="16"/>
          <w:szCs w:val="16"/>
          <w:i w:val="1"/>
          <w:iCs w:val="1"/>
          <w:color w:val="auto"/>
        </w:rPr>
        <w:t>Indemnity</w:t>
      </w:r>
      <w:r>
        <w:rPr>
          <w:rFonts w:ascii="Arial" w:cs="Arial" w:eastAsia="Arial" w:hAnsi="Arial"/>
          <w:sz w:val="16"/>
          <w:szCs w:val="16"/>
          <w:color w:val="auto"/>
        </w:rPr>
        <w:t>) and 25 (</w:t>
      </w:r>
      <w:r>
        <w:rPr>
          <w:rFonts w:ascii="Arial" w:cs="Arial" w:eastAsia="Arial" w:hAnsi="Arial"/>
          <w:sz w:val="16"/>
          <w:szCs w:val="16"/>
          <w:i w:val="1"/>
          <w:iCs w:val="1"/>
          <w:color w:val="auto"/>
        </w:rPr>
        <w:t>Costs and Expenses</w:t>
      </w:r>
      <w:r>
        <w:rPr>
          <w:rFonts w:ascii="Arial" w:cs="Arial" w:eastAsia="Arial" w:hAnsi="Arial"/>
          <w:sz w:val="16"/>
          <w:szCs w:val="16"/>
          <w:color w:val="auto"/>
        </w:rPr>
        <w:t xml:space="preserve">) of this Deed. This does not affect any right or remedy of a third </w:t>
      </w:r>
      <w:r>
        <w:rPr>
          <w:rFonts w:ascii="Arial" w:cs="Arial" w:eastAsia="Arial" w:hAnsi="Arial"/>
          <w:sz w:val="16"/>
          <w:szCs w:val="16"/>
          <w:i w:val="1"/>
          <w:iCs w:val="1"/>
          <w:color w:val="auto"/>
        </w:rPr>
        <w:t>party</w:t>
      </w:r>
      <w:r>
        <w:rPr>
          <w:rFonts w:ascii="Arial" w:cs="Arial" w:eastAsia="Arial" w:hAnsi="Arial"/>
          <w:sz w:val="16"/>
          <w:szCs w:val="16"/>
          <w:color w:val="auto"/>
        </w:rPr>
        <w:t xml:space="preserve"> which exists or is available other than under the Third Parties Act.</w:t>
      </w: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97" w:name="page898"/>
    <w:bookmarkEnd w:id="897"/>
    <w:p>
      <w:pPr>
        <w:spacing w:after="0"/>
        <w:tabs>
          <w:tab w:leader="none" w:pos="640" w:val="left"/>
        </w:tabs>
        <w:rPr>
          <w:sz w:val="20"/>
          <w:szCs w:val="20"/>
          <w:color w:val="auto"/>
        </w:rPr>
      </w:pPr>
      <w:r>
        <w:rPr>
          <w:rFonts w:ascii="Arial" w:cs="Arial" w:eastAsia="Arial" w:hAnsi="Arial"/>
          <w:sz w:val="18"/>
          <w:szCs w:val="18"/>
          <w:b w:val="1"/>
          <w:bCs w:val="1"/>
          <w:color w:val="010000"/>
        </w:rPr>
        <w:t>27.6</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ind w:left="660" w:right="100"/>
        <w:spacing w:after="0" w:line="273" w:lineRule="auto"/>
        <w:rPr>
          <w:sz w:val="20"/>
          <w:szCs w:val="20"/>
          <w:color w:val="auto"/>
        </w:rPr>
      </w:pPr>
      <w:r>
        <w:rPr>
          <w:rFonts w:ascii="Arial" w:cs="Arial" w:eastAsia="Arial" w:hAnsi="Arial"/>
          <w:sz w:val="17"/>
          <w:szCs w:val="17"/>
          <w:color w:val="auto"/>
        </w:rPr>
        <w:t>This Deed together with the other Loan Documents constitutes the entire agreement and understanding between the parties relating to their subject matter. Accordingly this Deed supersedes all prior oral or written agreements, representations or warranties. Any liabilities for and any remedies in respect of any such agreements, representations or warranties made are excluded, save only in respect of such as are expressly made or repeated in this Deed or in the other Loan Documents. No party has entered into this Deed or any other Loan Document in reliance on any oral or written agreement, representation or warranty of any other party or any other person which is not made or repeated in this Deed or any other Loan Document. Nothing in this Clause shall operate to exclude liability for any fraudulent statement or act.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27.7</w:t>
      </w:r>
      <w:r>
        <w:rPr>
          <w:sz w:val="20"/>
          <w:szCs w:val="20"/>
          <w:color w:val="auto"/>
        </w:rPr>
        <w:tab/>
      </w:r>
      <w:r>
        <w:rPr>
          <w:rFonts w:ascii="Arial" w:cs="Arial" w:eastAsia="Arial" w:hAnsi="Arial"/>
          <w:sz w:val="15"/>
          <w:szCs w:val="15"/>
          <w:b w:val="1"/>
          <w:bCs w:val="1"/>
          <w:color w:val="auto"/>
        </w:rPr>
        <w:t>Conflicts</w:t>
      </w:r>
    </w:p>
    <w:p>
      <w:pPr>
        <w:spacing w:after="0" w:line="256" w:lineRule="exact"/>
        <w:rPr>
          <w:sz w:val="20"/>
          <w:szCs w:val="20"/>
          <w:color w:val="auto"/>
        </w:rPr>
      </w:pPr>
    </w:p>
    <w:p>
      <w:pPr>
        <w:jc w:val="both"/>
        <w:ind w:left="660" w:right="100"/>
        <w:spacing w:after="0" w:line="277" w:lineRule="auto"/>
        <w:rPr>
          <w:sz w:val="20"/>
          <w:szCs w:val="20"/>
          <w:color w:val="auto"/>
        </w:rPr>
      </w:pPr>
      <w:r>
        <w:rPr>
          <w:rFonts w:ascii="Arial" w:cs="Arial" w:eastAsia="Arial" w:hAnsi="Arial"/>
          <w:sz w:val="18"/>
          <w:szCs w:val="18"/>
          <w:color w:val="auto"/>
        </w:rPr>
        <w:t>Subject to Clause 1.2(h) (</w:t>
      </w:r>
      <w:r>
        <w:rPr>
          <w:rFonts w:ascii="Arial" w:cs="Arial" w:eastAsia="Arial" w:hAnsi="Arial"/>
          <w:sz w:val="18"/>
          <w:szCs w:val="18"/>
          <w:i w:val="1"/>
          <w:iCs w:val="1"/>
          <w:color w:val="auto"/>
        </w:rPr>
        <w:t>Interpretation</w:t>
      </w:r>
      <w:r>
        <w:rPr>
          <w:rFonts w:ascii="Arial" w:cs="Arial" w:eastAsia="Arial" w:hAnsi="Arial"/>
          <w:sz w:val="18"/>
          <w:szCs w:val="18"/>
          <w:color w:val="auto"/>
        </w:rPr>
        <w:t>), if there is any conflict or inconsistency between the provisions of this Deed and any other Loan Document, the provisions of this Deed shall prevail.</w:t>
      </w:r>
    </w:p>
    <w:p>
      <w:pPr>
        <w:spacing w:after="0" w:line="166" w:lineRule="exact"/>
        <w:rPr>
          <w:sz w:val="20"/>
          <w:szCs w:val="20"/>
          <w:color w:val="auto"/>
        </w:rPr>
      </w:pPr>
    </w:p>
    <w:p>
      <w:pPr>
        <w:ind w:left="660" w:hanging="651"/>
        <w:spacing w:after="0"/>
        <w:tabs>
          <w:tab w:leader="none" w:pos="660" w:val="left"/>
        </w:tabs>
        <w:numPr>
          <w:ilvl w:val="0"/>
          <w:numId w:val="974"/>
        </w:numPr>
        <w:rPr>
          <w:rFonts w:ascii="Arial" w:cs="Arial" w:eastAsia="Arial" w:hAnsi="Arial"/>
          <w:sz w:val="18"/>
          <w:szCs w:val="18"/>
          <w:b w:val="1"/>
          <w:bCs w:val="1"/>
          <w:color w:val="010000"/>
        </w:rPr>
      </w:pPr>
      <w:r>
        <w:rPr>
          <w:rFonts w:ascii="Arial" w:cs="Arial" w:eastAsia="Arial" w:hAnsi="Arial"/>
          <w:sz w:val="18"/>
          <w:szCs w:val="18"/>
          <w:b w:val="1"/>
          <w:bCs w:val="1"/>
          <w:color w:val="auto"/>
        </w:rPr>
        <w:t>ASSIGNMENT, ETC</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010000"/>
        </w:rPr>
        <w:t>28.1</w:t>
      </w:r>
      <w:r>
        <w:rPr>
          <w:sz w:val="20"/>
          <w:szCs w:val="20"/>
          <w:color w:val="auto"/>
        </w:rPr>
        <w:tab/>
      </w:r>
      <w:r>
        <w:rPr>
          <w:rFonts w:ascii="Arial" w:cs="Arial" w:eastAsia="Arial" w:hAnsi="Arial"/>
          <w:sz w:val="18"/>
          <w:szCs w:val="18"/>
          <w:color w:val="auto"/>
        </w:rPr>
        <w:t>The Collateral Agent may, at any time, in accordance with the Loan Agreement, assign, mortgage, charge, grant a trust over or otherwise dispose of all or any of its rights and benefits under this Deed.</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010000"/>
        </w:rPr>
        <w:t>28.2</w:t>
      </w:r>
      <w:r>
        <w:rPr>
          <w:sz w:val="20"/>
          <w:szCs w:val="20"/>
          <w:color w:val="auto"/>
        </w:rPr>
        <w:tab/>
      </w:r>
      <w:r>
        <w:rPr>
          <w:rFonts w:ascii="Arial" w:cs="Arial" w:eastAsia="Arial" w:hAnsi="Arial"/>
          <w:sz w:val="18"/>
          <w:szCs w:val="18"/>
          <w:color w:val="auto"/>
        </w:rPr>
        <w:t>The Mortgagor shall not assign, charge, grant a trust over or otherwise dispose of all or any of its rights and benefits under this Deed, except as permitted under the Loan Agreement.</w:t>
      </w:r>
    </w:p>
    <w:p>
      <w:pPr>
        <w:spacing w:after="0" w:line="170" w:lineRule="exact"/>
        <w:rPr>
          <w:sz w:val="20"/>
          <w:szCs w:val="20"/>
          <w:color w:val="auto"/>
        </w:rPr>
      </w:pPr>
    </w:p>
    <w:p>
      <w:pPr>
        <w:ind w:left="660" w:hanging="651"/>
        <w:spacing w:after="0"/>
        <w:tabs>
          <w:tab w:leader="none" w:pos="660" w:val="left"/>
        </w:tabs>
        <w:numPr>
          <w:ilvl w:val="0"/>
          <w:numId w:val="975"/>
        </w:numPr>
        <w:rPr>
          <w:rFonts w:ascii="Arial" w:cs="Arial" w:eastAsia="Arial" w:hAnsi="Arial"/>
          <w:sz w:val="18"/>
          <w:szCs w:val="18"/>
          <w:b w:val="1"/>
          <w:bCs w:val="1"/>
          <w:color w:val="010000"/>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010000"/>
        </w:rPr>
      </w:pPr>
    </w:p>
    <w:p>
      <w:pPr>
        <w:ind w:left="660" w:right="100"/>
        <w:spacing w:after="0" w:line="308" w:lineRule="auto"/>
        <w:rPr>
          <w:rFonts w:ascii="Arial" w:cs="Arial" w:eastAsia="Arial" w:hAnsi="Arial"/>
          <w:sz w:val="18"/>
          <w:szCs w:val="18"/>
          <w:b w:val="1"/>
          <w:bCs w:val="1"/>
          <w:color w:val="010000"/>
        </w:rPr>
      </w:pPr>
      <w:r>
        <w:rPr>
          <w:rFonts w:ascii="Arial" w:cs="Arial" w:eastAsia="Arial" w:hAnsi="Arial"/>
          <w:sz w:val="17"/>
          <w:szCs w:val="17"/>
          <w:color w:val="auto"/>
        </w:rPr>
        <w:t>Any notice or other communication under this Deed shall be made in accordance with the provisions set out in the Loan Agreement. Any notice delivered to the Parent or the Borrowers on behalf of the Mortgagor shall be deemed to have been delivered to the Mortgagor.</w:t>
      </w:r>
    </w:p>
    <w:p>
      <w:pPr>
        <w:spacing w:after="0" w:line="142" w:lineRule="exact"/>
        <w:rPr>
          <w:rFonts w:ascii="Arial" w:cs="Arial" w:eastAsia="Arial" w:hAnsi="Arial"/>
          <w:sz w:val="18"/>
          <w:szCs w:val="18"/>
          <w:b w:val="1"/>
          <w:bCs w:val="1"/>
          <w:color w:val="010000"/>
        </w:rPr>
      </w:pPr>
    </w:p>
    <w:p>
      <w:pPr>
        <w:ind w:left="660" w:hanging="651"/>
        <w:spacing w:after="0"/>
        <w:tabs>
          <w:tab w:leader="none" w:pos="660" w:val="left"/>
        </w:tabs>
        <w:numPr>
          <w:ilvl w:val="0"/>
          <w:numId w:val="975"/>
        </w:numPr>
        <w:rPr>
          <w:rFonts w:ascii="Arial" w:cs="Arial" w:eastAsia="Arial" w:hAnsi="Arial"/>
          <w:sz w:val="18"/>
          <w:szCs w:val="18"/>
          <w:b w:val="1"/>
          <w:bCs w:val="1"/>
          <w:color w:val="010000"/>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30.1</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This Deed (including any non-contractual obligations or liabilities arising out of it or in connection with it) is governed by and is to be construed in accordance with English law.</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98" w:name="page899"/>
    <w:bookmarkEnd w:id="898"/>
    <w:p>
      <w:pPr>
        <w:spacing w:after="0"/>
        <w:tabs>
          <w:tab w:leader="none" w:pos="640" w:val="left"/>
        </w:tabs>
        <w:rPr>
          <w:sz w:val="20"/>
          <w:szCs w:val="20"/>
          <w:color w:val="auto"/>
        </w:rPr>
      </w:pPr>
      <w:r>
        <w:rPr>
          <w:rFonts w:ascii="Arial" w:cs="Arial" w:eastAsia="Arial" w:hAnsi="Arial"/>
          <w:sz w:val="18"/>
          <w:szCs w:val="18"/>
          <w:b w:val="1"/>
          <w:bCs w:val="1"/>
          <w:color w:val="010000"/>
        </w:rPr>
        <w:t>30.2</w:t>
      </w:r>
      <w:r>
        <w:rPr>
          <w:sz w:val="20"/>
          <w:szCs w:val="20"/>
          <w:color w:val="auto"/>
        </w:rPr>
        <w:tab/>
      </w:r>
      <w:r>
        <w:rPr>
          <w:rFonts w:ascii="Arial" w:cs="Arial" w:eastAsia="Arial" w:hAnsi="Arial"/>
          <w:sz w:val="16"/>
          <w:szCs w:val="16"/>
          <w:b w:val="1"/>
          <w:bCs w:val="1"/>
          <w:color w:val="auto"/>
        </w:rPr>
        <w:t>Jurisdiction</w:t>
      </w:r>
    </w:p>
    <w:p>
      <w:pPr>
        <w:spacing w:after="0" w:line="256" w:lineRule="exact"/>
        <w:rPr>
          <w:sz w:val="20"/>
          <w:szCs w:val="20"/>
          <w:color w:val="auto"/>
        </w:rPr>
      </w:pPr>
    </w:p>
    <w:p>
      <w:pPr>
        <w:ind w:left="660" w:hanging="651"/>
        <w:spacing w:after="0"/>
        <w:tabs>
          <w:tab w:leader="none" w:pos="660" w:val="left"/>
        </w:tabs>
        <w:numPr>
          <w:ilvl w:val="0"/>
          <w:numId w:val="976"/>
        </w:numPr>
        <w:rPr>
          <w:rFonts w:ascii="Arial" w:cs="Arial" w:eastAsia="Arial" w:hAnsi="Arial"/>
          <w:sz w:val="18"/>
          <w:szCs w:val="18"/>
          <w:color w:val="010000"/>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010000"/>
        </w:rPr>
      </w:pPr>
    </w:p>
    <w:p>
      <w:pPr>
        <w:ind w:left="1300" w:hanging="643"/>
        <w:spacing w:after="0" w:line="277" w:lineRule="auto"/>
        <w:tabs>
          <w:tab w:leader="none" w:pos="1300" w:val="left"/>
        </w:tabs>
        <w:numPr>
          <w:ilvl w:val="1"/>
          <w:numId w:val="976"/>
        </w:numPr>
        <w:rPr>
          <w:rFonts w:ascii="Arial" w:cs="Arial" w:eastAsia="Arial" w:hAnsi="Arial"/>
          <w:sz w:val="18"/>
          <w:szCs w:val="18"/>
          <w:color w:val="010000"/>
        </w:rPr>
      </w:pPr>
      <w:r>
        <w:rPr>
          <w:rFonts w:ascii="Arial" w:cs="Arial" w:eastAsia="Arial" w:hAnsi="Arial"/>
          <w:sz w:val="18"/>
          <w:szCs w:val="18"/>
          <w:color w:val="auto"/>
        </w:rPr>
        <w:t>the English courts have non-exclusive jurisdiction to hear and determine any Proceedings and to settle any Disputes and each party irrevocably submits to the jurisdiction of the English courts;</w:t>
      </w:r>
    </w:p>
    <w:p>
      <w:pPr>
        <w:spacing w:after="0" w:line="170" w:lineRule="exact"/>
        <w:rPr>
          <w:rFonts w:ascii="Arial" w:cs="Arial" w:eastAsia="Arial" w:hAnsi="Arial"/>
          <w:sz w:val="18"/>
          <w:szCs w:val="18"/>
          <w:color w:val="010000"/>
        </w:rPr>
      </w:pPr>
    </w:p>
    <w:p>
      <w:pPr>
        <w:ind w:left="1300" w:hanging="643"/>
        <w:spacing w:after="0"/>
        <w:tabs>
          <w:tab w:leader="none" w:pos="1300" w:val="left"/>
        </w:tabs>
        <w:numPr>
          <w:ilvl w:val="1"/>
          <w:numId w:val="976"/>
        </w:numPr>
        <w:rPr>
          <w:rFonts w:ascii="Arial" w:cs="Arial" w:eastAsia="Arial" w:hAnsi="Arial"/>
          <w:sz w:val="18"/>
          <w:szCs w:val="18"/>
          <w:color w:val="010000"/>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010000"/>
        </w:rPr>
      </w:pPr>
    </w:p>
    <w:p>
      <w:pPr>
        <w:ind w:left="1300" w:hanging="643"/>
        <w:spacing w:after="0"/>
        <w:tabs>
          <w:tab w:leader="none" w:pos="1300" w:val="left"/>
        </w:tabs>
        <w:numPr>
          <w:ilvl w:val="1"/>
          <w:numId w:val="976"/>
        </w:numPr>
        <w:rPr>
          <w:rFonts w:ascii="Arial" w:cs="Arial" w:eastAsia="Arial" w:hAnsi="Arial"/>
          <w:sz w:val="16"/>
          <w:szCs w:val="16"/>
          <w:color w:val="010000"/>
        </w:rPr>
      </w:pPr>
      <w:r>
        <w:rPr>
          <w:rFonts w:ascii="Arial" w:cs="Arial" w:eastAsia="Arial" w:hAnsi="Arial"/>
          <w:sz w:val="16"/>
          <w:szCs w:val="16"/>
          <w:color w:val="auto"/>
        </w:rPr>
        <w:t>any judgment in Proceedings taken in any such court shall be conclusive and binding on it and may be enforced in any other jurisdiction.</w:t>
      </w:r>
    </w:p>
    <w:p>
      <w:pPr>
        <w:spacing w:after="0" w:line="248" w:lineRule="exact"/>
        <w:rPr>
          <w:rFonts w:ascii="Arial" w:cs="Arial" w:eastAsia="Arial" w:hAnsi="Arial"/>
          <w:sz w:val="16"/>
          <w:szCs w:val="16"/>
          <w:color w:val="010000"/>
        </w:rPr>
      </w:pPr>
    </w:p>
    <w:p>
      <w:pPr>
        <w:ind w:left="660" w:right="120" w:hanging="651"/>
        <w:spacing w:after="0" w:line="342" w:lineRule="auto"/>
        <w:tabs>
          <w:tab w:leader="none" w:pos="660" w:val="left"/>
        </w:tabs>
        <w:numPr>
          <w:ilvl w:val="0"/>
          <w:numId w:val="976"/>
        </w:numPr>
        <w:rPr>
          <w:rFonts w:ascii="Arial" w:cs="Arial" w:eastAsia="Arial" w:hAnsi="Arial"/>
          <w:sz w:val="16"/>
          <w:szCs w:val="16"/>
          <w:color w:val="010000"/>
        </w:rPr>
      </w:pPr>
      <w:r>
        <w:rPr>
          <w:rFonts w:ascii="Arial" w:cs="Arial" w:eastAsia="Arial" w:hAnsi="Arial"/>
          <w:sz w:val="16"/>
          <w:szCs w:val="16"/>
          <w:color w:val="auto"/>
        </w:rPr>
        <w:t>Each party also irrevocably waives (and irrevocably agrees not to raise) any objection which it might at any time have on the ground of forum non conveniens or on any other ground to Proceedings being taken in any court referred to in this Clause 30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w:t>
      </w:r>
    </w:p>
    <w:p>
      <w:pPr>
        <w:spacing w:after="0" w:line="123" w:lineRule="exact"/>
        <w:rPr>
          <w:rFonts w:ascii="Arial" w:cs="Arial" w:eastAsia="Arial" w:hAnsi="Arial"/>
          <w:sz w:val="16"/>
          <w:szCs w:val="16"/>
          <w:color w:val="010000"/>
        </w:rPr>
      </w:pPr>
    </w:p>
    <w:p>
      <w:pPr>
        <w:ind w:left="660" w:right="100" w:hanging="651"/>
        <w:spacing w:after="0" w:line="277" w:lineRule="auto"/>
        <w:tabs>
          <w:tab w:leader="none" w:pos="660" w:val="left"/>
        </w:tabs>
        <w:numPr>
          <w:ilvl w:val="0"/>
          <w:numId w:val="976"/>
        </w:numPr>
        <w:rPr>
          <w:rFonts w:ascii="Arial" w:cs="Arial" w:eastAsia="Arial" w:hAnsi="Arial"/>
          <w:sz w:val="18"/>
          <w:szCs w:val="18"/>
          <w:color w:val="010000"/>
        </w:rPr>
      </w:pPr>
      <w:r>
        <w:rPr>
          <w:rFonts w:ascii="Arial" w:cs="Arial" w:eastAsia="Arial" w:hAnsi="Arial"/>
          <w:sz w:val="18"/>
          <w:szCs w:val="18"/>
          <w:color w:val="auto"/>
        </w:rPr>
        <w:t>Nothing in this Clause 30 shall limit any party's right to take Proceedings against the other party in any other jurisdiction or in more than one jurisdiction concurrently.</w:t>
      </w:r>
    </w:p>
    <w:p>
      <w:pPr>
        <w:spacing w:after="0" w:line="170" w:lineRule="exact"/>
        <w:rPr>
          <w:rFonts w:ascii="Arial" w:cs="Arial" w:eastAsia="Arial" w:hAnsi="Arial"/>
          <w:sz w:val="18"/>
          <w:szCs w:val="18"/>
          <w:color w:val="010000"/>
        </w:rPr>
      </w:pPr>
    </w:p>
    <w:p>
      <w:pPr>
        <w:ind w:left="660" w:hanging="651"/>
        <w:spacing w:after="0"/>
        <w:tabs>
          <w:tab w:leader="none" w:pos="660" w:val="left"/>
        </w:tabs>
        <w:numPr>
          <w:ilvl w:val="0"/>
          <w:numId w:val="976"/>
        </w:numPr>
        <w:rPr>
          <w:rFonts w:ascii="Arial" w:cs="Arial" w:eastAsia="Arial" w:hAnsi="Arial"/>
          <w:sz w:val="18"/>
          <w:szCs w:val="18"/>
          <w:color w:val="010000"/>
        </w:rPr>
      </w:pPr>
      <w:r>
        <w:rPr>
          <w:rFonts w:ascii="Arial" w:cs="Arial" w:eastAsia="Arial" w:hAnsi="Arial"/>
          <w:sz w:val="18"/>
          <w:szCs w:val="18"/>
          <w:color w:val="auto"/>
        </w:rPr>
        <w:t>This jurisdiction agreement is not concluded for the benefit of only one party.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Deed has been executed as a deed and is delivered on the date stated at the top of page one.</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5" w:right="239" w:bottom="1440" w:gutter="0" w:footer="0" w:header="0"/>
        </w:sectPr>
      </w:pPr>
    </w:p>
    <w:bookmarkStart w:id="899" w:name="page900"/>
    <w:bookmarkEnd w:id="899"/>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 xml:space="preserve">Executed as deed by </w:t>
            </w:r>
            <w:r>
              <w:rPr>
                <w:rFonts w:ascii="Arial" w:cs="Arial" w:eastAsia="Arial" w:hAnsi="Arial"/>
                <w:sz w:val="18"/>
                <w:szCs w:val="18"/>
                <w:b w:val="1"/>
                <w:bCs w:val="1"/>
                <w:color w:val="auto"/>
              </w:rPr>
              <w:t>WEATHERFORD</w:t>
            </w:r>
          </w:p>
        </w:tc>
        <w:tc>
          <w:tcPr>
            <w:tcW w:w="2220" w:type="dxa"/>
            <w:vAlign w:val="bottom"/>
          </w:tcPr>
          <w:p>
            <w:pPr>
              <w:jc w:val="right"/>
              <w:ind w:right="191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EURASIA LIMITED </w:t>
            </w:r>
            <w:r>
              <w:rPr>
                <w:rFonts w:ascii="Arial" w:cs="Arial" w:eastAsia="Arial" w:hAnsi="Arial"/>
                <w:sz w:val="18"/>
                <w:szCs w:val="18"/>
                <w:color w:val="auto"/>
              </w:rPr>
              <w:t>acting by a director,</w:t>
            </w:r>
          </w:p>
        </w:tc>
        <w:tc>
          <w:tcPr>
            <w:tcW w:w="2220" w:type="dxa"/>
            <w:vAlign w:val="bottom"/>
          </w:tcPr>
          <w:p>
            <w:pPr>
              <w:jc w:val="right"/>
              <w:ind w:right="191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22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Name: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Occupation: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Address: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LC Weatherford U.K. Share Mortgage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900" w:name="page901"/>
    <w:bookmarkEnd w:id="9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COLLATERAL AGENT</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60" w:type="dxa"/>
            <w:vAlign w:val="bottom"/>
            <w:gridSpan w:val="4"/>
          </w:tcPr>
          <w:p>
            <w:pPr>
              <w:spacing w:after="0"/>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DEUTSCHE BANK</w:t>
            </w:r>
          </w:p>
        </w:tc>
        <w:tc>
          <w:tcPr>
            <w:tcW w:w="1940" w:type="dxa"/>
            <w:vAlign w:val="bottom"/>
            <w:gridSpan w:val="2"/>
          </w:tcPr>
          <w:p>
            <w:pPr>
              <w:jc w:val="right"/>
              <w:ind w:right="1700"/>
              <w:spacing w:after="0"/>
              <w:rPr>
                <w:sz w:val="20"/>
                <w:szCs w:val="20"/>
                <w:color w:val="auto"/>
              </w:rPr>
            </w:pPr>
            <w:r>
              <w:rPr>
                <w:rFonts w:ascii="Arial" w:cs="Arial" w:eastAsia="Arial" w:hAnsi="Arial"/>
                <w:sz w:val="18"/>
                <w:szCs w:val="18"/>
                <w:b w:val="1"/>
                <w:bCs w:val="1"/>
                <w:color w:val="auto"/>
              </w:rPr>
              <w:t>)</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TRUST COMPANY AMERICAS</w:t>
            </w:r>
          </w:p>
        </w:tc>
        <w:tc>
          <w:tcPr>
            <w:tcW w:w="1940" w:type="dxa"/>
            <w:vAlign w:val="bottom"/>
            <w:gridSpan w:val="2"/>
          </w:tcPr>
          <w:p>
            <w:pPr>
              <w:jc w:val="right"/>
              <w:ind w:right="1700"/>
              <w:spacing w:after="0"/>
              <w:rPr>
                <w:sz w:val="20"/>
                <w:szCs w:val="20"/>
                <w:color w:val="auto"/>
              </w:rPr>
            </w:pPr>
            <w:r>
              <w:rPr>
                <w:rFonts w:ascii="Arial" w:cs="Arial" w:eastAsia="Arial" w:hAnsi="Arial"/>
                <w:sz w:val="18"/>
                <w:szCs w:val="18"/>
                <w:b w:val="1"/>
                <w:bCs w:val="1"/>
                <w:color w:val="auto"/>
              </w:rPr>
              <w:t>)</w:t>
            </w: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acting</w:t>
            </w:r>
          </w:p>
        </w:tc>
        <w:tc>
          <w:tcPr>
            <w:tcW w:w="1940" w:type="dxa"/>
            <w:vAlign w:val="bottom"/>
            <w:gridSpan w:val="2"/>
            <w:vMerge w:val="restart"/>
          </w:tcPr>
          <w:p>
            <w:pPr>
              <w:jc w:val="right"/>
              <w:ind w:right="170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spacing w:after="0"/>
              <w:rPr>
                <w:sz w:val="20"/>
                <w:szCs w:val="20"/>
                <w:color w:val="auto"/>
              </w:rPr>
            </w:pPr>
            <w:r>
              <w:rPr>
                <w:rFonts w:ascii="Arial" w:cs="Arial" w:eastAsia="Arial" w:hAnsi="Arial"/>
                <w:sz w:val="18"/>
                <w:szCs w:val="18"/>
                <w:color w:val="auto"/>
              </w:rPr>
              <w:t>by</w:t>
            </w:r>
          </w:p>
        </w:tc>
        <w:tc>
          <w:tcPr>
            <w:tcW w:w="1940" w:type="dxa"/>
            <w:vAlign w:val="bottom"/>
            <w:gridSpan w:val="2"/>
            <w:vMerge w:val="continue"/>
          </w:tcPr>
          <w:p>
            <w:pPr>
              <w:spacing w:after="0"/>
              <w:rPr>
                <w:sz w:val="20"/>
                <w:szCs w:val="20"/>
                <w:color w:val="auto"/>
              </w:rPr>
            </w:pP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70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2"/>
              </w:rPr>
              <w:t>who, in accordance with the laws of the territory</w:t>
            </w:r>
          </w:p>
        </w:tc>
        <w:tc>
          <w:tcPr>
            <w:tcW w:w="100" w:type="dxa"/>
            <w:vAlign w:val="bottom"/>
            <w:tcBorders>
              <w:top w:val="single" w:sz="8" w:color="auto"/>
            </w:tcBorders>
          </w:tcPr>
          <w:p>
            <w:pPr>
              <w:spacing w:after="0"/>
              <w:rPr>
                <w:sz w:val="16"/>
                <w:szCs w:val="16"/>
                <w:color w:val="auto"/>
              </w:rPr>
            </w:pPr>
          </w:p>
        </w:tc>
        <w:tc>
          <w:tcPr>
            <w:tcW w:w="1840" w:type="dxa"/>
            <w:vAlign w:val="bottom"/>
          </w:tcPr>
          <w:p>
            <w:pPr>
              <w:jc w:val="right"/>
              <w:ind w:right="1700"/>
              <w:spacing w:after="0"/>
              <w:rPr>
                <w:sz w:val="20"/>
                <w:szCs w:val="20"/>
                <w:color w:val="auto"/>
              </w:rPr>
            </w:pPr>
            <w:r>
              <w:rPr>
                <w:rFonts w:ascii="Arial" w:cs="Arial" w:eastAsia="Arial" w:hAnsi="Arial"/>
                <w:sz w:val="16"/>
                <w:szCs w:val="16"/>
                <w:color w:val="auto"/>
                <w:w w:val="74"/>
              </w:rPr>
              <w:t>)</w:t>
            </w:r>
          </w:p>
        </w:tc>
        <w:tc>
          <w:tcPr>
            <w:tcW w:w="5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in which Deutsche Bank Trust Company</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4"/>
          </w:tcPr>
          <w:p>
            <w:pPr>
              <w:spacing w:after="0"/>
              <w:rPr>
                <w:sz w:val="20"/>
                <w:szCs w:val="20"/>
                <w:color w:val="auto"/>
              </w:rPr>
            </w:pPr>
            <w:r>
              <w:rPr>
                <w:rFonts w:ascii="Arial" w:cs="Arial" w:eastAsia="Arial" w:hAnsi="Arial"/>
                <w:sz w:val="18"/>
                <w:szCs w:val="18"/>
                <w:color w:val="auto"/>
              </w:rPr>
              <w:t>Americas</w:t>
            </w:r>
          </w:p>
        </w:tc>
        <w:tc>
          <w:tcPr>
            <w:tcW w:w="1940" w:type="dxa"/>
            <w:vAlign w:val="bottom"/>
            <w:gridSpan w:val="2"/>
          </w:tcPr>
          <w:p>
            <w:pPr>
              <w:jc w:val="right"/>
              <w:ind w:right="170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spacing w:after="0"/>
              <w:rPr>
                <w:sz w:val="20"/>
                <w:szCs w:val="20"/>
                <w:color w:val="auto"/>
              </w:rPr>
            </w:pPr>
            <w:r>
              <w:rPr>
                <w:rFonts w:ascii="Arial" w:cs="Arial" w:eastAsia="Arial" w:hAnsi="Arial"/>
                <w:sz w:val="18"/>
                <w:szCs w:val="18"/>
                <w:color w:val="auto"/>
                <w:w w:val="94"/>
              </w:rPr>
              <w:t>is incorporated, is/are acting under its authority</w:t>
            </w:r>
          </w:p>
        </w:tc>
        <w:tc>
          <w:tcPr>
            <w:tcW w:w="1940" w:type="dxa"/>
            <w:vAlign w:val="bottom"/>
            <w:gridSpan w:val="2"/>
          </w:tcPr>
          <w:p>
            <w:pPr>
              <w:jc w:val="right"/>
              <w:ind w:right="1700"/>
              <w:spacing w:after="0"/>
              <w:rPr>
                <w:sz w:val="20"/>
                <w:szCs w:val="20"/>
                <w:color w:val="auto"/>
              </w:rPr>
            </w:pPr>
            <w:r>
              <w:rPr>
                <w:rFonts w:ascii="Arial" w:cs="Arial" w:eastAsia="Arial" w:hAnsi="Arial"/>
                <w:sz w:val="18"/>
                <w:szCs w:val="18"/>
                <w:color w:val="auto"/>
              </w:rPr>
              <w:t>)</w:t>
            </w:r>
          </w:p>
        </w:tc>
        <w:tc>
          <w:tcPr>
            <w:tcW w:w="5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6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60" w:type="dxa"/>
            <w:vAlign w:val="bottom"/>
            <w:gridSpan w:val="4"/>
          </w:tcPr>
          <w:p>
            <w:pPr>
              <w:spacing w:after="0"/>
              <w:rPr>
                <w:sz w:val="20"/>
                <w:szCs w:val="20"/>
                <w:color w:val="auto"/>
              </w:rPr>
            </w:pPr>
            <w:r>
              <w:rPr>
                <w:rFonts w:ascii="Arial" w:cs="Arial" w:eastAsia="Arial" w:hAnsi="Arial"/>
                <w:sz w:val="18"/>
                <w:szCs w:val="18"/>
                <w:color w:val="auto"/>
              </w:rPr>
              <w:t>Authorised signatory</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560" w:type="dxa"/>
            <w:vAlign w:val="bottom"/>
            <w:gridSpan w:val="4"/>
          </w:tcPr>
          <w:p>
            <w:pPr>
              <w:spacing w:after="0"/>
              <w:rPr>
                <w:sz w:val="20"/>
                <w:szCs w:val="20"/>
                <w:color w:val="auto"/>
              </w:rPr>
            </w:pPr>
            <w:r>
              <w:rPr>
                <w:rFonts w:ascii="Arial" w:cs="Arial" w:eastAsia="Arial" w:hAnsi="Arial"/>
                <w:sz w:val="18"/>
                <w:szCs w:val="18"/>
                <w:i w:val="1"/>
                <w:iCs w:val="1"/>
                <w:color w:val="auto"/>
              </w:rPr>
              <w:t>Name:</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6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60" w:type="dxa"/>
            <w:vAlign w:val="bottom"/>
            <w:gridSpan w:val="4"/>
          </w:tcPr>
          <w:p>
            <w:pPr>
              <w:spacing w:after="0"/>
              <w:rPr>
                <w:sz w:val="20"/>
                <w:szCs w:val="20"/>
                <w:color w:val="auto"/>
              </w:rPr>
            </w:pPr>
            <w:r>
              <w:rPr>
                <w:rFonts w:ascii="Arial" w:cs="Arial" w:eastAsia="Arial" w:hAnsi="Arial"/>
                <w:sz w:val="18"/>
                <w:szCs w:val="18"/>
                <w:color w:val="auto"/>
              </w:rPr>
              <w:t>Authorised signatory</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560" w:type="dxa"/>
            <w:vAlign w:val="bottom"/>
            <w:gridSpan w:val="4"/>
          </w:tcPr>
          <w:p>
            <w:pPr>
              <w:spacing w:after="0"/>
              <w:rPr>
                <w:sz w:val="20"/>
                <w:szCs w:val="20"/>
                <w:color w:val="auto"/>
              </w:rPr>
            </w:pPr>
            <w:r>
              <w:rPr>
                <w:rFonts w:ascii="Arial" w:cs="Arial" w:eastAsia="Arial" w:hAnsi="Arial"/>
                <w:sz w:val="18"/>
                <w:szCs w:val="18"/>
                <w:i w:val="1"/>
                <w:iCs w:val="1"/>
                <w:color w:val="auto"/>
              </w:rPr>
              <w:t>Name:</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60" w:type="dxa"/>
            <w:vAlign w:val="bottom"/>
            <w:gridSpan w:val="3"/>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LC Weatherford U.K. Share Mortgage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01" w:name="page902"/>
    <w:bookmarkEnd w:id="901"/>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ORIGINAL SHARES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Class of</w:t>
            </w:r>
          </w:p>
        </w:tc>
        <w:tc>
          <w:tcPr>
            <w:tcW w:w="13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2"/>
              </w:rPr>
              <w:t>Nominal</w:t>
            </w:r>
          </w:p>
        </w:tc>
        <w:tc>
          <w:tcPr>
            <w:tcW w:w="34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Certificate</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16"/>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Value of</w:t>
            </w:r>
          </w:p>
        </w:tc>
        <w:tc>
          <w:tcPr>
            <w:tcW w:w="3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holder as at</w:t>
            </w: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38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each Share</w:t>
            </w:r>
          </w:p>
        </w:tc>
        <w:tc>
          <w:tcPr>
            <w:tcW w:w="3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date</w:t>
            </w:r>
          </w:p>
        </w:tc>
      </w:tr>
      <w:tr>
        <w:trPr>
          <w:trHeight w:val="220"/>
        </w:trPr>
        <w:tc>
          <w:tcPr>
            <w:tcW w:w="2440" w:type="dxa"/>
            <w:vAlign w:val="bottom"/>
            <w:tcBorders>
              <w:left w:val="single" w:sz="8" w:color="auto"/>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hereof</w:t>
            </w:r>
          </w:p>
        </w:tc>
      </w:tr>
      <w:tr>
        <w:trPr>
          <w:trHeight w:val="216"/>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Weatherford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Ordinary</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£1.00</w:t>
            </w:r>
          </w:p>
        </w:tc>
        <w:tc>
          <w:tcPr>
            <w:tcW w:w="3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Weatherford</w:t>
            </w:r>
          </w:p>
        </w:tc>
      </w:tr>
      <w:tr>
        <w:trPr>
          <w:trHeight w:val="216"/>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U.K.</w:t>
            </w:r>
          </w:p>
        </w:tc>
        <w:tc>
          <w:tcPr>
            <w:tcW w:w="170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Eurasia</w:t>
            </w:r>
          </w:p>
        </w:tc>
      </w:tr>
      <w:tr>
        <w:trPr>
          <w:trHeight w:val="230"/>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c>
          <w:tcPr>
            <w:tcW w:w="17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Limited</w:t>
            </w:r>
          </w:p>
        </w:tc>
      </w:tr>
      <w:tr>
        <w:trPr>
          <w:trHeight w:val="642"/>
        </w:trPr>
        <w:tc>
          <w:tcPr>
            <w:tcW w:w="2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7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02" w:name="page903"/>
    <w:bookmarkEnd w:id="902"/>
    <w:p>
      <w:pPr>
        <w:jc w:val="center"/>
        <w:ind w:right="8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left="660" w:right="9180" w:hanging="651"/>
        <w:spacing w:after="0" w:line="566" w:lineRule="auto"/>
        <w:tabs>
          <w:tab w:leader="none" w:pos="651" w:val="left"/>
        </w:tabs>
        <w:numPr>
          <w:ilvl w:val="0"/>
          <w:numId w:val="977"/>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Status of Shares </w:t>
      </w:r>
      <w:r>
        <w:rPr>
          <w:rFonts w:ascii="Arial" w:cs="Arial" w:eastAsia="Arial" w:hAnsi="Arial"/>
          <w:sz w:val="16"/>
          <w:szCs w:val="16"/>
          <w:color w:val="auto"/>
        </w:rPr>
        <w:t>The Original Shares:</w:t>
      </w:r>
    </w:p>
    <w:p>
      <w:pPr>
        <w:ind w:left="1300" w:hanging="643"/>
        <w:spacing w:after="0"/>
        <w:tabs>
          <w:tab w:leader="none" w:pos="1300" w:val="left"/>
        </w:tabs>
        <w:numPr>
          <w:ilvl w:val="1"/>
          <w:numId w:val="977"/>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300" w:hanging="643"/>
        <w:spacing w:after="0"/>
        <w:tabs>
          <w:tab w:leader="none" w:pos="1300" w:val="left"/>
        </w:tabs>
        <w:numPr>
          <w:ilvl w:val="1"/>
          <w:numId w:val="977"/>
        </w:numPr>
        <w:rPr>
          <w:rFonts w:ascii="Arial" w:cs="Arial" w:eastAsia="Arial" w:hAnsi="Arial"/>
          <w:sz w:val="16"/>
          <w:szCs w:val="16"/>
          <w:color w:val="010000"/>
        </w:rPr>
      </w:pPr>
      <w:r>
        <w:rPr>
          <w:rFonts w:ascii="Arial" w:cs="Arial" w:eastAsia="Arial" w:hAnsi="Arial"/>
          <w:sz w:val="16"/>
          <w:szCs w:val="16"/>
          <w:color w:val="auto"/>
        </w:rPr>
        <w:t>are free from any restrictions or conditions on transfer or rights of pre-emption, except as otherwise permitted by the Loan Agreement;</w:t>
      </w:r>
    </w:p>
    <w:p>
      <w:pPr>
        <w:spacing w:after="0" w:line="248" w:lineRule="exact"/>
        <w:rPr>
          <w:rFonts w:ascii="Arial" w:cs="Arial" w:eastAsia="Arial" w:hAnsi="Arial"/>
          <w:sz w:val="16"/>
          <w:szCs w:val="16"/>
          <w:color w:val="010000"/>
        </w:rPr>
      </w:pPr>
    </w:p>
    <w:p>
      <w:pPr>
        <w:ind w:left="1300" w:hanging="643"/>
        <w:spacing w:after="0"/>
        <w:tabs>
          <w:tab w:leader="none" w:pos="1300" w:val="left"/>
        </w:tabs>
        <w:numPr>
          <w:ilvl w:val="1"/>
          <w:numId w:val="977"/>
        </w:numPr>
        <w:rPr>
          <w:rFonts w:ascii="Arial" w:cs="Arial" w:eastAsia="Arial" w:hAnsi="Arial"/>
          <w:sz w:val="18"/>
          <w:szCs w:val="18"/>
          <w:color w:val="010000"/>
        </w:rPr>
      </w:pPr>
      <w:r>
        <w:rPr>
          <w:rFonts w:ascii="Arial" w:cs="Arial" w:eastAsia="Arial" w:hAnsi="Arial"/>
          <w:sz w:val="18"/>
          <w:szCs w:val="18"/>
          <w:color w:val="auto"/>
        </w:rPr>
        <w:t>are fully paid, and no moneys or liabilities are outstanding in respect of any of them; and</w:t>
      </w:r>
    </w:p>
    <w:p>
      <w:pPr>
        <w:spacing w:after="0" w:line="225" w:lineRule="exact"/>
        <w:rPr>
          <w:rFonts w:ascii="Arial" w:cs="Arial" w:eastAsia="Arial" w:hAnsi="Arial"/>
          <w:sz w:val="18"/>
          <w:szCs w:val="18"/>
          <w:color w:val="010000"/>
        </w:rPr>
      </w:pPr>
    </w:p>
    <w:p>
      <w:pPr>
        <w:ind w:left="1300" w:hanging="643"/>
        <w:spacing w:after="0"/>
        <w:tabs>
          <w:tab w:leader="none" w:pos="1300" w:val="left"/>
        </w:tabs>
        <w:numPr>
          <w:ilvl w:val="1"/>
          <w:numId w:val="977"/>
        </w:numPr>
        <w:rPr>
          <w:rFonts w:ascii="Arial" w:cs="Arial" w:eastAsia="Arial" w:hAnsi="Arial"/>
          <w:sz w:val="18"/>
          <w:szCs w:val="18"/>
          <w:color w:val="010000"/>
        </w:rPr>
      </w:pPr>
      <w:r>
        <w:rPr>
          <w:rFonts w:ascii="Arial" w:cs="Arial" w:eastAsia="Arial" w:hAnsi="Arial"/>
          <w:sz w:val="18"/>
          <w:szCs w:val="18"/>
          <w:color w:val="auto"/>
        </w:rPr>
        <w:t>represent the whole of the issued share capital of the Company.</w:t>
      </w:r>
    </w:p>
    <w:p>
      <w:pPr>
        <w:spacing w:after="0" w:line="221" w:lineRule="exact"/>
        <w:rPr>
          <w:rFonts w:ascii="Arial" w:cs="Arial" w:eastAsia="Arial" w:hAnsi="Arial"/>
          <w:sz w:val="18"/>
          <w:szCs w:val="18"/>
          <w:color w:val="010000"/>
        </w:rPr>
      </w:pPr>
    </w:p>
    <w:p>
      <w:pPr>
        <w:ind w:left="660" w:hanging="651"/>
        <w:spacing w:after="0"/>
        <w:tabs>
          <w:tab w:leader="none" w:pos="660" w:val="left"/>
        </w:tabs>
        <w:numPr>
          <w:ilvl w:val="0"/>
          <w:numId w:val="977"/>
        </w:numPr>
        <w:rPr>
          <w:rFonts w:ascii="Arial" w:cs="Arial" w:eastAsia="Arial" w:hAnsi="Arial"/>
          <w:sz w:val="18"/>
          <w:szCs w:val="18"/>
          <w:b w:val="1"/>
          <w:bCs w:val="1"/>
          <w:color w:val="010000"/>
        </w:rPr>
      </w:pPr>
      <w:r>
        <w:rPr>
          <w:rFonts w:ascii="Arial" w:cs="Arial" w:eastAsia="Arial" w:hAnsi="Arial"/>
          <w:sz w:val="18"/>
          <w:szCs w:val="18"/>
          <w:b w:val="1"/>
          <w:bCs w:val="1"/>
          <w:color w:val="auto"/>
        </w:rPr>
        <w:t>Further Shares</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All Further Shares and any Shares comprised in any Derived Assets:</w:t>
      </w:r>
    </w:p>
    <w:p>
      <w:pPr>
        <w:spacing w:after="0" w:line="225" w:lineRule="exact"/>
        <w:rPr>
          <w:rFonts w:ascii="Arial" w:cs="Arial" w:eastAsia="Arial" w:hAnsi="Arial"/>
          <w:sz w:val="18"/>
          <w:szCs w:val="18"/>
          <w:b w:val="1"/>
          <w:bCs w:val="1"/>
          <w:color w:val="010000"/>
        </w:rPr>
      </w:pPr>
    </w:p>
    <w:p>
      <w:pPr>
        <w:ind w:left="1300" w:hanging="643"/>
        <w:spacing w:after="0"/>
        <w:tabs>
          <w:tab w:leader="none" w:pos="1300" w:val="left"/>
        </w:tabs>
        <w:numPr>
          <w:ilvl w:val="1"/>
          <w:numId w:val="977"/>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300" w:hanging="643"/>
        <w:spacing w:after="0"/>
        <w:tabs>
          <w:tab w:leader="none" w:pos="1300" w:val="left"/>
        </w:tabs>
        <w:numPr>
          <w:ilvl w:val="1"/>
          <w:numId w:val="977"/>
        </w:numPr>
        <w:rPr>
          <w:rFonts w:ascii="Arial" w:cs="Arial" w:eastAsia="Arial" w:hAnsi="Arial"/>
          <w:sz w:val="16"/>
          <w:szCs w:val="16"/>
          <w:color w:val="010000"/>
        </w:rPr>
      </w:pPr>
      <w:r>
        <w:rPr>
          <w:rFonts w:ascii="Arial" w:cs="Arial" w:eastAsia="Arial" w:hAnsi="Arial"/>
          <w:sz w:val="16"/>
          <w:szCs w:val="16"/>
          <w:color w:val="auto"/>
        </w:rPr>
        <w:t>are free from any restrictions or conditions on transfer or rights of pre-emption, except as otherwise permitted by the Loan Agreement;</w:t>
      </w:r>
    </w:p>
    <w:p>
      <w:pPr>
        <w:spacing w:after="0" w:line="248" w:lineRule="exact"/>
        <w:rPr>
          <w:rFonts w:ascii="Arial" w:cs="Arial" w:eastAsia="Arial" w:hAnsi="Arial"/>
          <w:sz w:val="16"/>
          <w:szCs w:val="16"/>
          <w:color w:val="010000"/>
        </w:rPr>
      </w:pPr>
    </w:p>
    <w:p>
      <w:pPr>
        <w:ind w:left="1300" w:hanging="643"/>
        <w:spacing w:after="0"/>
        <w:tabs>
          <w:tab w:leader="none" w:pos="1300" w:val="left"/>
        </w:tabs>
        <w:numPr>
          <w:ilvl w:val="1"/>
          <w:numId w:val="977"/>
        </w:numPr>
        <w:rPr>
          <w:rFonts w:ascii="Arial" w:cs="Arial" w:eastAsia="Arial" w:hAnsi="Arial"/>
          <w:sz w:val="18"/>
          <w:szCs w:val="18"/>
          <w:color w:val="010000"/>
        </w:rPr>
      </w:pPr>
      <w:r>
        <w:rPr>
          <w:rFonts w:ascii="Arial" w:cs="Arial" w:eastAsia="Arial" w:hAnsi="Arial"/>
          <w:sz w:val="18"/>
          <w:szCs w:val="18"/>
          <w:color w:val="auto"/>
        </w:rPr>
        <w:t>are fully paid, and no monies or liabilities are outstanding in respect of any of them; and</w:t>
      </w:r>
    </w:p>
    <w:p>
      <w:pPr>
        <w:spacing w:after="0" w:line="22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together with the Original Shares, any Further Shares and Shares comprised in any Derived Assets previously issued represent the whole of the issued share capital of the Company except as otherwise permitted by the Loan Agreement.</w:t>
      </w:r>
    </w:p>
    <w:p>
      <w:pPr>
        <w:spacing w:after="0" w:line="166" w:lineRule="exact"/>
        <w:rPr>
          <w:sz w:val="20"/>
          <w:szCs w:val="20"/>
          <w:color w:val="auto"/>
        </w:rPr>
      </w:pPr>
    </w:p>
    <w:p>
      <w:pPr>
        <w:ind w:left="660" w:hanging="651"/>
        <w:spacing w:after="0"/>
        <w:tabs>
          <w:tab w:leader="none" w:pos="660" w:val="left"/>
        </w:tabs>
        <w:numPr>
          <w:ilvl w:val="0"/>
          <w:numId w:val="978"/>
        </w:numPr>
        <w:rPr>
          <w:rFonts w:ascii="Arial" w:cs="Arial" w:eastAsia="Arial" w:hAnsi="Arial"/>
          <w:sz w:val="18"/>
          <w:szCs w:val="18"/>
          <w:b w:val="1"/>
          <w:bCs w:val="1"/>
          <w:color w:val="010000"/>
        </w:rPr>
      </w:pPr>
      <w:r>
        <w:rPr>
          <w:rFonts w:ascii="Arial" w:cs="Arial" w:eastAsia="Arial" w:hAnsi="Arial"/>
          <w:sz w:val="18"/>
          <w:szCs w:val="18"/>
          <w:b w:val="1"/>
          <w:bCs w:val="1"/>
          <w:color w:val="auto"/>
        </w:rPr>
        <w:t>PSC Register</w:t>
      </w:r>
    </w:p>
    <w:p>
      <w:pPr>
        <w:spacing w:after="0" w:line="229" w:lineRule="exact"/>
        <w:rPr>
          <w:rFonts w:ascii="Arial" w:cs="Arial" w:eastAsia="Arial" w:hAnsi="Arial"/>
          <w:sz w:val="18"/>
          <w:szCs w:val="18"/>
          <w:b w:val="1"/>
          <w:bCs w:val="1"/>
          <w:color w:val="010000"/>
        </w:rPr>
      </w:pPr>
    </w:p>
    <w:p>
      <w:pPr>
        <w:ind w:left="1300" w:hanging="643"/>
        <w:spacing w:after="0" w:line="277" w:lineRule="auto"/>
        <w:tabs>
          <w:tab w:leader="none" w:pos="1300" w:val="left"/>
        </w:tabs>
        <w:numPr>
          <w:ilvl w:val="1"/>
          <w:numId w:val="978"/>
        </w:numPr>
        <w:rPr>
          <w:rFonts w:ascii="Arial" w:cs="Arial" w:eastAsia="Arial" w:hAnsi="Arial"/>
          <w:sz w:val="18"/>
          <w:szCs w:val="18"/>
          <w:color w:val="010000"/>
        </w:rPr>
      </w:pPr>
      <w:r>
        <w:rPr>
          <w:rFonts w:ascii="Arial" w:cs="Arial" w:eastAsia="Arial" w:hAnsi="Arial"/>
          <w:sz w:val="18"/>
          <w:szCs w:val="18"/>
          <w:color w:val="auto"/>
        </w:rPr>
        <w:t>The Mortgagor represents and warrants that it has not issued and does not intend to issue any warning notice or restrictions notice under Schedule 1B of the Companies Act 2006 in respect of any Shares which constitute Secured Asset; and</w:t>
      </w:r>
    </w:p>
    <w:p>
      <w:pPr>
        <w:spacing w:after="0" w:line="170" w:lineRule="exact"/>
        <w:rPr>
          <w:rFonts w:ascii="Arial" w:cs="Arial" w:eastAsia="Arial" w:hAnsi="Arial"/>
          <w:sz w:val="18"/>
          <w:szCs w:val="18"/>
          <w:color w:val="010000"/>
        </w:rPr>
      </w:pPr>
    </w:p>
    <w:p>
      <w:pPr>
        <w:ind w:left="1300" w:hanging="643"/>
        <w:spacing w:after="0" w:line="277" w:lineRule="auto"/>
        <w:tabs>
          <w:tab w:leader="none" w:pos="1300" w:val="left"/>
        </w:tabs>
        <w:numPr>
          <w:ilvl w:val="1"/>
          <w:numId w:val="978"/>
        </w:numPr>
        <w:rPr>
          <w:rFonts w:ascii="Arial" w:cs="Arial" w:eastAsia="Arial" w:hAnsi="Arial"/>
          <w:sz w:val="18"/>
          <w:szCs w:val="18"/>
          <w:color w:val="010000"/>
        </w:rPr>
      </w:pPr>
      <w:r>
        <w:rPr>
          <w:rFonts w:ascii="Arial" w:cs="Arial" w:eastAsia="Arial" w:hAnsi="Arial"/>
          <w:sz w:val="18"/>
          <w:szCs w:val="18"/>
          <w:color w:val="auto"/>
        </w:rPr>
        <w:t>the Mortgagor has not received any warning notice or restrictions notice under Schedule 1B of the Companies Act 2006 in respect of any Shares which constitute Secured Asset.</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33" w:right="239" w:bottom="1440" w:gutter="0" w:footer="0" w:header="0"/>
        </w:sectPr>
      </w:pPr>
    </w:p>
    <w:bookmarkStart w:id="903" w:name="page904"/>
    <w:bookmarkEnd w:id="903"/>
    <w:p>
      <w:pPr>
        <w:jc w:val="center"/>
        <w:ind w:right="-10"/>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ind w:right="-10"/>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left="651" w:hanging="651"/>
        <w:spacing w:after="0"/>
        <w:tabs>
          <w:tab w:leader="none" w:pos="651" w:val="left"/>
        </w:tabs>
        <w:numPr>
          <w:ilvl w:val="0"/>
          <w:numId w:val="979"/>
        </w:numPr>
        <w:rPr>
          <w:rFonts w:ascii="Arial" w:cs="Arial" w:eastAsia="Arial" w:hAnsi="Arial"/>
          <w:sz w:val="18"/>
          <w:szCs w:val="18"/>
          <w:b w:val="1"/>
          <w:bCs w:val="1"/>
          <w:color w:val="010000"/>
        </w:rPr>
      </w:pPr>
      <w:r>
        <w:rPr>
          <w:rFonts w:ascii="Arial" w:cs="Arial" w:eastAsia="Arial" w:hAnsi="Arial"/>
          <w:sz w:val="18"/>
          <w:szCs w:val="18"/>
          <w:b w:val="1"/>
          <w:bCs w:val="1"/>
          <w:color w:val="auto"/>
        </w:rPr>
        <w:t>Restrictions on Transfer and Rights of Pre-emption</w:t>
      </w:r>
    </w:p>
    <w:p>
      <w:pPr>
        <w:spacing w:after="0" w:line="229" w:lineRule="exact"/>
        <w:rPr>
          <w:rFonts w:ascii="Arial" w:cs="Arial" w:eastAsia="Arial" w:hAnsi="Arial"/>
          <w:sz w:val="18"/>
          <w:szCs w:val="18"/>
          <w:b w:val="1"/>
          <w:bCs w:val="1"/>
          <w:color w:val="010000"/>
        </w:rPr>
      </w:pPr>
    </w:p>
    <w:p>
      <w:pPr>
        <w:ind w:left="651"/>
        <w:spacing w:after="0" w:line="277" w:lineRule="auto"/>
        <w:rPr>
          <w:rFonts w:ascii="Arial" w:cs="Arial" w:eastAsia="Arial" w:hAnsi="Arial"/>
          <w:sz w:val="18"/>
          <w:szCs w:val="18"/>
          <w:b w:val="1"/>
          <w:bCs w:val="1"/>
          <w:color w:val="010000"/>
        </w:rPr>
      </w:pPr>
      <w:r>
        <w:rPr>
          <w:rFonts w:ascii="Arial" w:cs="Arial" w:eastAsia="Arial" w:hAnsi="Arial"/>
          <w:sz w:val="18"/>
          <w:szCs w:val="18"/>
          <w:color w:val="auto"/>
        </w:rPr>
        <w:t>The Mortgagor shall ensure that the Original Shares, any Further Shares and any Shares comprised in any Derived Assets are and remain free from any restriction on transfer or rights of pre-emption, except as otherwise permitted by the Loan Agreement.</w:t>
      </w:r>
    </w:p>
    <w:p>
      <w:pPr>
        <w:spacing w:after="0" w:line="166" w:lineRule="exact"/>
        <w:rPr>
          <w:rFonts w:ascii="Arial" w:cs="Arial" w:eastAsia="Arial" w:hAnsi="Arial"/>
          <w:sz w:val="18"/>
          <w:szCs w:val="18"/>
          <w:b w:val="1"/>
          <w:bCs w:val="1"/>
          <w:color w:val="010000"/>
        </w:rPr>
      </w:pPr>
    </w:p>
    <w:p>
      <w:pPr>
        <w:ind w:left="651" w:hanging="651"/>
        <w:spacing w:after="0"/>
        <w:tabs>
          <w:tab w:leader="none" w:pos="651" w:val="left"/>
        </w:tabs>
        <w:numPr>
          <w:ilvl w:val="0"/>
          <w:numId w:val="979"/>
        </w:numPr>
        <w:rPr>
          <w:rFonts w:ascii="Arial" w:cs="Arial" w:eastAsia="Arial" w:hAnsi="Arial"/>
          <w:sz w:val="18"/>
          <w:szCs w:val="18"/>
          <w:b w:val="1"/>
          <w:bCs w:val="1"/>
          <w:color w:val="010000"/>
        </w:rPr>
      </w:pPr>
      <w:r>
        <w:rPr>
          <w:rFonts w:ascii="Arial" w:cs="Arial" w:eastAsia="Arial" w:hAnsi="Arial"/>
          <w:sz w:val="18"/>
          <w:szCs w:val="18"/>
          <w:b w:val="1"/>
          <w:bCs w:val="1"/>
          <w:color w:val="auto"/>
        </w:rPr>
        <w:t>Articles of Association</w:t>
      </w:r>
    </w:p>
    <w:p>
      <w:pPr>
        <w:spacing w:after="0" w:line="229" w:lineRule="exact"/>
        <w:rPr>
          <w:rFonts w:ascii="Arial" w:cs="Arial" w:eastAsia="Arial" w:hAnsi="Arial"/>
          <w:sz w:val="18"/>
          <w:szCs w:val="18"/>
          <w:b w:val="1"/>
          <w:bCs w:val="1"/>
          <w:color w:val="010000"/>
        </w:rPr>
      </w:pPr>
    </w:p>
    <w:p>
      <w:pPr>
        <w:ind w:left="651" w:right="20"/>
        <w:spacing w:after="0" w:line="277" w:lineRule="auto"/>
        <w:rPr>
          <w:rFonts w:ascii="Arial" w:cs="Arial" w:eastAsia="Arial" w:hAnsi="Arial"/>
          <w:sz w:val="18"/>
          <w:szCs w:val="18"/>
          <w:b w:val="1"/>
          <w:bCs w:val="1"/>
          <w:color w:val="010000"/>
        </w:rPr>
      </w:pPr>
      <w:r>
        <w:rPr>
          <w:rFonts w:ascii="Arial" w:cs="Arial" w:eastAsia="Arial" w:hAnsi="Arial"/>
          <w:sz w:val="18"/>
          <w:szCs w:val="18"/>
          <w:color w:val="auto"/>
        </w:rPr>
        <w:t>The Mortgagor shall not permit the articles of association of the Company to be amended or modified in any way that would adversely affect in any material respect the Security created pursuant to this Deed.</w:t>
      </w:r>
    </w:p>
    <w:p>
      <w:pPr>
        <w:spacing w:after="0" w:line="387"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14605</wp:posOffset>
            </wp:positionV>
            <wp:extent cx="724662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1"/>
          </w:cols>
          <w:pgMar w:left="329" w:top="905" w:right="339" w:bottom="1440" w:gutter="0" w:footer="0" w:header="0"/>
        </w:sectPr>
      </w:pPr>
    </w:p>
    <w:bookmarkStart w:id="904" w:name="page905"/>
    <w:bookmarkEnd w:id="904"/>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4380"/>
        <w:spacing w:after="0"/>
        <w:tabs>
          <w:tab w:leader="none" w:pos="65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-7620</wp:posOffset>
            </wp:positionV>
            <wp:extent cx="97155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EURASIA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DEED OF CHARGE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289877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This Deed of Charge and Assignment is entered into subject to the terms of the Intercreditor Agreement dated on or around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24662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117475</wp:posOffset>
            </wp:positionV>
            <wp:extent cx="1054735" cy="2743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6">
                      <a:extLst>
                        <a:ext uri="{28A0092B-C50C-407E-A947-70E740481C1C}"/>
                      </a:extLst>
                    </a:blip>
                    <a:srcRect/>
                    <a:stretch>
                      <a:fillRect/>
                    </a:stretch>
                  </pic:blipFill>
                  <pic:spPr bwMode="auto">
                    <a:xfrm>
                      <a:off x="0" y="0"/>
                      <a:ext cx="1054735" cy="274320"/>
                    </a:xfrm>
                    <a:prstGeom prst="rect">
                      <a:avLst/>
                    </a:prstGeom>
                    <a:noFill/>
                  </pic:spPr>
                </pic:pic>
              </a:graphicData>
            </a:graphic>
          </wp:anchor>
        </w:drawing>
      </w:r>
    </w:p>
    <w:p>
      <w:pPr>
        <w:sectPr>
          <w:pgSz w:w="11900" w:h="16838" w:orient="portrait"/>
          <w:cols w:equalWidth="0" w:num="1">
            <w:col w:w="11320"/>
          </w:cols>
          <w:pgMar w:left="240" w:top="905" w:right="339" w:bottom="1440" w:gutter="0" w:footer="0" w:header="0"/>
        </w:sectPr>
      </w:pPr>
    </w:p>
    <w:bookmarkStart w:id="905" w:name="page906"/>
    <w:bookmarkEnd w:id="905"/>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120" w:type="dxa"/>
            <w:vAlign w:val="bottom"/>
          </w:tcPr>
          <w:p>
            <w:pPr>
              <w:ind w:left="41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2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10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08"/>
        </w:trPr>
        <w:tc>
          <w:tcPr>
            <w:tcW w:w="62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120" w:type="dxa"/>
            <w:vAlign w:val="bottom"/>
            <w:vMerge w:val="restart"/>
          </w:tcPr>
          <w:p>
            <w:pPr>
              <w:ind w:left="80"/>
              <w:spacing w:after="0"/>
              <w:rPr>
                <w:sz w:val="20"/>
                <w:szCs w:val="20"/>
                <w:color w:val="auto"/>
              </w:rPr>
            </w:pPr>
            <w:r>
              <w:rPr>
                <w:rFonts w:ascii="Arial" w:cs="Arial" w:eastAsia="Arial" w:hAnsi="Arial"/>
                <w:sz w:val="18"/>
                <w:szCs w:val="18"/>
                <w:color w:val="auto"/>
              </w:rPr>
              <w:t>DEFINITIONS AND INTERPRETATION</w:t>
            </w:r>
          </w:p>
        </w:tc>
        <w:tc>
          <w:tcPr>
            <w:tcW w:w="68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620" w:type="dxa"/>
            <w:vAlign w:val="bottom"/>
            <w:vMerge w:val="continue"/>
          </w:tcPr>
          <w:p>
            <w:pPr>
              <w:spacing w:after="0"/>
              <w:rPr>
                <w:sz w:val="19"/>
                <w:szCs w:val="19"/>
                <w:color w:val="auto"/>
              </w:rPr>
            </w:pPr>
          </w:p>
        </w:tc>
        <w:tc>
          <w:tcPr>
            <w:tcW w:w="101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2.</w:t>
            </w:r>
          </w:p>
        </w:tc>
        <w:tc>
          <w:tcPr>
            <w:tcW w:w="10120" w:type="dxa"/>
            <w:vAlign w:val="bottom"/>
          </w:tcPr>
          <w:p>
            <w:pPr>
              <w:ind w:left="80"/>
              <w:spacing w:after="0"/>
              <w:rPr>
                <w:sz w:val="20"/>
                <w:szCs w:val="20"/>
                <w:color w:val="auto"/>
              </w:rPr>
            </w:pPr>
            <w:r>
              <w:rPr>
                <w:rFonts w:ascii="Arial" w:cs="Arial" w:eastAsia="Arial" w:hAnsi="Arial"/>
                <w:sz w:val="18"/>
                <w:szCs w:val="18"/>
                <w:color w:val="auto"/>
              </w:rPr>
              <w:t>TRUST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w:t>
            </w:r>
          </w:p>
        </w:tc>
        <w:tc>
          <w:tcPr>
            <w:tcW w:w="10120" w:type="dxa"/>
            <w:vAlign w:val="bottom"/>
          </w:tcPr>
          <w:p>
            <w:pPr>
              <w:ind w:left="80"/>
              <w:spacing w:after="0"/>
              <w:rPr>
                <w:sz w:val="20"/>
                <w:szCs w:val="20"/>
                <w:color w:val="auto"/>
              </w:rPr>
            </w:pPr>
            <w:r>
              <w:rPr>
                <w:rFonts w:ascii="Arial" w:cs="Arial" w:eastAsia="Arial" w:hAnsi="Arial"/>
                <w:sz w:val="18"/>
                <w:szCs w:val="18"/>
                <w:color w:val="auto"/>
              </w:rPr>
              <w:t>INTERCREDITOR AGREEMENT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w:t>
            </w:r>
          </w:p>
        </w:tc>
        <w:tc>
          <w:tcPr>
            <w:tcW w:w="10120" w:type="dxa"/>
            <w:vAlign w:val="bottom"/>
          </w:tcPr>
          <w:p>
            <w:pPr>
              <w:ind w:left="80"/>
              <w:spacing w:after="0"/>
              <w:rPr>
                <w:sz w:val="20"/>
                <w:szCs w:val="20"/>
                <w:color w:val="auto"/>
              </w:rPr>
            </w:pPr>
            <w:r>
              <w:rPr>
                <w:rFonts w:ascii="Arial" w:cs="Arial" w:eastAsia="Arial" w:hAnsi="Arial"/>
                <w:sz w:val="18"/>
                <w:szCs w:val="18"/>
                <w:color w:val="auto"/>
              </w:rPr>
              <w:t>ABL DEED OF CHARGE AND ASSIGNMENT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5.</w:t>
            </w:r>
          </w:p>
        </w:tc>
        <w:tc>
          <w:tcPr>
            <w:tcW w:w="10120" w:type="dxa"/>
            <w:vAlign w:val="bottom"/>
          </w:tcPr>
          <w:p>
            <w:pPr>
              <w:ind w:left="80"/>
              <w:spacing w:after="0"/>
              <w:rPr>
                <w:sz w:val="20"/>
                <w:szCs w:val="20"/>
                <w:color w:val="auto"/>
              </w:rPr>
            </w:pPr>
            <w:r>
              <w:rPr>
                <w:rFonts w:ascii="Arial" w:cs="Arial" w:eastAsia="Arial" w:hAnsi="Arial"/>
                <w:sz w:val="18"/>
                <w:szCs w:val="18"/>
                <w:color w:val="auto"/>
              </w:rPr>
              <w:t>COVENANT TO PAY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6.</w:t>
            </w:r>
          </w:p>
        </w:tc>
        <w:tc>
          <w:tcPr>
            <w:tcW w:w="10120" w:type="dxa"/>
            <w:vAlign w:val="bottom"/>
          </w:tcPr>
          <w:p>
            <w:pPr>
              <w:ind w:left="80"/>
              <w:spacing w:after="0"/>
              <w:rPr>
                <w:sz w:val="20"/>
                <w:szCs w:val="20"/>
                <w:color w:val="auto"/>
              </w:rPr>
            </w:pPr>
            <w:r>
              <w:rPr>
                <w:rFonts w:ascii="Arial" w:cs="Arial" w:eastAsia="Arial" w:hAnsi="Arial"/>
                <w:sz w:val="18"/>
                <w:szCs w:val="18"/>
                <w:color w:val="auto"/>
              </w:rPr>
              <w:t>SECURITY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7.</w:t>
            </w:r>
          </w:p>
        </w:tc>
        <w:tc>
          <w:tcPr>
            <w:tcW w:w="10120" w:type="dxa"/>
            <w:vAlign w:val="bottom"/>
          </w:tcPr>
          <w:p>
            <w:pPr>
              <w:ind w:left="80"/>
              <w:spacing w:after="0"/>
              <w:rPr>
                <w:sz w:val="20"/>
                <w:szCs w:val="20"/>
                <w:color w:val="auto"/>
              </w:rPr>
            </w:pPr>
            <w:r>
              <w:rPr>
                <w:rFonts w:ascii="Arial" w:cs="Arial" w:eastAsia="Arial" w:hAnsi="Arial"/>
                <w:sz w:val="18"/>
                <w:szCs w:val="18"/>
                <w:color w:val="auto"/>
              </w:rPr>
              <w:t>REDEMPTION OF SECURITY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8.</w:t>
            </w:r>
          </w:p>
        </w:tc>
        <w:tc>
          <w:tcPr>
            <w:tcW w:w="1012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9.</w:t>
            </w:r>
          </w:p>
        </w:tc>
        <w:tc>
          <w:tcPr>
            <w:tcW w:w="10120" w:type="dxa"/>
            <w:vAlign w:val="bottom"/>
          </w:tcPr>
          <w:p>
            <w:pPr>
              <w:ind w:left="80"/>
              <w:spacing w:after="0"/>
              <w:rPr>
                <w:sz w:val="20"/>
                <w:szCs w:val="20"/>
                <w:color w:val="auto"/>
              </w:rPr>
            </w:pPr>
            <w:r>
              <w:rPr>
                <w:rFonts w:ascii="Arial" w:cs="Arial" w:eastAsia="Arial" w:hAnsi="Arial"/>
                <w:sz w:val="18"/>
                <w:szCs w:val="18"/>
                <w:color w:val="auto"/>
              </w:rPr>
              <w:t>COVENANTS RELATING TO ASSETS – PERFECTION, RESTRICTIONS ON DEALINGS, PROTECTION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10.</w:t>
            </w:r>
          </w:p>
        </w:tc>
        <w:tc>
          <w:tcPr>
            <w:tcW w:w="10120" w:type="dxa"/>
            <w:vAlign w:val="bottom"/>
          </w:tcPr>
          <w:p>
            <w:pPr>
              <w:ind w:left="80"/>
              <w:spacing w:after="0"/>
              <w:rPr>
                <w:sz w:val="20"/>
                <w:szCs w:val="20"/>
                <w:color w:val="auto"/>
              </w:rPr>
            </w:pPr>
            <w:r>
              <w:rPr>
                <w:rFonts w:ascii="Arial" w:cs="Arial" w:eastAsia="Arial" w:hAnsi="Arial"/>
                <w:sz w:val="18"/>
                <w:szCs w:val="18"/>
                <w:color w:val="auto"/>
              </w:rPr>
              <w:t>GENERAL COVENANTS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11.</w:t>
            </w:r>
          </w:p>
        </w:tc>
        <w:tc>
          <w:tcPr>
            <w:tcW w:w="10120" w:type="dxa"/>
            <w:vAlign w:val="bottom"/>
          </w:tcPr>
          <w:p>
            <w:pPr>
              <w:ind w:left="80"/>
              <w:spacing w:after="0"/>
              <w:rPr>
                <w:sz w:val="20"/>
                <w:szCs w:val="20"/>
                <w:color w:val="auto"/>
              </w:rPr>
            </w:pPr>
            <w:r>
              <w:rPr>
                <w:rFonts w:ascii="Arial" w:cs="Arial" w:eastAsia="Arial" w:hAnsi="Arial"/>
                <w:sz w:val="18"/>
                <w:szCs w:val="18"/>
                <w:color w:val="auto"/>
              </w:rPr>
              <w:t>CRYSTALLISATION OF FLOATING CHARGE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12.</w:t>
            </w:r>
          </w:p>
        </w:tc>
        <w:tc>
          <w:tcPr>
            <w:tcW w:w="10120" w:type="dxa"/>
            <w:vAlign w:val="bottom"/>
          </w:tcPr>
          <w:p>
            <w:pPr>
              <w:ind w:left="80"/>
              <w:spacing w:after="0"/>
              <w:rPr>
                <w:sz w:val="20"/>
                <w:szCs w:val="20"/>
                <w:color w:val="auto"/>
              </w:rPr>
            </w:pPr>
            <w:r>
              <w:rPr>
                <w:rFonts w:ascii="Arial" w:cs="Arial" w:eastAsia="Arial" w:hAnsi="Arial"/>
                <w:sz w:val="18"/>
                <w:szCs w:val="18"/>
                <w:color w:val="auto"/>
              </w:rPr>
              <w:t>ENFORCEMENT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13.</w:t>
            </w:r>
          </w:p>
        </w:tc>
        <w:tc>
          <w:tcPr>
            <w:tcW w:w="10120" w:type="dxa"/>
            <w:vAlign w:val="bottom"/>
          </w:tcPr>
          <w:p>
            <w:pPr>
              <w:ind w:left="80"/>
              <w:spacing w:after="0"/>
              <w:rPr>
                <w:sz w:val="20"/>
                <w:szCs w:val="20"/>
                <w:color w:val="auto"/>
              </w:rPr>
            </w:pPr>
            <w:r>
              <w:rPr>
                <w:rFonts w:ascii="Arial" w:cs="Arial" w:eastAsia="Arial" w:hAnsi="Arial"/>
                <w:sz w:val="18"/>
                <w:szCs w:val="18"/>
                <w:color w:val="auto"/>
              </w:rPr>
              <w:t>CONTINUING SECURITY, OTHER SECURITY ETC.</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14.</w:t>
            </w:r>
          </w:p>
        </w:tc>
        <w:tc>
          <w:tcPr>
            <w:tcW w:w="10120" w:type="dxa"/>
            <w:vAlign w:val="bottom"/>
          </w:tcPr>
          <w:p>
            <w:pPr>
              <w:ind w:left="80"/>
              <w:spacing w:after="0"/>
              <w:rPr>
                <w:sz w:val="20"/>
                <w:szCs w:val="20"/>
                <w:color w:val="auto"/>
              </w:rPr>
            </w:pPr>
            <w:r>
              <w:rPr>
                <w:rFonts w:ascii="Arial" w:cs="Arial" w:eastAsia="Arial" w:hAnsi="Arial"/>
                <w:sz w:val="18"/>
                <w:szCs w:val="18"/>
                <w:color w:val="auto"/>
              </w:rPr>
              <w:t>FURTHER ASSURANCES, POWER OF ATTORNEY, ETC.</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15.</w:t>
            </w:r>
          </w:p>
        </w:tc>
        <w:tc>
          <w:tcPr>
            <w:tcW w:w="10120" w:type="dxa"/>
            <w:vAlign w:val="bottom"/>
          </w:tcPr>
          <w:p>
            <w:pPr>
              <w:ind w:left="80"/>
              <w:spacing w:after="0"/>
              <w:rPr>
                <w:sz w:val="20"/>
                <w:szCs w:val="20"/>
                <w:color w:val="auto"/>
              </w:rPr>
            </w:pPr>
            <w:r>
              <w:rPr>
                <w:rFonts w:ascii="Arial" w:cs="Arial" w:eastAsia="Arial" w:hAnsi="Arial"/>
                <w:sz w:val="18"/>
                <w:szCs w:val="18"/>
                <w:color w:val="auto"/>
              </w:rPr>
              <w:t>THE COLLATERAL AGENT'S RIGHTS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16.</w:t>
            </w:r>
          </w:p>
        </w:tc>
        <w:tc>
          <w:tcPr>
            <w:tcW w:w="10120" w:type="dxa"/>
            <w:vAlign w:val="bottom"/>
          </w:tcPr>
          <w:p>
            <w:pPr>
              <w:ind w:left="80"/>
              <w:spacing w:after="0"/>
              <w:rPr>
                <w:sz w:val="20"/>
                <w:szCs w:val="20"/>
                <w:color w:val="auto"/>
              </w:rPr>
            </w:pPr>
            <w:r>
              <w:rPr>
                <w:rFonts w:ascii="Arial" w:cs="Arial" w:eastAsia="Arial" w:hAnsi="Arial"/>
                <w:sz w:val="18"/>
                <w:szCs w:val="18"/>
                <w:color w:val="auto"/>
              </w:rPr>
              <w:t>APPOINTMENT OF ADMINISTRATOR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17.</w:t>
            </w:r>
          </w:p>
        </w:tc>
        <w:tc>
          <w:tcPr>
            <w:tcW w:w="10120" w:type="dxa"/>
            <w:vAlign w:val="bottom"/>
          </w:tcPr>
          <w:p>
            <w:pPr>
              <w:ind w:left="80"/>
              <w:spacing w:after="0"/>
              <w:rPr>
                <w:sz w:val="20"/>
                <w:szCs w:val="20"/>
                <w:color w:val="auto"/>
              </w:rPr>
            </w:pPr>
            <w:r>
              <w:rPr>
                <w:rFonts w:ascii="Arial" w:cs="Arial" w:eastAsia="Arial" w:hAnsi="Arial"/>
                <w:sz w:val="18"/>
                <w:szCs w:val="18"/>
                <w:color w:val="auto"/>
              </w:rPr>
              <w:t>RECEIVER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18.</w:t>
            </w:r>
          </w:p>
        </w:tc>
        <w:tc>
          <w:tcPr>
            <w:tcW w:w="10120" w:type="dxa"/>
            <w:vAlign w:val="bottom"/>
          </w:tcPr>
          <w:p>
            <w:pPr>
              <w:ind w:left="80"/>
              <w:spacing w:after="0"/>
              <w:rPr>
                <w:sz w:val="20"/>
                <w:szCs w:val="20"/>
                <w:color w:val="auto"/>
              </w:rPr>
            </w:pPr>
            <w:r>
              <w:rPr>
                <w:rFonts w:ascii="Arial" w:cs="Arial" w:eastAsia="Arial" w:hAnsi="Arial"/>
                <w:sz w:val="18"/>
                <w:szCs w:val="18"/>
                <w:color w:val="auto"/>
              </w:rPr>
              <w:t>APPLICATION OF MONEYS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19.</w:t>
            </w:r>
          </w:p>
        </w:tc>
        <w:tc>
          <w:tcPr>
            <w:tcW w:w="10120" w:type="dxa"/>
            <w:vAlign w:val="bottom"/>
          </w:tcPr>
          <w:p>
            <w:pPr>
              <w:ind w:left="80"/>
              <w:spacing w:after="0"/>
              <w:rPr>
                <w:sz w:val="20"/>
                <w:szCs w:val="20"/>
                <w:color w:val="auto"/>
              </w:rPr>
            </w:pPr>
            <w:r>
              <w:rPr>
                <w:rFonts w:ascii="Arial" w:cs="Arial" w:eastAsia="Arial" w:hAnsi="Arial"/>
                <w:sz w:val="18"/>
                <w:szCs w:val="18"/>
                <w:color w:val="auto"/>
              </w:rPr>
              <w:t>PROTECTION OF THIRD PARTIES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20.</w:t>
            </w:r>
          </w:p>
        </w:tc>
        <w:tc>
          <w:tcPr>
            <w:tcW w:w="10120" w:type="dxa"/>
            <w:vAlign w:val="bottom"/>
          </w:tcPr>
          <w:p>
            <w:pPr>
              <w:ind w:left="80"/>
              <w:spacing w:after="0"/>
              <w:rPr>
                <w:sz w:val="20"/>
                <w:szCs w:val="20"/>
                <w:color w:val="auto"/>
              </w:rPr>
            </w:pPr>
            <w:r>
              <w:rPr>
                <w:rFonts w:ascii="Arial" w:cs="Arial" w:eastAsia="Arial" w:hAnsi="Arial"/>
                <w:sz w:val="18"/>
                <w:szCs w:val="18"/>
                <w:color w:val="auto"/>
              </w:rPr>
              <w:t>PROTECTION OF COLLATERAL AGENT AND RECEIVER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120" w:type="dxa"/>
            <w:vAlign w:val="bottom"/>
          </w:tcPr>
          <w:p>
            <w:pPr>
              <w:ind w:left="80"/>
              <w:spacing w:after="0"/>
              <w:rPr>
                <w:sz w:val="20"/>
                <w:szCs w:val="20"/>
                <w:color w:val="auto"/>
              </w:rPr>
            </w:pPr>
            <w:r>
              <w:rPr>
                <w:rFonts w:ascii="Arial" w:cs="Arial" w:eastAsia="Arial" w:hAnsi="Arial"/>
                <w:sz w:val="18"/>
                <w:szCs w:val="18"/>
                <w:color w:val="auto"/>
              </w:rPr>
              <w:t>COSTS, EXPENSES AND INDEMNITY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10120" w:type="dxa"/>
            <w:vAlign w:val="bottom"/>
          </w:tcPr>
          <w:p>
            <w:pPr>
              <w:ind w:left="80"/>
              <w:spacing w:after="0"/>
              <w:rPr>
                <w:sz w:val="20"/>
                <w:szCs w:val="20"/>
                <w:color w:val="auto"/>
              </w:rPr>
            </w:pPr>
            <w:r>
              <w:rPr>
                <w:rFonts w:ascii="Arial" w:cs="Arial" w:eastAsia="Arial" w:hAnsi="Arial"/>
                <w:sz w:val="18"/>
                <w:szCs w:val="18"/>
                <w:color w:val="auto"/>
              </w:rPr>
              <w:t>CONSENTS, VARIATIONS, WAIVERS AND RIGHTS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w:t>
            </w:r>
          </w:p>
        </w:tc>
        <w:tc>
          <w:tcPr>
            <w:tcW w:w="10120" w:type="dxa"/>
            <w:vAlign w:val="bottom"/>
          </w:tcPr>
          <w:p>
            <w:pPr>
              <w:ind w:left="80"/>
              <w:spacing w:after="0"/>
              <w:rPr>
                <w:sz w:val="20"/>
                <w:szCs w:val="20"/>
                <w:color w:val="auto"/>
              </w:rPr>
            </w:pPr>
            <w:r>
              <w:rPr>
                <w:rFonts w:ascii="Arial" w:cs="Arial" w:eastAsia="Arial" w:hAnsi="Arial"/>
                <w:sz w:val="18"/>
                <w:szCs w:val="18"/>
                <w:color w:val="auto"/>
              </w:rPr>
              <w:t>PARTIAL INVALIDITY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810"/>
        </w:trPr>
        <w:tc>
          <w:tcPr>
            <w:tcW w:w="6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906" w:name="page907"/>
    <w:bookmarkEnd w:id="9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83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8380" w:type="dxa"/>
            <w:vAlign w:val="bottom"/>
          </w:tcPr>
          <w:p>
            <w:pPr>
              <w:ind w:left="240"/>
              <w:spacing w:after="0"/>
              <w:rPr>
                <w:sz w:val="20"/>
                <w:szCs w:val="20"/>
                <w:color w:val="auto"/>
              </w:rPr>
            </w:pPr>
            <w:r>
              <w:rPr>
                <w:rFonts w:ascii="Arial" w:cs="Arial" w:eastAsia="Arial" w:hAnsi="Arial"/>
                <w:sz w:val="18"/>
                <w:szCs w:val="18"/>
                <w:color w:val="auto"/>
              </w:rPr>
              <w:t>THIRD PARTIES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8380" w:type="dxa"/>
            <w:vAlign w:val="bottom"/>
          </w:tcPr>
          <w:p>
            <w:pPr>
              <w:ind w:left="240"/>
              <w:spacing w:after="0"/>
              <w:rPr>
                <w:sz w:val="20"/>
                <w:szCs w:val="20"/>
                <w:color w:val="auto"/>
              </w:rPr>
            </w:pPr>
            <w:r>
              <w:rPr>
                <w:rFonts w:ascii="Arial" w:cs="Arial" w:eastAsia="Arial" w:hAnsi="Arial"/>
                <w:sz w:val="18"/>
                <w:szCs w:val="18"/>
                <w:color w:val="auto"/>
              </w:rPr>
              <w:t>DETERMINATIONS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8380" w:type="dxa"/>
            <w:vAlign w:val="bottom"/>
          </w:tcPr>
          <w:p>
            <w:pPr>
              <w:ind w:left="240"/>
              <w:spacing w:after="0"/>
              <w:rPr>
                <w:sz w:val="20"/>
                <w:szCs w:val="20"/>
                <w:color w:val="auto"/>
              </w:rPr>
            </w:pPr>
            <w:r>
              <w:rPr>
                <w:rFonts w:ascii="Arial" w:cs="Arial" w:eastAsia="Arial" w:hAnsi="Arial"/>
                <w:sz w:val="18"/>
                <w:szCs w:val="18"/>
                <w:color w:val="auto"/>
              </w:rPr>
              <w:t>ASSIGNMENT</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83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29.</w:t>
            </w:r>
          </w:p>
        </w:tc>
        <w:tc>
          <w:tcPr>
            <w:tcW w:w="8380" w:type="dxa"/>
            <w:vAlign w:val="bottom"/>
          </w:tcPr>
          <w:p>
            <w:pPr>
              <w:ind w:left="240"/>
              <w:spacing w:after="0"/>
              <w:rPr>
                <w:sz w:val="20"/>
                <w:szCs w:val="20"/>
                <w:color w:val="auto"/>
              </w:rPr>
            </w:pPr>
            <w:r>
              <w:rPr>
                <w:rFonts w:ascii="Arial" w:cs="Arial" w:eastAsia="Arial" w:hAnsi="Arial"/>
                <w:sz w:val="18"/>
                <w:szCs w:val="18"/>
                <w:color w:val="auto"/>
              </w:rPr>
              <w:t>GOVERNING LAW AND JURISDICTION</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40"/>
        </w:trPr>
        <w:tc>
          <w:tcPr>
            <w:tcW w:w="8840" w:type="dxa"/>
            <w:vAlign w:val="bottom"/>
            <w:gridSpan w:val="2"/>
          </w:tcPr>
          <w:p>
            <w:pPr>
              <w:spacing w:after="0"/>
              <w:rPr>
                <w:sz w:val="20"/>
                <w:szCs w:val="20"/>
                <w:color w:val="auto"/>
              </w:rPr>
            </w:pPr>
            <w:r>
              <w:rPr>
                <w:rFonts w:ascii="Arial" w:cs="Arial" w:eastAsia="Arial" w:hAnsi="Arial"/>
                <w:sz w:val="18"/>
                <w:szCs w:val="18"/>
                <w:color w:val="auto"/>
              </w:rPr>
              <w:t>SCHEDULE 1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PART 1 – GENERAL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PART 2 – COLLECTION BANK ACCOUNT</w:t>
            </w:r>
          </w:p>
        </w:tc>
        <w:tc>
          <w:tcPr>
            <w:tcW w:w="2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SCHEDULE 2 ASSIGNED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SCHEDULE 3 INSURANCE POLICIES</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SCHEDULE 4 FORM OF NOTICE OF CHARGE OF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PART 1 – FORM OF NOTICE OF CHARGE FOR GENERAL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PART 2 – FORM OF NOTICE OF CHARGE FOR COLLECTION BANK ACCOUNTS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SCHEDULE 5 FORM OF NOTICE OF CHARGE OF ASSIGNED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SCHEDULE 6 FORM OF NOTICE OF CHARGE OF INSURANCE POLICIES</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783"/>
        </w:trPr>
        <w:tc>
          <w:tcPr>
            <w:tcW w:w="4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6" w:right="239" w:bottom="1440" w:gutter="0" w:footer="0" w:header="0"/>
        </w:sectPr>
      </w:pPr>
    </w:p>
    <w:bookmarkStart w:id="907" w:name="page908"/>
    <w:bookmarkEnd w:id="9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20"/>
                <w:szCs w:val="20"/>
                <w:color w:val="auto"/>
              </w:rPr>
            </w:pPr>
            <w:r>
              <w:rPr>
                <w:rFonts w:ascii="Arial" w:cs="Arial" w:eastAsia="Arial" w:hAnsi="Arial"/>
                <w:sz w:val="18"/>
                <w:szCs w:val="18"/>
                <w:b w:val="1"/>
                <w:bCs w:val="1"/>
                <w:color w:val="auto"/>
                <w:w w:val="98"/>
              </w:rPr>
              <w:t xml:space="preserve">THIS DEED OF CHARGE AND ASSIGNMENT </w:t>
            </w:r>
            <w:r>
              <w:rPr>
                <w:rFonts w:ascii="Arial" w:cs="Arial" w:eastAsia="Arial" w:hAnsi="Arial"/>
                <w:sz w:val="18"/>
                <w:szCs w:val="18"/>
                <w:color w:val="auto"/>
                <w:w w:val="98"/>
              </w:rPr>
              <w:t>is made on</w:t>
            </w:r>
          </w:p>
        </w:tc>
        <w:tc>
          <w:tcPr>
            <w:tcW w:w="1920" w:type="dxa"/>
            <w:vAlign w:val="bottom"/>
            <w:tcBorders>
              <w:bottom w:val="single" w:sz="8" w:color="auto"/>
            </w:tcBorders>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2019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hanging="652"/>
        <w:spacing w:after="0" w:line="282" w:lineRule="auto"/>
        <w:tabs>
          <w:tab w:leader="none" w:pos="660" w:val="left"/>
        </w:tabs>
        <w:numPr>
          <w:ilvl w:val="0"/>
          <w:numId w:val="980"/>
        </w:numPr>
        <w:rPr>
          <w:rFonts w:ascii="Arial" w:cs="Arial" w:eastAsia="Arial" w:hAnsi="Arial"/>
          <w:sz w:val="18"/>
          <w:szCs w:val="18"/>
          <w:color w:val="auto"/>
        </w:rPr>
      </w:pPr>
      <w:r>
        <w:rPr>
          <w:rFonts w:ascii="Arial" w:cs="Arial" w:eastAsia="Arial" w:hAnsi="Arial"/>
          <w:sz w:val="18"/>
          <w:szCs w:val="18"/>
          <w:b w:val="1"/>
          <w:bCs w:val="1"/>
          <w:color w:val="auto"/>
        </w:rPr>
        <w:t>WEATHERFORD EURASIA LIMITED</w:t>
      </w:r>
      <w:r>
        <w:rPr>
          <w:rFonts w:ascii="Arial" w:cs="Arial" w:eastAsia="Arial" w:hAnsi="Arial"/>
          <w:sz w:val="18"/>
          <w:szCs w:val="18"/>
          <w:color w:val="auto"/>
        </w:rPr>
        <w:t>, a limited company incorporated in England and Wales under registered number 02440463,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Weatherford Gotham Road, East Leake, Loughborough, Leicestershire LE12 6JX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980"/>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hanging="652"/>
        <w:spacing w:after="0"/>
        <w:tabs>
          <w:tab w:leader="none" w:pos="66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Under the Loan Agreement (as defined below) the Lenders have granted to the Borrowers a letter of credit line facility (the "</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Company, have guaranteed the obligations of the Borrowers under the Loan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It is a requirement under the Loan Agreement that obligations of the Company under the Guarantee are secured by this Deed.</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The Company has agreed to mortgage, assign and charge by way of security all of its right, title, interest and benefit in, to and under its assets, rights, revenues and undertaking (except any Excluded Assets) in favour of the Collateral Agent as security for the Secured Obligations, subject to and in accordance with the terms and conditions of this Deed (each as defined below).</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981"/>
        </w:numPr>
        <w:rPr>
          <w:rFonts w:ascii="Arial" w:cs="Arial" w:eastAsia="Arial" w:hAnsi="Arial"/>
          <w:sz w:val="18"/>
          <w:szCs w:val="18"/>
          <w:color w:val="auto"/>
        </w:rPr>
      </w:pPr>
      <w:r>
        <w:rPr>
          <w:rFonts w:ascii="Arial" w:cs="Arial" w:eastAsia="Arial" w:hAnsi="Arial"/>
          <w:sz w:val="18"/>
          <w:szCs w:val="18"/>
          <w:color w:val="auto"/>
        </w:rPr>
        <w:t>The Company's board of directors has concluded after due consideration of all relevant circumstances that entering into this Deed is in the best interests of and for the benefit of the Company for the purposes of its business.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81"/>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AND THIS DEED PROVIDES </w:t>
      </w:r>
      <w:r>
        <w:rPr>
          <w:rFonts w:ascii="Arial" w:cs="Arial" w:eastAsia="Arial" w:hAnsi="Arial"/>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9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Capitalised words and phrases used but not defined in this Deed shall have the meanings set out in the Loan Agreement and the following words and expressions have the meanings set out below:</w:t>
      </w:r>
    </w:p>
    <w:p>
      <w:pPr>
        <w:spacing w:after="0" w:line="166" w:lineRule="exact"/>
        <w:rPr>
          <w:sz w:val="20"/>
          <w:szCs w:val="20"/>
          <w:color w:val="auto"/>
        </w:rPr>
      </w:pPr>
    </w:p>
    <w:p>
      <w:pPr>
        <w:jc w:val="both"/>
        <w:ind w:left="4000" w:hanging="3348"/>
        <w:spacing w:after="0" w:line="297" w:lineRule="auto"/>
        <w:tabs>
          <w:tab w:leader="none" w:pos="39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Deed of Charge and Assignment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a deed of charge and assignment dated on or about the date hereof between, amongst others, the Company and Wells Fargo Bank, National Association as collateral agent, granted pursuant to an asset based loan credit agreement dated on or around the date of this Deed between, amongst others, Weatherford International Ltd. and Weatherford International, LLC as borrowers, the lenders party thereto, and Wells Fargo Bank, National Association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908" w:name="page909"/>
    <w:bookmarkEnd w:id="908"/>
    <w:tbl>
      <w:tblPr>
        <w:tblLayout w:type="fixed"/>
        <w:tblInd w:w="0" w:type="dxa"/>
        <w:tblCellMar>
          <w:top w:w="0" w:type="dxa"/>
          <w:left w:w="0" w:type="dxa"/>
          <w:bottom w:w="0" w:type="dxa"/>
          <w:right w:w="0" w:type="dxa"/>
        </w:tblCellMar>
      </w:tblPr>
      <w:tr>
        <w:trPr>
          <w:trHeight w:val="220"/>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w:t>
            </w:r>
          </w:p>
        </w:tc>
        <w:tc>
          <w:tcPr>
            <w:tcW w:w="8180" w:type="dxa"/>
            <w:vAlign w:val="bottom"/>
          </w:tcPr>
          <w:p>
            <w:pPr>
              <w:ind w:left="760"/>
              <w:spacing w:after="0"/>
              <w:rPr>
                <w:sz w:val="20"/>
                <w:szCs w:val="20"/>
                <w:color w:val="auto"/>
              </w:rPr>
            </w:pPr>
            <w:r>
              <w:rPr>
                <w:rFonts w:ascii="Arial" w:cs="Arial" w:eastAsia="Arial" w:hAnsi="Arial"/>
                <w:sz w:val="18"/>
                <w:szCs w:val="18"/>
                <w:color w:val="auto"/>
                <w:w w:val="89"/>
              </w:rPr>
              <w:t>means any person or persons for the time being acting as administrator of the Company pursuant to the</w:t>
            </w:r>
          </w:p>
        </w:tc>
      </w:tr>
      <w:tr>
        <w:trPr>
          <w:trHeight w:val="230"/>
        </w:trPr>
        <w:tc>
          <w:tcPr>
            <w:tcW w:w="324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provisions of the Insolvency Act;</w:t>
            </w:r>
          </w:p>
        </w:tc>
      </w:tr>
      <w:tr>
        <w:trPr>
          <w:trHeight w:val="418"/>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8180" w:type="dxa"/>
            <w:vAlign w:val="bottom"/>
          </w:tcPr>
          <w:p>
            <w:pPr>
              <w:ind w:left="760"/>
              <w:spacing w:after="0"/>
              <w:rPr>
                <w:sz w:val="20"/>
                <w:szCs w:val="20"/>
                <w:color w:val="auto"/>
              </w:rPr>
            </w:pPr>
            <w:r>
              <w:rPr>
                <w:rFonts w:ascii="Arial" w:cs="Arial" w:eastAsia="Arial" w:hAnsi="Arial"/>
                <w:sz w:val="18"/>
                <w:szCs w:val="18"/>
                <w:color w:val="auto"/>
                <w:w w:val="89"/>
              </w:rPr>
              <w:t>means property, assets, rights, revenues, income, uncalled capital, licences, business and undertakings</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2"/>
              </w:rPr>
              <w:t>and any interest therein, in each case whatsoever and wheresoever situated, present and future (but</w:t>
            </w:r>
          </w:p>
        </w:tc>
      </w:tr>
      <w:tr>
        <w:trPr>
          <w:trHeight w:val="230"/>
        </w:trPr>
        <w:tc>
          <w:tcPr>
            <w:tcW w:w="324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shall exclude, for the avoidance of doubt, the Excluded Assets);</w:t>
            </w:r>
          </w:p>
        </w:tc>
      </w:tr>
      <w:tr>
        <w:trPr>
          <w:trHeight w:val="432"/>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Assets</w:t>
            </w:r>
            <w:r>
              <w:rPr>
                <w:rFonts w:ascii="Arial" w:cs="Arial" w:eastAsia="Arial" w:hAnsi="Arial"/>
                <w:sz w:val="18"/>
                <w:szCs w:val="18"/>
                <w:color w:val="auto"/>
              </w:rPr>
              <w:t>"</w:t>
            </w:r>
          </w:p>
        </w:tc>
        <w:tc>
          <w:tcPr>
            <w:tcW w:w="8180" w:type="dxa"/>
            <w:vAlign w:val="bottom"/>
          </w:tcPr>
          <w:p>
            <w:pPr>
              <w:ind w:left="760"/>
              <w:spacing w:after="0"/>
              <w:rPr>
                <w:sz w:val="20"/>
                <w:szCs w:val="20"/>
                <w:color w:val="auto"/>
              </w:rPr>
            </w:pPr>
            <w:r>
              <w:rPr>
                <w:rFonts w:ascii="Arial" w:cs="Arial" w:eastAsia="Arial" w:hAnsi="Arial"/>
                <w:sz w:val="18"/>
                <w:szCs w:val="18"/>
                <w:color w:val="auto"/>
              </w:rPr>
              <w:t>has the meaning set out in Clause 6.4(a) (</w:t>
            </w:r>
            <w:r>
              <w:rPr>
                <w:rFonts w:ascii="Arial" w:cs="Arial" w:eastAsia="Arial" w:hAnsi="Arial"/>
                <w:sz w:val="18"/>
                <w:szCs w:val="18"/>
                <w:i w:val="1"/>
                <w:iCs w:val="1"/>
                <w:color w:val="auto"/>
              </w:rPr>
              <w:t>Assignment</w:t>
            </w:r>
            <w:r>
              <w:rPr>
                <w:rFonts w:ascii="Arial" w:cs="Arial" w:eastAsia="Arial" w:hAnsi="Arial"/>
                <w:sz w:val="18"/>
                <w:szCs w:val="18"/>
                <w:color w:val="auto"/>
              </w:rPr>
              <w:t>);</w:t>
            </w:r>
          </w:p>
        </w:tc>
      </w:tr>
      <w:tr>
        <w:trPr>
          <w:trHeight w:val="418"/>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Agreements</w:t>
            </w:r>
            <w:r>
              <w:rPr>
                <w:rFonts w:ascii="Arial" w:cs="Arial" w:eastAsia="Arial" w:hAnsi="Arial"/>
                <w:sz w:val="18"/>
                <w:szCs w:val="18"/>
                <w:color w:val="auto"/>
              </w:rPr>
              <w:t>"</w:t>
            </w:r>
          </w:p>
        </w:tc>
        <w:tc>
          <w:tcPr>
            <w:tcW w:w="8180" w:type="dxa"/>
            <w:vAlign w:val="bottom"/>
          </w:tcPr>
          <w:p>
            <w:pPr>
              <w:ind w:left="760"/>
              <w:spacing w:after="0"/>
              <w:rPr>
                <w:sz w:val="20"/>
                <w:szCs w:val="20"/>
                <w:color w:val="auto"/>
              </w:rPr>
            </w:pPr>
            <w:r>
              <w:rPr>
                <w:rFonts w:ascii="Arial" w:cs="Arial" w:eastAsia="Arial" w:hAnsi="Arial"/>
                <w:sz w:val="18"/>
                <w:szCs w:val="18"/>
                <w:color w:val="auto"/>
              </w:rPr>
              <w:t>means each agreement specified in Schedule 2</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Assigned Agreements</w:t>
            </w:r>
            <w:r>
              <w:rPr>
                <w:rFonts w:ascii="Arial" w:cs="Arial" w:eastAsia="Arial" w:hAnsi="Arial"/>
                <w:sz w:val="18"/>
                <w:szCs w:val="18"/>
                <w:color w:val="auto"/>
                <w:w w:val="90"/>
              </w:rPr>
              <w:t>) together with each other agreement supplementing or amending or novating or</w:t>
            </w:r>
          </w:p>
        </w:tc>
      </w:tr>
      <w:tr>
        <w:trPr>
          <w:trHeight w:val="230"/>
        </w:trPr>
        <w:tc>
          <w:tcPr>
            <w:tcW w:w="324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replacing the same designated as an Assigned Agreement;</w:t>
            </w:r>
          </w:p>
        </w:tc>
      </w:tr>
      <w:tr>
        <w:trPr>
          <w:trHeight w:val="432"/>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Accounts</w:t>
            </w:r>
            <w:r>
              <w:rPr>
                <w:rFonts w:ascii="Arial" w:cs="Arial" w:eastAsia="Arial" w:hAnsi="Arial"/>
                <w:sz w:val="18"/>
                <w:szCs w:val="18"/>
                <w:color w:val="auto"/>
              </w:rPr>
              <w:t>"</w:t>
            </w:r>
          </w:p>
        </w:tc>
        <w:tc>
          <w:tcPr>
            <w:tcW w:w="8180" w:type="dxa"/>
            <w:vAlign w:val="bottom"/>
          </w:tcPr>
          <w:p>
            <w:pPr>
              <w:ind w:left="760"/>
              <w:spacing w:after="0"/>
              <w:rPr>
                <w:sz w:val="20"/>
                <w:szCs w:val="20"/>
                <w:color w:val="auto"/>
              </w:rPr>
            </w:pPr>
            <w:r>
              <w:rPr>
                <w:rFonts w:ascii="Arial" w:cs="Arial" w:eastAsia="Arial" w:hAnsi="Arial"/>
                <w:sz w:val="18"/>
                <w:szCs w:val="18"/>
                <w:color w:val="auto"/>
              </w:rPr>
              <w:t>means the General Bank Accounts and the Collection Bank Accounts;</w:t>
            </w:r>
          </w:p>
        </w:tc>
      </w:tr>
      <w:tr>
        <w:trPr>
          <w:trHeight w:val="418"/>
        </w:trPr>
        <w:tc>
          <w:tcPr>
            <w:tcW w:w="32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Debts</w:t>
            </w:r>
            <w:r>
              <w:rPr>
                <w:rFonts w:ascii="Arial" w:cs="Arial" w:eastAsia="Arial" w:hAnsi="Arial"/>
                <w:sz w:val="18"/>
                <w:szCs w:val="18"/>
                <w:color w:val="auto"/>
              </w:rPr>
              <w:t>"</w:t>
            </w:r>
          </w:p>
        </w:tc>
        <w:tc>
          <w:tcPr>
            <w:tcW w:w="8180" w:type="dxa"/>
            <w:vAlign w:val="bottom"/>
          </w:tcPr>
          <w:p>
            <w:pPr>
              <w:ind w:left="760"/>
              <w:spacing w:after="0"/>
              <w:rPr>
                <w:sz w:val="20"/>
                <w:szCs w:val="20"/>
                <w:color w:val="auto"/>
              </w:rPr>
            </w:pPr>
            <w:r>
              <w:rPr>
                <w:rFonts w:ascii="Arial" w:cs="Arial" w:eastAsia="Arial" w:hAnsi="Arial"/>
                <w:sz w:val="18"/>
                <w:szCs w:val="18"/>
                <w:color w:val="auto"/>
                <w:w w:val="92"/>
              </w:rPr>
              <w:t>means all book and other debts (including rents) and other moneys, liabilities and monetary claims of</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4"/>
              </w:rPr>
              <w:t>any nature whatsoever now or hereafter due, owing or payable to the Company (including moneys,</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6"/>
              </w:rPr>
              <w:t>liabilities and claims deriving from or in relation to any Investments, any contract or agreement to</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3"/>
              </w:rPr>
              <w:t>which the Company is party, or any other Assets or rights of the Company, and including the benefit</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7"/>
              </w:rPr>
              <w:t>of any judgment or order to pay money and any amounts due or owing from any government or</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4"/>
              </w:rPr>
              <w:t>governmental agency including in respect of Taxes) and all other rights of the Company to receive</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4"/>
              </w:rPr>
              <w:t>money (but excluding all moneys now or hereafter standing to the credit of any account held by the</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3"/>
              </w:rPr>
              <w:t>Company with any bank) and any proceeds thereof; and the benefit of (including the proceeds of all</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1"/>
              </w:rPr>
              <w:t>claims under) all rights, Security Interests, securities, guarantees, indemnities, negotiable instruments,</w:t>
            </w:r>
          </w:p>
        </w:tc>
      </w:tr>
      <w:tr>
        <w:trPr>
          <w:trHeight w:val="212"/>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7"/>
              </w:rPr>
              <w:t>letters of credit and Insurances of any nature whatsoever now or hereafter owned or held by the</w:t>
            </w:r>
          </w:p>
        </w:tc>
      </w:tr>
      <w:tr>
        <w:trPr>
          <w:trHeight w:val="220"/>
        </w:trPr>
        <w:tc>
          <w:tcPr>
            <w:tcW w:w="3240" w:type="dxa"/>
            <w:vAlign w:val="bottom"/>
          </w:tcPr>
          <w:p>
            <w:pPr>
              <w:spacing w:after="0"/>
              <w:rPr>
                <w:sz w:val="19"/>
                <w:szCs w:val="19"/>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w w:val="95"/>
              </w:rPr>
              <w:t>Company in relation to any of the foregoing (but "</w:t>
            </w:r>
            <w:r>
              <w:rPr>
                <w:rFonts w:ascii="Arial" w:cs="Arial" w:eastAsia="Arial" w:hAnsi="Arial"/>
                <w:sz w:val="18"/>
                <w:szCs w:val="18"/>
                <w:b w:val="1"/>
                <w:bCs w:val="1"/>
                <w:color w:val="auto"/>
                <w:w w:val="95"/>
              </w:rPr>
              <w:t>Book Debts</w:t>
            </w:r>
            <w:r>
              <w:rPr>
                <w:rFonts w:ascii="Arial" w:cs="Arial" w:eastAsia="Arial" w:hAnsi="Arial"/>
                <w:sz w:val="18"/>
                <w:szCs w:val="18"/>
                <w:color w:val="auto"/>
                <w:w w:val="95"/>
              </w:rPr>
              <w:t>" shall exclude, for the avoidance of</w:t>
            </w:r>
          </w:p>
        </w:tc>
      </w:tr>
      <w:tr>
        <w:trPr>
          <w:trHeight w:val="230"/>
        </w:trPr>
        <w:tc>
          <w:tcPr>
            <w:tcW w:w="324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doubt, the Excluded Assets);</w:t>
            </w:r>
          </w:p>
        </w:tc>
      </w:tr>
      <w:tr>
        <w:trPr>
          <w:trHeight w:val="675"/>
        </w:trPr>
        <w:tc>
          <w:tcPr>
            <w:tcW w:w="32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32" w:right="239" w:bottom="1440" w:gutter="0" w:footer="0" w:header="0"/>
        </w:sectPr>
      </w:pPr>
    </w:p>
    <w:bookmarkStart w:id="909" w:name="page910"/>
    <w:bookmarkEnd w:id="9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89"/>
              </w:rPr>
              <w:t>means any day (other than a Saturday or Sunday) on which banks are open for business in London and</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New York City;</w:t>
            </w:r>
          </w:p>
        </w:tc>
      </w:tr>
      <w:tr>
        <w:trPr>
          <w:trHeight w:val="432"/>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7"/>
              </w:rPr>
              <w:t>means cash within the meaning of Financial Collateral Arrangements (No. 2) Regulations 2003;</w:t>
            </w:r>
          </w:p>
        </w:tc>
      </w:tr>
      <w:tr>
        <w:trPr>
          <w:trHeight w:val="418"/>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Centre of Main Interests</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1"/>
              </w:rPr>
              <w:t>means, in relation to a person, its centre of main interests within the meaning of the EC Regulation on</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Insolvency Proceedings 2000;</w:t>
            </w:r>
          </w:p>
        </w:tc>
      </w:tr>
      <w:tr>
        <w:trPr>
          <w:trHeight w:val="414"/>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Assets</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5"/>
              </w:rPr>
              <w:t>means all Assets from time to time subject or expressed or intended to be subject to the Charges</w:t>
            </w:r>
          </w:p>
        </w:tc>
      </w:tr>
      <w:tr>
        <w:trPr>
          <w:trHeight w:val="220"/>
        </w:trPr>
        <w:tc>
          <w:tcPr>
            <w:tcW w:w="3400" w:type="dxa"/>
            <w:vAlign w:val="bottom"/>
          </w:tcPr>
          <w:p>
            <w:pPr>
              <w:spacing w:after="0"/>
              <w:rPr>
                <w:sz w:val="19"/>
                <w:szCs w:val="19"/>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1"/>
              </w:rPr>
              <w:t>(whether fixed or floating) under or pursuant to this Deed, and "</w:t>
            </w:r>
            <w:r>
              <w:rPr>
                <w:rFonts w:ascii="Arial" w:cs="Arial" w:eastAsia="Arial" w:hAnsi="Arial"/>
                <w:sz w:val="18"/>
                <w:szCs w:val="18"/>
                <w:b w:val="1"/>
                <w:bCs w:val="1"/>
                <w:color w:val="auto"/>
                <w:w w:val="91"/>
              </w:rPr>
              <w:t>Charged Assets</w:t>
            </w:r>
            <w:r>
              <w:rPr>
                <w:rFonts w:ascii="Arial" w:cs="Arial" w:eastAsia="Arial" w:hAnsi="Arial"/>
                <w:sz w:val="18"/>
                <w:szCs w:val="18"/>
                <w:color w:val="auto"/>
                <w:w w:val="91"/>
              </w:rPr>
              <w:t>" includes any part of</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3"/>
              </w:rPr>
              <w:t>any of them and any right, title, interest or benefit therein or in respect thereof (but shall exclude, for</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the avoidance of doubt, the Excluded Assets);</w:t>
            </w:r>
          </w:p>
        </w:tc>
      </w:tr>
      <w:tr>
        <w:trPr>
          <w:trHeight w:val="418"/>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means any or all of the Security Interests created or expressed to be created, or which may now or</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hereafter be created or expressed to be created, by or pursuant to this Deed, including any further</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5"/>
              </w:rPr>
              <w:t xml:space="preserve">Security Interests created pursuant to Clause 14 (Further </w:t>
            </w:r>
            <w:r>
              <w:rPr>
                <w:rFonts w:ascii="Arial" w:cs="Arial" w:eastAsia="Arial" w:hAnsi="Arial"/>
                <w:sz w:val="18"/>
                <w:szCs w:val="18"/>
                <w:i w:val="1"/>
                <w:iCs w:val="1"/>
                <w:color w:val="auto"/>
                <w:w w:val="95"/>
              </w:rPr>
              <w:t>Assurances, Power of Attorney, etc.</w:t>
            </w:r>
            <w:r>
              <w:rPr>
                <w:rFonts w:ascii="Arial" w:cs="Arial" w:eastAsia="Arial" w:hAnsi="Arial"/>
                <w:sz w:val="18"/>
                <w:szCs w:val="18"/>
                <w:color w:val="auto"/>
                <w:w w:val="95"/>
              </w:rPr>
              <w:t>) or</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w:t>
            </w:r>
          </w:p>
        </w:tc>
      </w:tr>
      <w:tr>
        <w:trPr>
          <w:trHeight w:val="418"/>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Collection Account Banks</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3"/>
              </w:rPr>
              <w:t>means the account banks listed in Part 2 of Schedule 1 (</w:t>
            </w:r>
            <w:r>
              <w:rPr>
                <w:rFonts w:ascii="Arial" w:cs="Arial" w:eastAsia="Arial" w:hAnsi="Arial"/>
                <w:sz w:val="18"/>
                <w:szCs w:val="18"/>
                <w:i w:val="1"/>
                <w:iCs w:val="1"/>
                <w:color w:val="auto"/>
                <w:w w:val="93"/>
              </w:rPr>
              <w:t>Collection Bank Account</w:t>
            </w:r>
            <w:r>
              <w:rPr>
                <w:rFonts w:ascii="Arial" w:cs="Arial" w:eastAsia="Arial" w:hAnsi="Arial"/>
                <w:sz w:val="18"/>
                <w:szCs w:val="18"/>
                <w:color w:val="auto"/>
                <w:w w:val="93"/>
              </w:rPr>
              <w:t>) under the column</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Bank</w:t>
            </w:r>
            <w:r>
              <w:rPr>
                <w:rFonts w:ascii="Arial" w:cs="Arial" w:eastAsia="Arial" w:hAnsi="Arial"/>
                <w:sz w:val="18"/>
                <w:szCs w:val="18"/>
                <w:color w:val="auto"/>
              </w:rPr>
              <w:t>";</w:t>
            </w:r>
          </w:p>
        </w:tc>
      </w:tr>
      <w:tr>
        <w:trPr>
          <w:trHeight w:val="418"/>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Collection Account Notice</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means a notice in the form set out in Part 2 of Schedule 4 (</w:t>
            </w:r>
            <w:r>
              <w:rPr>
                <w:rFonts w:ascii="Arial" w:cs="Arial" w:eastAsia="Arial" w:hAnsi="Arial"/>
                <w:sz w:val="18"/>
                <w:szCs w:val="18"/>
                <w:i w:val="1"/>
                <w:iCs w:val="1"/>
                <w:color w:val="auto"/>
                <w:w w:val="94"/>
              </w:rPr>
              <w:t>Form of Notice of Charge for Collection</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i w:val="1"/>
                <w:iCs w:val="1"/>
                <w:color w:val="auto"/>
              </w:rPr>
              <w:t xml:space="preserve">Bank Accounts </w:t>
            </w:r>
            <w:r>
              <w:rPr>
                <w:rFonts w:ascii="Arial" w:cs="Arial" w:eastAsia="Arial" w:hAnsi="Arial"/>
                <w:sz w:val="18"/>
                <w:szCs w:val="18"/>
                <w:color w:val="auto"/>
              </w:rPr>
              <w:t>);</w:t>
            </w:r>
          </w:p>
        </w:tc>
      </w:tr>
      <w:tr>
        <w:trPr>
          <w:trHeight w:val="418"/>
        </w:trPr>
        <w:tc>
          <w:tcPr>
            <w:tcW w:w="34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Collection Bank Accounts</w:t>
            </w:r>
            <w:r>
              <w:rPr>
                <w:rFonts w:ascii="Arial" w:cs="Arial" w:eastAsia="Arial" w:hAnsi="Arial"/>
                <w:sz w:val="18"/>
                <w:szCs w:val="18"/>
                <w:color w:val="auto"/>
              </w:rPr>
              <w:t>"</w:t>
            </w: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means the accounts listed in Part 2 of Schedule 1 (</w:t>
            </w:r>
            <w:r>
              <w:rPr>
                <w:rFonts w:ascii="Arial" w:cs="Arial" w:eastAsia="Arial" w:hAnsi="Arial"/>
                <w:sz w:val="18"/>
                <w:szCs w:val="18"/>
                <w:i w:val="1"/>
                <w:iCs w:val="1"/>
                <w:color w:val="auto"/>
                <w:w w:val="94"/>
              </w:rPr>
              <w:t>Collection Bank Account</w:t>
            </w:r>
            <w:r>
              <w:rPr>
                <w:rFonts w:ascii="Arial" w:cs="Arial" w:eastAsia="Arial" w:hAnsi="Arial"/>
                <w:sz w:val="18"/>
                <w:szCs w:val="18"/>
                <w:color w:val="auto"/>
                <w:w w:val="94"/>
              </w:rPr>
              <w:t>) held by the Company</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0"/>
              </w:rPr>
              <w:t>with the bank or banks specified in Part 2 of Schedule 1 (</w:t>
            </w:r>
            <w:r>
              <w:rPr>
                <w:rFonts w:ascii="Arial" w:cs="Arial" w:eastAsia="Arial" w:hAnsi="Arial"/>
                <w:sz w:val="18"/>
                <w:szCs w:val="18"/>
                <w:i w:val="1"/>
                <w:iCs w:val="1"/>
                <w:color w:val="auto"/>
                <w:w w:val="90"/>
              </w:rPr>
              <w:t>Collection Bank Account</w:t>
            </w:r>
            <w:r>
              <w:rPr>
                <w:rFonts w:ascii="Arial" w:cs="Arial" w:eastAsia="Arial" w:hAnsi="Arial"/>
                <w:sz w:val="18"/>
                <w:szCs w:val="18"/>
                <w:color w:val="auto"/>
                <w:w w:val="90"/>
              </w:rPr>
              <w:t>) and any other bank</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4"/>
              </w:rPr>
              <w:t>account maintained by the Company with any financial institution as the Collateral Agent may from</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time to time designate in writing as a Collection Bank Account, including in each case any</w:t>
            </w:r>
          </w:p>
        </w:tc>
      </w:tr>
      <w:tr>
        <w:trPr>
          <w:trHeight w:val="216"/>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redesignation or renewal thereof and all balances now or hereafter standing to the credit of any such</w:t>
            </w:r>
          </w:p>
        </w:tc>
      </w:tr>
      <w:tr>
        <w:trPr>
          <w:trHeight w:val="212"/>
        </w:trPr>
        <w:tc>
          <w:tcPr>
            <w:tcW w:w="340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2"/>
              </w:rPr>
              <w:t>account including all interest from time to time thereon, the debt represented thereby and all rights in</w:t>
            </w:r>
          </w:p>
        </w:tc>
      </w:tr>
      <w:tr>
        <w:trPr>
          <w:trHeight w:val="220"/>
        </w:trPr>
        <w:tc>
          <w:tcPr>
            <w:tcW w:w="3400" w:type="dxa"/>
            <w:vAlign w:val="bottom"/>
          </w:tcPr>
          <w:p>
            <w:pPr>
              <w:spacing w:after="0"/>
              <w:rPr>
                <w:sz w:val="19"/>
                <w:szCs w:val="19"/>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w w:val="97"/>
              </w:rPr>
              <w:t>relation thereto (but "</w:t>
            </w:r>
            <w:r>
              <w:rPr>
                <w:rFonts w:ascii="Arial" w:cs="Arial" w:eastAsia="Arial" w:hAnsi="Arial"/>
                <w:sz w:val="18"/>
                <w:szCs w:val="18"/>
                <w:b w:val="1"/>
                <w:bCs w:val="1"/>
                <w:color w:val="auto"/>
                <w:w w:val="97"/>
              </w:rPr>
              <w:t>Collection Bank Accounts</w:t>
            </w:r>
            <w:r>
              <w:rPr>
                <w:rFonts w:ascii="Arial" w:cs="Arial" w:eastAsia="Arial" w:hAnsi="Arial"/>
                <w:sz w:val="18"/>
                <w:szCs w:val="18"/>
                <w:color w:val="auto"/>
                <w:w w:val="97"/>
              </w:rPr>
              <w:t>" shall exclude, for the avoidance of doubt, the</w:t>
            </w:r>
          </w:p>
        </w:tc>
      </w:tr>
      <w:tr>
        <w:trPr>
          <w:trHeight w:val="230"/>
        </w:trPr>
        <w:tc>
          <w:tcPr>
            <w:tcW w:w="3400" w:type="dxa"/>
            <w:vAlign w:val="bottom"/>
          </w:tcPr>
          <w:p>
            <w:pPr>
              <w:spacing w:after="0"/>
              <w:rPr>
                <w:sz w:val="20"/>
                <w:szCs w:val="20"/>
                <w:color w:val="auto"/>
              </w:rPr>
            </w:pPr>
          </w:p>
        </w:tc>
        <w:tc>
          <w:tcPr>
            <w:tcW w:w="8020" w:type="dxa"/>
            <w:vAlign w:val="bottom"/>
          </w:tcPr>
          <w:p>
            <w:pPr>
              <w:ind w:left="600"/>
              <w:spacing w:after="0"/>
              <w:rPr>
                <w:sz w:val="20"/>
                <w:szCs w:val="20"/>
                <w:color w:val="auto"/>
              </w:rPr>
            </w:pPr>
            <w:r>
              <w:rPr>
                <w:rFonts w:ascii="Arial" w:cs="Arial" w:eastAsia="Arial" w:hAnsi="Arial"/>
                <w:sz w:val="18"/>
                <w:szCs w:val="18"/>
                <w:color w:val="auto"/>
              </w:rPr>
              <w:t>Excluded Assets);</w:t>
            </w:r>
          </w:p>
        </w:tc>
      </w:tr>
      <w:tr>
        <w:trPr>
          <w:trHeight w:val="648"/>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32" w:right="239" w:bottom="1440" w:gutter="0" w:footer="0" w:header="0"/>
        </w:sectPr>
      </w:pPr>
    </w:p>
    <w:bookmarkStart w:id="910" w:name="page911"/>
    <w:bookmarkEnd w:id="9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Claims</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3"/>
              </w:rPr>
              <w:t>means credit claims within the meaning of the Financial Collateral Arrangements (No 2) Regulations</w:t>
            </w:r>
          </w:p>
        </w:tc>
      </w:tr>
      <w:tr>
        <w:trPr>
          <w:trHeight w:val="230"/>
        </w:trPr>
        <w:tc>
          <w:tcPr>
            <w:tcW w:w="3180" w:type="dxa"/>
            <w:vAlign w:val="bottom"/>
          </w:tcPr>
          <w:p>
            <w:pPr>
              <w:spacing w:after="0"/>
              <w:rPr>
                <w:sz w:val="20"/>
                <w:szCs w:val="20"/>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2003;</w:t>
            </w:r>
          </w:p>
        </w:tc>
        <w:tc>
          <w:tcPr>
            <w:tcW w:w="6880" w:type="dxa"/>
            <w:vAlign w:val="bottom"/>
          </w:tcPr>
          <w:p>
            <w:pPr>
              <w:spacing w:after="0"/>
              <w:rPr>
                <w:sz w:val="20"/>
                <w:szCs w:val="20"/>
                <w:color w:val="auto"/>
              </w:rPr>
            </w:pPr>
          </w:p>
        </w:tc>
      </w:tr>
      <w:tr>
        <w:trPr>
          <w:trHeight w:val="432"/>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2"/>
              </w:rPr>
              <w:t>means a delegate or subdelegate appointed pursuant to Clause 15.5 (</w:t>
            </w:r>
            <w:r>
              <w:rPr>
                <w:rFonts w:ascii="Arial" w:cs="Arial" w:eastAsia="Arial" w:hAnsi="Arial"/>
                <w:sz w:val="18"/>
                <w:szCs w:val="18"/>
                <w:i w:val="1"/>
                <w:iCs w:val="1"/>
                <w:color w:val="auto"/>
                <w:w w:val="92"/>
              </w:rPr>
              <w:t>The Collateral Agent's Rights</w:t>
            </w:r>
            <w:r>
              <w:rPr>
                <w:rFonts w:ascii="Arial" w:cs="Arial" w:eastAsia="Arial" w:hAnsi="Arial"/>
                <w:sz w:val="18"/>
                <w:szCs w:val="18"/>
                <w:color w:val="auto"/>
                <w:w w:val="92"/>
              </w:rPr>
              <w:t>);</w:t>
            </w:r>
          </w:p>
        </w:tc>
      </w:tr>
      <w:tr>
        <w:trPr>
          <w:trHeight w:val="418"/>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Disputes</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4"/>
              </w:rPr>
              <w:t>means any disputes which may arise out of or in connection with this Deed (including regarding its</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existence, validity or termination);</w:t>
            </w:r>
          </w:p>
        </w:tc>
      </w:tr>
      <w:tr>
        <w:trPr>
          <w:trHeight w:val="432"/>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has the meaning set out in Clause 12 (</w:t>
            </w:r>
            <w:r>
              <w:rPr>
                <w:rFonts w:ascii="Arial" w:cs="Arial" w:eastAsia="Arial" w:hAnsi="Arial"/>
                <w:sz w:val="18"/>
                <w:szCs w:val="18"/>
                <w:i w:val="1"/>
                <w:iCs w:val="1"/>
                <w:color w:val="auto"/>
              </w:rPr>
              <w:t>Enforcement</w:t>
            </w:r>
            <w:r>
              <w:rPr>
                <w:rFonts w:ascii="Arial" w:cs="Arial" w:eastAsia="Arial" w:hAnsi="Arial"/>
                <w:sz w:val="18"/>
                <w:szCs w:val="18"/>
                <w:color w:val="auto"/>
              </w:rPr>
              <w:t>);</w:t>
            </w:r>
          </w:p>
        </w:tc>
      </w:tr>
      <w:tr>
        <w:trPr>
          <w:trHeight w:val="418"/>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7"/>
              </w:rPr>
              <w:t>means plant, machinery, equipment (including office equipment), vehicles, computers and other</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5"/>
              </w:rPr>
              <w:t>chattels of any kind (but excluding any from time to time which are part of the Company's stock in</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8"/>
              </w:rPr>
              <w:t>trade or work in progress) now or hereafter owned by the Company or in its possession and all</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1"/>
              </w:rPr>
              <w:t>proceeds of sale or other disposal thereof, all moneys paid or payable in respect thereof, rights under</w:t>
            </w:r>
          </w:p>
        </w:tc>
      </w:tr>
      <w:tr>
        <w:trPr>
          <w:trHeight w:val="212"/>
        </w:trPr>
        <w:tc>
          <w:tcPr>
            <w:tcW w:w="3180" w:type="dxa"/>
            <w:vAlign w:val="bottom"/>
          </w:tcPr>
          <w:p>
            <w:pPr>
              <w:spacing w:after="0"/>
              <w:rPr>
                <w:sz w:val="18"/>
                <w:szCs w:val="18"/>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0"/>
              </w:rPr>
              <w:t>any agreement, Security Interest or guarantee in relation thereto and all other rights in relation thereto,</w:t>
            </w:r>
          </w:p>
        </w:tc>
      </w:tr>
      <w:tr>
        <w:trPr>
          <w:trHeight w:val="220"/>
        </w:trPr>
        <w:tc>
          <w:tcPr>
            <w:tcW w:w="3180" w:type="dxa"/>
            <w:vAlign w:val="bottom"/>
          </w:tcPr>
          <w:p>
            <w:pPr>
              <w:spacing w:after="0"/>
              <w:rPr>
                <w:sz w:val="19"/>
                <w:szCs w:val="19"/>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1"/>
              </w:rPr>
              <w:t>and "</w:t>
            </w:r>
            <w:r>
              <w:rPr>
                <w:rFonts w:ascii="Arial" w:cs="Arial" w:eastAsia="Arial" w:hAnsi="Arial"/>
                <w:sz w:val="18"/>
                <w:szCs w:val="18"/>
                <w:b w:val="1"/>
                <w:bCs w:val="1"/>
                <w:color w:val="auto"/>
                <w:w w:val="91"/>
              </w:rPr>
              <w:t>Equipment</w:t>
            </w:r>
            <w:r>
              <w:rPr>
                <w:rFonts w:ascii="Arial" w:cs="Arial" w:eastAsia="Arial" w:hAnsi="Arial"/>
                <w:sz w:val="18"/>
                <w:szCs w:val="18"/>
                <w:color w:val="auto"/>
                <w:w w:val="91"/>
              </w:rPr>
              <w:t>" includes any part of any of them (but "</w:t>
            </w:r>
            <w:r>
              <w:rPr>
                <w:rFonts w:ascii="Arial" w:cs="Arial" w:eastAsia="Arial" w:hAnsi="Arial"/>
                <w:sz w:val="18"/>
                <w:szCs w:val="18"/>
                <w:b w:val="1"/>
                <w:bCs w:val="1"/>
                <w:color w:val="auto"/>
                <w:w w:val="91"/>
              </w:rPr>
              <w:t>Equipment</w:t>
            </w:r>
            <w:r>
              <w:rPr>
                <w:rFonts w:ascii="Arial" w:cs="Arial" w:eastAsia="Arial" w:hAnsi="Arial"/>
                <w:sz w:val="18"/>
                <w:szCs w:val="18"/>
                <w:color w:val="auto"/>
                <w:w w:val="91"/>
              </w:rPr>
              <w:t>" shall exclude, for the avoidance</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of doubt, the Excluded Assets);</w:t>
            </w:r>
          </w:p>
        </w:tc>
      </w:tr>
      <w:tr>
        <w:trPr>
          <w:trHeight w:val="432"/>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w:t>
            </w:r>
          </w:p>
        </w:tc>
        <w:tc>
          <w:tcPr>
            <w:tcW w:w="1360" w:type="dxa"/>
            <w:vAlign w:val="bottom"/>
          </w:tcPr>
          <w:p>
            <w:pPr>
              <w:ind w:left="820"/>
              <w:spacing w:after="0"/>
              <w:rPr>
                <w:sz w:val="20"/>
                <w:szCs w:val="20"/>
                <w:color w:val="auto"/>
              </w:rPr>
            </w:pPr>
            <w:r>
              <w:rPr>
                <w:rFonts w:ascii="Arial" w:cs="Arial" w:eastAsia="Arial" w:hAnsi="Arial"/>
                <w:sz w:val="18"/>
                <w:szCs w:val="18"/>
                <w:color w:val="auto"/>
                <w:w w:val="88"/>
              </w:rPr>
              <w:t>means:</w:t>
            </w:r>
          </w:p>
        </w:tc>
        <w:tc>
          <w:tcPr>
            <w:tcW w:w="6880" w:type="dxa"/>
            <w:vAlign w:val="bottom"/>
          </w:tcPr>
          <w:p>
            <w:pPr>
              <w:spacing w:after="0"/>
              <w:rPr>
                <w:sz w:val="24"/>
                <w:szCs w:val="24"/>
                <w:color w:val="auto"/>
              </w:rPr>
            </w:pPr>
          </w:p>
        </w:tc>
      </w:tr>
      <w:tr>
        <w:trPr>
          <w:trHeight w:val="418"/>
        </w:trPr>
        <w:tc>
          <w:tcPr>
            <w:tcW w:w="3180" w:type="dxa"/>
            <w:vAlign w:val="bottom"/>
          </w:tcPr>
          <w:p>
            <w:pPr>
              <w:spacing w:after="0"/>
              <w:rPr>
                <w:sz w:val="24"/>
                <w:szCs w:val="24"/>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(a)</w:t>
            </w:r>
          </w:p>
        </w:tc>
        <w:tc>
          <w:tcPr>
            <w:tcW w:w="6880" w:type="dxa"/>
            <w:vAlign w:val="bottom"/>
          </w:tcPr>
          <w:p>
            <w:pPr>
              <w:ind w:left="40"/>
              <w:spacing w:after="0"/>
              <w:rPr>
                <w:sz w:val="20"/>
                <w:szCs w:val="20"/>
                <w:color w:val="auto"/>
              </w:rPr>
            </w:pPr>
            <w:r>
              <w:rPr>
                <w:rFonts w:ascii="Arial" w:cs="Arial" w:eastAsia="Arial" w:hAnsi="Arial"/>
                <w:sz w:val="18"/>
                <w:szCs w:val="18"/>
                <w:color w:val="auto"/>
                <w:w w:val="94"/>
              </w:rPr>
              <w:t>shares and other Assets charged in favour of the Collateral Agent pursuant to an Equitable</w:t>
            </w:r>
          </w:p>
        </w:tc>
      </w:tr>
      <w:tr>
        <w:trPr>
          <w:trHeight w:val="230"/>
        </w:trPr>
        <w:tc>
          <w:tcPr>
            <w:tcW w:w="3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w w:val="93"/>
              </w:rPr>
              <w:t>Share Mortgage of even date herewith between the Company and the Collateral Agent; and</w:t>
            </w:r>
          </w:p>
        </w:tc>
      </w:tr>
      <w:tr>
        <w:trPr>
          <w:trHeight w:val="432"/>
        </w:trPr>
        <w:tc>
          <w:tcPr>
            <w:tcW w:w="3180" w:type="dxa"/>
            <w:vAlign w:val="bottom"/>
          </w:tcPr>
          <w:p>
            <w:pPr>
              <w:spacing w:after="0"/>
              <w:rPr>
                <w:sz w:val="24"/>
                <w:szCs w:val="24"/>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(b)</w:t>
            </w:r>
          </w:p>
        </w:tc>
        <w:tc>
          <w:tcPr>
            <w:tcW w:w="6880" w:type="dxa"/>
            <w:vAlign w:val="bottom"/>
          </w:tcPr>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Excluded Assets</w:t>
            </w:r>
            <w:r>
              <w:rPr>
                <w:rFonts w:ascii="Arial" w:cs="Arial" w:eastAsia="Arial" w:hAnsi="Arial"/>
                <w:sz w:val="18"/>
                <w:szCs w:val="18"/>
                <w:color w:val="auto"/>
              </w:rPr>
              <w:t>" as defined in the Loan Agreement;</w:t>
            </w:r>
          </w:p>
        </w:tc>
      </w:tr>
      <w:tr>
        <w:trPr>
          <w:trHeight w:val="418"/>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collateral</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9"/>
              </w:rPr>
              <w:t>means financial collateral within the meaning of the Financial Collateral Arrangements (No. 2)</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Regulations 2003, as amended;</w:t>
            </w:r>
          </w:p>
        </w:tc>
      </w:tr>
      <w:tr>
        <w:trPr>
          <w:trHeight w:val="418"/>
        </w:trPr>
        <w:tc>
          <w:tcPr>
            <w:tcW w:w="31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instrument</w:t>
            </w:r>
            <w:r>
              <w:rPr>
                <w:rFonts w:ascii="Arial" w:cs="Arial" w:eastAsia="Arial" w:hAnsi="Arial"/>
                <w:sz w:val="18"/>
                <w:szCs w:val="18"/>
                <w:color w:val="auto"/>
              </w:rPr>
              <w:t>"</w:t>
            </w: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w w:val="96"/>
              </w:rPr>
              <w:t>means a financial instrument within the meaning of the Financial Collateral Arrangements (No. 2)</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820"/>
              <w:spacing w:after="0"/>
              <w:rPr>
                <w:sz w:val="20"/>
                <w:szCs w:val="20"/>
                <w:color w:val="auto"/>
              </w:rPr>
            </w:pPr>
            <w:r>
              <w:rPr>
                <w:rFonts w:ascii="Arial" w:cs="Arial" w:eastAsia="Arial" w:hAnsi="Arial"/>
                <w:sz w:val="18"/>
                <w:szCs w:val="18"/>
                <w:color w:val="auto"/>
              </w:rPr>
              <w:t>Regulations 2003;</w:t>
            </w:r>
          </w:p>
        </w:tc>
      </w:tr>
      <w:tr>
        <w:trPr>
          <w:trHeight w:val="648"/>
        </w:trPr>
        <w:tc>
          <w:tcPr>
            <w:tcW w:w="3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911" w:name="page912"/>
    <w:bookmarkEnd w:id="9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Assets</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0"/>
              </w:rPr>
              <w:t>means any part or parts of the Charged Assets effectively charged by way of fixed Security Interests or</w:t>
            </w:r>
          </w:p>
        </w:tc>
      </w:tr>
      <w:tr>
        <w:trPr>
          <w:trHeight w:val="230"/>
        </w:trPr>
        <w:tc>
          <w:tcPr>
            <w:tcW w:w="2660" w:type="dxa"/>
            <w:vAlign w:val="bottom"/>
          </w:tcPr>
          <w:p>
            <w:pPr>
              <w:spacing w:after="0"/>
              <w:rPr>
                <w:sz w:val="20"/>
                <w:szCs w:val="20"/>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effectively mortgaged or assigned by way of fixed Security Interests under this Deed;</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Fixtures</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9"/>
              </w:rPr>
              <w:t>means fixtures, fittings and fixed plant, machinery and equipment (including trade fixtures and</w:t>
            </w:r>
          </w:p>
        </w:tc>
      </w:tr>
      <w:tr>
        <w:trPr>
          <w:trHeight w:val="230"/>
        </w:trPr>
        <w:tc>
          <w:tcPr>
            <w:tcW w:w="2660" w:type="dxa"/>
            <w:vAlign w:val="bottom"/>
          </w:tcPr>
          <w:p>
            <w:pPr>
              <w:spacing w:after="0"/>
              <w:rPr>
                <w:sz w:val="20"/>
                <w:szCs w:val="20"/>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fittings);</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 Assets</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2"/>
              </w:rPr>
              <w:t>means any part or parts of the Charged Assets subject to the floating charge contained in Clause 6.5</w:t>
            </w:r>
          </w:p>
        </w:tc>
      </w:tr>
      <w:tr>
        <w:trPr>
          <w:trHeight w:val="230"/>
        </w:trPr>
        <w:tc>
          <w:tcPr>
            <w:tcW w:w="2660" w:type="dxa"/>
            <w:vAlign w:val="bottom"/>
          </w:tcPr>
          <w:p>
            <w:pPr>
              <w:spacing w:after="0"/>
              <w:rPr>
                <w:sz w:val="20"/>
                <w:szCs w:val="20"/>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Floating Charge</w:t>
            </w:r>
            <w:r>
              <w:rPr>
                <w:rFonts w:ascii="Arial" w:cs="Arial" w:eastAsia="Arial" w:hAnsi="Arial"/>
                <w:sz w:val="18"/>
                <w:szCs w:val="18"/>
                <w:color w:val="auto"/>
              </w:rPr>
              <w:t>);</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Account Banks</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3"/>
              </w:rPr>
              <w:t xml:space="preserve">means the account banks listed in Part 1 of Schedule 1 (General </w:t>
            </w:r>
            <w:r>
              <w:rPr>
                <w:rFonts w:ascii="Arial" w:cs="Arial" w:eastAsia="Arial" w:hAnsi="Arial"/>
                <w:sz w:val="18"/>
                <w:szCs w:val="18"/>
                <w:i w:val="1"/>
                <w:iCs w:val="1"/>
                <w:color w:val="auto"/>
                <w:w w:val="93"/>
              </w:rPr>
              <w:t>Bank Accounts</w:t>
            </w:r>
            <w:r>
              <w:rPr>
                <w:rFonts w:ascii="Arial" w:cs="Arial" w:eastAsia="Arial" w:hAnsi="Arial"/>
                <w:sz w:val="18"/>
                <w:szCs w:val="18"/>
                <w:color w:val="auto"/>
                <w:w w:val="93"/>
              </w:rPr>
              <w:t>) under the heading</w:t>
            </w:r>
          </w:p>
        </w:tc>
      </w:tr>
      <w:tr>
        <w:trPr>
          <w:trHeight w:val="230"/>
        </w:trPr>
        <w:tc>
          <w:tcPr>
            <w:tcW w:w="2660" w:type="dxa"/>
            <w:vAlign w:val="bottom"/>
          </w:tcPr>
          <w:p>
            <w:pPr>
              <w:spacing w:after="0"/>
              <w:rPr>
                <w:sz w:val="20"/>
                <w:szCs w:val="20"/>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Bank</w:t>
            </w:r>
            <w:r>
              <w:rPr>
                <w:rFonts w:ascii="Arial" w:cs="Arial" w:eastAsia="Arial" w:hAnsi="Arial"/>
                <w:sz w:val="18"/>
                <w:szCs w:val="18"/>
                <w:color w:val="auto"/>
              </w:rPr>
              <w:t>";</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Bank Accounts</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0"/>
              </w:rPr>
              <w:t xml:space="preserve">means the accounts listed in Part 1 of Schedule 1 (General </w:t>
            </w:r>
            <w:r>
              <w:rPr>
                <w:rFonts w:ascii="Arial" w:cs="Arial" w:eastAsia="Arial" w:hAnsi="Arial"/>
                <w:sz w:val="18"/>
                <w:szCs w:val="18"/>
                <w:i w:val="1"/>
                <w:iCs w:val="1"/>
                <w:color w:val="auto"/>
                <w:w w:val="90"/>
              </w:rPr>
              <w:t>Bank Accounts</w:t>
            </w:r>
            <w:r>
              <w:rPr>
                <w:rFonts w:ascii="Arial" w:cs="Arial" w:eastAsia="Arial" w:hAnsi="Arial"/>
                <w:sz w:val="18"/>
                <w:szCs w:val="18"/>
                <w:color w:val="auto"/>
                <w:w w:val="90"/>
              </w:rPr>
              <w:t>) held by the Company with</w:t>
            </w:r>
          </w:p>
        </w:tc>
      </w:tr>
      <w:tr>
        <w:trPr>
          <w:trHeight w:val="216"/>
        </w:trPr>
        <w:tc>
          <w:tcPr>
            <w:tcW w:w="266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5"/>
              </w:rPr>
              <w:t xml:space="preserve">the bank or banks specified in Part 1 of Schedule 1 (General </w:t>
            </w:r>
            <w:r>
              <w:rPr>
                <w:rFonts w:ascii="Arial" w:cs="Arial" w:eastAsia="Arial" w:hAnsi="Arial"/>
                <w:sz w:val="18"/>
                <w:szCs w:val="18"/>
                <w:i w:val="1"/>
                <w:iCs w:val="1"/>
                <w:color w:val="auto"/>
                <w:w w:val="95"/>
              </w:rPr>
              <w:t>Bank Accounts</w:t>
            </w:r>
            <w:r>
              <w:rPr>
                <w:rFonts w:ascii="Arial" w:cs="Arial" w:eastAsia="Arial" w:hAnsi="Arial"/>
                <w:sz w:val="18"/>
                <w:szCs w:val="18"/>
                <w:color w:val="auto"/>
                <w:w w:val="95"/>
              </w:rPr>
              <w:t>) and any other bank</w:t>
            </w:r>
          </w:p>
        </w:tc>
      </w:tr>
      <w:tr>
        <w:trPr>
          <w:trHeight w:val="216"/>
        </w:trPr>
        <w:tc>
          <w:tcPr>
            <w:tcW w:w="266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4"/>
              </w:rPr>
              <w:t>account maintained by the Company with any financial institution as the Collateral Agent may from</w:t>
            </w:r>
          </w:p>
        </w:tc>
      </w:tr>
      <w:tr>
        <w:trPr>
          <w:trHeight w:val="216"/>
        </w:trPr>
        <w:tc>
          <w:tcPr>
            <w:tcW w:w="266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1"/>
              </w:rPr>
              <w:t>time to time designate in writing as a General Bank Account, including in each case any redesignation</w:t>
            </w:r>
          </w:p>
        </w:tc>
      </w:tr>
      <w:tr>
        <w:trPr>
          <w:trHeight w:val="216"/>
        </w:trPr>
        <w:tc>
          <w:tcPr>
            <w:tcW w:w="266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8"/>
              </w:rPr>
              <w:t>or renewal thereof and all balances now or hereafter standing to the credit of any such account</w:t>
            </w:r>
          </w:p>
        </w:tc>
      </w:tr>
      <w:tr>
        <w:trPr>
          <w:trHeight w:val="212"/>
        </w:trPr>
        <w:tc>
          <w:tcPr>
            <w:tcW w:w="266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3"/>
              </w:rPr>
              <w:t>including all interest from time to time thereon, the debt represented thereby and all rights in relation</w:t>
            </w:r>
          </w:p>
        </w:tc>
      </w:tr>
      <w:tr>
        <w:trPr>
          <w:trHeight w:val="220"/>
        </w:trPr>
        <w:tc>
          <w:tcPr>
            <w:tcW w:w="2660" w:type="dxa"/>
            <w:vAlign w:val="bottom"/>
          </w:tcPr>
          <w:p>
            <w:pPr>
              <w:spacing w:after="0"/>
              <w:rPr>
                <w:sz w:val="19"/>
                <w:szCs w:val="19"/>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8"/>
              </w:rPr>
              <w:t>thereto (but "</w:t>
            </w:r>
            <w:r>
              <w:rPr>
                <w:rFonts w:ascii="Arial" w:cs="Arial" w:eastAsia="Arial" w:hAnsi="Arial"/>
                <w:sz w:val="18"/>
                <w:szCs w:val="18"/>
                <w:b w:val="1"/>
                <w:bCs w:val="1"/>
                <w:color w:val="auto"/>
                <w:w w:val="98"/>
              </w:rPr>
              <w:t>General Bank Accounts</w:t>
            </w:r>
            <w:r>
              <w:rPr>
                <w:rFonts w:ascii="Arial" w:cs="Arial" w:eastAsia="Arial" w:hAnsi="Arial"/>
                <w:sz w:val="18"/>
                <w:szCs w:val="18"/>
                <w:color w:val="auto"/>
                <w:w w:val="98"/>
              </w:rPr>
              <w:t>" shall exclude, for the avoidance of doubt, the Excluded</w:t>
            </w:r>
          </w:p>
        </w:tc>
      </w:tr>
      <w:tr>
        <w:trPr>
          <w:trHeight w:val="230"/>
        </w:trPr>
        <w:tc>
          <w:tcPr>
            <w:tcW w:w="2660" w:type="dxa"/>
            <w:vAlign w:val="bottom"/>
          </w:tcPr>
          <w:p>
            <w:pPr>
              <w:spacing w:after="0"/>
              <w:rPr>
                <w:sz w:val="20"/>
                <w:szCs w:val="20"/>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Assets);</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w w:val="95"/>
              </w:rPr>
              <w:t>means an Affiliate Guaranty dated on or around the date of this Deed between, among others, the</w:t>
            </w:r>
          </w:p>
        </w:tc>
      </w:tr>
      <w:tr>
        <w:trPr>
          <w:trHeight w:val="230"/>
        </w:trPr>
        <w:tc>
          <w:tcPr>
            <w:tcW w:w="2660" w:type="dxa"/>
            <w:vAlign w:val="bottom"/>
          </w:tcPr>
          <w:p>
            <w:pPr>
              <w:spacing w:after="0"/>
              <w:rPr>
                <w:sz w:val="20"/>
                <w:szCs w:val="20"/>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Parent and the Collateral Agent;</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means a holding company within the meaning of section 1159 of the Companies Act 2006;</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Act</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means the Insolvency Act 1986;</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w:t>
            </w: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in relation to any person, means:</w:t>
            </w:r>
          </w:p>
        </w:tc>
      </w:tr>
      <w:tr>
        <w:trPr>
          <w:trHeight w:val="418"/>
        </w:trPr>
        <w:tc>
          <w:tcPr>
            <w:tcW w:w="266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rPr>
              <w:t>(a)</w:t>
            </w:r>
          </w:p>
        </w:tc>
        <w:tc>
          <w:tcPr>
            <w:tcW w:w="7040" w:type="dxa"/>
            <w:vAlign w:val="bottom"/>
          </w:tcPr>
          <w:p>
            <w:pPr>
              <w:ind w:left="200"/>
              <w:spacing w:after="0"/>
              <w:rPr>
                <w:sz w:val="20"/>
                <w:szCs w:val="20"/>
                <w:color w:val="auto"/>
              </w:rPr>
            </w:pPr>
            <w:r>
              <w:rPr>
                <w:rFonts w:ascii="Arial" w:cs="Arial" w:eastAsia="Arial" w:hAnsi="Arial"/>
                <w:sz w:val="18"/>
                <w:szCs w:val="18"/>
                <w:color w:val="auto"/>
                <w:w w:val="94"/>
              </w:rPr>
              <w:t>such person is unable or admits inability to pay its debts as they fall due, suspends making</w:t>
            </w:r>
          </w:p>
        </w:tc>
      </w:tr>
      <w:tr>
        <w:trPr>
          <w:trHeight w:val="230"/>
        </w:trPr>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w w:val="99"/>
              </w:rPr>
              <w:t>payments on any of its debts or, by reason of actual or anticipated financial difficulties,</w:t>
            </w:r>
          </w:p>
        </w:tc>
      </w:tr>
    </w:tbl>
    <w:p>
      <w:pPr>
        <w:jc w:val="both"/>
        <w:ind w:left="3920"/>
        <w:spacing w:after="0" w:line="255" w:lineRule="auto"/>
        <w:rPr>
          <w:sz w:val="20"/>
          <w:szCs w:val="20"/>
          <w:color w:val="auto"/>
        </w:rPr>
      </w:pPr>
      <w:r>
        <w:rPr>
          <w:rFonts w:ascii="Arial" w:cs="Arial" w:eastAsia="Arial" w:hAnsi="Arial"/>
          <w:sz w:val="18"/>
          <w:szCs w:val="18"/>
          <w:color w:val="auto"/>
        </w:rPr>
        <w:t>commences negotiations with one or more of its creditors with a view to rescheduling any of its indebtedness (including any composition, assignment or arrangement with any creditor of such person);</w:t>
      </w:r>
    </w:p>
    <w:p>
      <w:pPr>
        <w:spacing w:after="0" w:line="200" w:lineRule="exact"/>
        <w:rPr>
          <w:sz w:val="20"/>
          <w:szCs w:val="20"/>
          <w:color w:val="auto"/>
        </w:rPr>
      </w:pPr>
    </w:p>
    <w:p>
      <w:pPr>
        <w:spacing w:after="0" w:line="20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912" w:name="page913"/>
    <w:bookmarkEnd w:id="912"/>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(b)</w:t>
            </w:r>
          </w:p>
        </w:tc>
        <w:tc>
          <w:tcPr>
            <w:tcW w:w="7020" w:type="dxa"/>
            <w:vAlign w:val="bottom"/>
          </w:tcPr>
          <w:p>
            <w:pPr>
              <w:ind w:left="180"/>
              <w:spacing w:after="0"/>
              <w:rPr>
                <w:sz w:val="20"/>
                <w:szCs w:val="20"/>
                <w:color w:val="auto"/>
              </w:rPr>
            </w:pPr>
            <w:r>
              <w:rPr>
                <w:rFonts w:ascii="Arial" w:cs="Arial" w:eastAsia="Arial" w:hAnsi="Arial"/>
                <w:sz w:val="18"/>
                <w:szCs w:val="18"/>
                <w:color w:val="auto"/>
                <w:w w:val="97"/>
              </w:rPr>
              <w:t>any resolution is passed or order made for the winding up, dissolution, administration or</w:t>
            </w: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1"/>
              </w:rPr>
              <w:t>reorganisation of that person, a moratorium is declared in relation to any indebtedness of that</w:t>
            </w: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6"/>
              </w:rPr>
              <w:t>person or an administrator is appointed to that person (other than a solvent liquidation or</w:t>
            </w: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8"/>
              </w:rPr>
              <w:t>reorganisation of such person on terms previously approved in writing by the Collateral</w:t>
            </w:r>
          </w:p>
        </w:tc>
      </w:tr>
      <w:tr>
        <w:trPr>
          <w:trHeight w:val="230"/>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Agent);</w:t>
            </w:r>
          </w:p>
        </w:tc>
      </w:tr>
      <w:tr>
        <w:trPr>
          <w:trHeight w:val="418"/>
        </w:trPr>
        <w:tc>
          <w:tcPr>
            <w:tcW w:w="282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(c)</w:t>
            </w:r>
          </w:p>
        </w:tc>
        <w:tc>
          <w:tcPr>
            <w:tcW w:w="7020" w:type="dxa"/>
            <w:vAlign w:val="bottom"/>
          </w:tcPr>
          <w:p>
            <w:pPr>
              <w:ind w:left="180"/>
              <w:spacing w:after="0"/>
              <w:rPr>
                <w:sz w:val="20"/>
                <w:szCs w:val="20"/>
                <w:color w:val="auto"/>
              </w:rPr>
            </w:pPr>
            <w:r>
              <w:rPr>
                <w:rFonts w:ascii="Arial" w:cs="Arial" w:eastAsia="Arial" w:hAnsi="Arial"/>
                <w:sz w:val="18"/>
                <w:szCs w:val="18"/>
                <w:color w:val="auto"/>
                <w:w w:val="94"/>
              </w:rPr>
              <w:t>the appointment of any liquidator (other than a solvent liquidation or reorganisation of such</w:t>
            </w: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7"/>
              </w:rPr>
              <w:t>person  on  terms  previously  approved  in  writing  by  the  Collateral  Agent),  receiver,</w:t>
            </w: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3"/>
              </w:rPr>
              <w:t>administrator, administrative receiver, compulsory manager or other similar officer in respect</w:t>
            </w:r>
          </w:p>
        </w:tc>
      </w:tr>
      <w:tr>
        <w:trPr>
          <w:trHeight w:val="230"/>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of that person or any of its assets; or</w:t>
            </w:r>
          </w:p>
        </w:tc>
      </w:tr>
      <w:tr>
        <w:trPr>
          <w:trHeight w:val="432"/>
        </w:trPr>
        <w:tc>
          <w:tcPr>
            <w:tcW w:w="282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(d)</w:t>
            </w:r>
          </w:p>
        </w:tc>
        <w:tc>
          <w:tcPr>
            <w:tcW w:w="7020" w:type="dxa"/>
            <w:vAlign w:val="bottom"/>
          </w:tcPr>
          <w:p>
            <w:pPr>
              <w:ind w:left="180"/>
              <w:spacing w:after="0"/>
              <w:rPr>
                <w:sz w:val="20"/>
                <w:szCs w:val="20"/>
                <w:color w:val="auto"/>
              </w:rPr>
            </w:pPr>
            <w:r>
              <w:rPr>
                <w:rFonts w:ascii="Arial" w:cs="Arial" w:eastAsia="Arial" w:hAnsi="Arial"/>
                <w:sz w:val="18"/>
                <w:szCs w:val="18"/>
                <w:color w:val="auto"/>
              </w:rPr>
              <w:t>in respect of any person, any analogous procedure or step is taken in any jurisdiction.</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Rules</w:t>
            </w:r>
            <w:r>
              <w:rPr>
                <w:rFonts w:ascii="Arial" w:cs="Arial" w:eastAsia="Arial" w:hAnsi="Arial"/>
                <w:sz w:val="18"/>
                <w:szCs w:val="18"/>
                <w:color w:val="auto"/>
              </w:rPr>
              <w:t>"</w:t>
            </w: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rPr>
              <w:t>means the Insolvency Rules 2016;</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w:t>
            </w: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rPr>
              <w:t>means contracts or policies of insurance or indemnity of any kind (including life insurance or</w:t>
            </w:r>
          </w:p>
        </w:tc>
      </w:tr>
      <w:tr>
        <w:trPr>
          <w:trHeight w:val="216"/>
        </w:trPr>
        <w:tc>
          <w:tcPr>
            <w:tcW w:w="282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1"/>
              </w:rPr>
              <w:t>assurance) now or hereafter taken out by or on behalf of the Company or (to the extent of its interest)</w:t>
            </w:r>
          </w:p>
        </w:tc>
      </w:tr>
      <w:tr>
        <w:trPr>
          <w:trHeight w:val="212"/>
        </w:trPr>
        <w:tc>
          <w:tcPr>
            <w:tcW w:w="282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1"/>
              </w:rPr>
              <w:t>in which the Company has any interest, and all rights in relation thereto, proceeds thereof, claims and</w:t>
            </w:r>
          </w:p>
        </w:tc>
      </w:tr>
      <w:tr>
        <w:trPr>
          <w:trHeight w:val="220"/>
        </w:trPr>
        <w:tc>
          <w:tcPr>
            <w:tcW w:w="2820" w:type="dxa"/>
            <w:vAlign w:val="bottom"/>
          </w:tcPr>
          <w:p>
            <w:pPr>
              <w:spacing w:after="0"/>
              <w:rPr>
                <w:sz w:val="19"/>
                <w:szCs w:val="19"/>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1"/>
              </w:rPr>
              <w:t>returns of premium in respect thereof (but "</w:t>
            </w:r>
            <w:r>
              <w:rPr>
                <w:rFonts w:ascii="Arial" w:cs="Arial" w:eastAsia="Arial" w:hAnsi="Arial"/>
                <w:sz w:val="18"/>
                <w:szCs w:val="18"/>
                <w:b w:val="1"/>
                <w:bCs w:val="1"/>
                <w:color w:val="auto"/>
                <w:w w:val="91"/>
              </w:rPr>
              <w:t>Insurances</w:t>
            </w:r>
            <w:r>
              <w:rPr>
                <w:rFonts w:ascii="Arial" w:cs="Arial" w:eastAsia="Arial" w:hAnsi="Arial"/>
                <w:sz w:val="18"/>
                <w:szCs w:val="18"/>
                <w:color w:val="auto"/>
                <w:w w:val="91"/>
              </w:rPr>
              <w:t>" shall exclude, for the avoidance of doubt, the</w:t>
            </w:r>
          </w:p>
        </w:tc>
      </w:tr>
      <w:tr>
        <w:trPr>
          <w:trHeight w:val="230"/>
        </w:trPr>
        <w:tc>
          <w:tcPr>
            <w:tcW w:w="2820" w:type="dxa"/>
            <w:vAlign w:val="bottom"/>
          </w:tcPr>
          <w:p>
            <w:pPr>
              <w:spacing w:after="0"/>
              <w:rPr>
                <w:sz w:val="20"/>
                <w:szCs w:val="20"/>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rPr>
              <w:t>Excluded Assets);</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w:t>
            </w: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4"/>
              </w:rPr>
              <w:t>means the intercreditor agreement, dated on or around the date of this Deed, among the Collateral</w:t>
            </w:r>
          </w:p>
        </w:tc>
      </w:tr>
      <w:tr>
        <w:trPr>
          <w:trHeight w:val="216"/>
        </w:trPr>
        <w:tc>
          <w:tcPr>
            <w:tcW w:w="282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6"/>
              </w:rPr>
              <w:t>Agent,  Wells  Fargo  Bank,  National  Association,  the  Parent,  Weatherford  International  Ltd.,</w:t>
            </w:r>
          </w:p>
        </w:tc>
      </w:tr>
      <w:tr>
        <w:trPr>
          <w:trHeight w:val="230"/>
        </w:trPr>
        <w:tc>
          <w:tcPr>
            <w:tcW w:w="2820" w:type="dxa"/>
            <w:vAlign w:val="bottom"/>
          </w:tcPr>
          <w:p>
            <w:pPr>
              <w:spacing w:after="0"/>
              <w:rPr>
                <w:sz w:val="20"/>
                <w:szCs w:val="20"/>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rPr>
              <w:t>Weatherford International LLC, and the other grantors of the Parent named therein;</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w:t>
            </w: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1"/>
              </w:rPr>
              <w:t>means patents, registered designs, copyrights, inventions, semi-conductor topography rights, rights in</w:t>
            </w:r>
          </w:p>
        </w:tc>
      </w:tr>
      <w:tr>
        <w:trPr>
          <w:trHeight w:val="216"/>
        </w:trPr>
        <w:tc>
          <w:tcPr>
            <w:tcW w:w="282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4"/>
              </w:rPr>
              <w:t>designs, rights in trade marks and service marks, business names and trade names, get up, logos,</w:t>
            </w:r>
          </w:p>
        </w:tc>
      </w:tr>
      <w:tr>
        <w:trPr>
          <w:trHeight w:val="216"/>
        </w:trPr>
        <w:tc>
          <w:tcPr>
            <w:tcW w:w="282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4"/>
              </w:rPr>
              <w:t>domain names, moral rights, rights in confidential information, rights in know-how, database rights,</w:t>
            </w:r>
          </w:p>
        </w:tc>
      </w:tr>
      <w:tr>
        <w:trPr>
          <w:trHeight w:val="216"/>
        </w:trPr>
        <w:tc>
          <w:tcPr>
            <w:tcW w:w="2820" w:type="dxa"/>
            <w:vAlign w:val="bottom"/>
          </w:tcPr>
          <w:p>
            <w:pPr>
              <w:spacing w:after="0"/>
              <w:rPr>
                <w:sz w:val="18"/>
                <w:szCs w:val="18"/>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2"/>
              </w:rPr>
              <w:t>rights protecting goodwill, or reputation and any interests (including by way of licence or sub-licence)</w:t>
            </w:r>
          </w:p>
        </w:tc>
      </w:tr>
      <w:tr>
        <w:trPr>
          <w:trHeight w:val="230"/>
        </w:trPr>
        <w:tc>
          <w:tcPr>
            <w:tcW w:w="2820" w:type="dxa"/>
            <w:vAlign w:val="bottom"/>
          </w:tcPr>
          <w:p>
            <w:pPr>
              <w:spacing w:after="0"/>
              <w:rPr>
                <w:sz w:val="20"/>
                <w:szCs w:val="20"/>
                <w:color w:val="auto"/>
              </w:rPr>
            </w:pPr>
          </w:p>
        </w:tc>
        <w:tc>
          <w:tcPr>
            <w:tcW w:w="7940" w:type="dxa"/>
            <w:vAlign w:val="bottom"/>
            <w:gridSpan w:val="2"/>
          </w:tcPr>
          <w:p>
            <w:pPr>
              <w:ind w:left="520"/>
              <w:spacing w:after="0"/>
              <w:rPr>
                <w:sz w:val="20"/>
                <w:szCs w:val="20"/>
                <w:color w:val="auto"/>
              </w:rPr>
            </w:pPr>
            <w:r>
              <w:rPr>
                <w:rFonts w:ascii="Arial" w:cs="Arial" w:eastAsia="Arial" w:hAnsi="Arial"/>
                <w:sz w:val="18"/>
                <w:szCs w:val="18"/>
                <w:color w:val="auto"/>
                <w:w w:val="95"/>
              </w:rPr>
              <w:t>in any of the foregoing, and any other intellectual property rights and interests whatsoever now or</w:t>
            </w:r>
          </w:p>
        </w:tc>
      </w:tr>
    </w:tbl>
    <w:p>
      <w:pPr>
        <w:jc w:val="both"/>
        <w:ind w:left="3340"/>
        <w:spacing w:after="0" w:line="273" w:lineRule="auto"/>
        <w:rPr>
          <w:sz w:val="20"/>
          <w:szCs w:val="20"/>
          <w:color w:val="auto"/>
        </w:rPr>
      </w:pPr>
      <w:r>
        <w:rPr>
          <w:rFonts w:ascii="Arial" w:cs="Arial" w:eastAsia="Arial" w:hAnsi="Arial"/>
          <w:sz w:val="17"/>
          <w:szCs w:val="17"/>
          <w:color w:val="auto"/>
        </w:rPr>
        <w:t>hereafter owned by the Company or in which it has any interest, in each case whether registered or not and including all applications, rights to apply for and rights to use the same and all fees, royalties and other rights of every kind relating to or deriving from any of the same (but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shall exclude, for the avoidance of doubt, the Excluded Assets);</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913" w:name="page914"/>
    <w:bookmarkEnd w:id="913"/>
    <w:tbl>
      <w:tblPr>
        <w:tblLayout w:type="fixed"/>
        <w:tblInd w:w="0" w:type="dxa"/>
        <w:tblCellMar>
          <w:top w:w="0" w:type="dxa"/>
          <w:left w:w="0" w:type="dxa"/>
          <w:bottom w:w="0" w:type="dxa"/>
          <w:right w:w="0" w:type="dxa"/>
        </w:tblCellMar>
      </w:tblPr>
      <w:tr>
        <w:trPr>
          <w:trHeight w:val="220"/>
        </w:trPr>
        <w:tc>
          <w:tcPr>
            <w:tcW w:w="35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w:t>
            </w:r>
          </w:p>
        </w:tc>
        <w:tc>
          <w:tcPr>
            <w:tcW w:w="7920" w:type="dxa"/>
            <w:vAlign w:val="bottom"/>
          </w:tcPr>
          <w:p>
            <w:pPr>
              <w:ind w:left="500"/>
              <w:spacing w:after="0"/>
              <w:rPr>
                <w:sz w:val="20"/>
                <w:szCs w:val="20"/>
                <w:color w:val="auto"/>
              </w:rPr>
            </w:pPr>
            <w:r>
              <w:rPr>
                <w:rFonts w:ascii="Arial" w:cs="Arial" w:eastAsia="Arial" w:hAnsi="Arial"/>
                <w:sz w:val="18"/>
                <w:szCs w:val="18"/>
                <w:color w:val="auto"/>
                <w:w w:val="93"/>
              </w:rPr>
              <w:t>means shares, stocks, bonds, notes, certificates of deposit, debenture stocks, loan stocks and other</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5"/>
              </w:rPr>
              <w:t>securities or investments of any kind and all rights relating to any of the foregoing (including rights</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7"/>
              </w:rPr>
              <w:t>relating to any of the same which are deposited with, registered in the name of or credited to an</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4"/>
              </w:rPr>
              <w:t>account with any clearing system or house, depositary, custodian, nominee, controller, investment</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1"/>
              </w:rPr>
              <w:t>manager or other similar person or their nominee, in each case whether or not on a fungible basis and</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3"/>
              </w:rPr>
              <w:t>including all rights against such person); warrants, options or other rights to subscribe for, purchase,</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1"/>
              </w:rPr>
              <w:t>call for delivery of, redeem, convert other securities or investments into or otherwise to acquire any of</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2"/>
              </w:rPr>
              <w:t>the foregoing; and units in a unit trust scheme (as defined in section 237(1) of the Financial Services</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7"/>
              </w:rPr>
              <w:t>and Markets Act 2000); together in each case with all rights in respect thereof and all dividends,</w:t>
            </w:r>
          </w:p>
        </w:tc>
      </w:tr>
      <w:tr>
        <w:trPr>
          <w:trHeight w:val="212"/>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1"/>
              </w:rPr>
              <w:t>interest, cash or other distributions, accretions or Investments in respect of or deriving from any of the</w:t>
            </w:r>
          </w:p>
        </w:tc>
      </w:tr>
      <w:tr>
        <w:trPr>
          <w:trHeight w:val="216"/>
        </w:trPr>
        <w:tc>
          <w:tcPr>
            <w:tcW w:w="3500" w:type="dxa"/>
            <w:vAlign w:val="bottom"/>
          </w:tcPr>
          <w:p>
            <w:pPr>
              <w:spacing w:after="0"/>
              <w:rPr>
                <w:sz w:val="18"/>
                <w:szCs w:val="18"/>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6"/>
              </w:rPr>
              <w:t>foregoing, and "</w:t>
            </w:r>
            <w:r>
              <w:rPr>
                <w:rFonts w:ascii="Arial" w:cs="Arial" w:eastAsia="Arial" w:hAnsi="Arial"/>
                <w:sz w:val="18"/>
                <w:szCs w:val="18"/>
                <w:b w:val="1"/>
                <w:bCs w:val="1"/>
                <w:color w:val="auto"/>
                <w:w w:val="96"/>
              </w:rPr>
              <w:t>Investments</w:t>
            </w:r>
            <w:r>
              <w:rPr>
                <w:rFonts w:ascii="Arial" w:cs="Arial" w:eastAsia="Arial" w:hAnsi="Arial"/>
                <w:sz w:val="18"/>
                <w:szCs w:val="18"/>
                <w:color w:val="auto"/>
                <w:w w:val="96"/>
              </w:rPr>
              <w:t>"  means  any  of  the  foregoing  including  any  part  of  them  (but</w:t>
            </w:r>
          </w:p>
        </w:tc>
      </w:tr>
      <w:tr>
        <w:trPr>
          <w:trHeight w:val="234"/>
        </w:trPr>
        <w:tc>
          <w:tcPr>
            <w:tcW w:w="3500" w:type="dxa"/>
            <w:vAlign w:val="bottom"/>
          </w:tcPr>
          <w:p>
            <w:pPr>
              <w:spacing w:after="0"/>
              <w:rPr>
                <w:sz w:val="20"/>
                <w:szCs w:val="20"/>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shall exclude, for the avoidance of doubt, the Excluded Assets);</w:t>
            </w:r>
          </w:p>
        </w:tc>
      </w:tr>
      <w:tr>
        <w:trPr>
          <w:trHeight w:val="432"/>
        </w:trPr>
        <w:tc>
          <w:tcPr>
            <w:tcW w:w="35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 of Property Act</w:t>
            </w:r>
            <w:r>
              <w:rPr>
                <w:rFonts w:ascii="Arial" w:cs="Arial" w:eastAsia="Arial" w:hAnsi="Arial"/>
                <w:sz w:val="18"/>
                <w:szCs w:val="18"/>
                <w:color w:val="auto"/>
              </w:rPr>
              <w:t>"</w:t>
            </w:r>
          </w:p>
        </w:tc>
        <w:tc>
          <w:tcPr>
            <w:tcW w:w="7920" w:type="dxa"/>
            <w:vAlign w:val="bottom"/>
          </w:tcPr>
          <w:p>
            <w:pPr>
              <w:ind w:left="500"/>
              <w:spacing w:after="0"/>
              <w:rPr>
                <w:sz w:val="20"/>
                <w:szCs w:val="20"/>
                <w:color w:val="auto"/>
              </w:rPr>
            </w:pPr>
            <w:r>
              <w:rPr>
                <w:rFonts w:ascii="Arial" w:cs="Arial" w:eastAsia="Arial" w:hAnsi="Arial"/>
                <w:sz w:val="18"/>
                <w:szCs w:val="18"/>
                <w:color w:val="auto"/>
              </w:rPr>
              <w:t>means the Law of Property Act 1925;</w:t>
            </w:r>
          </w:p>
        </w:tc>
      </w:tr>
      <w:tr>
        <w:trPr>
          <w:trHeight w:val="414"/>
        </w:trPr>
        <w:tc>
          <w:tcPr>
            <w:tcW w:w="35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Legally Mortgaged Property</w:t>
            </w:r>
            <w:r>
              <w:rPr>
                <w:rFonts w:ascii="Arial" w:cs="Arial" w:eastAsia="Arial" w:hAnsi="Arial"/>
                <w:sz w:val="18"/>
                <w:szCs w:val="18"/>
                <w:color w:val="auto"/>
              </w:rPr>
              <w:t>"</w:t>
            </w:r>
          </w:p>
        </w:tc>
        <w:tc>
          <w:tcPr>
            <w:tcW w:w="7920" w:type="dxa"/>
            <w:vAlign w:val="bottom"/>
          </w:tcPr>
          <w:p>
            <w:pPr>
              <w:ind w:left="500"/>
              <w:spacing w:after="0"/>
              <w:rPr>
                <w:sz w:val="20"/>
                <w:szCs w:val="20"/>
                <w:color w:val="auto"/>
              </w:rPr>
            </w:pPr>
            <w:r>
              <w:rPr>
                <w:rFonts w:ascii="Arial" w:cs="Arial" w:eastAsia="Arial" w:hAnsi="Arial"/>
                <w:sz w:val="18"/>
                <w:szCs w:val="18"/>
                <w:color w:val="auto"/>
                <w:w w:val="91"/>
              </w:rPr>
              <w:t>means any Real Property which may in future be legally mortgaged or charged by the Company to the</w:t>
            </w:r>
          </w:p>
        </w:tc>
      </w:tr>
      <w:tr>
        <w:trPr>
          <w:trHeight w:val="220"/>
        </w:trPr>
        <w:tc>
          <w:tcPr>
            <w:tcW w:w="3500" w:type="dxa"/>
            <w:vAlign w:val="bottom"/>
          </w:tcPr>
          <w:p>
            <w:pPr>
              <w:spacing w:after="0"/>
              <w:rPr>
                <w:sz w:val="19"/>
                <w:szCs w:val="19"/>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w w:val="91"/>
              </w:rPr>
              <w:t>Collateral Agent by or pursuant to this Deed, and "</w:t>
            </w:r>
            <w:r>
              <w:rPr>
                <w:rFonts w:ascii="Arial" w:cs="Arial" w:eastAsia="Arial" w:hAnsi="Arial"/>
                <w:sz w:val="18"/>
                <w:szCs w:val="18"/>
                <w:b w:val="1"/>
                <w:bCs w:val="1"/>
                <w:color w:val="auto"/>
                <w:w w:val="91"/>
              </w:rPr>
              <w:t>Legally Mortgaged Property</w:t>
            </w:r>
            <w:r>
              <w:rPr>
                <w:rFonts w:ascii="Arial" w:cs="Arial" w:eastAsia="Arial" w:hAnsi="Arial"/>
                <w:sz w:val="18"/>
                <w:szCs w:val="18"/>
                <w:color w:val="auto"/>
                <w:w w:val="91"/>
              </w:rPr>
              <w:t>" includes any part of</w:t>
            </w:r>
          </w:p>
        </w:tc>
      </w:tr>
      <w:tr>
        <w:trPr>
          <w:trHeight w:val="230"/>
        </w:trPr>
        <w:tc>
          <w:tcPr>
            <w:tcW w:w="3500" w:type="dxa"/>
            <w:vAlign w:val="bottom"/>
          </w:tcPr>
          <w:p>
            <w:pPr>
              <w:spacing w:after="0"/>
              <w:rPr>
                <w:sz w:val="20"/>
                <w:szCs w:val="20"/>
                <w:color w:val="auto"/>
              </w:rPr>
            </w:pPr>
          </w:p>
        </w:tc>
        <w:tc>
          <w:tcPr>
            <w:tcW w:w="7920" w:type="dxa"/>
            <w:vAlign w:val="bottom"/>
          </w:tcPr>
          <w:p>
            <w:pPr>
              <w:ind w:left="500"/>
              <w:spacing w:after="0"/>
              <w:rPr>
                <w:sz w:val="20"/>
                <w:szCs w:val="20"/>
                <w:color w:val="auto"/>
              </w:rPr>
            </w:pPr>
            <w:r>
              <w:rPr>
                <w:rFonts w:ascii="Arial" w:cs="Arial" w:eastAsia="Arial" w:hAnsi="Arial"/>
                <w:sz w:val="18"/>
                <w:szCs w:val="18"/>
                <w:color w:val="auto"/>
              </w:rPr>
              <w:t>any such Real Property;</w:t>
            </w:r>
          </w:p>
        </w:tc>
      </w:tr>
      <w:tr>
        <w:trPr>
          <w:trHeight w:val="648"/>
        </w:trPr>
        <w:tc>
          <w:tcPr>
            <w:tcW w:w="35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904" w:right="239" w:bottom="1440" w:gutter="0" w:footer="0" w:header="0"/>
        </w:sectPr>
      </w:pPr>
    </w:p>
    <w:bookmarkStart w:id="914" w:name="page915"/>
    <w:bookmarkEnd w:id="91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Real Property</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Investments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in Full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means the letter of credit facility agreement, between, among others, the Parent, the Collateral Agent and the Lenders, dated on or around the date of this Deed;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means any liability, damages, claim, cost, loss, penalty, expense, demand (or actions in respect thereof) including, legal, accounting or other charges, fees, costs, disbursements and expenses in connection therewith;</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means Real Property located in the United States of America, Canada or the United Kingdom owned by the Company with a net book value in excess of US$10,000,000 and that is not an Excluded Asset;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Investments from time to time subject or expressed to be subject to the Charges, and "</w:t>
      </w:r>
      <w:r>
        <w:rPr>
          <w:rFonts w:ascii="Arial" w:cs="Arial" w:eastAsia="Arial" w:hAnsi="Arial"/>
          <w:sz w:val="18"/>
          <w:szCs w:val="18"/>
          <w:b w:val="1"/>
          <w:bCs w:val="1"/>
          <w:color w:val="auto"/>
        </w:rPr>
        <w:t>Mortgaged Investments</w:t>
      </w:r>
      <w:r>
        <w:rPr>
          <w:rFonts w:ascii="Arial" w:cs="Arial" w:eastAsia="Arial" w:hAnsi="Arial"/>
          <w:sz w:val="18"/>
          <w:szCs w:val="18"/>
          <w:color w:val="auto"/>
        </w:rPr>
        <w:t>" includes any part of any of them;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means Weatherford International Public Limited Company, a public limited company incorporated in the Republic of Ireland, with registered number 540406 whose registered office address is 70 Sir John Rogerson's Quay, Dublin 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Company) shall have been paid in full in cash;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means any proceedings, suits or actions arising out of or in connection with any Disputes or otherwise arising out of or in connection with this Deed (including regarding its existence, validity or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means freehold property in England and Wales and any other land or buildings anywhere in the world, any estate or interest therein and any reference to "</w:t>
      </w:r>
      <w:r>
        <w:rPr>
          <w:rFonts w:ascii="Arial" w:cs="Arial" w:eastAsia="Arial" w:hAnsi="Arial"/>
          <w:sz w:val="18"/>
          <w:szCs w:val="18"/>
          <w:b w:val="1"/>
          <w:bCs w:val="1"/>
          <w:color w:val="auto"/>
        </w:rPr>
        <w:t>Real Property</w:t>
      </w:r>
      <w:r>
        <w:rPr>
          <w:rFonts w:ascii="Arial" w:cs="Arial" w:eastAsia="Arial" w:hAnsi="Arial"/>
          <w:sz w:val="18"/>
          <w:szCs w:val="18"/>
          <w:color w:val="auto"/>
        </w:rPr>
        <w:t>" includes a reference to all rights from time to time attached or appurtenant thereto and all buildings and Fixtures from time to time therein or thereon;</w:t>
      </w:r>
    </w:p>
    <w:p>
      <w:pPr>
        <w:spacing w:after="0" w:line="200" w:lineRule="exact"/>
        <w:rPr>
          <w:sz w:val="20"/>
          <w:szCs w:val="20"/>
          <w:color w:val="auto"/>
        </w:rPr>
      </w:pPr>
    </w:p>
    <w:p>
      <w:pPr>
        <w:spacing w:after="0" w:line="20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14605</wp:posOffset>
            </wp:positionV>
            <wp:extent cx="724662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620" w:space="720"/>
            <w:col w:w="7420"/>
          </w:cols>
          <w:pgMar w:left="900" w:top="905" w:right="239" w:bottom="1440" w:gutter="0" w:footer="0" w:header="0"/>
        </w:sectPr>
      </w:pPr>
    </w:p>
    <w:bookmarkStart w:id="915" w:name="page916"/>
    <w:bookmarkEnd w:id="915"/>
    <w:tbl>
      <w:tblPr>
        <w:tblLayout w:type="fixed"/>
        <w:tblInd w:w="0" w:type="dxa"/>
        <w:tblCellMar>
          <w:top w:w="0" w:type="dxa"/>
          <w:left w:w="0" w:type="dxa"/>
          <w:bottom w:w="0" w:type="dxa"/>
          <w:right w:w="0" w:type="dxa"/>
        </w:tblCellMar>
      </w:tblPr>
      <w:tr>
        <w:trPr>
          <w:trHeight w:val="220"/>
        </w:trPr>
        <w:tc>
          <w:tcPr>
            <w:tcW w:w="33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w:t>
            </w: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w w:val="91"/>
              </w:rPr>
              <w:t>includes a manager, a receiver and manager and an "</w:t>
            </w:r>
            <w:r>
              <w:rPr>
                <w:rFonts w:ascii="Arial" w:cs="Arial" w:eastAsia="Arial" w:hAnsi="Arial"/>
                <w:sz w:val="18"/>
                <w:szCs w:val="18"/>
                <w:b w:val="1"/>
                <w:bCs w:val="1"/>
                <w:color w:val="auto"/>
                <w:w w:val="91"/>
              </w:rPr>
              <w:t>administrative receiver</w:t>
            </w:r>
            <w:r>
              <w:rPr>
                <w:rFonts w:ascii="Arial" w:cs="Arial" w:eastAsia="Arial" w:hAnsi="Arial"/>
                <w:sz w:val="18"/>
                <w:szCs w:val="18"/>
                <w:color w:val="auto"/>
                <w:w w:val="91"/>
              </w:rPr>
              <w:t>" as defined by Section</w:t>
            </w:r>
          </w:p>
        </w:tc>
      </w:tr>
      <w:tr>
        <w:trPr>
          <w:trHeight w:val="230"/>
        </w:trPr>
        <w:tc>
          <w:tcPr>
            <w:tcW w:w="3360" w:type="dxa"/>
            <w:vAlign w:val="bottom"/>
          </w:tcPr>
          <w:p>
            <w:pPr>
              <w:spacing w:after="0"/>
              <w:rPr>
                <w:sz w:val="20"/>
                <w:szCs w:val="20"/>
                <w:color w:val="auto"/>
              </w:rPr>
            </w:pP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rPr>
              <w:t>251 of the Insolvency Act;</w:t>
            </w:r>
          </w:p>
        </w:tc>
      </w:tr>
      <w:tr>
        <w:trPr>
          <w:trHeight w:val="418"/>
        </w:trPr>
        <w:tc>
          <w:tcPr>
            <w:tcW w:w="33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w:t>
            </w: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w w:val="90"/>
              </w:rPr>
              <w:t>means a receiver appointed under this Deed or pursuant to any applicable law, and includes more than</w:t>
            </w:r>
          </w:p>
        </w:tc>
      </w:tr>
      <w:tr>
        <w:trPr>
          <w:trHeight w:val="216"/>
        </w:trPr>
        <w:tc>
          <w:tcPr>
            <w:tcW w:w="3360" w:type="dxa"/>
            <w:vAlign w:val="bottom"/>
          </w:tcPr>
          <w:p>
            <w:pPr>
              <w:spacing w:after="0"/>
              <w:rPr>
                <w:sz w:val="18"/>
                <w:szCs w:val="18"/>
                <w:color w:val="auto"/>
              </w:rPr>
            </w:pP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w w:val="90"/>
              </w:rPr>
              <w:t>one such receiver and any substituted receiver but not an administrative receiver as defined in Section</w:t>
            </w:r>
          </w:p>
        </w:tc>
      </w:tr>
      <w:tr>
        <w:trPr>
          <w:trHeight w:val="230"/>
        </w:trPr>
        <w:tc>
          <w:tcPr>
            <w:tcW w:w="3360" w:type="dxa"/>
            <w:vAlign w:val="bottom"/>
          </w:tcPr>
          <w:p>
            <w:pPr>
              <w:spacing w:after="0"/>
              <w:rPr>
                <w:sz w:val="20"/>
                <w:szCs w:val="20"/>
                <w:color w:val="auto"/>
              </w:rPr>
            </w:pP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rPr>
              <w:t>251 of the Insolvency Act;</w:t>
            </w:r>
          </w:p>
        </w:tc>
      </w:tr>
      <w:tr>
        <w:trPr>
          <w:trHeight w:val="432"/>
        </w:trPr>
        <w:tc>
          <w:tcPr>
            <w:tcW w:w="33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Rights</w:t>
            </w:r>
            <w:r>
              <w:rPr>
                <w:rFonts w:ascii="Arial" w:cs="Arial" w:eastAsia="Arial" w:hAnsi="Arial"/>
                <w:sz w:val="18"/>
                <w:szCs w:val="18"/>
                <w:color w:val="auto"/>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1"/>
              </w:rPr>
              <w:t>means:</w:t>
            </w:r>
          </w:p>
        </w:tc>
        <w:tc>
          <w:tcPr>
            <w:tcW w:w="44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418"/>
        </w:trPr>
        <w:tc>
          <w:tcPr>
            <w:tcW w:w="3360" w:type="dxa"/>
            <w:vAlign w:val="bottom"/>
          </w:tcPr>
          <w:p>
            <w:pPr>
              <w:spacing w:after="0"/>
              <w:rPr>
                <w:sz w:val="24"/>
                <w:szCs w:val="24"/>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auto"/>
              </w:rPr>
              <w:t>(a)</w:t>
            </w: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1"/>
              </w:rPr>
              <w:t>all dividends, distributions and other income paid or payable on a Investment, together with all</w:t>
            </w:r>
          </w:p>
        </w:tc>
      </w:tr>
      <w:tr>
        <w:trPr>
          <w:trHeight w:val="216"/>
        </w:trPr>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5"/>
              </w:rPr>
              <w:t>shares or other property derived from any Investment and all other allotments, accretions,</w:t>
            </w:r>
          </w:p>
        </w:tc>
      </w:tr>
      <w:tr>
        <w:trPr>
          <w:trHeight w:val="216"/>
        </w:trPr>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6"/>
              </w:rPr>
              <w:t>rights, benefits and advantages of all kinds accruing, offered or otherwise derived from or</w:t>
            </w:r>
          </w:p>
        </w:tc>
      </w:tr>
      <w:tr>
        <w:trPr>
          <w:trHeight w:val="216"/>
        </w:trPr>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3"/>
              </w:rPr>
              <w:t>incidental to that Investment (whether by way of conversion, redemption, bonus, preference,</w:t>
            </w:r>
          </w:p>
        </w:tc>
      </w:tr>
      <w:tr>
        <w:trPr>
          <w:trHeight w:val="230"/>
        </w:trPr>
        <w:tc>
          <w:tcPr>
            <w:tcW w:w="3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option or otherwise);</w:t>
            </w:r>
          </w:p>
        </w:tc>
      </w:tr>
      <w:tr>
        <w:trPr>
          <w:trHeight w:val="432"/>
        </w:trPr>
        <w:tc>
          <w:tcPr>
            <w:tcW w:w="3360" w:type="dxa"/>
            <w:vAlign w:val="bottom"/>
          </w:tcPr>
          <w:p>
            <w:pPr>
              <w:spacing w:after="0"/>
              <w:rPr>
                <w:sz w:val="24"/>
                <w:szCs w:val="24"/>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auto"/>
              </w:rPr>
              <w:t>(b)</w:t>
            </w: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in relation to any other Charged Assets:</w:t>
            </w:r>
          </w:p>
        </w:tc>
      </w:tr>
      <w:tr>
        <w:trPr>
          <w:trHeight w:val="432"/>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w:t>
            </w:r>
          </w:p>
        </w:tc>
        <w:tc>
          <w:tcPr>
            <w:tcW w:w="6420" w:type="dxa"/>
            <w:vAlign w:val="bottom"/>
          </w:tcPr>
          <w:p>
            <w:pPr>
              <w:ind w:left="160"/>
              <w:spacing w:after="0"/>
              <w:rPr>
                <w:sz w:val="20"/>
                <w:szCs w:val="20"/>
                <w:color w:val="auto"/>
              </w:rPr>
            </w:pPr>
            <w:r>
              <w:rPr>
                <w:rFonts w:ascii="Arial" w:cs="Arial" w:eastAsia="Arial" w:hAnsi="Arial"/>
                <w:sz w:val="18"/>
                <w:szCs w:val="18"/>
                <w:color w:val="auto"/>
              </w:rPr>
              <w:t>the proceeds of sale, transfer or other disposition of any part of that asset;</w:t>
            </w:r>
          </w:p>
        </w:tc>
      </w:tr>
      <w:tr>
        <w:trPr>
          <w:trHeight w:val="418"/>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(ii)</w:t>
            </w:r>
          </w:p>
        </w:tc>
        <w:tc>
          <w:tcPr>
            <w:tcW w:w="6420" w:type="dxa"/>
            <w:vAlign w:val="bottom"/>
          </w:tcPr>
          <w:p>
            <w:pPr>
              <w:ind w:left="160"/>
              <w:spacing w:after="0"/>
              <w:rPr>
                <w:sz w:val="20"/>
                <w:szCs w:val="20"/>
                <w:color w:val="auto"/>
              </w:rPr>
            </w:pPr>
            <w:r>
              <w:rPr>
                <w:rFonts w:ascii="Arial" w:cs="Arial" w:eastAsia="Arial" w:hAnsi="Arial"/>
                <w:sz w:val="18"/>
                <w:szCs w:val="18"/>
                <w:color w:val="auto"/>
                <w:w w:val="94"/>
              </w:rPr>
              <w:t>all rights under any licence, agreement for sale or agreement for lease in respect of</w:t>
            </w:r>
          </w:p>
        </w:tc>
      </w:tr>
      <w:tr>
        <w:trPr>
          <w:trHeight w:val="230"/>
        </w:trPr>
        <w:tc>
          <w:tcPr>
            <w:tcW w:w="3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that asset;</w:t>
            </w:r>
          </w:p>
        </w:tc>
      </w:tr>
      <w:tr>
        <w:trPr>
          <w:trHeight w:val="418"/>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(iii)</w:t>
            </w:r>
          </w:p>
        </w:tc>
        <w:tc>
          <w:tcPr>
            <w:tcW w:w="6420" w:type="dxa"/>
            <w:vAlign w:val="bottom"/>
          </w:tcPr>
          <w:p>
            <w:pPr>
              <w:ind w:left="160"/>
              <w:spacing w:after="0"/>
              <w:rPr>
                <w:sz w:val="20"/>
                <w:szCs w:val="20"/>
                <w:color w:val="auto"/>
              </w:rPr>
            </w:pPr>
            <w:r>
              <w:rPr>
                <w:rFonts w:ascii="Arial" w:cs="Arial" w:eastAsia="Arial" w:hAnsi="Arial"/>
                <w:sz w:val="18"/>
                <w:szCs w:val="18"/>
                <w:color w:val="auto"/>
                <w:w w:val="91"/>
              </w:rPr>
              <w:t>all rights, process, benefits, claims, causes of action, contracts, warranties, remedies,</w:t>
            </w:r>
          </w:p>
        </w:tc>
      </w:tr>
      <w:tr>
        <w:trPr>
          <w:trHeight w:val="216"/>
        </w:trPr>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1"/>
              </w:rPr>
              <w:t>security, guarantee, indemnities or covenants for title in respect of or derived from that</w:t>
            </w:r>
          </w:p>
        </w:tc>
      </w:tr>
      <w:tr>
        <w:trPr>
          <w:trHeight w:val="230"/>
        </w:trPr>
        <w:tc>
          <w:tcPr>
            <w:tcW w:w="3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asset; and/or</w:t>
            </w:r>
          </w:p>
        </w:tc>
      </w:tr>
      <w:tr>
        <w:trPr>
          <w:trHeight w:val="432"/>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(iv)</w:t>
            </w:r>
          </w:p>
        </w:tc>
        <w:tc>
          <w:tcPr>
            <w:tcW w:w="6420" w:type="dxa"/>
            <w:vAlign w:val="bottom"/>
          </w:tcPr>
          <w:p>
            <w:pPr>
              <w:ind w:left="160"/>
              <w:spacing w:after="0"/>
              <w:rPr>
                <w:sz w:val="20"/>
                <w:szCs w:val="20"/>
                <w:color w:val="auto"/>
              </w:rPr>
            </w:pPr>
            <w:r>
              <w:rPr>
                <w:rFonts w:ascii="Arial" w:cs="Arial" w:eastAsia="Arial" w:hAnsi="Arial"/>
                <w:sz w:val="18"/>
                <w:szCs w:val="18"/>
                <w:color w:val="auto"/>
              </w:rPr>
              <w:t>any income, moneys and proceeds paid or payable in respect of that asset;</w:t>
            </w:r>
          </w:p>
        </w:tc>
      </w:tr>
      <w:tr>
        <w:trPr>
          <w:trHeight w:val="432"/>
        </w:trPr>
        <w:tc>
          <w:tcPr>
            <w:tcW w:w="33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Charged Assets</w:t>
            </w:r>
            <w:r>
              <w:rPr>
                <w:rFonts w:ascii="Arial" w:cs="Arial" w:eastAsia="Arial" w:hAnsi="Arial"/>
                <w:sz w:val="18"/>
                <w:szCs w:val="18"/>
                <w:color w:val="auto"/>
              </w:rPr>
              <w:t>"</w:t>
            </w: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w w:val="93"/>
              </w:rPr>
              <w:t>means such part or parts of the Charged Assets in respect of which a Receiver has been appointed;</w:t>
            </w:r>
          </w:p>
        </w:tc>
      </w:tr>
      <w:tr>
        <w:trPr>
          <w:trHeight w:val="418"/>
        </w:trPr>
        <w:tc>
          <w:tcPr>
            <w:tcW w:w="33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w:t>
            </w: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w w:val="91"/>
              </w:rPr>
              <w:t>means, as to any Person, any law, treaty, rule or regulation or determination of an arbitrator or a court</w:t>
            </w:r>
          </w:p>
        </w:tc>
      </w:tr>
      <w:tr>
        <w:trPr>
          <w:trHeight w:val="216"/>
        </w:trPr>
        <w:tc>
          <w:tcPr>
            <w:tcW w:w="3360" w:type="dxa"/>
            <w:vAlign w:val="bottom"/>
          </w:tcPr>
          <w:p>
            <w:pPr>
              <w:spacing w:after="0"/>
              <w:rPr>
                <w:sz w:val="18"/>
                <w:szCs w:val="18"/>
                <w:color w:val="auto"/>
              </w:rPr>
            </w:pP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w w:val="91"/>
              </w:rPr>
              <w:t>or other Governmental Authority, in each case applicable to or binding upon such Person or any of its</w:t>
            </w:r>
          </w:p>
        </w:tc>
      </w:tr>
      <w:tr>
        <w:trPr>
          <w:trHeight w:val="230"/>
        </w:trPr>
        <w:tc>
          <w:tcPr>
            <w:tcW w:w="3360" w:type="dxa"/>
            <w:vAlign w:val="bottom"/>
          </w:tcPr>
          <w:p>
            <w:pPr>
              <w:spacing w:after="0"/>
              <w:rPr>
                <w:sz w:val="20"/>
                <w:szCs w:val="20"/>
                <w:color w:val="auto"/>
              </w:rPr>
            </w:pPr>
          </w:p>
        </w:tc>
        <w:tc>
          <w:tcPr>
            <w:tcW w:w="8060" w:type="dxa"/>
            <w:vAlign w:val="bottom"/>
            <w:gridSpan w:val="3"/>
          </w:tcPr>
          <w:p>
            <w:pPr>
              <w:ind w:left="640"/>
              <w:spacing w:after="0"/>
              <w:rPr>
                <w:sz w:val="20"/>
                <w:szCs w:val="20"/>
                <w:color w:val="auto"/>
              </w:rPr>
            </w:pPr>
            <w:r>
              <w:rPr>
                <w:rFonts w:ascii="Arial" w:cs="Arial" w:eastAsia="Arial" w:hAnsi="Arial"/>
                <w:sz w:val="18"/>
                <w:szCs w:val="18"/>
                <w:color w:val="auto"/>
              </w:rPr>
              <w:t>property or to which such Person or any of its property is subject;</w:t>
            </w:r>
          </w:p>
        </w:tc>
      </w:tr>
      <w:tr>
        <w:trPr>
          <w:trHeight w:val="675"/>
        </w:trPr>
        <w:tc>
          <w:tcPr>
            <w:tcW w:w="3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905" w:right="239" w:bottom="1440" w:gutter="0" w:footer="0" w:header="0"/>
        </w:sectPr>
      </w:pPr>
    </w:p>
    <w:bookmarkStart w:id="916" w:name="page917"/>
    <w:bookmarkEnd w:id="916"/>
    <w:p>
      <w:pPr>
        <w:ind w:left="660"/>
        <w:spacing w:after="0"/>
        <w:tabs>
          <w:tab w:leader="none" w:pos="39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has the meaning given to it in the Loan Agreement but, for the avoidance of doubt, shall also include</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all legal and other costs, charges and expenses and any other Loss which the Collateral Agent, any</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other Secured Party, any Receiver or any Delegate may incur in enforcing or obtaining, or attempting</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to enforce or obtain, payment of any such moneys and liabilities to the extent such costs, charges,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expenses and other Losses are of the type reimbursable by the Borrowers pursuant to Section 11.03</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207" w:lineRule="exact"/>
        <w:rPr>
          <w:sz w:val="20"/>
          <w:szCs w:val="20"/>
          <w:color w:val="auto"/>
        </w:rPr>
      </w:pPr>
    </w:p>
    <w:p>
      <w:pPr>
        <w:ind w:left="660"/>
        <w:spacing w:after="0"/>
        <w:tabs>
          <w:tab w:leader="none" w:pos="39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has the meaning given to it in the Loan Agreement;</w:t>
      </w:r>
    </w:p>
    <w:p>
      <w:pPr>
        <w:spacing w:after="0" w:line="225" w:lineRule="exact"/>
        <w:rPr>
          <w:sz w:val="20"/>
          <w:szCs w:val="20"/>
          <w:color w:val="auto"/>
        </w:rPr>
      </w:pPr>
    </w:p>
    <w:p>
      <w:pPr>
        <w:ind w:left="660"/>
        <w:spacing w:after="0"/>
        <w:tabs>
          <w:tab w:leader="none" w:pos="39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means any mortgage or sub-mortgage, standard security, fixed or floating charge or sub-charge,</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pledge, lien, assignment or assignation by way of security or subject to a proviso for redemption,</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encumbrance, hypothecation, retention of title, or other security interest whatsoever howsoever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created or arising and its equivalent or analogue whatever called in any other jurisdiction, and any</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agreement or arrangement having substantially the same economic or financial effect as any of the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foregoing (including any "</w:t>
      </w:r>
      <w:r>
        <w:rPr>
          <w:rFonts w:ascii="Arial" w:cs="Arial" w:eastAsia="Arial" w:hAnsi="Arial"/>
          <w:sz w:val="17"/>
          <w:szCs w:val="17"/>
          <w:b w:val="1"/>
          <w:bCs w:val="1"/>
          <w:color w:val="auto"/>
        </w:rPr>
        <w:t>hold back</w:t>
      </w:r>
      <w:r>
        <w:rPr>
          <w:rFonts w:ascii="Arial" w:cs="Arial" w:eastAsia="Arial" w:hAnsi="Arial"/>
          <w:sz w:val="17"/>
          <w:szCs w:val="17"/>
          <w:color w:val="auto"/>
        </w:rPr>
        <w:t>" or "</w:t>
      </w:r>
      <w:r>
        <w:rPr>
          <w:rFonts w:ascii="Arial" w:cs="Arial" w:eastAsia="Arial" w:hAnsi="Arial"/>
          <w:sz w:val="17"/>
          <w:szCs w:val="17"/>
          <w:b w:val="1"/>
          <w:bCs w:val="1"/>
          <w:color w:val="auto"/>
        </w:rPr>
        <w:t>flawed asset</w:t>
      </w:r>
      <w:r>
        <w:rPr>
          <w:rFonts w:ascii="Arial" w:cs="Arial" w:eastAsia="Arial" w:hAnsi="Arial"/>
          <w:sz w:val="17"/>
          <w:szCs w:val="17"/>
          <w:color w:val="auto"/>
        </w:rPr>
        <w:t>" arrangement) and any secured interest,</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agreement or arrangement analogous to any of the foregoing arising under the laws of any other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jurisdiction;</w:t>
      </w:r>
    </w:p>
    <w:p>
      <w:pPr>
        <w:sectPr>
          <w:pgSz w:w="11900" w:h="16838" w:orient="portrait"/>
          <w:cols w:equalWidth="0" w:num="1">
            <w:col w:w="11420"/>
          </w:cols>
          <w:pgMar w:left="240" w:top="905"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Deed, unless otherwise specified: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has the meaning given to it in the Loan Agreement and "</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Taxation</w:t>
      </w:r>
      <w:r>
        <w:rPr>
          <w:rFonts w:ascii="Arial" w:cs="Arial" w:eastAsia="Arial" w:hAnsi="Arial"/>
          <w:sz w:val="18"/>
          <w:szCs w:val="18"/>
          <w:color w:val="auto"/>
        </w:rPr>
        <w:t>" shall be construed accordingly;</w:t>
      </w:r>
    </w:p>
    <w:p>
      <w:pPr>
        <w:spacing w:after="0" w:line="572" w:lineRule="exact"/>
        <w:rPr>
          <w:sz w:val="20"/>
          <w:szCs w:val="20"/>
          <w:color w:val="auto"/>
        </w:rPr>
      </w:pPr>
    </w:p>
    <w:p>
      <w:pPr>
        <w:sectPr>
          <w:pgSz w:w="11900" w:h="16838" w:orient="portrait"/>
          <w:cols w:equalWidth="0" w:num="2">
            <w:col w:w="3560" w:space="440"/>
            <w:col w:w="7420"/>
          </w:cols>
          <w:pgMar w:left="240" w:top="905" w:right="239" w:bottom="1440" w:gutter="0" w:footer="0" w:header="0"/>
          <w:type w:val="continuous"/>
        </w:sectPr>
      </w:pPr>
    </w:p>
    <w:p>
      <w:pPr>
        <w:spacing w:after="0" w:line="21" w:lineRule="exact"/>
        <w:rPr>
          <w:sz w:val="20"/>
          <w:szCs w:val="20"/>
          <w:color w:val="auto"/>
        </w:rPr>
      </w:pPr>
    </w:p>
    <w:p>
      <w:pPr>
        <w:jc w:val="both"/>
        <w:ind w:left="1300" w:hanging="644"/>
        <w:spacing w:after="0" w:line="303" w:lineRule="auto"/>
        <w:tabs>
          <w:tab w:leader="none" w:pos="1300" w:val="left"/>
        </w:tabs>
        <w:numPr>
          <w:ilvl w:val="0"/>
          <w:numId w:val="983"/>
        </w:numPr>
        <w:rPr>
          <w:rFonts w:ascii="Arial" w:cs="Arial" w:eastAsia="Arial" w:hAnsi="Arial"/>
          <w:sz w:val="16"/>
          <w:szCs w:val="16"/>
          <w:color w:val="auto"/>
        </w:rPr>
      </w:pPr>
      <w:r>
        <w:rPr>
          <w:rFonts w:ascii="Arial" w:cs="Arial" w:eastAsia="Arial" w:hAnsi="Arial"/>
          <w:sz w:val="16"/>
          <w:szCs w:val="16"/>
          <w:color w:val="auto"/>
        </w:rPr>
        <w:t>references to the neuter or to any gender include both genders and the neuter, references to a "</w:t>
      </w:r>
      <w:r>
        <w:rPr>
          <w:rFonts w:ascii="Arial" w:cs="Arial" w:eastAsia="Arial" w:hAnsi="Arial"/>
          <w:sz w:val="16"/>
          <w:szCs w:val="16"/>
          <w:b w:val="1"/>
          <w:bCs w:val="1"/>
          <w:color w:val="auto"/>
        </w:rPr>
        <w:t>company</w:t>
      </w:r>
      <w:r>
        <w:rPr>
          <w:rFonts w:ascii="Arial" w:cs="Arial" w:eastAsia="Arial" w:hAnsi="Arial"/>
          <w:sz w:val="16"/>
          <w:szCs w:val="16"/>
          <w:color w:val="auto"/>
        </w:rPr>
        <w:t>" shall be construed so as to include any company, corporation or other body corporate, wherever and however incorporated or established, and references to a "</w:t>
      </w:r>
      <w:r>
        <w:rPr>
          <w:rFonts w:ascii="Arial" w:cs="Arial" w:eastAsia="Arial" w:hAnsi="Arial"/>
          <w:sz w:val="16"/>
          <w:szCs w:val="16"/>
          <w:b w:val="1"/>
          <w:bCs w:val="1"/>
          <w:color w:val="auto"/>
        </w:rPr>
        <w:t>person</w:t>
      </w:r>
      <w:r>
        <w:rPr>
          <w:rFonts w:ascii="Arial" w:cs="Arial" w:eastAsia="Arial" w:hAnsi="Arial"/>
          <w:sz w:val="16"/>
          <w:szCs w:val="16"/>
          <w:color w:val="auto"/>
        </w:rPr>
        <w:t>" include any individual, firm, partnership, body corporate, unincorporated association, government, state or agency of a state, local or municipal authority or government body, trust, foundation, joint venture or association (in each case whether or not having separate legal personality);</w:t>
      </w:r>
    </w:p>
    <w:p>
      <w:pPr>
        <w:spacing w:after="0" w:line="155"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references to parties, Clauses, sub-Clauses, paragraphs, sub-paragraphs and Schedules, Exhibits and Annexures are to Clauses, sub-Clauses and paragraphs and sub-paragraphs of, and the parties and Schedules to, this Deed, and references to this Deed include a reference to each of its Schedules, Exhibits and Annexures;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917" w:name="page918"/>
    <w:bookmarkEnd w:id="917"/>
    <w:p>
      <w:pPr>
        <w:jc w:val="both"/>
        <w:ind w:left="1200" w:right="20" w:hanging="644"/>
        <w:spacing w:after="0" w:line="264"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 reference to this Deed, an agreement or other document is a reference to this Deed, that agreement or document as supplemented, amended, novated or replaced from time to time in accordance with its terms, and to any agreement, deed or document executed pursuant thereto;</w:t>
      </w:r>
    </w:p>
    <w:p>
      <w:pPr>
        <w:spacing w:after="0" w:line="177" w:lineRule="exact"/>
        <w:rPr>
          <w:rFonts w:ascii="Arial" w:cs="Arial" w:eastAsia="Arial" w:hAnsi="Arial"/>
          <w:sz w:val="18"/>
          <w:szCs w:val="18"/>
          <w:color w:val="auto"/>
        </w:rPr>
      </w:pPr>
    </w:p>
    <w:p>
      <w:pPr>
        <w:jc w:val="both"/>
        <w:ind w:left="1200" w:hanging="644"/>
        <w:spacing w:after="0" w:line="261"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include</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 general words introduced by the word "</w:t>
      </w:r>
      <w:r>
        <w:rPr>
          <w:rFonts w:ascii="Arial" w:cs="Arial" w:eastAsia="Arial" w:hAnsi="Arial"/>
          <w:sz w:val="18"/>
          <w:szCs w:val="18"/>
          <w:b w:val="1"/>
          <w:bCs w:val="1"/>
          <w:color w:val="auto"/>
        </w:rPr>
        <w:t>other</w:t>
      </w:r>
      <w:r>
        <w:rPr>
          <w:rFonts w:ascii="Arial" w:cs="Arial" w:eastAsia="Arial" w:hAnsi="Arial"/>
          <w:sz w:val="18"/>
          <w:szCs w:val="18"/>
          <w:color w:val="auto"/>
        </w:rPr>
        <w:t>" are not to be given a restrictive meaning by reason of the fact that they are preceded by words indicating a particular class of acts, matters or things, and general words are not to be given a restrictive meaning by reason of the fact that they are followed by particular examples intended to be embraced by the general words;</w:t>
      </w:r>
    </w:p>
    <w:p>
      <w:pPr>
        <w:spacing w:after="0" w:line="180" w:lineRule="exact"/>
        <w:rPr>
          <w:rFonts w:ascii="Arial" w:cs="Arial" w:eastAsia="Arial" w:hAnsi="Arial"/>
          <w:sz w:val="18"/>
          <w:szCs w:val="18"/>
          <w:color w:val="auto"/>
        </w:rPr>
      </w:pPr>
    </w:p>
    <w:p>
      <w:pPr>
        <w:ind w:left="1200" w:hanging="644"/>
        <w:spacing w:after="0"/>
        <w:tabs>
          <w:tab w:leader="none" w:pos="1200" w:val="left"/>
        </w:tabs>
        <w:numPr>
          <w:ilvl w:val="0"/>
          <w:numId w:val="984"/>
        </w:numPr>
        <w:rPr>
          <w:rFonts w:ascii="Arial" w:cs="Arial" w:eastAsia="Arial" w:hAnsi="Arial"/>
          <w:sz w:val="17"/>
          <w:szCs w:val="17"/>
          <w:color w:val="auto"/>
        </w:rPr>
      </w:pPr>
      <w:r>
        <w:rPr>
          <w:rFonts w:ascii="Arial" w:cs="Arial" w:eastAsia="Arial" w:hAnsi="Arial"/>
          <w:sz w:val="17"/>
          <w:szCs w:val="17"/>
          <w:color w:val="auto"/>
        </w:rPr>
        <w:t>a reference to a "</w:t>
      </w:r>
      <w:r>
        <w:rPr>
          <w:rFonts w:ascii="Arial" w:cs="Arial" w:eastAsia="Arial" w:hAnsi="Arial"/>
          <w:sz w:val="17"/>
          <w:szCs w:val="17"/>
          <w:b w:val="1"/>
          <w:bCs w:val="1"/>
          <w:color w:val="auto"/>
        </w:rPr>
        <w:t>day</w:t>
      </w:r>
      <w:r>
        <w:rPr>
          <w:rFonts w:ascii="Arial" w:cs="Arial" w:eastAsia="Arial" w:hAnsi="Arial"/>
          <w:sz w:val="17"/>
          <w:szCs w:val="17"/>
          <w:color w:val="auto"/>
        </w:rPr>
        <w:t>" means a period of 24 hours running for midnight to midnight; a reference to a time of day is to London time;</w:t>
      </w:r>
    </w:p>
    <w:p>
      <w:pPr>
        <w:spacing w:after="0" w:line="240" w:lineRule="exact"/>
        <w:rPr>
          <w:rFonts w:ascii="Arial" w:cs="Arial" w:eastAsia="Arial" w:hAnsi="Arial"/>
          <w:sz w:val="17"/>
          <w:szCs w:val="17"/>
          <w:color w:val="auto"/>
        </w:rPr>
      </w:pPr>
    </w:p>
    <w:p>
      <w:pPr>
        <w:ind w:left="1200" w:hanging="644"/>
        <w:spacing w:after="0"/>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headings are for convenience only and shall not affect the interpretation of this Deed;</w:t>
      </w:r>
    </w:p>
    <w:p>
      <w:pPr>
        <w:spacing w:after="0" w:line="225" w:lineRule="exact"/>
        <w:rPr>
          <w:rFonts w:ascii="Arial" w:cs="Arial" w:eastAsia="Arial" w:hAnsi="Arial"/>
          <w:sz w:val="18"/>
          <w:szCs w:val="18"/>
          <w:color w:val="auto"/>
        </w:rPr>
      </w:pPr>
    </w:p>
    <w:p>
      <w:pPr>
        <w:jc w:val="both"/>
        <w:ind w:left="1200" w:hanging="644"/>
        <w:spacing w:after="0" w:line="264"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 reference to the provision of any statute, statutory provision, order, instrument, rule or regulation is to that provision as amended or re-enacted from time to time, any provision of which it is a re-enactment or consolidation and any order, instrument, rule or regulation at any time made or issued under it;</w:t>
      </w:r>
    </w:p>
    <w:p>
      <w:pPr>
        <w:spacing w:after="0" w:line="177" w:lineRule="exact"/>
        <w:rPr>
          <w:rFonts w:ascii="Arial" w:cs="Arial" w:eastAsia="Arial" w:hAnsi="Arial"/>
          <w:sz w:val="18"/>
          <w:szCs w:val="18"/>
          <w:color w:val="auto"/>
        </w:rPr>
      </w:pPr>
    </w:p>
    <w:p>
      <w:pPr>
        <w:ind w:left="1200" w:right="20" w:hanging="644"/>
        <w:spacing w:after="0" w:line="282"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vary</w:t>
      </w:r>
      <w:r>
        <w:rPr>
          <w:rFonts w:ascii="Arial" w:cs="Arial" w:eastAsia="Arial" w:hAnsi="Arial"/>
          <w:sz w:val="18"/>
          <w:szCs w:val="18"/>
          <w:color w:val="auto"/>
        </w:rPr>
        <w:t>" shall be construed to include amend, modify and supplement, and "</w:t>
      </w:r>
      <w:r>
        <w:rPr>
          <w:rFonts w:ascii="Arial" w:cs="Arial" w:eastAsia="Arial" w:hAnsi="Arial"/>
          <w:sz w:val="18"/>
          <w:szCs w:val="18"/>
          <w:b w:val="1"/>
          <w:bCs w:val="1"/>
          <w:color w:val="auto"/>
        </w:rPr>
        <w:t>variation</w:t>
      </w:r>
      <w:r>
        <w:rPr>
          <w:rFonts w:ascii="Arial" w:cs="Arial" w:eastAsia="Arial" w:hAnsi="Arial"/>
          <w:sz w:val="18"/>
          <w:szCs w:val="18"/>
          <w:color w:val="auto"/>
        </w:rPr>
        <w:t>" and other cognate terms shall be construed accordingly;</w:t>
      </w:r>
    </w:p>
    <w:p>
      <w:pPr>
        <w:spacing w:after="0" w:line="165" w:lineRule="exact"/>
        <w:rPr>
          <w:rFonts w:ascii="Arial" w:cs="Arial" w:eastAsia="Arial" w:hAnsi="Arial"/>
          <w:sz w:val="18"/>
          <w:szCs w:val="18"/>
          <w:color w:val="auto"/>
        </w:rPr>
      </w:pPr>
    </w:p>
    <w:p>
      <w:pPr>
        <w:jc w:val="both"/>
        <w:ind w:left="1200" w:hanging="644"/>
        <w:spacing w:after="0" w:line="259"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 reference to a person shall include references to his permitted successors, transferees (including by novation) and assigns and any person deriving title under or through him, whether in security or otherwise; and any person into which such person may be merged or consolidated, or any company resulting from any merger, conversion or consolidation or any person succeeding to substantially all of the business of that person; and</w:t>
      </w:r>
    </w:p>
    <w:p>
      <w:pPr>
        <w:spacing w:after="0" w:line="182" w:lineRule="exact"/>
        <w:rPr>
          <w:rFonts w:ascii="Arial" w:cs="Arial" w:eastAsia="Arial" w:hAnsi="Arial"/>
          <w:sz w:val="18"/>
          <w:szCs w:val="18"/>
          <w:color w:val="auto"/>
        </w:rPr>
      </w:pPr>
    </w:p>
    <w:p>
      <w:pPr>
        <w:ind w:left="1200" w:hanging="644"/>
        <w:spacing w:after="0"/>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is to the lawful currency for the time being of the United States of America;</w:t>
      </w:r>
    </w:p>
    <w:p>
      <w:pPr>
        <w:spacing w:after="0" w:line="225" w:lineRule="exact"/>
        <w:rPr>
          <w:rFonts w:ascii="Arial" w:cs="Arial" w:eastAsia="Arial" w:hAnsi="Arial"/>
          <w:sz w:val="18"/>
          <w:szCs w:val="18"/>
          <w:color w:val="auto"/>
        </w:rPr>
      </w:pPr>
    </w:p>
    <w:p>
      <w:pPr>
        <w:ind w:left="1200" w:hanging="644"/>
        <w:spacing w:after="0" w:line="282"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 document expressed to be "</w:t>
      </w:r>
      <w:r>
        <w:rPr>
          <w:rFonts w:ascii="Arial" w:cs="Arial" w:eastAsia="Arial" w:hAnsi="Arial"/>
          <w:sz w:val="18"/>
          <w:szCs w:val="18"/>
          <w:b w:val="1"/>
          <w:bCs w:val="1"/>
          <w:color w:val="auto"/>
        </w:rPr>
        <w:t>in the agreed form</w:t>
      </w:r>
      <w:r>
        <w:rPr>
          <w:rFonts w:ascii="Arial" w:cs="Arial" w:eastAsia="Arial" w:hAnsi="Arial"/>
          <w:sz w:val="18"/>
          <w:szCs w:val="18"/>
          <w:color w:val="auto"/>
        </w:rPr>
        <w:t>" means a document in a form which has been agreed by the parties and a copy of which has been identified as such and initialled by or on behalf of each of the parties; and</w:t>
      </w:r>
    </w:p>
    <w:p>
      <w:pPr>
        <w:spacing w:after="0" w:line="161" w:lineRule="exact"/>
        <w:rPr>
          <w:rFonts w:ascii="Arial" w:cs="Arial" w:eastAsia="Arial" w:hAnsi="Arial"/>
          <w:sz w:val="18"/>
          <w:szCs w:val="18"/>
          <w:color w:val="auto"/>
        </w:rPr>
      </w:pPr>
    </w:p>
    <w:p>
      <w:pPr>
        <w:jc w:val="both"/>
        <w:ind w:left="1200" w:hanging="644"/>
        <w:spacing w:after="0" w:line="266" w:lineRule="auto"/>
        <w:tabs>
          <w:tab w:leader="none" w:pos="1200" w:val="left"/>
        </w:tabs>
        <w:numPr>
          <w:ilvl w:val="0"/>
          <w:numId w:val="984"/>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rights</w:t>
      </w:r>
      <w:r>
        <w:rPr>
          <w:rFonts w:ascii="Arial" w:cs="Arial" w:eastAsia="Arial" w:hAnsi="Arial"/>
          <w:sz w:val="18"/>
          <w:szCs w:val="18"/>
          <w:color w:val="auto"/>
        </w:rPr>
        <w:t>" includes rights, remedies, benefits, authorities, powers, privileges, discretions, claims, remedies, liberties, easements, quasi-easements and appurtenances (in each case, of any nature whatsoever whether under this Deed, by statute, at law or in equity) or otherwise howsoever.</w:t>
      </w:r>
    </w:p>
    <w:p>
      <w:pPr>
        <w:spacing w:after="0" w:line="180" w:lineRule="exact"/>
        <w:rPr>
          <w:sz w:val="20"/>
          <w:szCs w:val="20"/>
          <w:color w:val="auto"/>
        </w:rPr>
      </w:pPr>
    </w:p>
    <w:p>
      <w:pPr>
        <w:jc w:val="both"/>
        <w:ind w:left="560" w:hanging="647"/>
        <w:spacing w:after="0" w:line="259" w:lineRule="auto"/>
        <w:tabs>
          <w:tab w:leader="none" w:pos="540" w:val="left"/>
        </w:tabs>
        <w:rPr>
          <w:sz w:val="20"/>
          <w:szCs w:val="20"/>
          <w:color w:val="auto"/>
        </w:rPr>
      </w:pPr>
      <w:r>
        <w:rPr>
          <w:rFonts w:ascii="Arial" w:cs="Arial" w:eastAsia="Arial" w:hAnsi="Arial"/>
          <w:sz w:val="18"/>
          <w:szCs w:val="18"/>
          <w:i w:val="1"/>
          <w:iCs w:val="1"/>
          <w:color w:val="auto"/>
        </w:rPr>
        <w:t>1.3</w:t>
      </w:r>
      <w:r>
        <w:rPr>
          <w:sz w:val="20"/>
          <w:szCs w:val="20"/>
          <w:color w:val="auto"/>
        </w:rPr>
        <w:tab/>
      </w:r>
      <w:r>
        <w:rPr>
          <w:rFonts w:ascii="Arial" w:cs="Arial" w:eastAsia="Arial" w:hAnsi="Arial"/>
          <w:sz w:val="18"/>
          <w:szCs w:val="18"/>
          <w:color w:val="auto"/>
        </w:rPr>
        <w:t>The undertakings and other obligations of the Company, Collateral Agent or any other person under this Deed shall at all times be read and construed as subject to the provisions of the Intercreditor Agreement, Loan Agreement and the Guarantee which shall prevail in case of any conflict. Subject to this and to Clause 1.4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 xml:space="preserve"> if there is any conflict or inconsistency between the provisions of this Deed and any other Loan Document, the provisions of this Deed shall prevail.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36" w:right="339" w:bottom="1440" w:gutter="0" w:footer="0" w:header="0"/>
        </w:sectPr>
      </w:pPr>
    </w:p>
    <w:bookmarkStart w:id="918" w:name="page919"/>
    <w:bookmarkEnd w:id="918"/>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terms of this Deed shall not operate or be construed so as to prohibit or restrict any transaction or matter that is permitted by the Loan Agreement.</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For the purpose of section 2 of the Law of Property (Miscellaneous Provisions) Act 1989, this Deed incorporates all the terms of the Loan Agreement and the other Loan Documents.</w:t>
      </w:r>
    </w:p>
    <w:p>
      <w:pPr>
        <w:spacing w:after="0" w:line="166" w:lineRule="exact"/>
        <w:rPr>
          <w:sz w:val="20"/>
          <w:szCs w:val="20"/>
          <w:color w:val="auto"/>
        </w:rPr>
      </w:pPr>
    </w:p>
    <w:p>
      <w:pPr>
        <w:ind w:left="660" w:hanging="652"/>
        <w:spacing w:after="0"/>
        <w:tabs>
          <w:tab w:leader="none" w:pos="660" w:val="left"/>
        </w:tabs>
        <w:numPr>
          <w:ilvl w:val="0"/>
          <w:numId w:val="985"/>
        </w:numPr>
        <w:rPr>
          <w:rFonts w:ascii="Arial" w:cs="Arial" w:eastAsia="Arial" w:hAnsi="Arial"/>
          <w:sz w:val="18"/>
          <w:szCs w:val="18"/>
          <w:b w:val="1"/>
          <w:bCs w:val="1"/>
          <w:color w:val="auto"/>
        </w:rPr>
      </w:pPr>
      <w:r>
        <w:rPr>
          <w:rFonts w:ascii="Arial" w:cs="Arial" w:eastAsia="Arial" w:hAnsi="Arial"/>
          <w:sz w:val="18"/>
          <w:szCs w:val="18"/>
          <w:b w:val="1"/>
          <w:bCs w:val="1"/>
          <w:color w:val="auto"/>
        </w:rPr>
        <w:t>TRUST</w:t>
      </w:r>
    </w:p>
    <w:p>
      <w:pPr>
        <w:spacing w:after="0" w:line="229"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Collateral Agent shall hold, and hereby declares that it shall hold, the benefit of the Charges and the benefit of all representations, warranties, covenants and undertakings under this Deed on trust for the Secured Parties on and subject to the terms of this Deed and the Company hereby acknowledges such trusts.</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In this Deed the Collateral Agent acts under the authority of the Secured Parties contained in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 of the Loan Agreement and in accordance with, subject to and with the full benefit of the provisions of such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986"/>
        </w:numPr>
        <w:rPr>
          <w:rFonts w:ascii="Arial" w:cs="Arial" w:eastAsia="Arial" w:hAnsi="Arial"/>
          <w:sz w:val="18"/>
          <w:szCs w:val="18"/>
          <w:b w:val="1"/>
          <w:bCs w:val="1"/>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Reference is made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78"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67" w:lineRule="exact"/>
        <w:rPr>
          <w:sz w:val="20"/>
          <w:szCs w:val="20"/>
          <w:color w:val="auto"/>
        </w:rPr>
      </w:pPr>
    </w:p>
    <w:p>
      <w:pPr>
        <w:ind w:left="660" w:hanging="652"/>
        <w:spacing w:after="0"/>
        <w:tabs>
          <w:tab w:leader="none" w:pos="660" w:val="left"/>
        </w:tabs>
        <w:numPr>
          <w:ilvl w:val="0"/>
          <w:numId w:val="987"/>
        </w:numPr>
        <w:rPr>
          <w:rFonts w:ascii="Arial" w:cs="Arial" w:eastAsia="Arial" w:hAnsi="Arial"/>
          <w:sz w:val="18"/>
          <w:szCs w:val="18"/>
          <w:b w:val="1"/>
          <w:bCs w:val="1"/>
          <w:color w:val="auto"/>
        </w:rPr>
      </w:pPr>
      <w:r>
        <w:rPr>
          <w:rFonts w:ascii="Arial" w:cs="Arial" w:eastAsia="Arial" w:hAnsi="Arial"/>
          <w:sz w:val="18"/>
          <w:szCs w:val="18"/>
          <w:b w:val="1"/>
          <w:bCs w:val="1"/>
          <w:color w:val="auto"/>
        </w:rPr>
        <w:t>ABL DEED OF CHARGE AND ASSIGNMENT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All security created under this Deed does not affect the security created by the ABL Deed of Charge and Assignment.</w:t>
      </w:r>
    </w:p>
    <w:p>
      <w:pPr>
        <w:spacing w:after="0" w:line="22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Notwithstanding any provision of this Deed, provided that the Company is in compliance with the terms of the ABL Deed of Charge and Assignment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Company will be deemed to have complied with the relevant obligations under this Deed by virtue of its compliance under the ABL Deed of Charge and Assignment, provided however that, in the event that the terms of the ABL Deed of Charge and Assignment no longer continue to be in full force and effect or the ABL Deed of Charge and Assignment is released or discharged (or as otherwise required by the Intercreditor Agreement) the Company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919" w:name="page920"/>
    <w:bookmarkEnd w:id="919"/>
    <w:p>
      <w:pPr>
        <w:ind w:left="660" w:hanging="652"/>
        <w:spacing w:after="0"/>
        <w:tabs>
          <w:tab w:leader="none" w:pos="660" w:val="left"/>
        </w:tabs>
        <w:numPr>
          <w:ilvl w:val="0"/>
          <w:numId w:val="988"/>
        </w:numPr>
        <w:rPr>
          <w:rFonts w:ascii="Arial" w:cs="Arial" w:eastAsia="Arial" w:hAnsi="Arial"/>
          <w:sz w:val="18"/>
          <w:szCs w:val="18"/>
          <w:b w:val="1"/>
          <w:bCs w:val="1"/>
          <w:color w:val="auto"/>
        </w:rPr>
      </w:pPr>
      <w:r>
        <w:rPr>
          <w:rFonts w:ascii="Arial" w:cs="Arial" w:eastAsia="Arial" w:hAnsi="Arial"/>
          <w:sz w:val="18"/>
          <w:szCs w:val="18"/>
          <w:b w:val="1"/>
          <w:bCs w:val="1"/>
          <w:color w:val="auto"/>
        </w:rPr>
        <w:t>COVENANT TO PAY</w:t>
      </w:r>
    </w:p>
    <w:p>
      <w:pPr>
        <w:spacing w:after="0" w:line="229"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Subject to any limits on its liability and any grace periods specifically recorded in the Loan Documents, the Company covenants with the Collateral Agent duly and punctually to pay or discharge all Secured Obligations which may from time to time be or become due, owing, incurred or payable by the Company (whether as principal or surety and whether or not jointly with another) to or to the order of the Collateral Agent under, pursuant to or in connection with the Loan Agreement and/or this Deed, as applicable, in each case at the times when, and in the currency or currencies and in the manner in which, they are expressed to be due, owing, incurred or payable herein or therein.</w:t>
      </w:r>
    </w:p>
    <w:p>
      <w:pPr>
        <w:spacing w:after="0" w:line="168" w:lineRule="exact"/>
        <w:rPr>
          <w:rFonts w:ascii="Arial" w:cs="Arial" w:eastAsia="Arial" w:hAnsi="Arial"/>
          <w:sz w:val="18"/>
          <w:szCs w:val="18"/>
          <w:b w:val="1"/>
          <w:bCs w:val="1"/>
          <w:color w:val="auto"/>
        </w:rPr>
      </w:pPr>
    </w:p>
    <w:p>
      <w:pPr>
        <w:ind w:left="660" w:hanging="652"/>
        <w:spacing w:after="0"/>
        <w:tabs>
          <w:tab w:leader="none" w:pos="660" w:val="left"/>
        </w:tabs>
        <w:numPr>
          <w:ilvl w:val="0"/>
          <w:numId w:val="988"/>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the Company hereby charges by way of fixed continuing security to and in favour of the Collateral Agent for the payment and discharge of the Secured Obligations all its right, title, interest and benefit from time to time, present and future, in and to all of its present and future Material Real Property.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Mortgages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the Company hereby assigns by way of fixed continuing mortgage to and in favour of the Collateral Agent for the payment and discharge of the Secured Obligations all its right, title, interest and benefit from time to time, present and future, in, to, under and in respect of each of all its present and future Investments.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Fixed Charges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the Company hereby charges by way of fixed continuing security to and in favour of the Collateral Agent for the payment and discharge of the Secured Obligations all its right, title, interest and benefit from time to time, present and future, in, to and in respect of each of the following:</w:t>
      </w:r>
    </w:p>
    <w:p>
      <w:pPr>
        <w:spacing w:after="0" w:line="181" w:lineRule="exact"/>
        <w:rPr>
          <w:sz w:val="20"/>
          <w:szCs w:val="20"/>
          <w:color w:val="auto"/>
        </w:rPr>
      </w:pPr>
    </w:p>
    <w:p>
      <w:pPr>
        <w:ind w:left="1300" w:right="20" w:hanging="644"/>
        <w:spacing w:after="0" w:line="277" w:lineRule="auto"/>
        <w:tabs>
          <w:tab w:leader="none" w:pos="1300" w:val="left"/>
        </w:tabs>
        <w:numPr>
          <w:ilvl w:val="0"/>
          <w:numId w:val="989"/>
        </w:numPr>
        <w:rPr>
          <w:rFonts w:ascii="Arial" w:cs="Arial" w:eastAsia="Arial" w:hAnsi="Arial"/>
          <w:sz w:val="18"/>
          <w:szCs w:val="18"/>
          <w:color w:val="auto"/>
        </w:rPr>
      </w:pPr>
      <w:r>
        <w:rPr>
          <w:rFonts w:ascii="Arial" w:cs="Arial" w:eastAsia="Arial" w:hAnsi="Arial"/>
          <w:sz w:val="18"/>
          <w:szCs w:val="18"/>
          <w:color w:val="auto"/>
        </w:rPr>
        <w:t>all funds from time to time standing to the credit of a Bank Account, together with all entitlements to interest and other Related Rights from time to time accruing to or arising in connection with sums;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920" w:name="page921"/>
    <w:bookmarkEnd w:id="920"/>
    <w:p>
      <w:pPr>
        <w:ind w:left="1300" w:hanging="644"/>
        <w:spacing w:after="0"/>
        <w:tabs>
          <w:tab w:leader="none" w:pos="1300" w:val="left"/>
        </w:tabs>
        <w:numPr>
          <w:ilvl w:val="0"/>
          <w:numId w:val="990"/>
        </w:numPr>
        <w:rPr>
          <w:rFonts w:ascii="Arial" w:cs="Arial" w:eastAsia="Arial" w:hAnsi="Arial"/>
          <w:sz w:val="17"/>
          <w:szCs w:val="17"/>
          <w:color w:val="auto"/>
        </w:rPr>
      </w:pPr>
      <w:r>
        <w:rPr>
          <w:rFonts w:ascii="Arial" w:cs="Arial" w:eastAsia="Arial" w:hAnsi="Arial"/>
          <w:sz w:val="17"/>
          <w:szCs w:val="17"/>
          <w:color w:val="auto"/>
        </w:rPr>
        <w:t>all present and future Book Debts and all its other present and future negotiable instruments (other than any which are Investments);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all present and future Equipment and all corresponding Related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all present and future Intellectual Property Rights and all corresponding Related Rights;</w:t>
      </w:r>
    </w:p>
    <w:p>
      <w:pPr>
        <w:spacing w:after="0" w:line="225"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990"/>
        </w:numPr>
        <w:rPr>
          <w:rFonts w:ascii="Arial" w:cs="Arial" w:eastAsia="Arial" w:hAnsi="Arial"/>
          <w:sz w:val="16"/>
          <w:szCs w:val="16"/>
          <w:color w:val="auto"/>
        </w:rPr>
      </w:pPr>
      <w:r>
        <w:rPr>
          <w:rFonts w:ascii="Arial" w:cs="Arial" w:eastAsia="Arial" w:hAnsi="Arial"/>
          <w:sz w:val="16"/>
          <w:szCs w:val="16"/>
          <w:color w:val="auto"/>
        </w:rPr>
        <w:t>all its present and future goodwill, present and future uncalled capital (if any) and the benefit of all present and future licences, consents and authorisations (statutory or otherwise) held or to be held by it in connection with its business or the use of any Charged Assets (but excluding any licence requiring the licensor's consent to the creation of Security Interests under the Deed if such consent has not been obtained) and the right to receive all compensation payable in respect thereof (but excluding, in all cases, the Excluded Assets); and</w:t>
      </w:r>
    </w:p>
    <w:p>
      <w:pPr>
        <w:spacing w:after="0" w:line="154"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if not effectively assigned by Clause 6.4 (</w:t>
      </w:r>
      <w:r>
        <w:rPr>
          <w:rFonts w:ascii="Arial" w:cs="Arial" w:eastAsia="Arial" w:hAnsi="Arial"/>
          <w:sz w:val="18"/>
          <w:szCs w:val="18"/>
          <w:i w:val="1"/>
          <w:iCs w:val="1"/>
          <w:color w:val="auto"/>
        </w:rPr>
        <w:t>Assignment</w:t>
      </w:r>
      <w:r>
        <w:rPr>
          <w:rFonts w:ascii="Arial" w:cs="Arial" w:eastAsia="Arial" w:hAnsi="Arial"/>
          <w:sz w:val="18"/>
          <w:szCs w:val="18"/>
          <w:color w:val="auto"/>
        </w:rPr>
        <w:t>), all its rights, title and interest in (and claims under) the Assigned Agreements and all corresponding Related Rights.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Assignment</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Subject to Clause 6.9 (</w:t>
      </w:r>
      <w:r>
        <w:rPr>
          <w:rFonts w:ascii="Arial" w:cs="Arial" w:eastAsia="Arial" w:hAnsi="Arial"/>
          <w:sz w:val="18"/>
          <w:szCs w:val="18"/>
          <w:i w:val="1"/>
          <w:iCs w:val="1"/>
          <w:color w:val="auto"/>
        </w:rPr>
        <w:t>Excluded Property</w:t>
      </w:r>
      <w:r>
        <w:rPr>
          <w:rFonts w:ascii="Arial" w:cs="Arial" w:eastAsia="Arial" w:hAnsi="Arial"/>
          <w:sz w:val="18"/>
          <w:szCs w:val="18"/>
          <w:color w:val="auto"/>
        </w:rPr>
        <w:t>) below, as further continuing security for the payment of the Secured Obligations, the Company assigns absolutely with full title guarantee to the Collateral Agent for the benefit of the Secured Parties all its rights, title and interest, both present and future, from time to time in and to each of the following assets: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991"/>
        </w:numPr>
        <w:rPr>
          <w:rFonts w:ascii="Arial" w:cs="Arial" w:eastAsia="Arial" w:hAnsi="Arial"/>
          <w:sz w:val="18"/>
          <w:szCs w:val="18"/>
          <w:color w:val="auto"/>
        </w:rPr>
      </w:pPr>
      <w:r>
        <w:rPr>
          <w:rFonts w:ascii="Arial" w:cs="Arial" w:eastAsia="Arial" w:hAnsi="Arial"/>
          <w:sz w:val="18"/>
          <w:szCs w:val="18"/>
          <w:color w:val="auto"/>
        </w:rPr>
        <w:t>the proceeds of any Insurances and all Related Rights;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91"/>
        </w:numPr>
        <w:rPr>
          <w:rFonts w:ascii="Arial" w:cs="Arial" w:eastAsia="Arial" w:hAnsi="Arial"/>
          <w:sz w:val="18"/>
          <w:szCs w:val="18"/>
          <w:color w:val="auto"/>
        </w:rPr>
      </w:pPr>
      <w:r>
        <w:rPr>
          <w:rFonts w:ascii="Arial" w:cs="Arial" w:eastAsia="Arial" w:hAnsi="Arial"/>
          <w:sz w:val="18"/>
          <w:szCs w:val="18"/>
          <w:color w:val="auto"/>
        </w:rPr>
        <w:t>the Assigned Agreements and all proceeds and claims arising from them,</w:t>
      </w:r>
    </w:p>
    <w:p>
      <w:pPr>
        <w:spacing w:after="0" w:line="221" w:lineRule="exact"/>
        <w:rPr>
          <w:sz w:val="20"/>
          <w:szCs w:val="20"/>
          <w:color w:val="auto"/>
        </w:rPr>
      </w:pPr>
    </w:p>
    <w:p>
      <w:pPr>
        <w:ind w:left="1300"/>
        <w:spacing w:after="0" w:line="313" w:lineRule="auto"/>
        <w:rPr>
          <w:sz w:val="20"/>
          <w:szCs w:val="20"/>
          <w:color w:val="auto"/>
        </w:rPr>
      </w:pPr>
      <w:r>
        <w:rPr>
          <w:rFonts w:ascii="Arial" w:cs="Arial" w:eastAsia="Arial" w:hAnsi="Arial"/>
          <w:sz w:val="17"/>
          <w:szCs w:val="17"/>
          <w:color w:val="auto"/>
        </w:rPr>
        <w:t>(together, the “</w:t>
      </w:r>
      <w:r>
        <w:rPr>
          <w:rFonts w:ascii="Arial" w:cs="Arial" w:eastAsia="Arial" w:hAnsi="Arial"/>
          <w:sz w:val="17"/>
          <w:szCs w:val="17"/>
          <w:b w:val="1"/>
          <w:bCs w:val="1"/>
          <w:color w:val="auto"/>
        </w:rPr>
        <w:t>Assigned Assets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upon the Payment in Full, the Collateral Agent will re-assign the relevant Assigned Assets to the Company (or as it shall direct) without delay and in a manner satisfactory to the Company (acting reasonably).</w:t>
      </w:r>
    </w:p>
    <w:p>
      <w:pPr>
        <w:spacing w:after="0" w:line="142" w:lineRule="exact"/>
        <w:rPr>
          <w:sz w:val="20"/>
          <w:szCs w:val="20"/>
          <w:color w:val="auto"/>
        </w:rPr>
      </w:pPr>
    </w:p>
    <w:p>
      <w:pPr>
        <w:jc w:val="both"/>
        <w:ind w:left="1300" w:hanging="644"/>
        <w:spacing w:after="0" w:line="264" w:lineRule="auto"/>
        <w:tabs>
          <w:tab w:leader="none" w:pos="1300" w:val="left"/>
        </w:tabs>
        <w:numPr>
          <w:ilvl w:val="0"/>
          <w:numId w:val="992"/>
        </w:numPr>
        <w:rPr>
          <w:rFonts w:ascii="Arial" w:cs="Arial" w:eastAsia="Arial" w:hAnsi="Arial"/>
          <w:sz w:val="18"/>
          <w:szCs w:val="18"/>
          <w:color w:val="auto"/>
        </w:rPr>
      </w:pPr>
      <w:r>
        <w:rPr>
          <w:rFonts w:ascii="Arial" w:cs="Arial" w:eastAsia="Arial" w:hAnsi="Arial"/>
          <w:sz w:val="18"/>
          <w:szCs w:val="18"/>
          <w:color w:val="auto"/>
        </w:rPr>
        <w:t>To the extent that any Assigned Asset described in Clause 6.4(a)(i) (</w:t>
      </w:r>
      <w:r>
        <w:rPr>
          <w:rFonts w:ascii="Arial" w:cs="Arial" w:eastAsia="Arial" w:hAnsi="Arial"/>
          <w:sz w:val="18"/>
          <w:szCs w:val="18"/>
          <w:i w:val="1"/>
          <w:iCs w:val="1"/>
          <w:color w:val="auto"/>
        </w:rPr>
        <w:t>Assignment</w:t>
      </w:r>
      <w:r>
        <w:rPr>
          <w:rFonts w:ascii="Arial" w:cs="Arial" w:eastAsia="Arial" w:hAnsi="Arial"/>
          <w:sz w:val="18"/>
          <w:szCs w:val="18"/>
          <w:color w:val="auto"/>
        </w:rPr>
        <w:t>) is not assignable, the assignment which that clause purports to effect shall operate as an assignment of all present and future rights and claims of the Company to any proceeds of such Insurances.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Floating Charge</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hereby charges by way of floating charge and by way of further continuing security to and in favour of the Collateral Agent for the discharge and payment of the Secured Obligations all its right, title, interest and benefit from time to time, present and future, in, to, under and in respect of all its Assets (including all stock in trade), including any expressed to be charged by any of the foregoing provisions of this Clause 6 (</w:t>
      </w:r>
      <w:r>
        <w:rPr>
          <w:rFonts w:ascii="Arial" w:cs="Arial" w:eastAsia="Arial" w:hAnsi="Arial"/>
          <w:sz w:val="18"/>
          <w:szCs w:val="18"/>
          <w:i w:val="1"/>
          <w:iCs w:val="1"/>
          <w:color w:val="auto"/>
        </w:rPr>
        <w:t>Security</w:t>
      </w:r>
      <w:r>
        <w:rPr>
          <w:rFonts w:ascii="Arial" w:cs="Arial" w:eastAsia="Arial" w:hAnsi="Arial"/>
          <w:sz w:val="18"/>
          <w:szCs w:val="18"/>
          <w:color w:val="auto"/>
        </w:rPr>
        <w:t>). The floating charge created by this Clause 6.5 (</w:t>
      </w:r>
      <w:r>
        <w:rPr>
          <w:rFonts w:ascii="Arial" w:cs="Arial" w:eastAsia="Arial" w:hAnsi="Arial"/>
          <w:sz w:val="18"/>
          <w:szCs w:val="18"/>
          <w:i w:val="1"/>
          <w:iCs w:val="1"/>
          <w:color w:val="auto"/>
        </w:rPr>
        <w:t>Floating Charge</w:t>
      </w:r>
      <w:r>
        <w:rPr>
          <w:rFonts w:ascii="Arial" w:cs="Arial" w:eastAsia="Arial" w:hAnsi="Arial"/>
          <w:sz w:val="18"/>
          <w:szCs w:val="18"/>
          <w:color w:val="auto"/>
        </w:rPr>
        <w:t>) shall rank behind all the fixed Security Interests created by or pursuant to this Deed to the extent that they are valid and effective as fixed Security Interests but shall rank in priority to any other Security Interests hereafter created by the Company.</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921" w:name="page922"/>
    <w:bookmarkEnd w:id="921"/>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Collection Bank Accounts</w:t>
      </w:r>
    </w:p>
    <w:p>
      <w:pPr>
        <w:spacing w:after="0" w:line="229" w:lineRule="exact"/>
        <w:rPr>
          <w:sz w:val="20"/>
          <w:szCs w:val="20"/>
          <w:color w:val="auto"/>
        </w:rPr>
      </w:pPr>
    </w:p>
    <w:p>
      <w:pPr>
        <w:ind w:left="1300" w:hanging="644"/>
        <w:spacing w:after="0" w:line="277" w:lineRule="auto"/>
        <w:tabs>
          <w:tab w:leader="none" w:pos="1300" w:val="left"/>
        </w:tabs>
        <w:numPr>
          <w:ilvl w:val="0"/>
          <w:numId w:val="993"/>
        </w:numPr>
        <w:rPr>
          <w:rFonts w:ascii="Arial" w:cs="Arial" w:eastAsia="Arial" w:hAnsi="Arial"/>
          <w:sz w:val="18"/>
          <w:szCs w:val="18"/>
          <w:color w:val="auto"/>
        </w:rPr>
      </w:pPr>
      <w:r>
        <w:rPr>
          <w:rFonts w:ascii="Arial" w:cs="Arial" w:eastAsia="Arial" w:hAnsi="Arial"/>
          <w:sz w:val="18"/>
          <w:szCs w:val="18"/>
          <w:color w:val="auto"/>
        </w:rPr>
        <w:t>The Company shall maintain the Collection Bank Accounts pursuant to and in accordance with Section 3.01(e) (</w:t>
      </w:r>
      <w:r>
        <w:rPr>
          <w:rFonts w:ascii="Arial" w:cs="Arial" w:eastAsia="Arial" w:hAnsi="Arial"/>
          <w:sz w:val="18"/>
          <w:szCs w:val="18"/>
          <w:i w:val="1"/>
          <w:iCs w:val="1"/>
          <w:color w:val="auto"/>
        </w:rPr>
        <w:t>Letters of Credit</w:t>
      </w:r>
      <w:r>
        <w:rPr>
          <w:rFonts w:ascii="Arial" w:cs="Arial" w:eastAsia="Arial" w:hAnsi="Arial"/>
          <w:sz w:val="18"/>
          <w:szCs w:val="18"/>
          <w:color w:val="auto"/>
        </w:rPr>
        <w:t>) of the Loan Agreement with the Collection Account Banks.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93"/>
        </w:numPr>
        <w:rPr>
          <w:rFonts w:ascii="Arial" w:cs="Arial" w:eastAsia="Arial" w:hAnsi="Arial"/>
          <w:sz w:val="18"/>
          <w:szCs w:val="18"/>
          <w:color w:val="auto"/>
        </w:rPr>
      </w:pPr>
      <w:r>
        <w:rPr>
          <w:rFonts w:ascii="Arial" w:cs="Arial" w:eastAsia="Arial" w:hAnsi="Arial"/>
          <w:sz w:val="18"/>
          <w:szCs w:val="18"/>
          <w:color w:val="auto"/>
        </w:rPr>
        <w:t>The Collateral Agent shall have sole signing rights in relation to each Collection Bank Account.</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993"/>
        </w:numPr>
        <w:rPr>
          <w:rFonts w:ascii="Arial" w:cs="Arial" w:eastAsia="Arial" w:hAnsi="Arial"/>
          <w:sz w:val="18"/>
          <w:szCs w:val="18"/>
          <w:color w:val="auto"/>
        </w:rPr>
      </w:pPr>
      <w:r>
        <w:rPr>
          <w:rFonts w:ascii="Arial" w:cs="Arial" w:eastAsia="Arial" w:hAnsi="Arial"/>
          <w:sz w:val="18"/>
          <w:szCs w:val="18"/>
          <w:color w:val="auto"/>
        </w:rPr>
        <w:t>Subject to Clause 6.6(c) (</w:t>
      </w:r>
      <w:r>
        <w:rPr>
          <w:rFonts w:ascii="Arial" w:cs="Arial" w:eastAsia="Arial" w:hAnsi="Arial"/>
          <w:sz w:val="18"/>
          <w:szCs w:val="18"/>
          <w:i w:val="1"/>
          <w:iCs w:val="1"/>
          <w:color w:val="auto"/>
        </w:rPr>
        <w:t>Collection Bank Accounts</w:t>
      </w:r>
      <w:r>
        <w:rPr>
          <w:rFonts w:ascii="Arial" w:cs="Arial" w:eastAsia="Arial" w:hAnsi="Arial"/>
          <w:sz w:val="18"/>
          <w:szCs w:val="18"/>
          <w:color w:val="auto"/>
        </w:rPr>
        <w:t>) below, the Collateral Agent and the Company acknowledge and agree that the application of amounts standing to the credit of any Collection Bank Account shall be governed by the terms of the Loan Agreement and the Intercreditor Agreement.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93"/>
        </w:numPr>
        <w:rPr>
          <w:rFonts w:ascii="Arial" w:cs="Arial" w:eastAsia="Arial" w:hAnsi="Arial"/>
          <w:sz w:val="18"/>
          <w:szCs w:val="18"/>
          <w:color w:val="auto"/>
        </w:rPr>
      </w:pPr>
      <w:r>
        <w:rPr>
          <w:rFonts w:ascii="Arial" w:cs="Arial" w:eastAsia="Arial" w:hAnsi="Arial"/>
          <w:sz w:val="18"/>
          <w:szCs w:val="18"/>
          <w:color w:val="auto"/>
        </w:rPr>
        <w:t>The Company shall not be entitled to:</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make, or direct the making of, any payments or withdrawals from any Collection Bank Account;</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direct the Collection Account Banks as regards the operation of any Collection Bank Account (whether as to payments from the Collection Bank Accounts or otherwise howsoever); and/or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close any of its Collection Bank Accounts or agree to any variation of the rights or terms and conditions attaching to any of its Collection Bank Accounts,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without the prior written consent of the Collateral Agent (acting in its absolute discretion).</w:t>
      </w:r>
    </w:p>
    <w:p>
      <w:pPr>
        <w:spacing w:after="0" w:line="225" w:lineRule="exact"/>
        <w:rPr>
          <w:sz w:val="20"/>
          <w:szCs w:val="20"/>
          <w:color w:val="auto"/>
        </w:rPr>
      </w:pPr>
    </w:p>
    <w:p>
      <w:pPr>
        <w:ind w:left="1300" w:hanging="644"/>
        <w:spacing w:after="0" w:line="277" w:lineRule="auto"/>
        <w:tabs>
          <w:tab w:leader="none" w:pos="1300" w:val="left"/>
        </w:tabs>
        <w:numPr>
          <w:ilvl w:val="0"/>
          <w:numId w:val="994"/>
        </w:numPr>
        <w:rPr>
          <w:rFonts w:ascii="Arial" w:cs="Arial" w:eastAsia="Arial" w:hAnsi="Arial"/>
          <w:sz w:val="18"/>
          <w:szCs w:val="18"/>
          <w:color w:val="auto"/>
        </w:rPr>
      </w:pPr>
      <w:r>
        <w:rPr>
          <w:rFonts w:ascii="Arial" w:cs="Arial" w:eastAsia="Arial" w:hAnsi="Arial"/>
          <w:sz w:val="18"/>
          <w:szCs w:val="18"/>
          <w:color w:val="auto"/>
        </w:rPr>
        <w:t>The Company shall as soon as reasonably practicable after becoming aware of any change in any identifying details of any of its Collection Bank Accounts (including its account number and sort code), provide details thereof to the Collateral Agent.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94"/>
        </w:numPr>
        <w:rPr>
          <w:rFonts w:ascii="Arial" w:cs="Arial" w:eastAsia="Arial" w:hAnsi="Arial"/>
          <w:sz w:val="18"/>
          <w:szCs w:val="18"/>
          <w:color w:val="auto"/>
        </w:rPr>
      </w:pPr>
      <w:r>
        <w:rPr>
          <w:rFonts w:ascii="Arial" w:cs="Arial" w:eastAsia="Arial" w:hAnsi="Arial"/>
          <w:sz w:val="18"/>
          <w:szCs w:val="18"/>
          <w:color w:val="auto"/>
        </w:rPr>
        <w:t>The Company irrevocably and unconditionally authorises the Collateral Agent, without prior notice, from time to time to debit any Collection Bank Account in accordance with the terms of the Loan Agreement.</w:t>
      </w:r>
    </w:p>
    <w:p>
      <w:pPr>
        <w:spacing w:after="0" w:line="170"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994"/>
        </w:numPr>
        <w:rPr>
          <w:rFonts w:ascii="Arial" w:cs="Arial" w:eastAsia="Arial" w:hAnsi="Arial"/>
          <w:sz w:val="16"/>
          <w:szCs w:val="16"/>
          <w:color w:val="auto"/>
        </w:rPr>
      </w:pPr>
      <w:r>
        <w:rPr>
          <w:rFonts w:ascii="Arial" w:cs="Arial" w:eastAsia="Arial" w:hAnsi="Arial"/>
          <w:sz w:val="16"/>
          <w:szCs w:val="16"/>
          <w:color w:val="auto"/>
        </w:rPr>
        <w:t>The Company shall, promptly after execution of this Deed, execute and deliver to the Collateral Agent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922" w:name="page923"/>
    <w:bookmarkEnd w:id="922"/>
    <w:p>
      <w:pPr>
        <w:jc w:val="both"/>
        <w:ind w:left="1300" w:right="20" w:hanging="644"/>
        <w:spacing w:after="0" w:line="279" w:lineRule="auto"/>
        <w:tabs>
          <w:tab w:leader="none" w:pos="1300" w:val="left"/>
        </w:tabs>
        <w:numPr>
          <w:ilvl w:val="0"/>
          <w:numId w:val="995"/>
        </w:numPr>
        <w:rPr>
          <w:rFonts w:ascii="Arial" w:cs="Arial" w:eastAsia="Arial" w:hAnsi="Arial"/>
          <w:sz w:val="17"/>
          <w:szCs w:val="17"/>
          <w:color w:val="auto"/>
        </w:rPr>
      </w:pPr>
      <w:r>
        <w:rPr>
          <w:rFonts w:ascii="Arial" w:cs="Arial" w:eastAsia="Arial" w:hAnsi="Arial"/>
          <w:sz w:val="17"/>
          <w:szCs w:val="17"/>
          <w:color w:val="auto"/>
        </w:rPr>
        <w:t>On the date of opening or acquiring a Collection Bank Account, serve a Collection Account Notice on the relevant Collection Account Bank and use reasonable endeavours to procure that such Collection Account Bank signs and delivers to the Collateral Agent an acknowledgement substantially in the form set out in the Collection Account Notice (together with any amendments requested by the Collection Account Bank which are acceptable to the Collateral Agent (acting reasonably)) on the date of such service.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General Bank Accounts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Upon (and following) the occurrence of any Enforcement Event the Company shall, upon receipt of notice from the Collateral Agent, (a) cease to be entitled to make, or direct the making of, any payments or withdrawals from any General Bank Account without the prior written consent of the Collateral Agent and (b) cease to be entitled to direct the General Account Banks as regards the operation of the Accounts (whether as to payments from the Accounts or otherwise howsoever).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Full Title Guarantee</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Each mortgage, assignment, charge or other disposition in favour of the Collateral Agent referred to in the previous provisions of this Clause 6 (</w:t>
      </w:r>
      <w:r>
        <w:rPr>
          <w:rFonts w:ascii="Arial" w:cs="Arial" w:eastAsia="Arial" w:hAnsi="Arial"/>
          <w:sz w:val="18"/>
          <w:szCs w:val="18"/>
          <w:i w:val="1"/>
          <w:iCs w:val="1"/>
          <w:color w:val="auto"/>
        </w:rPr>
        <w:t>Security</w:t>
      </w:r>
      <w:r>
        <w:rPr>
          <w:rFonts w:ascii="Arial" w:cs="Arial" w:eastAsia="Arial" w:hAnsi="Arial"/>
          <w:sz w:val="18"/>
          <w:szCs w:val="18"/>
          <w:color w:val="auto"/>
        </w:rPr>
        <w:t>) is made with full title guarantee in accordance with the Law of Property (Miscellaneous Provisions) Act 1994.</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Excluded Property</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There shall be excluded from the security created by Clause 6 (</w:t>
      </w:r>
      <w:r>
        <w:rPr>
          <w:rFonts w:ascii="Arial" w:cs="Arial" w:eastAsia="Arial" w:hAnsi="Arial"/>
          <w:sz w:val="18"/>
          <w:szCs w:val="18"/>
          <w:i w:val="1"/>
          <w:iCs w:val="1"/>
          <w:color w:val="auto"/>
        </w:rPr>
        <w:t>Security</w:t>
      </w:r>
      <w:r>
        <w:rPr>
          <w:rFonts w:ascii="Arial" w:cs="Arial" w:eastAsia="Arial" w:hAnsi="Arial"/>
          <w:sz w:val="18"/>
          <w:szCs w:val="18"/>
          <w:color w:val="auto"/>
        </w:rPr>
        <w:t>) and from the operation of Clause 14 (</w:t>
      </w:r>
      <w:r>
        <w:rPr>
          <w:rFonts w:ascii="Arial" w:cs="Arial" w:eastAsia="Arial" w:hAnsi="Arial"/>
          <w:sz w:val="18"/>
          <w:szCs w:val="18"/>
          <w:i w:val="1"/>
          <w:iCs w:val="1"/>
          <w:color w:val="auto"/>
        </w:rPr>
        <w:t>Further Assurances,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 etc.</w:t>
      </w:r>
      <w:r>
        <w:rPr>
          <w:rFonts w:ascii="Arial" w:cs="Arial" w:eastAsia="Arial" w:hAnsi="Arial"/>
          <w:sz w:val="18"/>
          <w:szCs w:val="18"/>
          <w:color w:val="auto"/>
        </w:rPr>
        <w:t>) any Excluded Asset of the Company.</w:t>
      </w:r>
    </w:p>
    <w:p>
      <w:pPr>
        <w:spacing w:after="0" w:line="166" w:lineRule="exact"/>
        <w:rPr>
          <w:sz w:val="20"/>
          <w:szCs w:val="20"/>
          <w:color w:val="auto"/>
        </w:rPr>
      </w:pPr>
    </w:p>
    <w:p>
      <w:pPr>
        <w:ind w:left="660" w:hanging="652"/>
        <w:spacing w:after="0"/>
        <w:tabs>
          <w:tab w:leader="none" w:pos="660" w:val="left"/>
        </w:tabs>
        <w:numPr>
          <w:ilvl w:val="0"/>
          <w:numId w:val="996"/>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SECURITY</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Payment in Full, the Collateral Agent,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w:t>
      </w:r>
    </w:p>
    <w:p>
      <w:pPr>
        <w:spacing w:after="0" w:line="18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Notwithstanding the foregoing, the obligations of the Company under this Deed shall automatically terminate and the Collateral Agent, at the request and cost of the Company but without being responsible or liable for any reasonable and documented costs, expenses, claims or liabilities occasioned by acting upon such request, shall release or discharge the Charged Assets from the Charges and reconvey, reassign or retransfer to or to the order of the Company or any other person entitled thereto any Charged Assets assigned to the Collateral Agent, in each case, to the extent provided in and in accordance with Section 11.01(c) (</w:t>
      </w:r>
      <w:r>
        <w:rPr>
          <w:rFonts w:ascii="Arial" w:cs="Arial" w:eastAsia="Arial" w:hAnsi="Arial"/>
          <w:sz w:val="18"/>
          <w:szCs w:val="18"/>
          <w:i w:val="1"/>
          <w:iCs w:val="1"/>
          <w:color w:val="auto"/>
        </w:rPr>
        <w:t>Waiver; Amendments; Joinder; Release of Guarantors; Release of Collateral</w:t>
      </w:r>
      <w:r>
        <w:rPr>
          <w:rFonts w:ascii="Arial" w:cs="Arial" w:eastAsia="Arial" w:hAnsi="Arial"/>
          <w:sz w:val="18"/>
          <w:szCs w:val="18"/>
          <w:color w:val="auto"/>
        </w:rPr>
        <w:t>) and Section 11.23 (</w:t>
      </w:r>
      <w:r>
        <w:rPr>
          <w:rFonts w:ascii="Arial" w:cs="Arial" w:eastAsia="Arial" w:hAnsi="Arial"/>
          <w:sz w:val="18"/>
          <w:szCs w:val="18"/>
          <w:i w:val="1"/>
          <w:iCs w:val="1"/>
          <w:color w:val="auto"/>
        </w:rPr>
        <w:t>Release of Guarantors</w:t>
      </w:r>
      <w:r>
        <w:rPr>
          <w:rFonts w:ascii="Arial" w:cs="Arial" w:eastAsia="Arial" w:hAnsi="Arial"/>
          <w:sz w:val="18"/>
          <w:szCs w:val="18"/>
          <w:color w:val="auto"/>
        </w:rPr>
        <w:t>) of the Loan Agreement.</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7" w:right="339" w:bottom="1440" w:gutter="0" w:footer="0" w:header="0"/>
        </w:sectPr>
      </w:pPr>
    </w:p>
    <w:bookmarkStart w:id="923" w:name="page924"/>
    <w:bookmarkEnd w:id="923"/>
    <w:p>
      <w:pPr>
        <w:ind w:left="660" w:hanging="652"/>
        <w:spacing w:after="0"/>
        <w:tabs>
          <w:tab w:leader="none" w:pos="660" w:val="left"/>
        </w:tabs>
        <w:numPr>
          <w:ilvl w:val="0"/>
          <w:numId w:val="9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Company represents and warrants to the Collateral Agent that as of the date of this Deed:</w:t>
      </w:r>
    </w:p>
    <w:p>
      <w:pPr>
        <w:spacing w:after="0" w:line="225" w:lineRule="exact"/>
        <w:rPr>
          <w:sz w:val="20"/>
          <w:szCs w:val="20"/>
          <w:color w:val="auto"/>
        </w:rPr>
      </w:pPr>
    </w:p>
    <w:p>
      <w:pPr>
        <w:ind w:left="1300" w:hanging="644"/>
        <w:spacing w:after="0" w:line="277" w:lineRule="auto"/>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it is a limited company duly incorporated and existing under the Companies Act 1948 and has the power and authority to own its Assets and to carry on its business and operations as now conducted;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it has the power to enter into, and perform and comply with all the obligations expressed to be assumed by it under, this Deed, and to create the Charges;</w:t>
      </w:r>
    </w:p>
    <w:p>
      <w:pPr>
        <w:spacing w:after="0" w:line="170"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all corporate authority and any other actions, conditions and things whatsoever required to be obtained, taken, fulfilled and done (including the obtaining of any necessary consents) in order to enable the Company lawfully to enter into, and perform and comply with all the obligations expressed to be assumed by it under, this Deed, to ensure that those obligations are valid, legal, binding and enforceable, to permit the creation of the Charges in accordance with this Deed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2"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the obligations of the Company under this Deed and (subject to all necessary registrations thereof being made) the Charges are valid, legal, binding and enforceable and, in the case of the Charges, have first priority and ranking except, in each case (i) as may be limited by bankruptcy, insolvency, examinership, reorganization, moratorium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w:t>
      </w:r>
    </w:p>
    <w:p>
      <w:pPr>
        <w:spacing w:after="0" w:line="193"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998"/>
        </w:numPr>
        <w:rPr>
          <w:rFonts w:ascii="Arial" w:cs="Arial" w:eastAsia="Arial" w:hAnsi="Arial"/>
          <w:sz w:val="16"/>
          <w:szCs w:val="16"/>
          <w:color w:val="auto"/>
        </w:rPr>
      </w:pPr>
      <w:r>
        <w:rPr>
          <w:rFonts w:ascii="Arial" w:cs="Arial" w:eastAsia="Arial" w:hAnsi="Arial"/>
          <w:sz w:val="16"/>
          <w:szCs w:val="16"/>
          <w:color w:val="auto"/>
        </w:rPr>
        <w:t>its entry into, and performance of and compliance with the obligations expressed to be assumed by it under this Deed, and the creation of the Charges under this Deed, do not and will not (i) breach or violate any applicable Requirement of Law, (ii) result in any breach or violation of, or constitute a default under, or result in the creation or imposition of (or the obligation to create or impose) any Lien prohibited under the Loan Agreement upon any of its property or assets pursuant to the terms of any indenture, agreement or other instrument to which it is party or by which any of its property or assets are bound or to which it is subject, except for breaches, violations and defaults that would not have a Material Adverse Effect, or (iii) violate any provision of its organisational documents or by-laws;</w:t>
      </w:r>
    </w:p>
    <w:p>
      <w:pPr>
        <w:spacing w:after="0" w:line="164"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998"/>
        </w:numPr>
        <w:rPr>
          <w:rFonts w:ascii="Arial" w:cs="Arial" w:eastAsia="Arial" w:hAnsi="Arial"/>
          <w:sz w:val="18"/>
          <w:szCs w:val="18"/>
          <w:color w:val="auto"/>
        </w:rPr>
      </w:pPr>
      <w:r>
        <w:rPr>
          <w:rFonts w:ascii="Arial" w:cs="Arial" w:eastAsia="Arial" w:hAnsi="Arial"/>
          <w:sz w:val="18"/>
          <w:szCs w:val="18"/>
          <w:color w:val="auto"/>
        </w:rPr>
        <w:t>(save to the extent disclosed to the Collateral Agent in writing prior to the date of this Deed) it has good and valid rights in or the power to transfer the Assets expressed to be mortgaged, assigned or charged by it under this Deed;</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924" w:name="page925"/>
    <w:bookmarkEnd w:id="924"/>
    <w:p>
      <w:pPr>
        <w:ind w:left="1300" w:hanging="644"/>
        <w:spacing w:after="0" w:line="277" w:lineRule="auto"/>
        <w:tabs>
          <w:tab w:leader="none" w:pos="130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no Security Interest (other than the Charges) or claim exists on, over or in respect of any of the Assets, except those claims permitted by the Loan Agreement;</w:t>
      </w:r>
    </w:p>
    <w:p>
      <w:pPr>
        <w:spacing w:after="0" w:line="170"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999"/>
        </w:numPr>
        <w:rPr>
          <w:rFonts w:ascii="Arial" w:cs="Arial" w:eastAsia="Arial" w:hAnsi="Arial"/>
          <w:sz w:val="16"/>
          <w:szCs w:val="16"/>
          <w:color w:val="auto"/>
        </w:rPr>
      </w:pPr>
      <w:r>
        <w:rPr>
          <w:rFonts w:ascii="Arial" w:cs="Arial" w:eastAsia="Arial" w:hAnsi="Arial"/>
          <w:sz w:val="16"/>
          <w:szCs w:val="16"/>
          <w:color w:val="auto"/>
        </w:rPr>
        <w:t>(save to the extent disclosed to the Collateral Agent in writing prior to the date of this Deed) it has not disposed of or sold or granted any lease, tenancy, option or pre-emption right over or in respect of, any part of its right, title or interest in, to or in respect of any of the Charged Assets, and it has not agreed to do any of the foregoing, except, in each case, as permitted by the Loan Agreement; and</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999"/>
        </w:numPr>
        <w:rPr>
          <w:rFonts w:ascii="Arial" w:cs="Arial" w:eastAsia="Arial" w:hAnsi="Arial"/>
          <w:sz w:val="18"/>
          <w:szCs w:val="18"/>
          <w:color w:val="auto"/>
        </w:rPr>
      </w:pPr>
      <w:r>
        <w:rPr>
          <w:rFonts w:ascii="Arial" w:cs="Arial" w:eastAsia="Arial" w:hAnsi="Arial"/>
          <w:sz w:val="18"/>
          <w:szCs w:val="18"/>
          <w:color w:val="auto"/>
        </w:rPr>
        <w:t>the Company's Centre of Main Interests is in the UK.</w:t>
      </w:r>
    </w:p>
    <w:p>
      <w:pPr>
        <w:spacing w:after="0" w:line="221" w:lineRule="exact"/>
        <w:rPr>
          <w:sz w:val="20"/>
          <w:szCs w:val="20"/>
          <w:color w:val="auto"/>
        </w:rPr>
      </w:pPr>
    </w:p>
    <w:p>
      <w:pPr>
        <w:ind w:left="660" w:hanging="652"/>
        <w:spacing w:after="0"/>
        <w:tabs>
          <w:tab w:leader="none" w:pos="660" w:val="left"/>
        </w:tabs>
        <w:numPr>
          <w:ilvl w:val="0"/>
          <w:numId w:val="100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RELATING TO ASSETS – PERFECTION, RESTRICTIONS ON DEALINGS, PROTECTION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color w:val="auto"/>
        </w:rPr>
        <w:t>Documents of Title</w:t>
      </w:r>
    </w:p>
    <w:p>
      <w:pPr>
        <w:spacing w:after="0" w:line="22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Without prejudice to Clause 14 (</w:t>
      </w:r>
      <w:r>
        <w:rPr>
          <w:rFonts w:ascii="Arial" w:cs="Arial" w:eastAsia="Arial" w:hAnsi="Arial"/>
          <w:sz w:val="16"/>
          <w:szCs w:val="16"/>
          <w:i w:val="1"/>
          <w:iCs w:val="1"/>
          <w:color w:val="auto"/>
        </w:rPr>
        <w:t>Further Assurances, Power of Attorney, etc.</w:t>
      </w:r>
      <w:r>
        <w:rPr>
          <w:rFonts w:ascii="Arial" w:cs="Arial" w:eastAsia="Arial" w:hAnsi="Arial"/>
          <w:sz w:val="16"/>
          <w:szCs w:val="16"/>
          <w:color w:val="auto"/>
        </w:rPr>
        <w:t>) the Company shall, as soon as reasonably practicable, after execution of this Deed (and in any event within 15 Business Days after execution of this Deed or such later date as may be agreed to by the Collateral Agent in its sole discretion) or, if later, promptly upon receipt by it or on its behalf or for its account (and in any event within 15 Business Days after such receipt or such later date as may be agreed to by the Collateral Agent in its sole discretion), by way of security for the Secured Obligations deliver to the Collateral Agent (or any person nominated by the Collateral Agent to hold the same on its behalf including any solicitors) all certificates representing Mortgaged Investments and documents of title, certificates and other documents certificating or evidencing ownership of or otherwise relating to the Mortgaged Investments including transfers of Investments executed in blank.</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Negative Pledge</w:t>
      </w:r>
    </w:p>
    <w:p>
      <w:pPr>
        <w:spacing w:after="0" w:line="229" w:lineRule="exact"/>
        <w:rPr>
          <w:sz w:val="20"/>
          <w:szCs w:val="20"/>
          <w:color w:val="auto"/>
        </w:rPr>
      </w:pPr>
    </w:p>
    <w:p>
      <w:pPr>
        <w:ind w:left="1300" w:right="20" w:hanging="644"/>
        <w:spacing w:after="0" w:line="277" w:lineRule="auto"/>
        <w:tabs>
          <w:tab w:leader="none" w:pos="1300"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The Company may only create, incur, assume or permit to exist a Security Interest on any Charged Asset if it is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01"/>
        </w:numPr>
        <w:rPr>
          <w:rFonts w:ascii="Arial" w:cs="Arial" w:eastAsia="Arial" w:hAnsi="Arial"/>
          <w:sz w:val="17"/>
          <w:szCs w:val="17"/>
          <w:color w:val="auto"/>
        </w:rPr>
      </w:pPr>
      <w:r>
        <w:rPr>
          <w:rFonts w:ascii="Arial" w:cs="Arial" w:eastAsia="Arial" w:hAnsi="Arial"/>
          <w:sz w:val="17"/>
          <w:szCs w:val="17"/>
          <w:color w:val="auto"/>
        </w:rPr>
        <w:t>The Company may only Dispose of any Charged Asset if it is permitted by Section 8.05 (</w:t>
      </w:r>
      <w:r>
        <w:rPr>
          <w:rFonts w:ascii="Arial" w:cs="Arial" w:eastAsia="Arial" w:hAnsi="Arial"/>
          <w:sz w:val="17"/>
          <w:szCs w:val="17"/>
          <w:i w:val="1"/>
          <w:iCs w:val="1"/>
          <w:color w:val="auto"/>
        </w:rPr>
        <w:t>Asset Dispositions</w:t>
      </w:r>
      <w:r>
        <w:rPr>
          <w:rFonts w:ascii="Arial" w:cs="Arial" w:eastAsia="Arial" w:hAnsi="Arial"/>
          <w:sz w:val="17"/>
          <w:szCs w:val="17"/>
          <w:color w:val="auto"/>
        </w:rPr>
        <w:t>) of the Loan Agreement.</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Assets and Charges Generally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w:t>
      </w:r>
    </w:p>
    <w:p>
      <w:pPr>
        <w:spacing w:after="0" w:line="225" w:lineRule="exact"/>
        <w:rPr>
          <w:sz w:val="20"/>
          <w:szCs w:val="20"/>
          <w:color w:val="auto"/>
        </w:rPr>
      </w:pPr>
    </w:p>
    <w:p>
      <w:pPr>
        <w:ind w:left="1300" w:hanging="644"/>
        <w:spacing w:after="0" w:line="277" w:lineRule="auto"/>
        <w:tabs>
          <w:tab w:leader="none" w:pos="130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make all filings and registrations necessary for the creation, perfection, preservation, protection or maintenance of the Charges except to the extent that the Company is expressly permitted by the Loan Agreement or this Deed not to do so;</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use commercially reasonable endeavours to obtain, in form and substance satisfactory to the Collateral Agent (acting reasonably), as soon as practicable and in any event within 45 days of the date of this Deed or, after the date of this Deed, within 45 days of the date of acquisition of any Asset (or, in any such case, such later date as may be agreed to by the Collateral Agent in its sole discretion), any consents necessary to enable all the Assets of the Company to be subject to effective Security Interests pursuant to Clause 6 (</w:t>
      </w:r>
      <w:r>
        <w:rPr>
          <w:rFonts w:ascii="Arial" w:cs="Arial" w:eastAsia="Arial" w:hAnsi="Arial"/>
          <w:sz w:val="18"/>
          <w:szCs w:val="18"/>
          <w:i w:val="1"/>
          <w:iCs w:val="1"/>
          <w:color w:val="auto"/>
        </w:rPr>
        <w:t>Security</w:t>
      </w:r>
      <w:r>
        <w:rPr>
          <w:rFonts w:ascii="Arial" w:cs="Arial" w:eastAsia="Arial" w:hAnsi="Arial"/>
          <w:sz w:val="18"/>
          <w:szCs w:val="18"/>
          <w:color w:val="auto"/>
        </w:rPr>
        <w:t>) and the Asset concerned shall immediately upon obtaining any such consent become subject to the fixed Charge under Clause 6.3 (</w:t>
      </w:r>
      <w:r>
        <w:rPr>
          <w:rFonts w:ascii="Arial" w:cs="Arial" w:eastAsia="Arial" w:hAnsi="Arial"/>
          <w:sz w:val="18"/>
          <w:szCs w:val="18"/>
          <w:i w:val="1"/>
          <w:iCs w:val="1"/>
          <w:color w:val="auto"/>
        </w:rPr>
        <w:t>Fixed</w:t>
      </w:r>
      <w:r>
        <w:rPr>
          <w:rFonts w:ascii="Arial" w:cs="Arial" w:eastAsia="Arial" w:hAnsi="Arial"/>
          <w:sz w:val="18"/>
          <w:szCs w:val="18"/>
          <w:color w:val="auto"/>
        </w:rPr>
        <w:t xml:space="preserve"> </w:t>
      </w:r>
      <w:r>
        <w:rPr>
          <w:rFonts w:ascii="Arial" w:cs="Arial" w:eastAsia="Arial" w:hAnsi="Arial"/>
          <w:sz w:val="18"/>
          <w:szCs w:val="18"/>
          <w:i w:val="1"/>
          <w:iCs w:val="1"/>
          <w:color w:val="auto"/>
        </w:rPr>
        <w:t>Charges</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25" w:name="page926"/>
    <w:bookmarkEnd w:id="925"/>
    <w:p>
      <w:pPr>
        <w:jc w:val="both"/>
        <w:ind w:left="1300" w:hanging="644"/>
        <w:spacing w:after="0" w:line="259" w:lineRule="auto"/>
        <w:tabs>
          <w:tab w:leader="none" w:pos="130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maintain or keep or cause to be kept all of the Charged Assets in good and substantial repair and, where applicable, good working order (wear and tear excepted) so that its business carried on in connection therewith may be conducted in the ordinary course, consistent with past practices, except in each case where the failure to do so, individually or in the aggregate, could not reasonably be expected to have a Material Adverse Effect; and</w:t>
      </w:r>
    </w:p>
    <w:p>
      <w:pPr>
        <w:spacing w:after="0" w:line="186"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0"/>
          <w:numId w:val="1003"/>
        </w:numPr>
        <w:rPr>
          <w:rFonts w:ascii="Arial" w:cs="Arial" w:eastAsia="Arial" w:hAnsi="Arial"/>
          <w:sz w:val="16"/>
          <w:szCs w:val="16"/>
          <w:color w:val="auto"/>
        </w:rPr>
      </w:pPr>
      <w:r>
        <w:rPr>
          <w:rFonts w:ascii="Arial" w:cs="Arial" w:eastAsia="Arial" w:hAnsi="Arial"/>
          <w:sz w:val="16"/>
          <w:szCs w:val="16"/>
          <w:color w:val="auto"/>
        </w:rPr>
        <w:t>in addition and without prejudice to any other provision of this Deed, not do or suffer to be done anything which could materially prejudice the effectiveness of any of the Charges or their priority under this Deed except as permitted by the Loan Agreement or this Deed.</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Real Property</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and without prejudice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the Company hereby irrevocably:</w:t>
      </w:r>
    </w:p>
    <w:p>
      <w:pPr>
        <w:spacing w:after="0" w:line="170" w:lineRule="exact"/>
        <w:rPr>
          <w:sz w:val="20"/>
          <w:szCs w:val="20"/>
          <w:color w:val="auto"/>
        </w:rPr>
      </w:pPr>
    </w:p>
    <w:p>
      <w:pPr>
        <w:ind w:left="1300" w:hanging="644"/>
        <w:spacing w:after="0" w:line="277"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consents to the registration of a restriction in the Proprietorship Register relating to the title number or numbers under which the whole or any part of the Legally Mortgaged Property is registered at HM Land Registry in the following terms:</w:t>
      </w:r>
    </w:p>
    <w:p>
      <w:pPr>
        <w:spacing w:after="0" w:line="170"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"except under an order of the Registrar no disposition or other dealing by the proprietor of the land is to be registered or noted without the written consent of the proprietor for the time being of the charge dated [ * * ] between [ * * ] (1) and [ * * ] (2)";</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consents (in the case of any Real Property forming part of the Charged Assets title to which is registered or registrable at HM Land Registry but which does not form part of the Legally Mortgaged Property) to the registration of an agreed notice by the Collateral Agent against the title or titles under which such Real Property is registered; and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04"/>
        </w:numPr>
        <w:rPr>
          <w:rFonts w:ascii="Arial" w:cs="Arial" w:eastAsia="Arial" w:hAnsi="Arial"/>
          <w:sz w:val="18"/>
          <w:szCs w:val="18"/>
          <w:color w:val="auto"/>
        </w:rPr>
      </w:pPr>
      <w:r>
        <w:rPr>
          <w:rFonts w:ascii="Arial" w:cs="Arial" w:eastAsia="Arial" w:hAnsi="Arial"/>
          <w:sz w:val="18"/>
          <w:szCs w:val="18"/>
          <w:color w:val="auto"/>
        </w:rPr>
        <w:t>authorises the Collateral Agent and/or any solicitors or other agent acting on behalf of the Collateral Agent to complete, execute on the Company's behalf and deliver to H. M. Land Registry any form (including Land Registry form RX1 and AN1), document or other information requested by H. M. Land Registry with regard to either or both of the above.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General Bank Accounts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Without prejudice and in addition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the Company shall:</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10" w:right="339" w:bottom="1440" w:gutter="0" w:footer="0" w:header="0"/>
        </w:sectPr>
      </w:pPr>
    </w:p>
    <w:bookmarkStart w:id="926" w:name="page927"/>
    <w:bookmarkEnd w:id="926"/>
    <w:p>
      <w:pPr>
        <w:jc w:val="both"/>
        <w:ind w:left="1300" w:hanging="644"/>
        <w:spacing w:after="0" w:line="259" w:lineRule="auto"/>
        <w:tabs>
          <w:tab w:leader="none" w:pos="130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promptly after execution of this Deed (or, if later, within 45 days (or such later date as may be agreed to by the Collateral Agent in its sole discretion) of the opening of a new bank account), execute and deliver to the Collateral Agent notices, substantially in the form set out in Part 1 of Schedule 4 (</w:t>
      </w:r>
      <w:r>
        <w:rPr>
          <w:rFonts w:ascii="Arial" w:cs="Arial" w:eastAsia="Arial" w:hAnsi="Arial"/>
          <w:sz w:val="18"/>
          <w:szCs w:val="18"/>
          <w:i w:val="1"/>
          <w:iCs w:val="1"/>
          <w:color w:val="auto"/>
        </w:rPr>
        <w:t>Form of Notice of Charge for General Bank Accounts</w:t>
      </w:r>
      <w:r>
        <w:rPr>
          <w:rFonts w:ascii="Arial" w:cs="Arial" w:eastAsia="Arial" w:hAnsi="Arial"/>
          <w:sz w:val="18"/>
          <w:szCs w:val="18"/>
          <w:color w:val="auto"/>
        </w:rPr>
        <w:t xml:space="preserve"> ) or such other form as the Collateral Agent may reasonably require;</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use its reasonable endeavours to procure that each relevant bank, with whom a General Bank Account is maintained, delivers to the Collateral Agent an acknowledgement in writing substantially in the form attached to such notice provided that if the Company has not been able to obtain such countersignature and acknowledgement, any obligation to comply with this Clause 9.5(b) (</w:t>
      </w:r>
      <w:r>
        <w:rPr>
          <w:rFonts w:ascii="Arial" w:cs="Arial" w:eastAsia="Arial" w:hAnsi="Arial"/>
          <w:sz w:val="18"/>
          <w:szCs w:val="18"/>
          <w:i w:val="1"/>
          <w:iCs w:val="1"/>
          <w:color w:val="auto"/>
        </w:rPr>
        <w:t>General Bank</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shall cease after 180 days of the service of the relevant notice; and</w:t>
      </w:r>
    </w:p>
    <w:p>
      <w:pPr>
        <w:spacing w:after="0" w:line="18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005"/>
        </w:numPr>
        <w:rPr>
          <w:rFonts w:ascii="Arial" w:cs="Arial" w:eastAsia="Arial" w:hAnsi="Arial"/>
          <w:sz w:val="17"/>
          <w:szCs w:val="17"/>
          <w:color w:val="auto"/>
        </w:rPr>
      </w:pPr>
      <w:r>
        <w:rPr>
          <w:rFonts w:ascii="Arial" w:cs="Arial" w:eastAsia="Arial" w:hAnsi="Arial"/>
          <w:sz w:val="17"/>
          <w:szCs w:val="17"/>
          <w:color w:val="auto"/>
        </w:rPr>
        <w:t>save with the prior written consent of the Collateral Agent or as may be permitted under the Loan Agreement, the Company shall not assign or otherwise dispose of any rights, title or interest in any General Bank Account (and no right, title or interest in relation to any such account or credit balance maintained with the Collateral Agent shall be capable of assignment or disposal).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Insurance Policies</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The Company will, promptly after execution of this Deed (or, if later, within 45 days (or such later date as may be agreed to by the Collateral Agent in its sole discretion) of the Company obtaining new Insurance Policy), execute and deliver to the Collateral Agent (or procure delivery of) a notice of assignment substantially in the form set out in Schedule 6 (</w:t>
      </w:r>
      <w:r>
        <w:rPr>
          <w:rFonts w:ascii="Arial" w:cs="Arial" w:eastAsia="Arial" w:hAnsi="Arial"/>
          <w:sz w:val="18"/>
          <w:szCs w:val="18"/>
          <w:i w:val="1"/>
          <w:iCs w:val="1"/>
          <w:color w:val="auto"/>
        </w:rPr>
        <w:t>Form of Notice of Charge of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respect of each Insurance Policy detailed at Schedule 3 (Insurance</w:t>
      </w:r>
      <w:r>
        <w:rPr>
          <w:rFonts w:ascii="Arial" w:cs="Arial" w:eastAsia="Arial" w:hAnsi="Arial"/>
          <w:sz w:val="18"/>
          <w:szCs w:val="18"/>
          <w:i w:val="1"/>
          <w:iCs w:val="1"/>
          <w:color w:val="auto"/>
        </w:rPr>
        <w:t xml:space="preserve"> Policies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In each case, the Company shall use reasonable endeavours to procure that such insurer signs and delivers to the Collateral Agent an acknowledgement substantially in the form set out in Schedule 6 (</w:t>
      </w:r>
      <w:r>
        <w:rPr>
          <w:rFonts w:ascii="Arial" w:cs="Arial" w:eastAsia="Arial" w:hAnsi="Arial"/>
          <w:sz w:val="18"/>
          <w:szCs w:val="18"/>
          <w:i w:val="1"/>
          <w:iCs w:val="1"/>
          <w:color w:val="auto"/>
        </w:rPr>
        <w:t>Form of Notice of Charge of Insurance Policies</w:t>
      </w:r>
      <w:r>
        <w:rPr>
          <w:rFonts w:ascii="Arial" w:cs="Arial" w:eastAsia="Arial" w:hAnsi="Arial"/>
          <w:sz w:val="18"/>
          <w:szCs w:val="18"/>
          <w:color w:val="auto"/>
        </w:rPr>
        <w:t xml:space="preserve">) within twenty Business Days of such service </w:t>
      </w:r>
      <w:r>
        <w:rPr>
          <w:rFonts w:ascii="Arial" w:cs="Arial" w:eastAsia="Arial" w:hAnsi="Arial"/>
          <w:sz w:val="18"/>
          <w:szCs w:val="18"/>
          <w:i w:val="1"/>
          <w:iCs w:val="1"/>
          <w:color w:val="auto"/>
        </w:rPr>
        <w:t>provided that</w:t>
      </w:r>
      <w:r>
        <w:rPr>
          <w:rFonts w:ascii="Arial" w:cs="Arial" w:eastAsia="Arial" w:hAnsi="Arial"/>
          <w:sz w:val="18"/>
          <w:szCs w:val="18"/>
          <w:color w:val="auto"/>
        </w:rPr>
        <w:t>, if the relevant Company has not been able to obtain such acknowledgment from the relevant insurer any obligation to comply with this Clause shall cease twenty Business Days following the date of service of the relevant Notice of Assignment.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5"/>
          <w:szCs w:val="15"/>
          <w:b w:val="1"/>
          <w:bCs w:val="1"/>
          <w:color w:val="auto"/>
        </w:rPr>
        <w:t>Assigned Agreements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will, promptly after execution of this Deed (or, if later, within 45 days (or such later date as may be agreed to by the Collateral Agent in its sole discretion) of receipt by the Company of an executed copy of any Assigned Agreement) deliver to the Collateral Agent an executed but undated counterparty notice, in the form set out in Schedule 5 (</w:t>
      </w:r>
      <w:r>
        <w:rPr>
          <w:rFonts w:ascii="Arial" w:cs="Arial" w:eastAsia="Arial" w:hAnsi="Arial"/>
          <w:sz w:val="18"/>
          <w:szCs w:val="18"/>
          <w:i w:val="1"/>
          <w:iCs w:val="1"/>
          <w:color w:val="auto"/>
        </w:rPr>
        <w:t>Form of Notice of Charge of Assigned Agreements</w:t>
      </w:r>
      <w:r>
        <w:rPr>
          <w:rFonts w:ascii="Arial" w:cs="Arial" w:eastAsia="Arial" w:hAnsi="Arial"/>
          <w:sz w:val="18"/>
          <w:szCs w:val="18"/>
          <w:color w:val="auto"/>
        </w:rPr>
        <w:t>) and hereby irrevocably authorises the Collateral Agent to serve each such notice of Assigned Agreement on the relevant counterparty upon the occurrence of an Enforcement Event which is continuing.</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927" w:name="page928"/>
    <w:bookmarkEnd w:id="927"/>
    <w:p>
      <w:pPr>
        <w:spacing w:after="0"/>
        <w:tabs>
          <w:tab w:leader="none" w:pos="64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Charged Book Debts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Without prejudice and in addition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at any time after an Enforcement Event occurs the Company shall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Collateral Agent promptly on reasonable request such documents relating to such of the Book Debts as the Collateral Agent may reasonably specify.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Mortgaged Investments</w:t>
      </w:r>
    </w:p>
    <w:p>
      <w:pPr>
        <w:spacing w:after="0" w:line="229" w:lineRule="exact"/>
        <w:rPr>
          <w:sz w:val="20"/>
          <w:szCs w:val="20"/>
          <w:color w:val="auto"/>
        </w:rPr>
      </w:pPr>
    </w:p>
    <w:p>
      <w:pPr>
        <w:ind w:left="1300" w:hanging="644"/>
        <w:spacing w:after="0" w:line="342" w:lineRule="auto"/>
        <w:tabs>
          <w:tab w:leader="none" w:pos="1300" w:val="left"/>
        </w:tabs>
        <w:numPr>
          <w:ilvl w:val="0"/>
          <w:numId w:val="1007"/>
        </w:numPr>
        <w:rPr>
          <w:rFonts w:ascii="Arial" w:cs="Arial" w:eastAsia="Arial" w:hAnsi="Arial"/>
          <w:sz w:val="16"/>
          <w:szCs w:val="16"/>
          <w:color w:val="auto"/>
        </w:rPr>
      </w:pPr>
      <w:r>
        <w:rPr>
          <w:rFonts w:ascii="Arial" w:cs="Arial" w:eastAsia="Arial" w:hAnsi="Arial"/>
          <w:sz w:val="16"/>
          <w:szCs w:val="16"/>
          <w:color w:val="auto"/>
        </w:rPr>
        <w:t>Without prejudice and in addition to the other provisions of this Clause 9 (</w:t>
      </w:r>
      <w:r>
        <w:rPr>
          <w:rFonts w:ascii="Arial" w:cs="Arial" w:eastAsia="Arial" w:hAnsi="Arial"/>
          <w:sz w:val="16"/>
          <w:szCs w:val="16"/>
          <w:i w:val="1"/>
          <w:iCs w:val="1"/>
          <w:color w:val="auto"/>
        </w:rPr>
        <w:t>Covenants relating to Assets – Perfection, Restrictions on</w:t>
      </w:r>
      <w:r>
        <w:rPr>
          <w:rFonts w:ascii="Arial" w:cs="Arial" w:eastAsia="Arial" w:hAnsi="Arial"/>
          <w:sz w:val="16"/>
          <w:szCs w:val="16"/>
          <w:color w:val="auto"/>
        </w:rPr>
        <w:t xml:space="preserve"> </w:t>
      </w:r>
      <w:r>
        <w:rPr>
          <w:rFonts w:ascii="Arial" w:cs="Arial" w:eastAsia="Arial" w:hAnsi="Arial"/>
          <w:sz w:val="16"/>
          <w:szCs w:val="16"/>
          <w:i w:val="1"/>
          <w:iCs w:val="1"/>
          <w:color w:val="auto"/>
        </w:rPr>
        <w:t>Dealings, Protection</w:t>
      </w:r>
      <w:r>
        <w:rPr>
          <w:rFonts w:ascii="Arial" w:cs="Arial" w:eastAsia="Arial" w:hAnsi="Arial"/>
          <w:sz w:val="16"/>
          <w:szCs w:val="16"/>
          <w:color w:val="auto"/>
        </w:rPr>
        <w:t>) and Clause 14 (</w:t>
      </w:r>
      <w:r>
        <w:rPr>
          <w:rFonts w:ascii="Arial" w:cs="Arial" w:eastAsia="Arial" w:hAnsi="Arial"/>
          <w:sz w:val="16"/>
          <w:szCs w:val="16"/>
          <w:i w:val="1"/>
          <w:iCs w:val="1"/>
          <w:color w:val="auto"/>
        </w:rPr>
        <w:t>Further Assurances, Power of Attorney, etc.</w:t>
      </w:r>
      <w:r>
        <w:rPr>
          <w:rFonts w:ascii="Arial" w:cs="Arial" w:eastAsia="Arial" w:hAnsi="Arial"/>
          <w:sz w:val="16"/>
          <w:szCs w:val="16"/>
          <w:color w:val="auto"/>
        </w:rPr>
        <w:t>), the Company shall deposit with the Collateral Agent:</w:t>
      </w:r>
    </w:p>
    <w:p>
      <w:pPr>
        <w:spacing w:after="0" w:line="123" w:lineRule="exact"/>
        <w:rPr>
          <w:rFonts w:ascii="Arial" w:cs="Arial" w:eastAsia="Arial" w:hAnsi="Arial"/>
          <w:sz w:val="16"/>
          <w:szCs w:val="16"/>
          <w:color w:val="auto"/>
        </w:rPr>
      </w:pPr>
    </w:p>
    <w:p>
      <w:pPr>
        <w:jc w:val="both"/>
        <w:ind w:left="1960" w:hanging="655"/>
        <w:spacing w:after="0" w:line="255" w:lineRule="auto"/>
        <w:tabs>
          <w:tab w:leader="none" w:pos="1960" w:val="left"/>
        </w:tabs>
        <w:numPr>
          <w:ilvl w:val="1"/>
          <w:numId w:val="1007"/>
        </w:numPr>
        <w:rPr>
          <w:rFonts w:ascii="Arial" w:cs="Arial" w:eastAsia="Arial" w:hAnsi="Arial"/>
          <w:sz w:val="18"/>
          <w:szCs w:val="18"/>
          <w:color w:val="auto"/>
        </w:rPr>
      </w:pPr>
      <w:r>
        <w:rPr>
          <w:rFonts w:ascii="Arial" w:cs="Arial" w:eastAsia="Arial" w:hAnsi="Arial"/>
          <w:sz w:val="18"/>
          <w:szCs w:val="18"/>
          <w:color w:val="auto"/>
        </w:rPr>
        <w:t>transfers of the Mortgaged Investments (or declarations of trust in respect of any Mortgaged Investments not in the Company's sole name) in each case duly completed and executed by the Company or its nominee with the name of the transferee, date and consideration left blank or, if the Collateral Agent so reasonably requires, duly executed by the Company or its nominee in favour of the Collateral Agent (or the Collateral Agent's nominee) and stamped, and such other documents as the Collateral Agent may reasonably require to enable the Collateral Agent (or the Collateral Agent's nominee) or, after the occurrence and continuance of an Event of Default, any purchaser, to be registered as the owner of, or otherwise obtain legal title to, the Mortgaged Investments; and</w:t>
      </w:r>
    </w:p>
    <w:p>
      <w:pPr>
        <w:spacing w:after="0" w:line="189" w:lineRule="exact"/>
        <w:rPr>
          <w:rFonts w:ascii="Arial" w:cs="Arial" w:eastAsia="Arial" w:hAnsi="Arial"/>
          <w:sz w:val="18"/>
          <w:szCs w:val="18"/>
          <w:color w:val="auto"/>
        </w:rPr>
      </w:pPr>
    </w:p>
    <w:p>
      <w:pPr>
        <w:jc w:val="both"/>
        <w:ind w:left="1960" w:hanging="655"/>
        <w:spacing w:after="0" w:line="297" w:lineRule="auto"/>
        <w:tabs>
          <w:tab w:leader="none" w:pos="1960" w:val="left"/>
        </w:tabs>
        <w:numPr>
          <w:ilvl w:val="1"/>
          <w:numId w:val="1007"/>
        </w:numPr>
        <w:rPr>
          <w:rFonts w:ascii="Arial" w:cs="Arial" w:eastAsia="Arial" w:hAnsi="Arial"/>
          <w:sz w:val="16"/>
          <w:szCs w:val="16"/>
          <w:color w:val="auto"/>
        </w:rPr>
      </w:pPr>
      <w:r>
        <w:rPr>
          <w:rFonts w:ascii="Arial" w:cs="Arial" w:eastAsia="Arial" w:hAnsi="Arial"/>
          <w:sz w:val="16"/>
          <w:szCs w:val="16"/>
          <w:color w:val="auto"/>
        </w:rPr>
        <w:t>in respect of any Mortgaged Investment not held in the Company's name, within 30 days (or such later date as may be agreed to by the Collateral Agent in its sole discretion) after execution of this Deed or if later promptly after it becomes entitled to the relevant Mortgaged Investment, use commercially reasonable endeavours to request an irrevocable power of attorney, expressed to be by way of security and executed and delivered as a deed by the relevant nominee, appointing the Collateral Agent each Receiver and any Delegate the attorney of the holder, in such form as the Collateral Agent may reasonably require.</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Prior to such time as the Collateral Agent has, following the occurrence and during the continuation of an Enforcement Event:</w:t>
      </w:r>
    </w:p>
    <w:p>
      <w:pPr>
        <w:spacing w:after="0" w:line="225"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1007"/>
        </w:numPr>
        <w:rPr>
          <w:rFonts w:ascii="Arial" w:cs="Arial" w:eastAsia="Arial" w:hAnsi="Arial"/>
          <w:sz w:val="18"/>
          <w:szCs w:val="18"/>
          <w:color w:val="auto"/>
        </w:rPr>
      </w:pPr>
      <w:r>
        <w:rPr>
          <w:rFonts w:ascii="Arial" w:cs="Arial" w:eastAsia="Arial" w:hAnsi="Arial"/>
          <w:sz w:val="18"/>
          <w:szCs w:val="18"/>
          <w:color w:val="auto"/>
        </w:rPr>
        <w:t>notified the Company in writing that it has elected to exercise voting and other rights relating to the Charged Assets in accordance with the terms of this Deed, all voting and other rights relating to the Mortgaged Investments may be exercised (or not exercised) by the Company as it directs provided that it shall not exercise any such voting rights in a manner which would diminish the effectiveness or enforceability of the Charges created under this Deed in any material respect or restrict the transferability of the Charged Assets by the Collateral Agent or any Receiver; and</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5" w:right="339" w:bottom="1440" w:gutter="0" w:footer="0" w:header="0"/>
        </w:sectPr>
      </w:pPr>
    </w:p>
    <w:bookmarkStart w:id="928" w:name="page929"/>
    <w:bookmarkEnd w:id="928"/>
    <w:p>
      <w:pPr>
        <w:jc w:val="both"/>
        <w:ind w:left="1960" w:hanging="655"/>
        <w:spacing w:after="0" w:line="264" w:lineRule="auto"/>
        <w:tabs>
          <w:tab w:leader="none" w:pos="1960" w:val="left"/>
        </w:tabs>
        <w:numPr>
          <w:ilvl w:val="1"/>
          <w:numId w:val="1008"/>
        </w:numPr>
        <w:rPr>
          <w:rFonts w:ascii="Arial" w:cs="Arial" w:eastAsia="Arial" w:hAnsi="Arial"/>
          <w:sz w:val="18"/>
          <w:szCs w:val="18"/>
          <w:color w:val="auto"/>
        </w:rPr>
      </w:pPr>
      <w:r>
        <w:rPr>
          <w:rFonts w:ascii="Arial" w:cs="Arial" w:eastAsia="Arial" w:hAnsi="Arial"/>
          <w:sz w:val="18"/>
          <w:szCs w:val="18"/>
          <w:color w:val="auto"/>
        </w:rPr>
        <w:t>notified the Company in writing that it has elected to collect any dividends, distributions and other monies in accordance with the terms of this Deed, the Company shall be entitled to receive and retain such dividends, distributions and other monies paid on or derived from its Mortgaged Investments.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009"/>
        </w:numPr>
        <w:rPr>
          <w:rFonts w:ascii="Arial" w:cs="Arial" w:eastAsia="Arial" w:hAnsi="Arial"/>
          <w:sz w:val="18"/>
          <w:szCs w:val="18"/>
          <w:color w:val="auto"/>
        </w:rPr>
      </w:pPr>
      <w:r>
        <w:rPr>
          <w:rFonts w:ascii="Arial" w:cs="Arial" w:eastAsia="Arial" w:hAnsi="Arial"/>
          <w:sz w:val="18"/>
          <w:szCs w:val="18"/>
          <w:color w:val="auto"/>
        </w:rPr>
        <w:t>Following an Enforcement Event: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009"/>
        </w:numPr>
        <w:rPr>
          <w:rFonts w:ascii="Arial" w:cs="Arial" w:eastAsia="Arial" w:hAnsi="Arial"/>
          <w:sz w:val="18"/>
          <w:szCs w:val="18"/>
          <w:color w:val="auto"/>
        </w:rPr>
      </w:pPr>
      <w:r>
        <w:rPr>
          <w:rFonts w:ascii="Arial" w:cs="Arial" w:eastAsia="Arial" w:hAnsi="Arial"/>
          <w:sz w:val="18"/>
          <w:szCs w:val="18"/>
          <w:color w:val="auto"/>
        </w:rPr>
        <w:t>the Collateral Agent or, as the case may be, any Receiver shall, upon written notice to the Company, be entitled to exercise or direct the exercise of or refrain from such exercise all voting and other rights now or at any time relating to the Mortgaged Investments as it or he reasonably sees fit;</w:t>
      </w:r>
    </w:p>
    <w:p>
      <w:pPr>
        <w:spacing w:after="0" w:line="181" w:lineRule="exact"/>
        <w:rPr>
          <w:sz w:val="20"/>
          <w:szCs w:val="20"/>
          <w:color w:val="auto"/>
        </w:rPr>
      </w:pPr>
    </w:p>
    <w:p>
      <w:pPr>
        <w:jc w:val="both"/>
        <w:ind w:left="1960" w:hanging="655"/>
        <w:spacing w:after="0" w:line="257" w:lineRule="auto"/>
        <w:tabs>
          <w:tab w:leader="none" w:pos="1960" w:val="left"/>
        </w:tabs>
        <w:numPr>
          <w:ilvl w:val="0"/>
          <w:numId w:val="1010"/>
        </w:numPr>
        <w:rPr>
          <w:rFonts w:ascii="Arial" w:cs="Arial" w:eastAsia="Arial" w:hAnsi="Arial"/>
          <w:sz w:val="18"/>
          <w:szCs w:val="18"/>
          <w:color w:val="auto"/>
        </w:rPr>
      </w:pPr>
      <w:r>
        <w:rPr>
          <w:rFonts w:ascii="Arial" w:cs="Arial" w:eastAsia="Arial" w:hAnsi="Arial"/>
          <w:sz w:val="18"/>
          <w:szCs w:val="18"/>
          <w:color w:val="auto"/>
        </w:rPr>
        <w:t>after receipt by the Company of written notice pursuant to Clause 9.9(c)(i), the Company shall comply or procure the compliance with any reasonable direction of the Collateral Agent or, as the case may be, any Receiver in respect of the exercise of such rights and shall deliver to the Collateral Agent or, as the case may be, any Receiver such forms of proxy or other appropriate forms of authorisation the Collateral Agent or, as the case may be, any Receiver may reasonably require with a view to enabling that person or its nominee to exercise such rights; and</w:t>
      </w:r>
    </w:p>
    <w:p>
      <w:pPr>
        <w:spacing w:after="0" w:line="188" w:lineRule="exact"/>
        <w:rPr>
          <w:rFonts w:ascii="Arial" w:cs="Arial" w:eastAsia="Arial" w:hAnsi="Arial"/>
          <w:sz w:val="18"/>
          <w:szCs w:val="18"/>
          <w:color w:val="auto"/>
        </w:rPr>
      </w:pPr>
    </w:p>
    <w:p>
      <w:pPr>
        <w:jc w:val="both"/>
        <w:ind w:left="1960" w:right="20" w:hanging="655"/>
        <w:spacing w:after="0" w:line="342" w:lineRule="auto"/>
        <w:tabs>
          <w:tab w:leader="none" w:pos="1960" w:val="left"/>
        </w:tabs>
        <w:numPr>
          <w:ilvl w:val="0"/>
          <w:numId w:val="1010"/>
        </w:numPr>
        <w:rPr>
          <w:rFonts w:ascii="Arial" w:cs="Arial" w:eastAsia="Arial" w:hAnsi="Arial"/>
          <w:sz w:val="16"/>
          <w:szCs w:val="16"/>
          <w:color w:val="auto"/>
        </w:rPr>
      </w:pPr>
      <w:r>
        <w:rPr>
          <w:rFonts w:ascii="Arial" w:cs="Arial" w:eastAsia="Arial" w:hAnsi="Arial"/>
          <w:sz w:val="16"/>
          <w:szCs w:val="16"/>
          <w:color w:val="auto"/>
        </w:rPr>
        <w:t>the Collateral Agent shall, upon written notice to the Company, be entitled to receive and retain all dividends, interest and other distributions paid in respect of the Mortgaged Investments and apply the same as provided by Clause 18 (</w:t>
      </w:r>
      <w:r>
        <w:rPr>
          <w:rFonts w:ascii="Arial" w:cs="Arial" w:eastAsia="Arial" w:hAnsi="Arial"/>
          <w:sz w:val="16"/>
          <w:szCs w:val="16"/>
          <w:i w:val="1"/>
          <w:iCs w:val="1"/>
          <w:color w:val="auto"/>
        </w:rPr>
        <w:t>Application of Moneys</w:t>
      </w:r>
      <w:r>
        <w:rPr>
          <w:rFonts w:ascii="Arial" w:cs="Arial" w:eastAsia="Arial" w:hAnsi="Arial"/>
          <w:sz w:val="16"/>
          <w:szCs w:val="16"/>
          <w:color w:val="auto"/>
        </w:rPr>
        <w:t>).</w:t>
      </w:r>
    </w:p>
    <w:p>
      <w:pPr>
        <w:spacing w:after="0" w:line="124" w:lineRule="exact"/>
        <w:rPr>
          <w:sz w:val="20"/>
          <w:szCs w:val="20"/>
          <w:color w:val="auto"/>
        </w:rPr>
      </w:pPr>
    </w:p>
    <w:p>
      <w:pPr>
        <w:jc w:val="both"/>
        <w:ind w:left="1300" w:right="20" w:hanging="644"/>
        <w:spacing w:after="0" w:line="342" w:lineRule="auto"/>
        <w:tabs>
          <w:tab w:leader="none" w:pos="1300" w:val="left"/>
        </w:tabs>
        <w:numPr>
          <w:ilvl w:val="0"/>
          <w:numId w:val="1011"/>
        </w:numPr>
        <w:rPr>
          <w:rFonts w:ascii="Arial" w:cs="Arial" w:eastAsia="Arial" w:hAnsi="Arial"/>
          <w:sz w:val="16"/>
          <w:szCs w:val="16"/>
          <w:color w:val="auto"/>
        </w:rPr>
      </w:pPr>
      <w:r>
        <w:rPr>
          <w:rFonts w:ascii="Arial" w:cs="Arial" w:eastAsia="Arial" w:hAnsi="Arial"/>
          <w:sz w:val="16"/>
          <w:szCs w:val="16"/>
          <w:color w:val="auto"/>
        </w:rPr>
        <w:t>This Clause 9.7 (</w:t>
      </w:r>
      <w:r>
        <w:rPr>
          <w:rFonts w:ascii="Arial" w:cs="Arial" w:eastAsia="Arial" w:hAnsi="Arial"/>
          <w:sz w:val="16"/>
          <w:szCs w:val="16"/>
          <w:i w:val="1"/>
          <w:iCs w:val="1"/>
          <w:color w:val="auto"/>
        </w:rPr>
        <w:t>Assigned Agreements</w:t>
      </w:r>
      <w:r>
        <w:rPr>
          <w:rFonts w:ascii="Arial" w:cs="Arial" w:eastAsia="Arial" w:hAnsi="Arial"/>
          <w:sz w:val="16"/>
          <w:szCs w:val="16"/>
          <w:color w:val="auto"/>
        </w:rPr>
        <w:t>) shall not apply to those Mortgaged Investments which are held by the Company by way of temporary investments and which the Collateral Agent has agreed in writing shall not be subject to this Clause 9.7 (</w:t>
      </w:r>
      <w:r>
        <w:rPr>
          <w:rFonts w:ascii="Arial" w:cs="Arial" w:eastAsia="Arial" w:hAnsi="Arial"/>
          <w:sz w:val="16"/>
          <w:szCs w:val="16"/>
          <w:i w:val="1"/>
          <w:iCs w:val="1"/>
          <w:color w:val="auto"/>
        </w:rPr>
        <w:t>Assigned Agreements</w:t>
      </w:r>
      <w:r>
        <w:rPr>
          <w:rFonts w:ascii="Arial" w:cs="Arial" w:eastAsia="Arial" w:hAnsi="Arial"/>
          <w:sz w:val="16"/>
          <w:szCs w:val="16"/>
          <w:color w:val="auto"/>
        </w:rPr>
        <w:t>).</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auto"/>
        </w:rPr>
        <w:t>Intellectual Property Rights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Without prejudice and in addition to the other provisions of this Clause 9 (</w:t>
      </w:r>
      <w:r>
        <w:rPr>
          <w:rFonts w:ascii="Arial" w:cs="Arial" w:eastAsia="Arial" w:hAnsi="Arial"/>
          <w:sz w:val="18"/>
          <w:szCs w:val="18"/>
          <w:i w:val="1"/>
          <w:iCs w:val="1"/>
          <w:color w:val="auto"/>
        </w:rPr>
        <w:t>Covenants relating to Assets – Perfection, Restrictions on Dealings,</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w:t>
      </w:r>
      <w:r>
        <w:rPr>
          <w:rFonts w:ascii="Arial" w:cs="Arial" w:eastAsia="Arial" w:hAnsi="Arial"/>
          <w:sz w:val="18"/>
          <w:szCs w:val="18"/>
          <w:color w:val="auto"/>
        </w:rPr>
        <w:t>) and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the Company shall:</w:t>
      </w:r>
    </w:p>
    <w:p>
      <w:pPr>
        <w:spacing w:after="0" w:line="170" w:lineRule="exact"/>
        <w:rPr>
          <w:sz w:val="20"/>
          <w:szCs w:val="20"/>
          <w:color w:val="auto"/>
        </w:rPr>
      </w:pPr>
    </w:p>
    <w:p>
      <w:pPr>
        <w:ind w:left="1300" w:right="20" w:hanging="644"/>
        <w:spacing w:after="0" w:line="342" w:lineRule="auto"/>
        <w:tabs>
          <w:tab w:leader="none" w:pos="1300" w:val="left"/>
        </w:tabs>
        <w:numPr>
          <w:ilvl w:val="0"/>
          <w:numId w:val="1012"/>
        </w:numPr>
        <w:rPr>
          <w:rFonts w:ascii="Arial" w:cs="Arial" w:eastAsia="Arial" w:hAnsi="Arial"/>
          <w:sz w:val="16"/>
          <w:szCs w:val="16"/>
          <w:color w:val="auto"/>
        </w:rPr>
      </w:pPr>
      <w:r>
        <w:rPr>
          <w:rFonts w:ascii="Arial" w:cs="Arial" w:eastAsia="Arial" w:hAnsi="Arial"/>
          <w:sz w:val="16"/>
          <w:szCs w:val="16"/>
          <w:color w:val="auto"/>
        </w:rPr>
        <w:t>promptly on the reasonable request by the Collateral Agent, execute and do all acts, things and documents as the Collateral Agent may reasonably require to record the Collateral Agent's interest in any registers relating to any of the Intellectual Property Rights;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not, save with the prior written consent of the Collateral Agent or as may be permitted pursuant to the terms of the Loan Agreement, grant any registered user agreement or licence or other right in relation to any such Intellectual Property Rights or permit the use of such Intellectual Property Rights by any person.</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929" w:name="page930"/>
    <w:bookmarkEnd w:id="929"/>
    <w:p>
      <w:pPr>
        <w:ind w:left="660" w:hanging="652"/>
        <w:spacing w:after="0"/>
        <w:tabs>
          <w:tab w:leader="none" w:pos="660" w:val="left"/>
        </w:tabs>
        <w:numPr>
          <w:ilvl w:val="0"/>
          <w:numId w:val="1013"/>
        </w:numPr>
        <w:rPr>
          <w:rFonts w:ascii="Arial" w:cs="Arial" w:eastAsia="Arial" w:hAnsi="Arial"/>
          <w:sz w:val="18"/>
          <w:szCs w:val="18"/>
          <w:b w:val="1"/>
          <w:bCs w:val="1"/>
          <w:color w:val="auto"/>
        </w:rPr>
      </w:pPr>
      <w:r>
        <w:rPr>
          <w:rFonts w:ascii="Arial" w:cs="Arial" w:eastAsia="Arial" w:hAnsi="Arial"/>
          <w:sz w:val="18"/>
          <w:szCs w:val="18"/>
          <w:b w:val="1"/>
          <w:bCs w:val="1"/>
          <w:color w:val="auto"/>
        </w:rPr>
        <w:t>GENERAL COVENANTS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shall:</w:t>
      </w:r>
    </w:p>
    <w:p>
      <w:pPr>
        <w:spacing w:after="0" w:line="225" w:lineRule="exact"/>
        <w:rPr>
          <w:sz w:val="20"/>
          <w:szCs w:val="20"/>
          <w:color w:val="auto"/>
        </w:rPr>
      </w:pPr>
    </w:p>
    <w:p>
      <w:pPr>
        <w:jc w:val="both"/>
        <w:ind w:left="1300" w:hanging="644"/>
        <w:spacing w:after="0" w:line="264" w:lineRule="auto"/>
        <w:tabs>
          <w:tab w:leader="none" w:pos="1300" w:val="left"/>
        </w:tabs>
        <w:numPr>
          <w:ilvl w:val="1"/>
          <w:numId w:val="1014"/>
        </w:numPr>
        <w:rPr>
          <w:rFonts w:ascii="Arial" w:cs="Arial" w:eastAsia="Arial" w:hAnsi="Arial"/>
          <w:sz w:val="18"/>
          <w:szCs w:val="18"/>
          <w:color w:val="auto"/>
        </w:rPr>
      </w:pPr>
      <w:r>
        <w:rPr>
          <w:rFonts w:ascii="Arial" w:cs="Arial" w:eastAsia="Arial" w:hAnsi="Arial"/>
          <w:sz w:val="18"/>
          <w:szCs w:val="18"/>
          <w:color w:val="auto"/>
        </w:rPr>
        <w:t>at any time after an Enforcement Event, promptly give to the Collateral Agent such information and evidence (and in such form) as the Collateral Agent may from time to time reasonably request for the purpose of or with a view to discharging the duties and rights vested in it under and in accordance with this Deed or by operation of law; and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1014"/>
        </w:numPr>
        <w:rPr>
          <w:rFonts w:ascii="Arial" w:cs="Arial" w:eastAsia="Arial" w:hAnsi="Arial"/>
          <w:sz w:val="18"/>
          <w:szCs w:val="18"/>
          <w:color w:val="auto"/>
        </w:rPr>
      </w:pPr>
      <w:r>
        <w:rPr>
          <w:rFonts w:ascii="Arial" w:cs="Arial" w:eastAsia="Arial" w:hAnsi="Arial"/>
          <w:sz w:val="18"/>
          <w:szCs w:val="18"/>
          <w:color w:val="auto"/>
        </w:rPr>
        <w:t>not have its Centre of Main Interests situated, or permit its Centre of Main Interests to be situated, outside the UK.</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015"/>
        </w:numPr>
        <w:rPr>
          <w:rFonts w:ascii="Arial" w:cs="Arial" w:eastAsia="Arial" w:hAnsi="Arial"/>
          <w:sz w:val="18"/>
          <w:szCs w:val="18"/>
          <w:b w:val="1"/>
          <w:bCs w:val="1"/>
          <w:color w:val="auto"/>
        </w:rPr>
      </w:pPr>
      <w:r>
        <w:rPr>
          <w:rFonts w:ascii="Arial" w:cs="Arial" w:eastAsia="Arial" w:hAnsi="Arial"/>
          <w:sz w:val="18"/>
          <w:szCs w:val="18"/>
          <w:b w:val="1"/>
          <w:bCs w:val="1"/>
          <w:color w:val="auto"/>
        </w:rPr>
        <w:t>CRYSTALLISATION OF FLOATING CHARGE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In addition and without prejudice to any other event resulting in crystallisation of the floating charge, but subject to any prohibition or restriction imposed by law, if at any time:</w:t>
      </w:r>
    </w:p>
    <w:p>
      <w:pPr>
        <w:spacing w:after="0" w:line="170" w:lineRule="exact"/>
        <w:rPr>
          <w:sz w:val="20"/>
          <w:szCs w:val="20"/>
          <w:color w:val="auto"/>
        </w:rPr>
      </w:pPr>
    </w:p>
    <w:p>
      <w:pPr>
        <w:ind w:left="1300" w:hanging="644"/>
        <w:spacing w:after="0"/>
        <w:tabs>
          <w:tab w:leader="none" w:pos="1300"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an Event of Default occurs and is continuing;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the Collateral Agent (acting reasonably) considers that any of the Floating Charged Assets, which is material to the context of the business as a whole, are in danger of being seized or is otherwise in jeopardy,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Collateral Agent may by notice in writing to the Company convert the floating charge created by Clause 6.4 (</w:t>
      </w:r>
      <w:r>
        <w:rPr>
          <w:rFonts w:ascii="Arial" w:cs="Arial" w:eastAsia="Arial" w:hAnsi="Arial"/>
          <w:sz w:val="18"/>
          <w:szCs w:val="18"/>
          <w:i w:val="1"/>
          <w:iCs w:val="1"/>
          <w:color w:val="auto"/>
        </w:rPr>
        <w:t>Floating Charge</w:t>
      </w:r>
      <w:r>
        <w:rPr>
          <w:rFonts w:ascii="Arial" w:cs="Arial" w:eastAsia="Arial" w:hAnsi="Arial"/>
          <w:sz w:val="18"/>
          <w:szCs w:val="18"/>
          <w:color w:val="auto"/>
        </w:rPr>
        <w:t>) into a fixed charge as regards any Floating Charge Assets as may be specified in that notice (and for the avoidance of doubt, in the case of paragraph (b) above, only to the extent that paragraph (b) applies to such Floating Charge Asset).</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addition and without prejudice to any law or other event resulting in crystallisation of the floating charge, but subject to any prohibition or restriction imposed by law, the floating charge created by Clause 6.4 (</w:t>
      </w:r>
      <w:r>
        <w:rPr>
          <w:rFonts w:ascii="Arial" w:cs="Arial" w:eastAsia="Arial" w:hAnsi="Arial"/>
          <w:sz w:val="18"/>
          <w:szCs w:val="18"/>
          <w:i w:val="1"/>
          <w:iCs w:val="1"/>
          <w:color w:val="auto"/>
        </w:rPr>
        <w:t>Floating Charge</w:t>
      </w:r>
      <w:r>
        <w:rPr>
          <w:rFonts w:ascii="Arial" w:cs="Arial" w:eastAsia="Arial" w:hAnsi="Arial"/>
          <w:sz w:val="18"/>
          <w:szCs w:val="18"/>
          <w:color w:val="auto"/>
        </w:rPr>
        <w:t>) shall without notice automatically be converted into a fixed charge over:</w:t>
      </w:r>
    </w:p>
    <w:p>
      <w:pPr>
        <w:spacing w:after="0" w:line="181" w:lineRule="exact"/>
        <w:rPr>
          <w:sz w:val="20"/>
          <w:szCs w:val="20"/>
          <w:color w:val="auto"/>
        </w:rPr>
      </w:pPr>
    </w:p>
    <w:p>
      <w:pPr>
        <w:jc w:val="both"/>
        <w:ind w:left="1300" w:hanging="644"/>
        <w:spacing w:after="0" w:line="259" w:lineRule="auto"/>
        <w:tabs>
          <w:tab w:leader="none" w:pos="1300" w:val="left"/>
        </w:tabs>
        <w:numPr>
          <w:ilvl w:val="0"/>
          <w:numId w:val="1017"/>
        </w:numPr>
        <w:rPr>
          <w:rFonts w:ascii="Arial" w:cs="Arial" w:eastAsia="Arial" w:hAnsi="Arial"/>
          <w:sz w:val="18"/>
          <w:szCs w:val="18"/>
          <w:color w:val="auto"/>
        </w:rPr>
      </w:pPr>
      <w:r>
        <w:rPr>
          <w:rFonts w:ascii="Arial" w:cs="Arial" w:eastAsia="Arial" w:hAnsi="Arial"/>
          <w:sz w:val="18"/>
          <w:szCs w:val="18"/>
          <w:color w:val="auto"/>
        </w:rPr>
        <w:t>any Floating Charge Assets which become subject or continue to be subject to any Security Interest in favour of any person other than the Collateral Agent or which is/are the subject of any sale, transfer or other disposition, in either case contrary to the covenants contained in this Deed or any of the other Loan Documents, immediately prior to such actual or purported Security Interest arising or such actual or purported sale, transfer or other disposition being made; or</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17"/>
        </w:numPr>
        <w:rPr>
          <w:rFonts w:ascii="Arial" w:cs="Arial" w:eastAsia="Arial" w:hAnsi="Arial"/>
          <w:sz w:val="18"/>
          <w:szCs w:val="18"/>
          <w:color w:val="auto"/>
        </w:rPr>
      </w:pPr>
      <w:r>
        <w:rPr>
          <w:rFonts w:ascii="Arial" w:cs="Arial" w:eastAsia="Arial" w:hAnsi="Arial"/>
          <w:sz w:val="18"/>
          <w:szCs w:val="18"/>
          <w:color w:val="auto"/>
        </w:rPr>
        <w:t>any Floating Charge Assets affected by any attachment, distress, execution or other legal process against such Floating Charge Asset, immediately prior to such distress, attachment, execution or other legal process.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930" w:name="page931"/>
    <w:bookmarkEnd w:id="930"/>
    <w:p>
      <w:pPr>
        <w:ind w:left="652" w:hanging="652"/>
        <w:spacing w:after="0"/>
        <w:tabs>
          <w:tab w:leader="none" w:pos="652" w:val="left"/>
        </w:tabs>
        <w:numPr>
          <w:ilvl w:val="0"/>
          <w:numId w:val="101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9" w:lineRule="exact"/>
        <w:rPr>
          <w:sz w:val="20"/>
          <w:szCs w:val="20"/>
          <w:color w:val="auto"/>
        </w:rPr>
      </w:pPr>
    </w:p>
    <w:p>
      <w:pPr>
        <w:jc w:val="both"/>
        <w:ind w:left="652" w:right="20" w:hanging="647"/>
        <w:spacing w:after="0" w:line="277" w:lineRule="auto"/>
        <w:tabs>
          <w:tab w:leader="none" w:pos="63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security constituted by this Deed shall, subject to any prohibition or restriction imposed by law, become enforceable upon and at any time after an Event of Default occurs and is continuing (an "</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170"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At any time after an Enforcement Event, the Collateral Agent may (but shall not be obliged to) enforce all or any part of the Charges at such time, on such terms and in such manner as it thinks fit, and take possession of, hold or dispose of all or any part of the Charged Assets, and may (whether or not it has taken possession or appointed a Receiver or Administrator) exercise any rights conferred by the Law of Property Act (as varied or extended by this Deed) on mortgagees or by this Deed or otherwise conferred by law on mortgagees.</w:t>
      </w:r>
    </w:p>
    <w:p>
      <w:pPr>
        <w:spacing w:after="0" w:line="171"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Without prejudice to the generality of the foregoing, at any time after an Enforcement Event, the Collateral Agent may (but shall not be obliged to) by notice to the company in writing appropriate all or any part of the Charged Assets which constitute financial collateral. If the Collateral Agent exercises such power of appropriation:</w:t>
      </w:r>
    </w:p>
    <w:p>
      <w:pPr>
        <w:spacing w:after="0" w:line="181" w:lineRule="exact"/>
        <w:rPr>
          <w:sz w:val="20"/>
          <w:szCs w:val="20"/>
          <w:color w:val="auto"/>
        </w:rPr>
      </w:pPr>
    </w:p>
    <w:p>
      <w:pPr>
        <w:jc w:val="both"/>
        <w:ind w:left="1292" w:hanging="644"/>
        <w:spacing w:after="0" w:line="279" w:lineRule="auto"/>
        <w:tabs>
          <w:tab w:leader="none" w:pos="1292" w:val="left"/>
        </w:tabs>
        <w:numPr>
          <w:ilvl w:val="0"/>
          <w:numId w:val="1019"/>
        </w:numPr>
        <w:rPr>
          <w:rFonts w:ascii="Arial" w:cs="Arial" w:eastAsia="Arial" w:hAnsi="Arial"/>
          <w:sz w:val="17"/>
          <w:szCs w:val="17"/>
          <w:color w:val="auto"/>
        </w:rPr>
      </w:pPr>
      <w:r>
        <w:rPr>
          <w:rFonts w:ascii="Arial" w:cs="Arial" w:eastAsia="Arial" w:hAnsi="Arial"/>
          <w:sz w:val="17"/>
          <w:szCs w:val="17"/>
          <w:color w:val="auto"/>
        </w:rPr>
        <w:t>it shall determine the value of any Charged Asset appropriated which consists of a financial instrument or a Credit Claim as at the time of exercise of that power as the current value of the cash payment which it determines would be received on a sale or other disposal of such Charged Asset effected for payment as soon as reasonably possible after such time. Any such determination shall be made by the Collateral Agent in a commercially reasonable manner (including by way of an independent valuation); and</w:t>
      </w:r>
    </w:p>
    <w:p>
      <w:pPr>
        <w:spacing w:after="0" w:line="171"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0"/>
          <w:numId w:val="1019"/>
        </w:numPr>
        <w:rPr>
          <w:rFonts w:ascii="Arial" w:cs="Arial" w:eastAsia="Arial" w:hAnsi="Arial"/>
          <w:sz w:val="18"/>
          <w:szCs w:val="18"/>
          <w:color w:val="auto"/>
        </w:rPr>
      </w:pPr>
      <w:r>
        <w:rPr>
          <w:rFonts w:ascii="Arial" w:cs="Arial" w:eastAsia="Arial" w:hAnsi="Arial"/>
          <w:sz w:val="18"/>
          <w:szCs w:val="18"/>
          <w:color w:val="auto"/>
        </w:rPr>
        <w:t>any Charged Asset appropriated which constitutes cash and which is not denominated in dollars shall be valued as if it were converted to dollars at the rate certified by the Collateral Agent to be the spot rate of exchange for the purchase of dollars with the currency of such cash as soon as practicable after the appropriation thereof.</w:t>
      </w:r>
    </w:p>
    <w:p>
      <w:pPr>
        <w:spacing w:after="0" w:line="181"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exercise by the Collateral Agent of its right of appropriation under Clause 12.3 (</w:t>
      </w:r>
      <w:r>
        <w:rPr>
          <w:rFonts w:ascii="Arial" w:cs="Arial" w:eastAsia="Arial" w:hAnsi="Arial"/>
          <w:sz w:val="18"/>
          <w:szCs w:val="18"/>
          <w:i w:val="1"/>
          <w:iCs w:val="1"/>
          <w:color w:val="auto"/>
        </w:rPr>
        <w:t>Enforcement</w:t>
      </w:r>
      <w:r>
        <w:rPr>
          <w:rFonts w:ascii="Arial" w:cs="Arial" w:eastAsia="Arial" w:hAnsi="Arial"/>
          <w:sz w:val="18"/>
          <w:szCs w:val="18"/>
          <w:color w:val="auto"/>
        </w:rPr>
        <w:t>) of any part of the Charged Assets shall not prejudice or affect any of the Collateral Agent's rights and remedies in respect of the remainder of the Charged Assets for any Secured Obligations which remain to be paid or discharged.</w:t>
      </w:r>
    </w:p>
    <w:p>
      <w:pPr>
        <w:spacing w:after="0" w:line="177" w:lineRule="exact"/>
        <w:rPr>
          <w:sz w:val="20"/>
          <w:szCs w:val="20"/>
          <w:color w:val="auto"/>
        </w:rPr>
      </w:pPr>
    </w:p>
    <w:p>
      <w:pPr>
        <w:ind w:left="652" w:hanging="652"/>
        <w:spacing w:after="0"/>
        <w:tabs>
          <w:tab w:leader="none" w:pos="652" w:val="left"/>
        </w:tabs>
        <w:numPr>
          <w:ilvl w:val="0"/>
          <w:numId w:val="1020"/>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SECURITY, OTHER SECURITY ETC.</w:t>
      </w:r>
    </w:p>
    <w:p>
      <w:pPr>
        <w:spacing w:after="0" w:line="229" w:lineRule="exact"/>
        <w:rPr>
          <w:sz w:val="20"/>
          <w:szCs w:val="20"/>
          <w:color w:val="auto"/>
        </w:rPr>
      </w:pPr>
    </w:p>
    <w:p>
      <w:pPr>
        <w:jc w:val="both"/>
        <w:ind w:left="652" w:hanging="647"/>
        <w:spacing w:after="0" w:line="302" w:lineRule="auto"/>
        <w:tabs>
          <w:tab w:leader="none" w:pos="63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Clauses 7.1 (</w:t>
      </w:r>
      <w:r>
        <w:rPr>
          <w:rFonts w:ascii="Arial" w:cs="Arial" w:eastAsia="Arial" w:hAnsi="Arial"/>
          <w:sz w:val="16"/>
          <w:szCs w:val="16"/>
          <w:i w:val="1"/>
          <w:iCs w:val="1"/>
          <w:color w:val="auto"/>
        </w:rPr>
        <w:t>Redemption of Security</w:t>
      </w:r>
      <w:r>
        <w:rPr>
          <w:rFonts w:ascii="Arial" w:cs="Arial" w:eastAsia="Arial" w:hAnsi="Arial"/>
          <w:sz w:val="16"/>
          <w:szCs w:val="16"/>
          <w:color w:val="auto"/>
        </w:rPr>
        <w:t>) and 7.2 (</w:t>
      </w:r>
      <w:r>
        <w:rPr>
          <w:rFonts w:ascii="Arial" w:cs="Arial" w:eastAsia="Arial" w:hAnsi="Arial"/>
          <w:sz w:val="16"/>
          <w:szCs w:val="16"/>
          <w:i w:val="1"/>
          <w:iCs w:val="1"/>
          <w:color w:val="auto"/>
        </w:rPr>
        <w:t>Redemption of Security</w:t>
      </w:r>
      <w:r>
        <w:rPr>
          <w:rFonts w:ascii="Arial" w:cs="Arial" w:eastAsia="Arial" w:hAnsi="Arial"/>
          <w:sz w:val="16"/>
          <w:szCs w:val="16"/>
          <w:color w:val="auto"/>
        </w:rPr>
        <w:t>), the Charges, covenants, undertakings and provisions contained in or granted pursuant to this Deed shall remain in full force and effect as a continuing security to the Collateral Agent for the Secured Obligations and shall not be satisfied, discharged or affected by any intermediate payment or settlement of account of all or part of the Secured Obligations (whether any Secured Obligations remain outstanding thereafter) or any other act, event, matter, or thing whatsoever.</w:t>
      </w:r>
    </w:p>
    <w:p>
      <w:pPr>
        <w:spacing w:after="0" w:line="154"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Charges are cumulative, in addition to and independent of, and shall neither be merged with nor prejudiced by nor in any way exclude or prejudice, any other Security Interest, guarantee, indemnity, right of recourse or any other right whatsoever which the Collateral Agent may now or hereafter hold or have (or would apart from this Deed or the Charges hold or have) from the Company or any other person in respect of any of the Secured Obligations.</w:t>
      </w:r>
    </w:p>
    <w:p>
      <w:pPr>
        <w:spacing w:after="0" w:line="200" w:lineRule="exact"/>
        <w:rPr>
          <w:sz w:val="20"/>
          <w:szCs w:val="20"/>
          <w:color w:val="auto"/>
        </w:rPr>
      </w:pPr>
    </w:p>
    <w:p>
      <w:pPr>
        <w:spacing w:after="0" w:line="20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32" w:right="339" w:bottom="1440" w:gutter="0" w:footer="0" w:header="0"/>
        </w:sectPr>
      </w:pPr>
    </w:p>
    <w:bookmarkStart w:id="931" w:name="page932"/>
    <w:bookmarkEnd w:id="931"/>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restriction on consolidation of mortgages contained in section 93 of the Law of Property Act shall not apply in relation to the Charges.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If the Collateral Agent receives or is deemed to be affected by notice (actual or constructive) of any Security Interest over any Charged Asset or if an Insolvency Event occurs in relation to the Company:</w:t>
      </w:r>
    </w:p>
    <w:p>
      <w:pPr>
        <w:spacing w:after="0" w:line="170" w:lineRule="exact"/>
        <w:rPr>
          <w:sz w:val="20"/>
          <w:szCs w:val="20"/>
          <w:color w:val="auto"/>
        </w:rPr>
      </w:pPr>
    </w:p>
    <w:p>
      <w:pPr>
        <w:jc w:val="both"/>
        <w:ind w:left="1300" w:right="20" w:hanging="644"/>
        <w:spacing w:after="0" w:line="264" w:lineRule="auto"/>
        <w:tabs>
          <w:tab w:leader="none" w:pos="1300"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the Collateral Agent may open a new account or accounts with or on behalf of the Company (whether or not it allows any existing account to continue) and, if it does not, it shall nevertheless be deemed to have done so at the time it received or was deemed to have received such notice or at the time that the Insolvency Event occurred;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all payments made by the Company to the Collateral Agent after the Collateral Agent received or is deemed to have received such notice or after such Insolvency Event occurred shall be credited or deemed to have been credited to the new account or accounts, and in no circumstances whatsoever shall operate to reduce the Secured Obligations as at the time the Collateral Agent received or was deemed to have received such notice or as at the time that such Insolvency Event occurred.</w:t>
      </w:r>
    </w:p>
    <w:p>
      <w:pPr>
        <w:spacing w:after="0" w:line="18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This Deed shall remain valid and enforceable notwithstanding any change in the name, composition or constitution of the Collateral Agent or the Company or any amalgamation or consolidation by the Collateral Agent or the Company with any other corporation.</w:t>
      </w:r>
    </w:p>
    <w:p>
      <w:pPr>
        <w:spacing w:after="0" w:line="166" w:lineRule="exact"/>
        <w:rPr>
          <w:sz w:val="20"/>
          <w:szCs w:val="20"/>
          <w:color w:val="auto"/>
        </w:rPr>
      </w:pPr>
    </w:p>
    <w:p>
      <w:pPr>
        <w:ind w:left="660" w:hanging="652"/>
        <w:spacing w:after="0"/>
        <w:tabs>
          <w:tab w:leader="none" w:pos="660" w:val="left"/>
        </w:tabs>
        <w:numPr>
          <w:ilvl w:val="0"/>
          <w:numId w:val="1022"/>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 POWER OF ATTORNEY, ETC.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shall, at its own cost, promptly take whatever action the Collateral Agent or any Receiver may reasonably require with a view to:</w:t>
      </w:r>
    </w:p>
    <w:p>
      <w:pPr>
        <w:spacing w:after="0" w:line="225" w:lineRule="exact"/>
        <w:rPr>
          <w:sz w:val="20"/>
          <w:szCs w:val="20"/>
          <w:color w:val="auto"/>
        </w:rPr>
      </w:pPr>
    </w:p>
    <w:p>
      <w:pPr>
        <w:ind w:left="1300" w:hanging="644"/>
        <w:spacing w:after="0"/>
        <w:tabs>
          <w:tab w:leader="none" w:pos="130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creating, preserving, perfecting or protecting any of the Charges or the first priority of any of the Charges;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facilitating the enforcement of the Security created under this Deed or the exercise of any rights vested in the Collateral Agent or any Receiver in connection with this Deed;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including, without limitation, executing such assignments, transfers and conveyances of the Charged Assets (whether in favour of the Collateral Agent,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932" w:name="page933"/>
    <w:bookmarkEnd w:id="932"/>
    <w:p>
      <w:pPr>
        <w:jc w:val="both"/>
        <w:ind w:left="652" w:hanging="647"/>
        <w:spacing w:after="0" w:line="269" w:lineRule="auto"/>
        <w:tabs>
          <w:tab w:leader="none" w:pos="63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Company irrevocably and by way of security appoints the Collateral Agent and every Receiver jointly and also severally to be its attorney (with full power to appoint substitutes and to sub-delegate, including power to authorise the person so appointed to make further appointments) on behalf of the Company and in its name or otherwise, and in such manner as the attorney may think fit, after the occurrence of an Enforcement Event, to execute, deliver, perfect and do any deed, document, act or thing (a) which the Collateral Agent or such Receiver (or any such substitute or sub-delegate) may, reasonably consider appropriate in connection with the exercise of any of the rights of the Collateral Agent or such Receiver, or (b) which the Company is obliged to execute or do under this Deed but has not executed or done in a timely manner (including the execution and delivery of mortgages, assignments, transfers or charges or notices or directions in relation to any of the Charged Assets). Without prejudice to the generality of its right to appoint substitutes and to sub-delegate, the Collateral Agent may appoint the Receiver as its substitute or sub-delegate, and any person appointed the substitute or sub-delegate of the Collateral Agent shall, in connection with the exercise of such power of attorney, be the agent of the Company. The Company acknowledges that such power of attorney is as regards the Collateral Agent and any Receiver granted irrevocably and for value to secure proprietary interests in and the performance of obligations owed to the respective donees within the meaning of the Powers of Attorney Act 1971.</w:t>
      </w:r>
    </w:p>
    <w:p>
      <w:pPr>
        <w:spacing w:after="0" w:line="180"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Company hereby ratifies and confirms and agrees to ratify and confirm whatever any such attorney shall do or purport to do in the exercise or purported exercise of all or any of the rights referred to in this Clause 14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(save where any such attorney acts with gross negligence or wilful misconduct or otherwise exceeds its rights under this Clause 14 (</w:t>
      </w:r>
      <w:r>
        <w:rPr>
          <w:rFonts w:ascii="Arial" w:cs="Arial" w:eastAsia="Arial" w:hAnsi="Arial"/>
          <w:sz w:val="18"/>
          <w:szCs w:val="18"/>
          <w:i w:val="1"/>
          <w:iCs w:val="1"/>
          <w:color w:val="auto"/>
        </w:rPr>
        <w:t>Further Assurances,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 etc.</w:t>
      </w:r>
      <w:r>
        <w:rPr>
          <w:rFonts w:ascii="Arial" w:cs="Arial" w:eastAsia="Arial" w:hAnsi="Arial"/>
          <w:sz w:val="18"/>
          <w:szCs w:val="18"/>
          <w:color w:val="auto"/>
        </w:rPr>
        <w:t>)).</w:t>
      </w:r>
    </w:p>
    <w:p>
      <w:pPr>
        <w:spacing w:after="0" w:line="187"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References in Clause 14.1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and Clause 14.2 (</w:t>
      </w:r>
      <w:r>
        <w:rPr>
          <w:rFonts w:ascii="Arial" w:cs="Arial" w:eastAsia="Arial" w:hAnsi="Arial"/>
          <w:sz w:val="18"/>
          <w:szCs w:val="18"/>
          <w:i w:val="1"/>
          <w:iCs w:val="1"/>
          <w:color w:val="auto"/>
        </w:rPr>
        <w:t>Further Assurances, Power of Attorney, etc.</w:t>
      </w:r>
      <w:r>
        <w:rPr>
          <w:rFonts w:ascii="Arial" w:cs="Arial" w:eastAsia="Arial" w:hAnsi="Arial"/>
          <w:sz w:val="18"/>
          <w:szCs w:val="18"/>
          <w:color w:val="auto"/>
        </w:rPr>
        <w:t>) to the Collateral Agent or the Receiver shall include references to any Delegate.</w:t>
      </w:r>
    </w:p>
    <w:p>
      <w:pPr>
        <w:spacing w:after="0" w:line="166" w:lineRule="exact"/>
        <w:rPr>
          <w:sz w:val="20"/>
          <w:szCs w:val="20"/>
          <w:color w:val="auto"/>
        </w:rPr>
      </w:pPr>
    </w:p>
    <w:p>
      <w:pPr>
        <w:ind w:left="652" w:hanging="652"/>
        <w:spacing w:after="0"/>
        <w:tabs>
          <w:tab w:leader="none" w:pos="652" w:val="left"/>
        </w:tabs>
        <w:numPr>
          <w:ilvl w:val="0"/>
          <w:numId w:val="1024"/>
        </w:numPr>
        <w:rPr>
          <w:rFonts w:ascii="Arial" w:cs="Arial" w:eastAsia="Arial" w:hAnsi="Arial"/>
          <w:sz w:val="18"/>
          <w:szCs w:val="18"/>
          <w:b w:val="1"/>
          <w:bCs w:val="1"/>
          <w:color w:val="auto"/>
        </w:rPr>
      </w:pPr>
      <w:r>
        <w:rPr>
          <w:rFonts w:ascii="Arial" w:cs="Arial" w:eastAsia="Arial" w:hAnsi="Arial"/>
          <w:sz w:val="18"/>
          <w:szCs w:val="18"/>
          <w:b w:val="1"/>
          <w:bCs w:val="1"/>
          <w:color w:val="auto"/>
        </w:rPr>
        <w:t>THE COLLATERAL AGENT'S RIGHTS</w:t>
      </w:r>
    </w:p>
    <w:p>
      <w:pPr>
        <w:spacing w:after="0" w:line="229"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Secured Obligations shall become due for the purposes of section 101 of the Law of Property Act, and the statutory powers of sale and enforcement and of appointing a Receiver which are conferred on the Collateral Agent under that Act (as varied and extended by this Deed) and all other rights of a mortgagee conferred by the Law of Property Act shall be deemed to arise, immediately after execution of and in accordance with this Deed.</w:t>
      </w:r>
    </w:p>
    <w:p>
      <w:pPr>
        <w:spacing w:after="0" w:line="187" w:lineRule="exact"/>
        <w:rPr>
          <w:sz w:val="20"/>
          <w:szCs w:val="20"/>
          <w:color w:val="auto"/>
        </w:rPr>
      </w:pPr>
    </w:p>
    <w:p>
      <w:pPr>
        <w:jc w:val="both"/>
        <w:ind w:left="652" w:right="20" w:hanging="647"/>
        <w:spacing w:after="0" w:line="264" w:lineRule="auto"/>
        <w:tabs>
          <w:tab w:leader="none" w:pos="63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Section 103 of the Law of Property Act shall not apply to this Deed and upon the occurrence of an Enforcement Event the Charges shall become immediately enforceable and the rights conferred by the Law of Property Act and this Deed immediately exercisable by the Collateral Agent without the restrictions contained in the Law of Property Act.</w:t>
      </w:r>
    </w:p>
    <w:p>
      <w:pPr>
        <w:spacing w:after="0" w:line="181"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At any time after an Enforcement Event occurs, the Collateral Agent shall, in addition to the powers of leasing and accepting surrenders of leases conferred by section 99 and 100 of the Law of Property Act, have power to make any lease or agreement to lease at a premium or otherwise, accept surrenders of leases and grant options, in each case on any terms and in any manner the Collateral Agent thinks fit without needing to comply with any restrictions imposed by such sections or otherwise.</w:t>
      </w:r>
    </w:p>
    <w:p>
      <w:pPr>
        <w:spacing w:after="0" w:line="200" w:lineRule="exact"/>
        <w:rPr>
          <w:sz w:val="20"/>
          <w:szCs w:val="20"/>
          <w:color w:val="auto"/>
        </w:rPr>
      </w:pPr>
    </w:p>
    <w:p>
      <w:pPr>
        <w:spacing w:after="0" w:line="20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9" w:right="339" w:bottom="1440" w:gutter="0" w:footer="0" w:header="0"/>
        </w:sectPr>
      </w:pPr>
    </w:p>
    <w:bookmarkStart w:id="933" w:name="page934"/>
    <w:bookmarkEnd w:id="933"/>
    <w:p>
      <w:pPr>
        <w:jc w:val="both"/>
        <w:ind w:left="540" w:hanging="647"/>
        <w:spacing w:after="0" w:line="276" w:lineRule="auto"/>
        <w:tabs>
          <w:tab w:leader="none" w:pos="5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In making any sale or other disposal of any Charged Assets or making any acquisition in exercise of their respective rights, the Collateral Agent or any Receiver may do so for such consideration (including cash, shares, debentures, loan capital or other securities whatsoever, consideration fluctuating according to or dependent on profit or turnover, and consideration whose amount is to be determined by a third party, and whether such consideration is receivable in a lump sum or by instalments) and otherwise on such terms and conditions and in such manner as it or he reasonably thinks fit, and may also grant any option to purchase and effect exchanges.</w:t>
      </w:r>
    </w:p>
    <w:p>
      <w:pPr>
        <w:spacing w:after="0" w:line="173" w:lineRule="exact"/>
        <w:rPr>
          <w:sz w:val="20"/>
          <w:szCs w:val="20"/>
          <w:color w:val="auto"/>
        </w:rPr>
      </w:pPr>
    </w:p>
    <w:p>
      <w:pPr>
        <w:jc w:val="both"/>
        <w:ind w:left="540" w:hanging="647"/>
        <w:spacing w:after="0" w:line="259" w:lineRule="auto"/>
        <w:tabs>
          <w:tab w:leader="none" w:pos="5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The Collateral Agent may at any time delegate to any person either generally or specifically, on such terms and conditions (including power to sub-delegate) and in such manner as the Collateral Agent reasonably thinks fit, any rights (including the power of attorney) from time to time exercisable by the Collateral Agent under or in connection with this Deed. No such delegation shall preclude the subsequent exercise by the Collateral Agent of such right or any subsequent delegation or revocation thereof.</w:t>
      </w:r>
    </w:p>
    <w:p>
      <w:pPr>
        <w:spacing w:after="0" w:line="187" w:lineRule="exact"/>
        <w:rPr>
          <w:sz w:val="20"/>
          <w:szCs w:val="20"/>
          <w:color w:val="auto"/>
        </w:rPr>
      </w:pPr>
    </w:p>
    <w:p>
      <w:pPr>
        <w:jc w:val="both"/>
        <w:ind w:left="540" w:hanging="647"/>
        <w:spacing w:after="0" w:line="268" w:lineRule="auto"/>
        <w:tabs>
          <w:tab w:leader="none" w:pos="5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The Collateral Agent may, at any time and from time to time and without prejudice to the Collateral Agent's other rights, set off any Secured Obligations (to the extent beneficially owned by the Collateral Agent) against any obligation or liability (matured or not and whether actual or contingent) owing by the Collateral Agent to, or any amount and sum held or received or receivable by it on behalf or to the order of, the Company or to which the Company is beneficially entitled (such rights extending to the set off or transfer of all or any part of any credit balance on any such account, whether or not then due and whatever the place of payment or booking branch, in or towards satisfaction of any Secured Obligations) to the extent permitted under both the Loan Agreement and any applicable Requirements of Law. For that purpose, if any of the Secured Obligations is in a different currency from such obligation, liability, amount or sum (including credit balance), the Collateral Agent may effect any necessary conversion at its then prevailing spot rates of exchange (as conclusively determined by the Collateral Agent) and may pay out any additional sum which the UK or any other governmental or regulatory body of any jurisdiction may require, as a matter of law, the Collateral Agent to pay in respect of such conversion. The Collateral Agent may in its absolute discretion (in good faith) estimate the amount of any liability of the Company which is unascertained or contingent and set off such estimated amount, and no amount shall be payable by the Collateral Agent to the Company unless and until Payment in Full. The Collateral Agent shall not be obliged to exercise any of its rights under this Clause, which shall be without prejudice and in addition to any rights of set-off, combination of accounts, bankers' lien or other right to which it is at any time otherwise entitled (whether by operation of law, contract or otherwise).</w:t>
      </w:r>
    </w:p>
    <w:p>
      <w:pPr>
        <w:spacing w:after="0" w:line="185" w:lineRule="exact"/>
        <w:rPr>
          <w:sz w:val="20"/>
          <w:szCs w:val="20"/>
          <w:color w:val="auto"/>
        </w:rPr>
      </w:pPr>
    </w:p>
    <w:p>
      <w:pPr>
        <w:jc w:val="both"/>
        <w:ind w:left="540" w:hanging="647"/>
        <w:spacing w:after="0" w:line="264" w:lineRule="auto"/>
        <w:tabs>
          <w:tab w:leader="none" w:pos="5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934" w:name="page935"/>
    <w:bookmarkEnd w:id="934"/>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If, after the occurrence of an Enforcement Event, the Company for any reason fails to observe or punctually to perform or to procure the observance or punctual performance of any of the obligations expressed to be assumed by it to the Collateral Agent under this Deed, the Collateral Agent shall have the right (but shall not be obliged), on behalf of or in the name of the Company or otherwise, to perform the obligation and to take any steps which the Collateral Agent may reasonably consider appropriate with a view to remedying, or mitigating the consequences of, the failure, but the exercise of this right, or the failure to exercise it, shall in no circumstances prejudice the Collateral Agent's rights under this Deed or otherwise or constitute the Collateral Agent a mortgagee in possession.</w:t>
      </w:r>
    </w:p>
    <w:p>
      <w:pPr>
        <w:spacing w:after="0" w:line="174" w:lineRule="exact"/>
        <w:rPr>
          <w:sz w:val="20"/>
          <w:szCs w:val="20"/>
          <w:color w:val="auto"/>
        </w:rPr>
      </w:pPr>
    </w:p>
    <w:p>
      <w:pPr>
        <w:ind w:left="660" w:hanging="652"/>
        <w:spacing w:after="0"/>
        <w:tabs>
          <w:tab w:leader="none" w:pos="660" w:val="left"/>
        </w:tabs>
        <w:numPr>
          <w:ilvl w:val="0"/>
          <w:numId w:val="102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ADMINISTRATOR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Paragraph 14 of Schedule B1 to the Insolvency Act applies to the floating charge created hereunder.</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Subject to any relevant provisions of the Insolvency Act, the Collateral Agent may, by any instrument or deed of appointment, appoint one or more persons to be the Administrator of the Company at any time after:</w:t>
      </w:r>
    </w:p>
    <w:p>
      <w:pPr>
        <w:spacing w:after="0" w:line="170" w:lineRule="exact"/>
        <w:rPr>
          <w:sz w:val="20"/>
          <w:szCs w:val="20"/>
          <w:color w:val="auto"/>
        </w:rPr>
      </w:pPr>
    </w:p>
    <w:p>
      <w:pPr>
        <w:ind w:left="1300" w:hanging="644"/>
        <w:spacing w:after="0"/>
        <w:tabs>
          <w:tab w:leader="none" w:pos="130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the occurrence of an Enforcement Event;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being requested to do so by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any application having been made to the court for an administration order under the Insolvency Act; or</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any person having ceased to be an Administrator as a result of any event specified in paragraph 90 of Schedule B1 to the Insolvency Act; or</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any notice of intention to appoint an Administrator having been given by any person or persons entitled to make such appointment under the Insolvency Act.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Where any such appointment is made at a time when an Administrator continues in office, the Administrator shall act either jointly or concurrently with the Administrator previously appointed hereunder, as the appointment specifies.</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Subject to any applicable order of the Court, the Collateral Agent may replace any Administrator, or seek an order replacing the Administrator, in any manner allowed by the Insolvency Act.</w:t>
      </w:r>
    </w:p>
    <w:p>
      <w:pPr>
        <w:spacing w:after="0" w:line="170"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Where the Administrator was appointed by the Collateral Agent under paragraph 14 of Schedule B1 to the Insolvency Act, the Collateral Agent may, by notice in writing to the Company, replace the Administrator in accordance with paragraph 92 of Schedule B1 to the Insolvency Act.</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Every such appointment shall take effect at the time and in the manner specified by the Insolvency Act.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If at any time and by virtue of any such appointment(s) any two or more persons shall hold office as Administrators of the same assets or income, such Administrators may act jointly or concurrently as the appointment specifies so that, if appointed to act concurrently, each one of such Administrators shall be entitled (unless the contrary shall be stated in any of the deed(s) or other instrument(s) appointing them) to exercise all the functions conferred on an Administrator by the Insolvency Act.</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935" w:name="page936"/>
    <w:bookmarkEnd w:id="935"/>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Every such instrument, notice or deed of appointment, and every delegation or appointment by the Collateral Agent in the exercise of any right to delegate its powers herein contained, may be made in writing under the hand of any manager or officer of the Collateral Agent or any other authorised person or of any Delegate.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Every Administrator shall have all the powers of an administrator under the Insolvency Act.</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16.10</w:t>
        <w:tab/>
        <w:t>In exercising his functions hereunder and under the Insolvency Act, the Administrator acts as agent of the Company and does not act as agent of the Collateral Agent.</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16.11</w:t>
        <w:tab/>
        <w:t>Every Administrator shall be entitled to remuneration for his services in the manner fixed by or pursuant to the Insolvency Act or the Insolvency Rules.</w:t>
      </w:r>
    </w:p>
    <w:p>
      <w:pPr>
        <w:spacing w:after="0" w:line="166" w:lineRule="exact"/>
        <w:rPr>
          <w:sz w:val="20"/>
          <w:szCs w:val="20"/>
          <w:color w:val="auto"/>
        </w:rPr>
      </w:pPr>
    </w:p>
    <w:p>
      <w:pPr>
        <w:ind w:left="660" w:hanging="652"/>
        <w:spacing w:after="0"/>
        <w:tabs>
          <w:tab w:leader="none" w:pos="660" w:val="left"/>
        </w:tabs>
        <w:numPr>
          <w:ilvl w:val="0"/>
          <w:numId w:val="1027"/>
        </w:numPr>
        <w:rPr>
          <w:rFonts w:ascii="Arial" w:cs="Arial" w:eastAsia="Arial" w:hAnsi="Arial"/>
          <w:sz w:val="18"/>
          <w:szCs w:val="18"/>
          <w:b w:val="1"/>
          <w:bCs w:val="1"/>
          <w:color w:val="auto"/>
        </w:rPr>
      </w:pPr>
      <w:r>
        <w:rPr>
          <w:rFonts w:ascii="Arial" w:cs="Arial" w:eastAsia="Arial" w:hAnsi="Arial"/>
          <w:sz w:val="18"/>
          <w:szCs w:val="18"/>
          <w:b w:val="1"/>
          <w:bCs w:val="1"/>
          <w:color w:val="auto"/>
        </w:rPr>
        <w:t>RECEIVER</w:t>
      </w:r>
    </w:p>
    <w:p>
      <w:pPr>
        <w:spacing w:after="0" w:line="22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None of the restrictions imposed by the Law of Property Act in relation to the appointment of receivers or the giving of notice or otherwise shall apply. At any time and from time to time upon or after request by the Company or the occurrence of an Enforcement Event, the Collateral Agent may, and in addition to all statutory and other powers of appointment or otherwise, by any instrument or deed signed under the hand of any manager or officer of the Collateral Agent or any other authorised person or of any Delegate, appoint such person or persons (including an officer or officers of the Collateral Agent) as it reasonably thinks fit to be Receiver or Receivers (to act jointly and/or severally as the Collateral Agent may specify in the appointment) of (a) any Fixed Charge Asset or Assets, and/or (b) any Floating Charge Asset or Assets, so that each one of such Receivers shall be entitled (unless the contrary shall be stated in any deed(s) or other instrument(s) appointing them) to exercise individually all the powers and discretions conferred on the Receivers. If any Receiver is appointed of only part of the Charged Assets, references to the rights conferred on a Receiver by any provision of this Deed shall be construed as references to that part of the Charged Assets or any part thereof.</w:t>
      </w:r>
    </w:p>
    <w:p>
      <w:pPr>
        <w:spacing w:after="0" w:line="16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The Collateral Agent may appoint any Receiver on any terms the Collateral Agent reasonably thinks fit. The Collateral Agent may by any instrument or deed signed under the hand of any manager or officer of the Collateral Agent or any other authorised person or any Delegate (subject to section 62 of the Insolvency Act) remove a Receiver appointed by it whether or not appointing another in his place, and may also appoint another Receiver to act with any other Receiver or to replace any Receiver who resigns, retires or otherwise ceases to hold office.</w:t>
      </w:r>
    </w:p>
    <w:p>
      <w:pPr>
        <w:spacing w:after="0" w:line="17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exclusion of any part of the Charged Assets from the appointment of any Receiver shall not preclude the Collateral Agent from subsequently extending his appointment (or that of the Receiver replacing him) to that part or appointing another Receiver over any other part of the Charged Assets.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10" w:right="339" w:bottom="1440" w:gutter="0" w:footer="0" w:header="0"/>
        </w:sectPr>
      </w:pPr>
    </w:p>
    <w:bookmarkStart w:id="936" w:name="page937"/>
    <w:bookmarkEnd w:id="936"/>
    <w:p>
      <w:pPr>
        <w:jc w:val="both"/>
        <w:ind w:left="540" w:hanging="647"/>
        <w:spacing w:after="0" w:line="272" w:lineRule="auto"/>
        <w:tabs>
          <w:tab w:leader="none" w:pos="5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Any Receiver shall, so far as the law permits, be the agent of the Company and (subject to any restriction or limitation imposed by applicable law) the Company shall be solely responsible for his remuneration and his acts, omissions or defaults and solely liable on any contracts or engagements made, entered into or adopted by him and any losses, liabilities, costs, charges and expenses incurred by him; and in no circumstances whatsoever shall the Collateral Agent be in any way responsible for or incur any liability in connection with any Receiver's acts, omissions, defaults, contracts, engagements, Losses, liabilities, costs, charges, expenses, misconduct, negligence or default, save, in each case, in circumstances where the liability arises as a direct result of the Receiver’s gross negligence or wilful misconduct. If a liquidator of the Company is appointed, the Receiver shall act as principal and not as agent for the Collateral Agent.</w:t>
      </w:r>
    </w:p>
    <w:p>
      <w:pPr>
        <w:spacing w:after="0" w:line="178" w:lineRule="exact"/>
        <w:rPr>
          <w:sz w:val="20"/>
          <w:szCs w:val="20"/>
          <w:color w:val="auto"/>
        </w:rPr>
      </w:pPr>
    </w:p>
    <w:p>
      <w:pPr>
        <w:jc w:val="both"/>
        <w:ind w:left="540" w:hanging="647"/>
        <w:spacing w:after="0" w:line="271" w:lineRule="auto"/>
        <w:tabs>
          <w:tab w:leader="none" w:pos="5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Subject to section 36 of the Insolvency Act, the remuneration of any Receiver may be fixed by the Collateral Agent without being limited to the maximum rate specified by sections 109(6) of the Law of Property Act (and may be or include a commission calculated by reference to the gross amount of all money received or otherwise and may include remuneration in connection with claims, actions or Proceedings made or brought against the Receiver by the Company or any other person or the performance or discharge of any obligation imposed upon him by statute or otherwise), but such remuneration shall be payable by the Company alone; and the amount of such remuneration may be debited by the Collateral Agent from any account of the Company but shall, in any event, form part of the Secured Obligations and accordingly be secured on the Charged Assets under the Charges. Such remuneration shall be paid on such terms and in such manner as the Collateral Agent and Receiver may from time to time reasonably agree or failing such agreement as the Collateral Agent reasonably determines.</w:t>
      </w:r>
    </w:p>
    <w:p>
      <w:pPr>
        <w:spacing w:after="0" w:line="179" w:lineRule="exact"/>
        <w:rPr>
          <w:sz w:val="20"/>
          <w:szCs w:val="20"/>
          <w:color w:val="auto"/>
        </w:rPr>
      </w:pPr>
    </w:p>
    <w:p>
      <w:pPr>
        <w:jc w:val="both"/>
        <w:ind w:left="540" w:hanging="647"/>
        <w:spacing w:after="0" w:line="253" w:lineRule="auto"/>
        <w:tabs>
          <w:tab w:leader="none" w:pos="5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Any Receiver may be invested by the Collateral Agent with such of the powers, authorities and discretions exercisable by the Collateral Agent under this Deed as the Collateral Agent may reasonably think fit. Without prejudice to the generality of the foregoing, any Receiver shall (subject to any restrictions in his appointment) have in relation to the Relevant Charged Assets, in each case in the Company's name or his own name and on such terms and in such manner as he sees fit, all the rights referred to in Schedule 1 (and where applicable Schedule 2) of the Insolvency Act; all rights of the Collateral Agent under this Deed; all the rights conferred by the Law of Property Act on mortgagors, mortgagees in possession and receivers appointed under the Law of Property Act; all rights of an absolute beneficial owner including rights to do or omit to do anything the Company itself could do or omit; and all rights to do all things the Receiver considers necessary, desirable or incidental to any of his rights or exercise thereof including the realisation of any Relevant Charged Assets and getting in of any Assets which would when got in be Relevant Charged Assets.</w:t>
      </w:r>
    </w:p>
    <w:p>
      <w:pPr>
        <w:spacing w:after="0" w:line="197" w:lineRule="exact"/>
        <w:rPr>
          <w:sz w:val="20"/>
          <w:szCs w:val="20"/>
          <w:color w:val="auto"/>
        </w:rPr>
      </w:pPr>
    </w:p>
    <w:p>
      <w:pPr>
        <w:jc w:val="both"/>
        <w:ind w:left="540" w:right="20" w:hanging="647"/>
        <w:spacing w:after="0" w:line="264" w:lineRule="auto"/>
        <w:tabs>
          <w:tab w:leader="none" w:pos="5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The Collateral Agent shall not (save only to the extent caused by its own negligence, fraud, wilful misconduct, breach of trust or breach of any obligation of the Collateral Agent hereunder) be liable for any losses or damages arising from any exercise of his authorities, powers or discretions by any Receiver.</w:t>
      </w:r>
    </w:p>
    <w:p>
      <w:pPr>
        <w:spacing w:after="0" w:line="181" w:lineRule="exact"/>
        <w:rPr>
          <w:sz w:val="20"/>
          <w:szCs w:val="20"/>
          <w:color w:val="auto"/>
        </w:rPr>
      </w:pPr>
    </w:p>
    <w:p>
      <w:pPr>
        <w:jc w:val="both"/>
        <w:ind w:left="540" w:hanging="647"/>
        <w:spacing w:after="0" w:line="264" w:lineRule="auto"/>
        <w:tabs>
          <w:tab w:leader="none" w:pos="5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The Collateral Agent may from time to time and at any time require any Receiver to give security for the due performance of his duties as such Receiver and may fix the nature and amount of the security to be so given but the Collateral Agent shall not be bound in any case to require any such security.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9" w:right="339" w:bottom="1440" w:gutter="0" w:footer="0" w:header="0"/>
        </w:sectPr>
      </w:pPr>
    </w:p>
    <w:bookmarkStart w:id="937" w:name="page938"/>
    <w:bookmarkEnd w:id="937"/>
    <w:p>
      <w:pPr>
        <w:ind w:left="652" w:hanging="652"/>
        <w:spacing w:after="0"/>
        <w:tabs>
          <w:tab w:leader="none" w:pos="652" w:val="left"/>
        </w:tabs>
        <w:numPr>
          <w:ilvl w:val="0"/>
          <w:numId w:val="1028"/>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MONEYS</w:t>
      </w:r>
    </w:p>
    <w:p>
      <w:pPr>
        <w:spacing w:after="0" w:line="229" w:lineRule="exact"/>
        <w:rPr>
          <w:rFonts w:ascii="Arial" w:cs="Arial" w:eastAsia="Arial" w:hAnsi="Arial"/>
          <w:sz w:val="18"/>
          <w:szCs w:val="18"/>
          <w:b w:val="1"/>
          <w:bCs w:val="1"/>
          <w:color w:val="auto"/>
        </w:rPr>
      </w:pPr>
    </w:p>
    <w:p>
      <w:pPr>
        <w:ind w:left="652"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moneys realised, received or recovered by the Collateral Agent or any Receiver shall be applied in accordance with the terms of the Loan Agreement.</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028"/>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THIRD PARTIES</w:t>
      </w:r>
    </w:p>
    <w:p>
      <w:pPr>
        <w:spacing w:after="0" w:line="229"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Without prejudice to any other provision of this Deed, the Secured Obligations shall become due for the purposes of section 101 of the Law of Property Act, and the statutory powers of sale and enforcement and of appointing a Receiver which are conferred upon the Collateral Agent (as varied and extended by this Deed) and all other rights of a mortgagee conferred by the Law of Property Act shall in favour of any purchaser be deemed to arise and be exercisable, immediately after the execution of and in accordance with this Deed.</w:t>
      </w:r>
    </w:p>
    <w:p>
      <w:pPr>
        <w:spacing w:after="0" w:line="171" w:lineRule="exact"/>
        <w:rPr>
          <w:sz w:val="20"/>
          <w:szCs w:val="20"/>
          <w:color w:val="auto"/>
        </w:rPr>
      </w:pPr>
    </w:p>
    <w:p>
      <w:pPr>
        <w:jc w:val="both"/>
        <w:ind w:left="652" w:hanging="647"/>
        <w:spacing w:after="0" w:line="289" w:lineRule="auto"/>
        <w:tabs>
          <w:tab w:leader="none" w:pos="632"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No purchaser from, or other person dealing with, the Collateral Agent, any Receiver or any Delegate shall be concerned to enquire whether any event has happened upon which any of the rights which they have exercised or purported to exercise under or in connection with this Deed, the Law of Property Act or the Insolvency Act has arisen or become exercisable, whether the Secured Obligations remain outstanding, whether any event has happened to authorise the Collateral Agent, any Receiver or any Delegate to act, or whether the Receiver is authorised to act, whether any consents, regulations, restrictions or directions relating to such rights have been obtained or complied with, or otherwise as to the propriety, regularity or validity of the exercise or purported exercise of any such right or as to the application of any moneys borrowed or raised or other realisation proceeds; and the title and position of a purchaser or such person shall not be impeachable by reference to any of those matters and the protections contained in sections 104 to 107 of the Law of Property Act, section 42(3) Insolvency Act or any other legislation from time to time in force shall apply to any person purchasing from or dealing with a Receiver, the Collateral Agent or any Delegate.</w:t>
      </w:r>
    </w:p>
    <w:p>
      <w:pPr>
        <w:spacing w:after="0" w:line="167" w:lineRule="exact"/>
        <w:rPr>
          <w:sz w:val="20"/>
          <w:szCs w:val="20"/>
          <w:color w:val="auto"/>
        </w:rPr>
      </w:pPr>
    </w:p>
    <w:p>
      <w:pPr>
        <w:jc w:val="both"/>
        <w:ind w:left="652" w:hanging="647"/>
        <w:spacing w:after="0" w:line="342" w:lineRule="auto"/>
        <w:tabs>
          <w:tab w:leader="none" w:pos="632"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receipt of the Collateral Agent or the Receiver or any Delegate shall be an absolute and conclusive discharge to a purchaser or such person and shall relieve him of any obligation to see to the application of any moneys paid to or by the direction of the Collateral Agent or the Receiver.</w:t>
      </w:r>
    </w:p>
    <w:p>
      <w:pPr>
        <w:spacing w:after="0" w:line="124"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Clauses 19.1 (</w:t>
      </w:r>
      <w:r>
        <w:rPr>
          <w:rFonts w:ascii="Arial" w:cs="Arial" w:eastAsia="Arial" w:hAnsi="Arial"/>
          <w:sz w:val="18"/>
          <w:szCs w:val="18"/>
          <w:i w:val="1"/>
          <w:iCs w:val="1"/>
          <w:color w:val="auto"/>
        </w:rPr>
        <w:t>Protection of Third Parties</w:t>
      </w:r>
      <w:r>
        <w:rPr>
          <w:rFonts w:ascii="Arial" w:cs="Arial" w:eastAsia="Arial" w:hAnsi="Arial"/>
          <w:sz w:val="18"/>
          <w:szCs w:val="18"/>
          <w:color w:val="auto"/>
        </w:rPr>
        <w:t>) to 19.3 (</w:t>
      </w:r>
      <w:r>
        <w:rPr>
          <w:rFonts w:ascii="Arial" w:cs="Arial" w:eastAsia="Arial" w:hAnsi="Arial"/>
          <w:sz w:val="18"/>
          <w:szCs w:val="18"/>
          <w:i w:val="1"/>
          <w:iCs w:val="1"/>
          <w:color w:val="auto"/>
        </w:rPr>
        <w:t>Protection of Third Parties</w:t>
      </w:r>
      <w:r>
        <w:rPr>
          <w:rFonts w:ascii="Arial" w:cs="Arial" w:eastAsia="Arial" w:hAnsi="Arial"/>
          <w:sz w:val="18"/>
          <w:szCs w:val="18"/>
          <w:color w:val="auto"/>
        </w:rPr>
        <w:t>) above, "purchaser" includes any person acquiring a lease of or Security Interest over, or any other interest or right whatsoever in respect of, any Charged Assets.</w:t>
      </w:r>
    </w:p>
    <w:p>
      <w:pPr>
        <w:spacing w:after="0" w:line="166" w:lineRule="exact"/>
        <w:rPr>
          <w:sz w:val="20"/>
          <w:szCs w:val="20"/>
          <w:color w:val="auto"/>
        </w:rPr>
      </w:pPr>
    </w:p>
    <w:p>
      <w:pPr>
        <w:ind w:left="652" w:hanging="652"/>
        <w:spacing w:after="0"/>
        <w:tabs>
          <w:tab w:leader="none" w:pos="652" w:val="left"/>
        </w:tabs>
        <w:numPr>
          <w:ilvl w:val="0"/>
          <w:numId w:val="1029"/>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COLLATERAL AGENT AND RECEIVER</w:t>
      </w:r>
    </w:p>
    <w:p>
      <w:pPr>
        <w:spacing w:after="0" w:line="229" w:lineRule="exact"/>
        <w:rPr>
          <w:sz w:val="20"/>
          <w:szCs w:val="20"/>
          <w:color w:val="auto"/>
        </w:rPr>
      </w:pPr>
    </w:p>
    <w:p>
      <w:pPr>
        <w:ind w:left="652" w:right="20" w:hanging="647"/>
        <w:spacing w:after="0" w:line="342" w:lineRule="auto"/>
        <w:tabs>
          <w:tab w:leader="none" w:pos="632"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In no circumstances (whether by reason of the creation of the Charges or the entry into or taking possession of any Charged Assets or for any other reason whatsoever and whether as mortgagee in possession or on any basis whatsoever) shall the Collateral Agent or any Receiver:</w:t>
      </w:r>
    </w:p>
    <w:p>
      <w:pPr>
        <w:spacing w:after="0" w:line="124" w:lineRule="exact"/>
        <w:rPr>
          <w:sz w:val="20"/>
          <w:szCs w:val="20"/>
          <w:color w:val="auto"/>
        </w:rPr>
      </w:pPr>
    </w:p>
    <w:p>
      <w:pPr>
        <w:jc w:val="both"/>
        <w:ind w:left="1292" w:hanging="644"/>
        <w:spacing w:after="0" w:line="273" w:lineRule="auto"/>
        <w:tabs>
          <w:tab w:leader="none" w:pos="1292" w:val="left"/>
        </w:tabs>
        <w:numPr>
          <w:ilvl w:val="0"/>
          <w:numId w:val="1030"/>
        </w:numPr>
        <w:rPr>
          <w:rFonts w:ascii="Arial" w:cs="Arial" w:eastAsia="Arial" w:hAnsi="Arial"/>
          <w:sz w:val="17"/>
          <w:szCs w:val="17"/>
          <w:color w:val="auto"/>
        </w:rPr>
      </w:pPr>
      <w:r>
        <w:rPr>
          <w:rFonts w:ascii="Arial" w:cs="Arial" w:eastAsia="Arial" w:hAnsi="Arial"/>
          <w:sz w:val="17"/>
          <w:szCs w:val="17"/>
          <w:color w:val="auto"/>
        </w:rPr>
        <w:t>be liable to the Company or any other person in respect of any cost, charge, expense, liability, Loss or damage arising out of the exercise, or attempted or purported exercise of, or the failure to exercise, any of their respective rights in accordance with this Deed, or arising out of the realisation of any Charged Assets or the manner thereof or arising out of any act, default, omission or misconduct of the Collateral Agent or any Receiver in relation to the Charged Assets or otherwise in connection with this Deed, save only to the extent such cost, charge, expense, liability, Loss or damage has been found by a final non-appealable judgment of a court of competent jurisdiction to have been incurred by reason of its or his own gross negligence, wilful misconduct or unlawful conduct; or</w:t>
      </w:r>
    </w:p>
    <w:p>
      <w:pPr>
        <w:spacing w:after="0" w:line="39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32" w:right="339" w:bottom="1440" w:gutter="0" w:footer="0" w:header="0"/>
        </w:sectPr>
      </w:pPr>
    </w:p>
    <w:bookmarkStart w:id="938" w:name="page939"/>
    <w:bookmarkEnd w:id="938"/>
    <w:p>
      <w:pPr>
        <w:jc w:val="both"/>
        <w:ind w:left="1292" w:hanging="644"/>
        <w:spacing w:after="0" w:line="264" w:lineRule="auto"/>
        <w:tabs>
          <w:tab w:leader="none" w:pos="1292"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be liable to account to the Company or any other person for anything in connection with this Deed except (after Payment in Full) the Collateral Agent's or Receiver's own actual receipts which have not been paid or distributed to the Company or to any other person who at the time of payment the Collateral Agent or Receiver as the case may be was entitled thereto.</w:t>
      </w:r>
    </w:p>
    <w:p>
      <w:pPr>
        <w:spacing w:after="0" w:line="181"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For the avoidance of doubt, neither the Collateral Agent nor any Receiver shall by virtue of this Clause 20.1 (</w:t>
      </w:r>
      <w:r>
        <w:rPr>
          <w:rFonts w:ascii="Arial" w:cs="Arial" w:eastAsia="Arial" w:hAnsi="Arial"/>
          <w:sz w:val="18"/>
          <w:szCs w:val="18"/>
          <w:i w:val="1"/>
          <w:iCs w:val="1"/>
          <w:color w:val="auto"/>
        </w:rPr>
        <w:t>Protection of Collateral Agent and</w:t>
      </w:r>
      <w:r>
        <w:rPr>
          <w:rFonts w:ascii="Arial" w:cs="Arial" w:eastAsia="Arial" w:hAnsi="Arial"/>
          <w:sz w:val="18"/>
          <w:szCs w:val="18"/>
          <w:color w:val="auto"/>
        </w:rPr>
        <w:t xml:space="preserve"> </w:t>
      </w:r>
      <w:r>
        <w:rPr>
          <w:rFonts w:ascii="Arial" w:cs="Arial" w:eastAsia="Arial" w:hAnsi="Arial"/>
          <w:sz w:val="18"/>
          <w:szCs w:val="18"/>
          <w:i w:val="1"/>
          <w:iCs w:val="1"/>
          <w:color w:val="auto"/>
        </w:rPr>
        <w:t>Receiver</w:t>
      </w:r>
      <w:r>
        <w:rPr>
          <w:rFonts w:ascii="Arial" w:cs="Arial" w:eastAsia="Arial" w:hAnsi="Arial"/>
          <w:sz w:val="18"/>
          <w:szCs w:val="18"/>
          <w:color w:val="auto"/>
        </w:rPr>
        <w:t>) owe any duty of care or other duty to any person which it would not owe absent this Clause 20.1 (</w:t>
      </w:r>
      <w:r>
        <w:rPr>
          <w:rFonts w:ascii="Arial" w:cs="Arial" w:eastAsia="Arial" w:hAnsi="Arial"/>
          <w:sz w:val="18"/>
          <w:szCs w:val="18"/>
          <w:i w:val="1"/>
          <w:iCs w:val="1"/>
          <w:color w:val="auto"/>
        </w:rPr>
        <w:t>Protection of Collateral Agent and Receiver</w:t>
      </w:r>
      <w:r>
        <w:rPr>
          <w:rFonts w:ascii="Arial" w:cs="Arial" w:eastAsia="Arial" w:hAnsi="Arial"/>
          <w:sz w:val="18"/>
          <w:szCs w:val="18"/>
          <w:color w:val="auto"/>
        </w:rPr>
        <w:t>).</w:t>
      </w:r>
    </w:p>
    <w:p>
      <w:pPr>
        <w:spacing w:after="0" w:line="181" w:lineRule="exact"/>
        <w:rPr>
          <w:sz w:val="20"/>
          <w:szCs w:val="20"/>
          <w:color w:val="auto"/>
        </w:rPr>
      </w:pPr>
    </w:p>
    <w:p>
      <w:pPr>
        <w:jc w:val="both"/>
        <w:ind w:left="652" w:hanging="647"/>
        <w:spacing w:after="0" w:line="273" w:lineRule="auto"/>
        <w:tabs>
          <w:tab w:leader="none" w:pos="632"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Without prejudice to Clause 20.1 (</w:t>
      </w:r>
      <w:r>
        <w:rPr>
          <w:rFonts w:ascii="Arial" w:cs="Arial" w:eastAsia="Arial" w:hAnsi="Arial"/>
          <w:sz w:val="17"/>
          <w:szCs w:val="17"/>
          <w:i w:val="1"/>
          <w:iCs w:val="1"/>
          <w:color w:val="auto"/>
        </w:rPr>
        <w:t>Protection of Collateral Agent and Receiver</w:t>
      </w:r>
      <w:r>
        <w:rPr>
          <w:rFonts w:ascii="Arial" w:cs="Arial" w:eastAsia="Arial" w:hAnsi="Arial"/>
          <w:sz w:val="17"/>
          <w:szCs w:val="17"/>
          <w:color w:val="auto"/>
        </w:rPr>
        <w:t>), so far as permitted by law the entry into possession of any of the Charged Assets (including by an Administrator) shall not render the Collateral Agent or any Receiver liable to account as mortgagee in possession or to be liable for any Loss on realisation or for any default or omission for which a mortgagee in possession might otherwise be liable in respect of any of the Charged Assets; and if the Collateral Agent or any Receiver takes possession of the Charged Assets, it or he may at any time relinquish such possession. In particular without prejudice to the generality of the foregoing the Collateral Agent shall not become liable as mortgagee in possession by reason of viewing the state of repair or repairing any of the Company's Assets.</w:t>
      </w:r>
    </w:p>
    <w:p>
      <w:pPr>
        <w:spacing w:after="0" w:line="178" w:lineRule="exact"/>
        <w:rPr>
          <w:sz w:val="20"/>
          <w:szCs w:val="20"/>
          <w:color w:val="auto"/>
        </w:rPr>
      </w:pPr>
    </w:p>
    <w:p>
      <w:pPr>
        <w:jc w:val="both"/>
        <w:ind w:left="652" w:hanging="647"/>
        <w:spacing w:after="0" w:line="308" w:lineRule="auto"/>
        <w:tabs>
          <w:tab w:leader="none" w:pos="632"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color w:val="auto"/>
        </w:rPr>
        <w:t>The preceding provisions of this Clause 20 (</w:t>
      </w:r>
      <w:r>
        <w:rPr>
          <w:rFonts w:ascii="Arial" w:cs="Arial" w:eastAsia="Arial" w:hAnsi="Arial"/>
          <w:sz w:val="17"/>
          <w:szCs w:val="17"/>
          <w:i w:val="1"/>
          <w:iCs w:val="1"/>
          <w:color w:val="auto"/>
        </w:rPr>
        <w:t>Protection of Collateral Agent and Receiver</w:t>
      </w:r>
      <w:r>
        <w:rPr>
          <w:rFonts w:ascii="Arial" w:cs="Arial" w:eastAsia="Arial" w:hAnsi="Arial"/>
          <w:sz w:val="17"/>
          <w:szCs w:val="17"/>
          <w:color w:val="auto"/>
        </w:rPr>
        <w:t xml:space="preserve">) applying to the Collateral Agent or any Receiver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Delegate and to any officer, employee or agent of the Collateral Agent, any Receiver and any Delegate.</w:t>
      </w:r>
    </w:p>
    <w:p>
      <w:pPr>
        <w:spacing w:after="0" w:line="143" w:lineRule="exact"/>
        <w:rPr>
          <w:sz w:val="20"/>
          <w:szCs w:val="20"/>
          <w:color w:val="auto"/>
        </w:rPr>
      </w:pPr>
    </w:p>
    <w:p>
      <w:pPr>
        <w:ind w:left="652" w:hanging="652"/>
        <w:spacing w:after="0"/>
        <w:tabs>
          <w:tab w:leader="none" w:pos="652" w:val="left"/>
        </w:tabs>
        <w:numPr>
          <w:ilvl w:val="0"/>
          <w:numId w:val="1032"/>
        </w:numPr>
        <w:rPr>
          <w:rFonts w:ascii="Arial" w:cs="Arial" w:eastAsia="Arial" w:hAnsi="Arial"/>
          <w:sz w:val="18"/>
          <w:szCs w:val="18"/>
          <w:b w:val="1"/>
          <w:bCs w:val="1"/>
          <w:color w:val="auto"/>
        </w:rPr>
      </w:pPr>
      <w:r>
        <w:rPr>
          <w:rFonts w:ascii="Arial" w:cs="Arial" w:eastAsia="Arial" w:hAnsi="Arial"/>
          <w:sz w:val="18"/>
          <w:szCs w:val="18"/>
          <w:b w:val="1"/>
          <w:bCs w:val="1"/>
          <w:color w:val="auto"/>
        </w:rPr>
        <w:t>COSTS, EXPENSES AND INDEMNITY</w:t>
      </w:r>
    </w:p>
    <w:p>
      <w:pPr>
        <w:spacing w:after="0" w:line="229"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shall pay to the Collateral Agent in relation to this Deed such costs and expenses as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70"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Company shall indemnify each Receiver and Delegate and their respective officers, employees and agents to the extent that and in the manner in which the Borrowers indemnify the Indemnitees under Section 11.04 (</w:t>
      </w:r>
      <w:r>
        <w:rPr>
          <w:rFonts w:ascii="Arial" w:cs="Arial" w:eastAsia="Arial" w:hAnsi="Arial"/>
          <w:sz w:val="18"/>
          <w:szCs w:val="18"/>
          <w:i w:val="1"/>
          <w:iCs w:val="1"/>
          <w:color w:val="auto"/>
        </w:rPr>
        <w:t>Indemnity</w:t>
      </w:r>
      <w:r>
        <w:rPr>
          <w:rFonts w:ascii="Arial" w:cs="Arial" w:eastAsia="Arial" w:hAnsi="Arial"/>
          <w:sz w:val="18"/>
          <w:szCs w:val="18"/>
          <w:color w:val="auto"/>
        </w:rPr>
        <w:t>) of the Loan Agreement. Each Relevant Person may rely on this Clause 21.2 (</w:t>
      </w:r>
      <w:r>
        <w:rPr>
          <w:rFonts w:ascii="Arial" w:cs="Arial" w:eastAsia="Arial" w:hAnsi="Arial"/>
          <w:sz w:val="18"/>
          <w:szCs w:val="18"/>
          <w:i w:val="1"/>
          <w:iCs w:val="1"/>
          <w:color w:val="auto"/>
        </w:rPr>
        <w:t>Costs, Expenses and Indemnity</w:t>
      </w:r>
      <w:r>
        <w:rPr>
          <w:rFonts w:ascii="Arial" w:cs="Arial" w:eastAsia="Arial" w:hAnsi="Arial"/>
          <w:sz w:val="18"/>
          <w:szCs w:val="18"/>
          <w:color w:val="auto"/>
        </w:rPr>
        <w:t>) in accordance with the Contracts (Rights of Third Parties) Act 1999 but subject to Clause 25 (</w:t>
      </w:r>
      <w:r>
        <w:rPr>
          <w:rFonts w:ascii="Arial" w:cs="Arial" w:eastAsia="Arial" w:hAnsi="Arial"/>
          <w:sz w:val="18"/>
          <w:szCs w:val="18"/>
          <w:i w:val="1"/>
          <w:iCs w:val="1"/>
          <w:color w:val="auto"/>
        </w:rPr>
        <w:t>Third</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9" w:right="339" w:bottom="1440" w:gutter="0" w:footer="0" w:header="0"/>
        </w:sectPr>
      </w:pPr>
    </w:p>
    <w:bookmarkStart w:id="939" w:name="page940"/>
    <w:bookmarkEnd w:id="939"/>
    <w:p>
      <w:pPr>
        <w:ind w:left="652" w:hanging="652"/>
        <w:spacing w:after="0"/>
        <w:tabs>
          <w:tab w:leader="none" w:pos="652" w:val="left"/>
        </w:tabs>
        <w:numPr>
          <w:ilvl w:val="0"/>
          <w:numId w:val="1033"/>
        </w:numPr>
        <w:rPr>
          <w:rFonts w:ascii="Arial" w:cs="Arial" w:eastAsia="Arial" w:hAnsi="Arial"/>
          <w:sz w:val="18"/>
          <w:szCs w:val="18"/>
          <w:b w:val="1"/>
          <w:bCs w:val="1"/>
          <w:color w:val="auto"/>
        </w:rPr>
      </w:pPr>
      <w:r>
        <w:rPr>
          <w:rFonts w:ascii="Arial" w:cs="Arial" w:eastAsia="Arial" w:hAnsi="Arial"/>
          <w:sz w:val="18"/>
          <w:szCs w:val="18"/>
          <w:b w:val="1"/>
          <w:bCs w:val="1"/>
          <w:color w:val="auto"/>
        </w:rPr>
        <w:t>CONSENTS, VARIATIONS, WAIVERS AND RIGHTS</w:t>
      </w:r>
    </w:p>
    <w:p>
      <w:pPr>
        <w:spacing w:after="0" w:line="229" w:lineRule="exact"/>
        <w:rPr>
          <w:rFonts w:ascii="Arial" w:cs="Arial" w:eastAsia="Arial" w:hAnsi="Arial"/>
          <w:sz w:val="18"/>
          <w:szCs w:val="18"/>
          <w:b w:val="1"/>
          <w:bCs w:val="1"/>
          <w:color w:val="auto"/>
        </w:rPr>
      </w:pPr>
    </w:p>
    <w:p>
      <w:pPr>
        <w:jc w:val="both"/>
        <w:ind w:left="1292" w:hanging="644"/>
        <w:spacing w:after="0" w:line="272" w:lineRule="auto"/>
        <w:tabs>
          <w:tab w:leader="none" w:pos="1292" w:val="left"/>
        </w:tabs>
        <w:numPr>
          <w:ilvl w:val="1"/>
          <w:numId w:val="1033"/>
        </w:numPr>
        <w:rPr>
          <w:rFonts w:ascii="Arial" w:cs="Arial" w:eastAsia="Arial" w:hAnsi="Arial"/>
          <w:sz w:val="17"/>
          <w:szCs w:val="17"/>
          <w:color w:val="auto"/>
        </w:rPr>
      </w:pPr>
      <w:r>
        <w:rPr>
          <w:rFonts w:ascii="Arial" w:cs="Arial" w:eastAsia="Arial" w:hAnsi="Arial"/>
          <w:sz w:val="17"/>
          <w:szCs w:val="17"/>
          <w:color w:val="auto"/>
        </w:rPr>
        <w:t>No consent or waiver in respect of any provision of this Deed shall be effective unless and until it is agreed in writing duly executed by or on behalf of the Collateral Agent. Any consent or waiver by the Collateral Agent under this Deed may be given subject to any conditions the Collateral Agent reasonably thinks fit and shall be effective only in the instance and for the purpose for which it is given. No failure by the Collateral Agent or any Receiver to exercise or delay in exercising any right provided by law or under this Deed shall operate to impair the same or be construed as a waiver of it. No single or partial exercise of any such right shall prevent any further or other exercise of the same or the exercise of any other right. No waiver of any such right shall constitute a waiver of any other right. The rights provided in this Deed are cumulative and not exclusive of any rights, provided by law.</w:t>
      </w:r>
    </w:p>
    <w:p>
      <w:pPr>
        <w:spacing w:after="0" w:line="177"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1033"/>
        </w:numPr>
        <w:rPr>
          <w:rFonts w:ascii="Arial" w:cs="Arial" w:eastAsia="Arial" w:hAnsi="Arial"/>
          <w:sz w:val="18"/>
          <w:szCs w:val="18"/>
          <w:color w:val="auto"/>
        </w:rPr>
      </w:pPr>
      <w:r>
        <w:rPr>
          <w:rFonts w:ascii="Arial" w:cs="Arial" w:eastAsia="Arial" w:hAnsi="Arial"/>
          <w:sz w:val="18"/>
          <w:szCs w:val="18"/>
          <w:color w:val="auto"/>
        </w:rPr>
        <w:t>No amendment or variation in respect of any provision of this Deed shall be effective unless and until it is agreed in writing duly executed by or on behalf of the Company and the Collateral Agent.</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1033"/>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29" w:lineRule="exact"/>
        <w:rPr>
          <w:rFonts w:ascii="Arial" w:cs="Arial" w:eastAsia="Arial" w:hAnsi="Arial"/>
          <w:sz w:val="18"/>
          <w:szCs w:val="18"/>
          <w:b w:val="1"/>
          <w:bCs w:val="1"/>
          <w:color w:val="auto"/>
        </w:rPr>
      </w:pPr>
    </w:p>
    <w:p>
      <w:pPr>
        <w:jc w:val="both"/>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any provision of this Deed is or becomes or is found by a court or other competent authority to be illegal, invalid or unenforceable in any respect, in whole or in part, under any law of any jurisdiction, neither the legality, validity and enforceability in that jurisdiction of any other provision or part of this Deed, nor the legality, validity or enforceability in any other jurisdiction of that provision or part or of any other provision of this Deed, shall be affected or impaired and if any part of the Charges is invalid or unenforceable in any respect for any reason, no other Charges shall be affected or impaired.</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103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rFonts w:ascii="Arial" w:cs="Arial" w:eastAsia="Arial" w:hAnsi="Arial"/>
          <w:sz w:val="18"/>
          <w:szCs w:val="18"/>
          <w:b w:val="1"/>
          <w:bCs w:val="1"/>
          <w:color w:val="auto"/>
        </w:rPr>
      </w:pPr>
    </w:p>
    <w:p>
      <w:pPr>
        <w:jc w:val="both"/>
        <w:ind w:left="6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delivered, shall constitute an original of this Deed, but all the counterparts together shall constitute one and the same instrument.</w:t>
      </w:r>
    </w:p>
    <w:p>
      <w:pPr>
        <w:spacing w:after="0" w:line="161" w:lineRule="exact"/>
        <w:rPr>
          <w:rFonts w:ascii="Arial" w:cs="Arial" w:eastAsia="Arial" w:hAnsi="Arial"/>
          <w:sz w:val="18"/>
          <w:szCs w:val="18"/>
          <w:b w:val="1"/>
          <w:bCs w:val="1"/>
          <w:color w:val="auto"/>
        </w:rPr>
      </w:pPr>
    </w:p>
    <w:p>
      <w:pPr>
        <w:ind w:left="652" w:hanging="652"/>
        <w:spacing w:after="0"/>
        <w:tabs>
          <w:tab w:leader="none" w:pos="652" w:val="left"/>
        </w:tabs>
        <w:numPr>
          <w:ilvl w:val="0"/>
          <w:numId w:val="1033"/>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w:t>
      </w:r>
    </w:p>
    <w:p>
      <w:pPr>
        <w:spacing w:after="0" w:line="229"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otherwise provided in this Deed, a person who is not a party to this Deed has no right under the Contracts (Rights of Third Parties) Act 1999 to enforce or to enjoy the benefit of any term of this Deed but this does not affect any right or remedy of a third party which exists or is available apart from that Act.</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033"/>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DETERMINATIONS</w:t>
      </w:r>
    </w:p>
    <w:p>
      <w:pPr>
        <w:spacing w:after="0" w:line="229"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determination as to any amount payable which the Collateral Agent or any Receiver may make under this Deed in good faith shall (save in the case of manifest error) be conclusive.</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03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ind w:left="652" w:hanging="647"/>
        <w:spacing w:after="0" w:line="286" w:lineRule="auto"/>
        <w:tabs>
          <w:tab w:leader="none" w:pos="632"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The Company shall not (whether by way of security or otherwise howsoever) be entitled to assign, grant an equitable interest in or transfer and declare itself a trustee of all or any of its rights, interests or obligations hereunder, except as permitted under the Loan Agreement (save with respect to its rights and benefits which shall be assigned or to be assigned to the Collateral Agent under this Deed).</w:t>
      </w:r>
    </w:p>
    <w:p>
      <w:pPr>
        <w:spacing w:after="0" w:line="38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5" w:right="339" w:bottom="1440" w:gutter="0" w:footer="0" w:header="0"/>
        </w:sectPr>
      </w:pPr>
    </w:p>
    <w:bookmarkStart w:id="940" w:name="page941"/>
    <w:bookmarkEnd w:id="940"/>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7"/>
          <w:szCs w:val="17"/>
          <w:color w:val="auto"/>
        </w:rPr>
        <w:t>The Collateral Agent may at any time assign or transfer, in accordance with the Loan Agreement, all or any part of its rights or interests under this Deed or the Charges to any person who succeeds to its role as security agent or collateral agent under the Loan Agreement.</w:t>
      </w:r>
    </w:p>
    <w:p>
      <w:pPr>
        <w:spacing w:after="0" w:line="147"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7"/>
          <w:szCs w:val="17"/>
          <w:color w:val="auto"/>
        </w:rPr>
        <w:t>Subject to Section 11.06 (</w:t>
      </w:r>
      <w:r>
        <w:rPr>
          <w:rFonts w:ascii="Arial" w:cs="Arial" w:eastAsia="Arial" w:hAnsi="Arial"/>
          <w:sz w:val="17"/>
          <w:szCs w:val="17"/>
          <w:i w:val="1"/>
          <w:iCs w:val="1"/>
          <w:color w:val="auto"/>
        </w:rPr>
        <w:t>Confidentiality</w:t>
      </w:r>
      <w:r>
        <w:rPr>
          <w:rFonts w:ascii="Arial" w:cs="Arial" w:eastAsia="Arial" w:hAnsi="Arial"/>
          <w:sz w:val="17"/>
          <w:szCs w:val="17"/>
          <w:color w:val="auto"/>
        </w:rPr>
        <w:t>) of the Loan Agreement, the Collateral Agent may disclose to an actual or proposed successor, assignee or transferee any information the Collateral Agent reasonably considers appropriate regarding any provision of this Deed or other Loan Documents and the Company which it considers appropriate for the purposes of the proposed assignment or transfer.</w:t>
      </w:r>
    </w:p>
    <w:p>
      <w:pPr>
        <w:spacing w:after="0" w:line="162" w:lineRule="exact"/>
        <w:rPr>
          <w:sz w:val="20"/>
          <w:szCs w:val="20"/>
          <w:color w:val="auto"/>
        </w:rPr>
      </w:pPr>
    </w:p>
    <w:p>
      <w:pPr>
        <w:ind w:left="660" w:hanging="652"/>
        <w:spacing w:after="0"/>
        <w:tabs>
          <w:tab w:leader="none" w:pos="660" w:val="left"/>
        </w:tabs>
        <w:numPr>
          <w:ilvl w:val="0"/>
          <w:numId w:val="103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Any notice or other communication under this Deed shall be made in accordance with the provisions set out in the Loan Agreement. Any notice delivered to the Parent or the Borrowers on behalf of the Company shall be deemed to have been delivered to the Company.</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103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Deed (including any non-contractual obligations or liabilities arising out of it or in connection with it) is governed by and is to be construed in accordance with English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300" w:hanging="644"/>
        <w:spacing w:after="0"/>
        <w:tabs>
          <w:tab w:leader="none" w:pos="130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the English courts have non-exclusive jurisdiction to hear and determine any Proceedings and to settle any Disputes and each party irrevocably submits to the jurisdiction of the English courts;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 xml:space="preserve">Each party also irrevocably waives (and irrevocably agrees not to raise) any objection which it might at any time have on the ground of </w:t>
      </w:r>
      <w:r>
        <w:rPr>
          <w:rFonts w:ascii="Arial" w:cs="Arial" w:eastAsia="Arial" w:hAnsi="Arial"/>
          <w:sz w:val="18"/>
          <w:szCs w:val="18"/>
          <w:i w:val="1"/>
          <w:iCs w:val="1"/>
          <w:color w:val="auto"/>
        </w:rPr>
        <w:t xml:space="preserve">forum non conveniens </w:t>
      </w:r>
      <w:r>
        <w:rPr>
          <w:rFonts w:ascii="Arial" w:cs="Arial" w:eastAsia="Arial" w:hAnsi="Arial"/>
          <w:sz w:val="18"/>
          <w:szCs w:val="18"/>
          <w:color w:val="auto"/>
        </w:rPr>
        <w:t>or on any other ground to Proceedings being taken in any court referred to in this Clause 29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Nothing in this Clause 29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shall limit any party's right to take Proceedings against the other party in any other jurisdiction or in more than one jurisdiction concurrently.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This jurisdiction agreement is not concluded for the benefit of only one party.</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941" w:name="page942"/>
    <w:bookmarkEnd w:id="941"/>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942" w:name="page943"/>
    <w:bookmarkEnd w:id="942"/>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Deed to be executed and delivered as a deed on the day and year first before written.</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w w:val="96"/>
              </w:rPr>
              <w:t xml:space="preserve">Executed as deed by </w:t>
            </w:r>
            <w:r>
              <w:rPr>
                <w:rFonts w:ascii="Arial" w:cs="Arial" w:eastAsia="Arial" w:hAnsi="Arial"/>
                <w:sz w:val="18"/>
                <w:szCs w:val="18"/>
                <w:b w:val="1"/>
                <w:bCs w:val="1"/>
                <w:color w:val="auto"/>
                <w:w w:val="96"/>
              </w:rPr>
              <w:t>WEATHERFORD</w:t>
            </w:r>
          </w:p>
        </w:tc>
        <w:tc>
          <w:tcPr>
            <w:tcW w:w="210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2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EURASIA LIMITED </w:t>
            </w:r>
            <w:r>
              <w:rPr>
                <w:rFonts w:ascii="Arial" w:cs="Arial" w:eastAsia="Arial" w:hAnsi="Arial"/>
                <w:sz w:val="18"/>
                <w:szCs w:val="18"/>
                <w:color w:val="auto"/>
              </w:rPr>
              <w:t>acting by a director, )</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100" w:type="dxa"/>
            <w:vAlign w:val="bottom"/>
          </w:tcPr>
          <w:p>
            <w:pPr>
              <w:jc w:val="right"/>
              <w:ind w:right="183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Name: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Occupation: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Signtature page to LC Weatherford Eurasia Limited Deed of Charge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43" w:name="page944"/>
    <w:bookmarkEnd w:id="943"/>
    <w:p>
      <w:pPr>
        <w:spacing w:after="0"/>
        <w:rPr>
          <w:sz w:val="20"/>
          <w:szCs w:val="20"/>
          <w:color w:val="auto"/>
        </w:rPr>
      </w:pPr>
      <w:r>
        <w:rPr>
          <w:rFonts w:ascii="Arial" w:cs="Arial" w:eastAsia="Arial" w:hAnsi="Arial"/>
          <w:sz w:val="18"/>
          <w:szCs w:val="18"/>
          <w:b w:val="1"/>
          <w:bCs w:val="1"/>
          <w:color w:val="auto"/>
        </w:rPr>
        <w:t>COLLATERAL AGENT</w:t>
      </w:r>
    </w:p>
    <w:p>
      <w:pPr>
        <w:spacing w:after="0" w:line="22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DEUTSCHE BANK</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auto"/>
        </w:rPr>
        <w:t>TRUST COMPANY AMERICAS</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acting by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640" w:val="left"/>
        </w:tabs>
        <w:rPr>
          <w:sz w:val="20"/>
          <w:szCs w:val="20"/>
          <w:color w:val="auto"/>
        </w:rPr>
      </w:pPr>
      <w:r>
        <w:rPr>
          <w:rFonts w:ascii="Arial" w:cs="Arial" w:eastAsia="Arial" w:hAnsi="Arial"/>
          <w:sz w:val="17"/>
          <w:szCs w:val="17"/>
          <w:color w:val="auto"/>
        </w:rPr>
        <w:t>who, in accordance with the laws of the territory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20" w:val="left"/>
          <w:tab w:leader="none" w:pos="940" w:val="left"/>
          <w:tab w:leader="none" w:pos="1820" w:val="left"/>
          <w:tab w:leader="none" w:pos="2380" w:val="left"/>
          <w:tab w:leader="none" w:pos="2940" w:val="left"/>
        </w:tabs>
        <w:rPr>
          <w:sz w:val="20"/>
          <w:szCs w:val="20"/>
          <w:color w:val="auto"/>
        </w:rPr>
      </w:pPr>
      <w:r>
        <w:rPr>
          <w:rFonts w:ascii="Arial" w:cs="Arial" w:eastAsia="Arial" w:hAnsi="Arial"/>
          <w:sz w:val="18"/>
          <w:szCs w:val="18"/>
          <w:color w:val="auto"/>
        </w:rPr>
        <w:t>in</w:t>
        <w:tab/>
        <w:t>which</w:t>
        <w:tab/>
        <w:t>Deutsche</w:t>
        <w:tab/>
        <w:t>Bank</w:t>
        <w:tab/>
        <w:t>Trust</w:t>
      </w:r>
      <w:r>
        <w:rPr>
          <w:sz w:val="20"/>
          <w:szCs w:val="20"/>
          <w:color w:val="auto"/>
        </w:rPr>
        <w:tab/>
      </w:r>
      <w:r>
        <w:rPr>
          <w:rFonts w:ascii="Arial" w:cs="Arial" w:eastAsia="Arial" w:hAnsi="Arial"/>
          <w:sz w:val="16"/>
          <w:szCs w:val="16"/>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Americas</w:t>
      </w:r>
    </w:p>
    <w:p>
      <w:pPr>
        <w:spacing w:after="0" w:line="9" w:lineRule="exact"/>
        <w:rPr>
          <w:sz w:val="20"/>
          <w:szCs w:val="20"/>
          <w:color w:val="auto"/>
        </w:rPr>
      </w:pPr>
    </w:p>
    <w:p>
      <w:pPr>
        <w:spacing w:after="0"/>
        <w:tabs>
          <w:tab w:leader="none" w:pos="3640" w:val="left"/>
        </w:tabs>
        <w:rPr>
          <w:sz w:val="20"/>
          <w:szCs w:val="20"/>
          <w:color w:val="auto"/>
        </w:rPr>
      </w:pPr>
      <w:r>
        <w:rPr>
          <w:rFonts w:ascii="Arial" w:cs="Arial" w:eastAsia="Arial" w:hAnsi="Arial"/>
          <w:sz w:val="17"/>
          <w:szCs w:val="17"/>
          <w:color w:val="auto"/>
        </w:rPr>
        <w:t>is incorporated, is/are acting under its authority</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18005"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18005"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2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Signtature page to LC Weatherford Eurasia Limited Deed of Charge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944" w:name="page945"/>
    <w:bookmarkEnd w:id="944"/>
    <w:p>
      <w:pPr>
        <w:ind w:left="3920"/>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BANK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1 – GENERAL BANK ACCOUNTS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945" w:name="page946"/>
    <w:bookmarkEnd w:id="945"/>
    <w:p>
      <w:pPr>
        <w:jc w:val="center"/>
        <w:ind w:right="-20"/>
        <w:spacing w:after="0"/>
        <w:rPr>
          <w:sz w:val="20"/>
          <w:szCs w:val="20"/>
          <w:color w:val="auto"/>
        </w:rPr>
      </w:pPr>
      <w:r>
        <w:rPr>
          <w:rFonts w:ascii="Arial" w:cs="Arial" w:eastAsia="Arial" w:hAnsi="Arial"/>
          <w:sz w:val="17"/>
          <w:szCs w:val="17"/>
          <w:b w:val="1"/>
          <w:bCs w:val="1"/>
          <w:color w:val="auto"/>
        </w:rPr>
        <w:t>PART 2 – COLLECTION BANK ACCOUNT</w:t>
      </w:r>
    </w:p>
    <w:p>
      <w:pPr>
        <w:sectPr>
          <w:pgSz w:w="11900" w:h="16838" w:orient="portrait"/>
          <w:cols w:equalWidth="0" w:num="1">
            <w:col w:w="9019"/>
          </w:cols>
          <w:pgMar w:left="1440" w:top="906"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 AT THE DATE OF THIS DEED</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type w:val="continuous"/>
        </w:sectPr>
      </w:pPr>
    </w:p>
    <w:bookmarkStart w:id="946" w:name="page947"/>
    <w:bookmarkEnd w:id="946"/>
    <w:p>
      <w:pPr>
        <w:jc w:val="center"/>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AGREEMENTS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 AT THE DATE OF THIS DEED</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47" w:name="page948"/>
    <w:bookmarkEnd w:id="947"/>
    <w:p>
      <w:pPr>
        <w:jc w:val="center"/>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POLICIES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 AT THE DATE OF THIS DEED</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48" w:name="page949"/>
    <w:bookmarkEnd w:id="948"/>
    <w:p>
      <w:pPr>
        <w:jc w:val="center"/>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CHARGE OF BANK ACCOUNTS</w:t>
      </w:r>
    </w:p>
    <w:p>
      <w:pPr>
        <w:spacing w:after="0" w:line="20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PART 1 – FORM OF NOTICE OF CHARGE FOR GENERAL BANK ACCOUNTS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Name of General Account Bank]</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give you irrevocable notice that we (the "</w:t>
      </w:r>
      <w:r>
        <w:rPr>
          <w:rFonts w:ascii="Arial" w:cs="Arial" w:eastAsia="Arial" w:hAnsi="Arial"/>
          <w:sz w:val="18"/>
          <w:szCs w:val="18"/>
          <w:b w:val="1"/>
          <w:bCs w:val="1"/>
          <w:color w:val="auto"/>
        </w:rPr>
        <w:t>Company</w:t>
      </w:r>
      <w:r>
        <w:rPr>
          <w:rFonts w:ascii="Arial" w:cs="Arial" w:eastAsia="Arial" w:hAnsi="Arial"/>
          <w:sz w:val="18"/>
          <w:szCs w:val="18"/>
          <w:color w:val="auto"/>
        </w:rPr>
        <w:t>") have charged to Deutsche Bank Trust Company Americas (the "</w:t>
      </w:r>
      <w:r>
        <w:rPr>
          <w:rFonts w:ascii="Arial" w:cs="Arial" w:eastAsia="Arial" w:hAnsi="Arial"/>
          <w:sz w:val="18"/>
          <w:szCs w:val="18"/>
          <w:b w:val="1"/>
          <w:bCs w:val="1"/>
          <w:color w:val="auto"/>
        </w:rPr>
        <w:t>Collateral Agent</w:t>
      </w:r>
      <w:r>
        <w:rPr>
          <w:rFonts w:ascii="Arial" w:cs="Arial" w:eastAsia="Arial" w:hAnsi="Arial"/>
          <w:sz w:val="18"/>
          <w:szCs w:val="18"/>
          <w:color w:val="auto"/>
        </w:rPr>
        <w:t>") all of our right, title, interest and benefit in, to and under account numbers GB67BARC20554033615073 (including any renewal or redesignation thereof) including all moneys standing to the credit of that account from time to time (the "</w:t>
      </w:r>
      <w:r>
        <w:rPr>
          <w:rFonts w:ascii="Arial" w:cs="Arial" w:eastAsia="Arial" w:hAnsi="Arial"/>
          <w:sz w:val="18"/>
          <w:szCs w:val="18"/>
          <w:b w:val="1"/>
          <w:bCs w:val="1"/>
          <w:color w:val="auto"/>
        </w:rPr>
        <w:t>Accounts</w:t>
      </w:r>
      <w:r>
        <w:rPr>
          <w:rFonts w:ascii="Arial" w:cs="Arial" w:eastAsia="Arial" w:hAnsi="Arial"/>
          <w:sz w:val="18"/>
          <w:szCs w:val="18"/>
          <w:color w:val="auto"/>
        </w:rPr>
        <w:t>"). This charge is subject, and without prejudice, to the charge to the Collateral Agent of all our right, title and interest in and to the monies from time to time standing to the credit of the Accounts pursuant to the ABL deed of charge and assignment dated [5] December 2019, notice of which was given to you by a notice dated [•] (the “</w:t>
      </w:r>
      <w:r>
        <w:rPr>
          <w:rFonts w:ascii="Arial" w:cs="Arial" w:eastAsia="Arial" w:hAnsi="Arial"/>
          <w:sz w:val="18"/>
          <w:szCs w:val="18"/>
          <w:b w:val="1"/>
          <w:bCs w:val="1"/>
          <w:color w:val="auto"/>
        </w:rPr>
        <w:t>ABL Deed of Charge and Assignment</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192" w:lineRule="exact"/>
        <w:rPr>
          <w:sz w:val="20"/>
          <w:szCs w:val="20"/>
          <w:color w:val="auto"/>
        </w:rPr>
      </w:pPr>
    </w:p>
    <w:p>
      <w:pPr>
        <w:ind w:left="660" w:hanging="652"/>
        <w:spacing w:after="0"/>
        <w:tabs>
          <w:tab w:leader="none" w:pos="660"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We irrevocably authorise and instruct you:</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to hold all monies from time to time standing to the credit of the Accounts to the order of the Collateral Agent and to pay all or any part of those monies to the Collateral Agent (or as it may direct) promptly following receipt of written instructions from the Collateral Agent to that effect;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Company and the Accounts which the Collateral Agent may from time to time request you to provide.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We also advise you that: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the Company may make withdrawals from the Accounts and you may continue to deal with the Company until such time as the Collateral Agent shall notify you (with a copy to the Company) in writing that its permission is withdrawn;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36"/>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prior written consent of the Collateral Agent.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Please acknowledge receipt of this notice by signing the acknowledgement on the enclosed copy of this notice and returning it to the Collateral Agent.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49" w:name="page950"/>
    <w:bookmarkEnd w:id="949"/>
    <w:p>
      <w:pPr>
        <w:jc w:val="center"/>
        <w:spacing w:after="0"/>
        <w:rPr>
          <w:sz w:val="20"/>
          <w:szCs w:val="20"/>
          <w:color w:val="auto"/>
        </w:rPr>
      </w:pPr>
      <w:r>
        <w:rPr>
          <w:rFonts w:ascii="Arial" w:cs="Arial" w:eastAsia="Arial" w:hAnsi="Arial"/>
          <w:sz w:val="17"/>
          <w:szCs w:val="17"/>
          <w:b w:val="1"/>
          <w:bCs w:val="1"/>
          <w:color w:val="auto"/>
        </w:rPr>
        <w:t>Schedule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[Redacted.]</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50" w:name="page951"/>
    <w:bookmarkEnd w:id="950"/>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Eurasia Limited</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951" w:name="page952"/>
    <w:bookmarkEnd w:id="951"/>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On copy only</w:t>
      </w:r>
      <w:r>
        <w:rPr>
          <w:rFonts w:ascii="Arial" w:cs="Arial" w:eastAsia="Arial" w:hAnsi="Arial"/>
          <w:sz w:val="17"/>
          <w:szCs w:val="17"/>
          <w:color w:val="auto"/>
        </w:rPr>
        <w:t>:]</w:t>
      </w:r>
    </w:p>
    <w:p>
      <w:pPr>
        <w:sectPr>
          <w:pgSz w:w="11900" w:h="16838" w:orient="portrait"/>
          <w:cols w:equalWidth="0" w:num="1">
            <w:col w:w="11420"/>
          </w:cols>
          <w:pgMar w:left="240" w:top="908"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0" w:space="720"/>
            <w:col w:w="10440"/>
          </w:cols>
          <w:pgMar w:left="240" w:top="908"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40" w:space="240"/>
            <w:col w:w="10440"/>
          </w:cols>
          <w:pgMar w:left="240" w:top="90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0" w:space="580"/>
            <w:col w:w="10440"/>
          </w:cols>
          <w:pgMar w:left="240" w:top="908" w:right="239" w:bottom="1440" w:gutter="0" w:footer="0" w:header="0"/>
          <w:type w:val="continuous"/>
        </w:sectPr>
      </w:pPr>
    </w:p>
    <w:p>
      <w:pPr>
        <w:spacing w:after="0" w:line="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request of the Collateral Agent and the Company we acknowledge receipt of a notice of charge in the terms set out above in respect of the Accounts (as described in those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 we will comply with the term of that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further confirm that:</w:t>
      </w:r>
    </w:p>
    <w:p>
      <w:pPr>
        <w:spacing w:after="0" w:line="225" w:lineRule="exact"/>
        <w:rPr>
          <w:sz w:val="20"/>
          <w:szCs w:val="20"/>
          <w:color w:val="auto"/>
        </w:rPr>
      </w:pPr>
    </w:p>
    <w:p>
      <w:pPr>
        <w:jc w:val="both"/>
        <w:ind w:left="660" w:hanging="652"/>
        <w:spacing w:after="0" w:line="264" w:lineRule="auto"/>
        <w:tabs>
          <w:tab w:leader="none" w:pos="66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t>the balance standing to the Accounts at today's date is [•], no fees or periodic charges are payable in respect of the Accounts and there are no restrictions on the payment of the credit balance on the Accounts (except, in the case of a time deposit, the expiry of the relevant period) or on the assignment of the Accounts to the Collateral Agent or any third party;</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37"/>
        </w:numPr>
        <w:rPr>
          <w:rFonts w:ascii="Arial" w:cs="Arial" w:eastAsia="Arial" w:hAnsi="Arial"/>
          <w:sz w:val="17"/>
          <w:szCs w:val="17"/>
          <w:color w:val="auto"/>
        </w:rPr>
      </w:pPr>
      <w:r>
        <w:rPr>
          <w:rFonts w:ascii="Arial" w:cs="Arial" w:eastAsia="Arial" w:hAnsi="Arial"/>
          <w:sz w:val="17"/>
          <w:szCs w:val="17"/>
          <w:color w:val="auto"/>
        </w:rPr>
        <w:t>except for the ABL Deed of Charge and Assignment Notice, we have not received notice of any previous assignments of, charges or other security interests over, or trusts in respect of, any of the rights, title, interests or benefits in, to, under or in respect of the Accounts;</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t>we will not, save with the Collateral Agent's prior written consent, exercise any right of combination, consolidation or set-off which we may have in respect of the Accounts; and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37"/>
        </w:numPr>
        <w:rPr>
          <w:rFonts w:ascii="Arial" w:cs="Arial" w:eastAsia="Arial" w:hAnsi="Arial"/>
          <w:sz w:val="18"/>
          <w:szCs w:val="18"/>
          <w:color w:val="auto"/>
        </w:rPr>
      </w:pPr>
      <w:r>
        <w:rPr>
          <w:rFonts w:ascii="Arial" w:cs="Arial" w:eastAsia="Arial" w:hAnsi="Arial"/>
          <w:sz w:val="18"/>
          <w:szCs w:val="18"/>
          <w:color w:val="auto"/>
        </w:rPr>
        <w:t>after receipt of the notification referred to in paragraph 2(a) of the notice above, we will act only in accordance with the instructions given by persons authorised by the Collateral Agent and we shall send all statements and other notices given by us relating to the Accounts to the Collateral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w:t>
      </w:r>
      <w:r>
        <w:rPr>
          <w:rFonts w:ascii="Arial" w:cs="Arial" w:eastAsia="Arial" w:hAnsi="Arial"/>
          <w:sz w:val="18"/>
          <w:szCs w:val="18"/>
          <w:i w:val="1"/>
          <w:iCs w:val="1"/>
          <w:color w:val="auto"/>
        </w:rPr>
        <w:t>name of account-holding bank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52" w:name="page953"/>
    <w:bookmarkEnd w:id="952"/>
    <w:p>
      <w:pPr>
        <w:jc w:val="center"/>
        <w:spacing w:after="0"/>
        <w:rPr>
          <w:sz w:val="20"/>
          <w:szCs w:val="20"/>
          <w:color w:val="auto"/>
        </w:rPr>
      </w:pPr>
      <w:r>
        <w:rPr>
          <w:rFonts w:ascii="Arial" w:cs="Arial" w:eastAsia="Arial" w:hAnsi="Arial"/>
          <w:sz w:val="17"/>
          <w:szCs w:val="17"/>
          <w:b w:val="1"/>
          <w:bCs w:val="1"/>
          <w:color w:val="auto"/>
        </w:rPr>
        <w:t>PART 2 – FORM OF NOTICE OF CHARGE FOR COLLECTION BANK ACCOUNTS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Charge for Collection Bank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Barclays, Level 10, 1 Churchill Place, Canary Wharf, London, E14 5HP</w:t>
      </w:r>
    </w:p>
    <w:p>
      <w:pPr>
        <w:spacing w:after="0" w:line="200" w:lineRule="exact"/>
        <w:rPr>
          <w:sz w:val="20"/>
          <w:szCs w:val="20"/>
          <w:color w:val="auto"/>
        </w:rPr>
      </w:pPr>
    </w:p>
    <w:p>
      <w:pPr>
        <w:sectPr>
          <w:pgSz w:w="11900" w:h="16838" w:orient="portrait"/>
          <w:cols w:equalWidth="0" w:num="2">
            <w:col w:w="580" w:space="720"/>
            <w:col w:w="10120"/>
          </w:cols>
          <w:pgMar w:left="240" w:top="905"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Simon Clark</w:t>
      </w:r>
    </w:p>
    <w:p>
      <w:pPr>
        <w:spacing w:after="0" w:line="211" w:lineRule="exact"/>
        <w:rPr>
          <w:sz w:val="20"/>
          <w:szCs w:val="20"/>
          <w:color w:val="auto"/>
        </w:rPr>
      </w:pPr>
    </w:p>
    <w:p>
      <w:pPr>
        <w:sectPr>
          <w:pgSz w:w="11900" w:h="16838" w:orient="portrait"/>
          <w:cols w:equalWidth="0" w:num="2">
            <w:col w:w="740" w:space="560"/>
            <w:col w:w="10120"/>
          </w:cols>
          <w:pgMar w:left="240" w:top="90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20"/>
          </w:cols>
          <w:pgMar w:left="240" w:top="905" w:right="239" w:bottom="1440" w:gutter="0" w:footer="0" w:header="0"/>
          <w:type w:val="continuous"/>
        </w:sect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Weatherford Eurasia Limited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hereby gives notice to Barclays Bank PLC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that by a deed of charge and assignment dated [•] (the </w:t>
      </w:r>
      <w:r>
        <w:rPr>
          <w:rFonts w:ascii="Arial" w:cs="Arial" w:eastAsia="Arial" w:hAnsi="Arial"/>
          <w:sz w:val="18"/>
          <w:szCs w:val="18"/>
          <w:b w:val="1"/>
          <w:bCs w:val="1"/>
          <w:color w:val="auto"/>
        </w:rPr>
        <w:t>Deed</w:t>
      </w:r>
      <w:r>
        <w:rPr>
          <w:rFonts w:ascii="Arial" w:cs="Arial" w:eastAsia="Arial" w:hAnsi="Arial"/>
          <w:sz w:val="18"/>
          <w:szCs w:val="18"/>
          <w:color w:val="auto"/>
        </w:rPr>
        <w:t>), the Company charged to Wells Fargo Bank N.A., London Branch as collateral agent (the</w:t>
      </w:r>
      <w:r>
        <w:rPr>
          <w:rFonts w:ascii="Arial" w:cs="Arial" w:eastAsia="Arial" w:hAnsi="Arial"/>
          <w:sz w:val="18"/>
          <w:szCs w:val="18"/>
          <w:b w:val="1"/>
          <w:bCs w:val="1"/>
          <w:color w:val="auto"/>
        </w:rPr>
        <w:t xml:space="preserve"> Collateral Agent</w:t>
      </w:r>
      <w:r>
        <w:rPr>
          <w:rFonts w:ascii="Arial" w:cs="Arial" w:eastAsia="Arial" w:hAnsi="Arial"/>
          <w:sz w:val="18"/>
          <w:szCs w:val="18"/>
          <w:color w:val="auto"/>
        </w:rPr>
        <w:t>) by way of first fixed charge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rights, title, interest and benefit in and to the following account(s) held with the Bank and all amounts standing to the credit of such account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 sort code [•]-[•]-[•];</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Blocked Account</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acknowledge receipt of this letter by returning a copy of the attached letter on the Bank’s headed notepaper with a receipted copy of this notice forthwith, to Wells Fargo Bank N.A., London Branch, 8th Floor, 33 King William Street, London, EC4R 9AT Attention: Portfolio Manager – [•] and to the Company at the address given above.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attached acknowledgement letter constitutes our irrevocable instruction to you. Without prejudice to the generality thereof, we hereby acknowledge the provisions of the acknowledgement letter in its entirety and agree in your favour to be bound by the limitations on your responsibility under paragraph (i) of the acknowledgment letter, in each case as if we had signed it in your favour.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Eurasia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953" w:name="page954"/>
    <w:bookmarkEnd w:id="953"/>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 BE PRINTED ON RELEVANT BARCLAYS ENTITY LETTERHEAD</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King William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EC4R 9AT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Chargee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Eurasia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Gotham Road, East Leake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Loughborough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Leicestershire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LE12 6JX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Chargor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All</w:t>
      </w:r>
    </w:p>
    <w:p>
      <w:pPr>
        <w:sectPr>
          <w:pgSz w:w="11900" w:h="16838" w:orient="portrait"/>
          <w:cols w:equalWidth="0" w:num="1">
            <w:col w:w="11420"/>
          </w:cols>
          <w:pgMar w:left="240" w:top="90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charge dated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 the account as set out in the Notice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20[XX] (the “</w:t>
      </w:r>
      <w:r>
        <w:rPr>
          <w:rFonts w:ascii="Arial" w:cs="Arial" w:eastAsia="Arial" w:hAnsi="Arial"/>
          <w:sz w:val="16"/>
          <w:szCs w:val="16"/>
          <w:b w:val="1"/>
          <w:bCs w:val="1"/>
          <w:color w:val="auto"/>
        </w:rPr>
        <w:t>Notice</w:t>
      </w:r>
      <w:r>
        <w:rPr>
          <w:rFonts w:ascii="Arial" w:cs="Arial" w:eastAsia="Arial" w:hAnsi="Arial"/>
          <w:sz w:val="16"/>
          <w:szCs w:val="16"/>
          <w:color w:val="auto"/>
        </w:rPr>
        <w:t>”) relating to the creation of security interest by the Chargor in favour of the Chargee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6350</wp:posOffset>
            </wp:positionV>
            <wp:extent cx="724408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3">
                      <a:extLst>
                        <a:ext uri="{28A0092B-C50C-407E-A947-70E740481C1C}"/>
                      </a:extLst>
                    </a:blip>
                    <a:srcRect/>
                    <a:stretch>
                      <a:fillRect/>
                    </a:stretch>
                  </pic:blipFill>
                  <pic:spPr bwMode="auto">
                    <a:xfrm>
                      <a:off x="0" y="0"/>
                      <a:ext cx="7244080" cy="8890"/>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2720" w:space="280"/>
            <w:col w:w="8420"/>
          </w:cols>
          <w:pgMar w:left="240" w:top="909"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refer to the Notice relating to the account, details of which are set out below (the “</w:t>
      </w:r>
      <w:r>
        <w:rPr>
          <w:rFonts w:ascii="Arial" w:cs="Arial" w:eastAsia="Arial" w:hAnsi="Arial"/>
          <w:sz w:val="16"/>
          <w:szCs w:val="16"/>
          <w:b w:val="1"/>
          <w:bCs w:val="1"/>
          <w:color w:val="auto"/>
        </w:rPr>
        <w:t>Account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3"/>
          <w:szCs w:val="13"/>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76327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4">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ACCOUNT HOLDER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ACCOUNT NUMBER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SORT CODE</w:t>
      </w:r>
    </w:p>
    <w:p>
      <w:pPr>
        <w:spacing w:after="0" w:line="211" w:lineRule="exact"/>
        <w:rPr>
          <w:sz w:val="20"/>
          <w:szCs w:val="20"/>
          <w:color w:val="auto"/>
        </w:rPr>
      </w:pPr>
    </w:p>
    <w:p>
      <w:pPr>
        <w:sectPr>
          <w:pgSz w:w="11900" w:h="16838" w:orient="portrait"/>
          <w:cols w:equalWidth="0" w:num="3">
            <w:col w:w="3120" w:space="720"/>
            <w:col w:w="3160" w:space="720"/>
            <w:col w:w="3700"/>
          </w:cols>
          <w:pgMar w:left="240" w:top="90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jc w:val="both"/>
        <w:ind w:left="660" w:hanging="319"/>
        <w:spacing w:after="0" w:line="259" w:lineRule="auto"/>
        <w:tabs>
          <w:tab w:leader="none" w:pos="640" w:val="left"/>
        </w:tabs>
        <w:rPr>
          <w:sz w:val="20"/>
          <w:szCs w:val="20"/>
          <w:color w:val="auto"/>
        </w:rPr>
      </w:pPr>
      <w:r>
        <w:rPr>
          <w:rFonts w:ascii="Arial" w:cs="Arial" w:eastAsia="Arial" w:hAnsi="Arial"/>
          <w:sz w:val="18"/>
          <w:szCs w:val="18"/>
          <w:color w:val="auto"/>
        </w:rPr>
        <w:t>1.</w:t>
        <w:tab/>
        <w:t>we will block the Account and not permit any further withdrawals by the Chargor unless and until we receive and acknowledge a notice from the Chargee informing us otherwise. Please note that we will not be able to permit withdrawals from the Account in accordance with the instructions of the Chargee unless and until it has provided a list of authorised signatories confirming which persons have authority on behalf of the Chargee to operate the Account and the Account will remain blocked and non- operational until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0975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Only include account details where these were also included in the Notice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954" w:name="page955"/>
    <w:bookmarkEnd w:id="954"/>
    <w:p>
      <w:pPr>
        <w:jc w:val="both"/>
        <w:ind w:left="660" w:hanging="328"/>
        <w:spacing w:after="0" w:line="264" w:lineRule="auto"/>
        <w:tabs>
          <w:tab w:leader="none" w:pos="66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to the best of our knowledge and belief the business team responsible for the Account has not, as at the date of this acknowledgement, received any notice that any third party has any right or interest whatsoever in or has made any claim or demand or taking any action whatsoever against the Account and / or the debts represented thereby, or any part of any of it or them;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we are not, in priority to the Chargee, entitled to combine the Account with any other account or to exercise any right of set-off or counterclaim against money in the Account in respect of any sum owed to us provided that, notwithstanding any term of the Notice:</w:t>
      </w:r>
    </w:p>
    <w:p>
      <w:pPr>
        <w:spacing w:after="0" w:line="170" w:lineRule="exact"/>
        <w:rPr>
          <w:rFonts w:ascii="Arial" w:cs="Arial" w:eastAsia="Arial" w:hAnsi="Arial"/>
          <w:sz w:val="18"/>
          <w:szCs w:val="18"/>
          <w:color w:val="auto"/>
        </w:rPr>
      </w:pPr>
    </w:p>
    <w:p>
      <w:pPr>
        <w:ind w:left="1300" w:hanging="320"/>
        <w:spacing w:after="0" w:line="274" w:lineRule="auto"/>
        <w:tabs>
          <w:tab w:leader="none" w:pos="1300" w:val="left"/>
        </w:tabs>
        <w:numPr>
          <w:ilvl w:val="1"/>
          <w:numId w:val="1038"/>
        </w:numPr>
        <w:rPr>
          <w:rFonts w:ascii="Arial" w:cs="Arial" w:eastAsia="Arial" w:hAnsi="Arial"/>
          <w:sz w:val="17"/>
          <w:szCs w:val="17"/>
          <w:color w:val="auto"/>
        </w:rPr>
      </w:pPr>
      <w:r>
        <w:rPr>
          <w:rFonts w:ascii="Arial" w:cs="Arial" w:eastAsia="Arial" w:hAnsi="Arial"/>
          <w:sz w:val="17"/>
          <w:szCs w:val="17"/>
          <w:color w:val="auto"/>
        </w:rPr>
        <w:t>we shall be entitled at any time to deduct from the Account any amounts to satisfy any of our or the Chargor’s obligations and / or liabilities incurred under the direct debit scheme or in respect of other unpaid sums in relation to cheques and payment reversals; and</w:t>
      </w:r>
    </w:p>
    <w:p>
      <w:pPr>
        <w:jc w:val="both"/>
        <w:ind w:left="1300" w:hanging="320"/>
        <w:spacing w:after="0" w:line="255" w:lineRule="auto"/>
        <w:tabs>
          <w:tab w:leader="none" w:pos="130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our agreement in this Acknowledgement not to exercise any right of combination of accounts, set-off or lien over any monies standing to the credit of the Account in priority to the Chargee, shall not apply in relation to our standard bank charges and fees and any cash pooling arrangements provided to the Chargor; and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we will disclose to the Chargee any information relating the Account which the Chargee may from time to time request us to provide.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do not confirm or agree to any of the other matters set out in the Notice. Our acknowledgement of the Notice is subject to the following conditions:</w:t>
      </w:r>
    </w:p>
    <w:p>
      <w:pPr>
        <w:spacing w:after="0" w:line="237" w:lineRule="exact"/>
        <w:rPr>
          <w:sz w:val="20"/>
          <w:szCs w:val="20"/>
          <w:color w:val="auto"/>
        </w:rPr>
      </w:pPr>
    </w:p>
    <w:p>
      <w:pPr>
        <w:jc w:val="both"/>
        <w:ind w:left="660" w:hanging="328"/>
        <w:spacing w:after="0" w:line="264" w:lineRule="auto"/>
        <w:tabs>
          <w:tab w:leader="none" w:pos="66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we shall not be bound to enquire whether the right of any person (including, but not limited to, the Chargee) to withdraw any monies from the Account has arisen or be concerned with (A) the propriety or regularity of the exercise of that right or (B) be responsible for the application of any monies received by such person (including, but not limited to, the Chargee);</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39"/>
        </w:numPr>
        <w:rPr>
          <w:rFonts w:ascii="Arial" w:cs="Arial" w:eastAsia="Arial" w:hAnsi="Arial"/>
          <w:sz w:val="17"/>
          <w:szCs w:val="17"/>
          <w:color w:val="auto"/>
        </w:rPr>
      </w:pPr>
      <w:r>
        <w:rPr>
          <w:rFonts w:ascii="Arial" w:cs="Arial" w:eastAsia="Arial" w:hAnsi="Arial"/>
          <w:sz w:val="17"/>
          <w:szCs w:val="17"/>
          <w:color w:val="auto"/>
        </w:rPr>
        <w:t>we shall have no liability to the Chargee relating to the Account whatsoever, including, without limitation, for having acted on instructions of the Chargee which on their face appear to be genuine, which comply with the terms of this notice and which otherwise comply with the Chargee’s latest list of signatories held by us or relevant electronic banking system procedures in the case of an electronic instruction,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we shall not be deemed to be a trustee for the Chargor or the Chargee of the Account.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55" w:name="page956"/>
    <w:bookmarkEnd w:id="955"/>
    <w:p>
      <w:pPr>
        <w:spacing w:after="0"/>
        <w:rPr>
          <w:sz w:val="20"/>
          <w:szCs w:val="20"/>
          <w:color w:val="auto"/>
        </w:rPr>
      </w:pPr>
      <w:r>
        <w:rPr>
          <w:rFonts w:ascii="Arial" w:cs="Arial" w:eastAsia="Arial" w:hAnsi="Arial"/>
          <w:sz w:val="16"/>
          <w:szCs w:val="16"/>
          <w:color w:val="auto"/>
        </w:rPr>
        <w:t>This letter and any non-contractual obligations arising out of or in connection with this letter are governed by the laws of England and Wales.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Barclays Bank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0" w:right="1440" w:bottom="1440" w:gutter="0" w:footer="0" w:header="0"/>
        </w:sectPr>
      </w:pPr>
    </w:p>
    <w:bookmarkStart w:id="956" w:name="page957"/>
    <w:bookmarkEnd w:id="956"/>
    <w:p>
      <w:pPr>
        <w:jc w:val="center"/>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CHARGE OF ASSIGNED AGREEMENTS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Insert name and address of relevant party</w:t>
      </w:r>
      <w:r>
        <w:rPr>
          <w:rFonts w:ascii="Arial" w:cs="Arial" w:eastAsia="Arial" w:hAnsi="Arial"/>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w:t>
      </w:r>
      <w:r>
        <w:rPr>
          <w:rFonts w:ascii="Arial" w:cs="Arial" w:eastAsia="Arial" w:hAnsi="Arial"/>
          <w:sz w:val="18"/>
          <w:szCs w:val="18"/>
          <w:b w:val="1"/>
          <w:bCs w:val="1"/>
          <w:i w:val="1"/>
          <w:iCs w:val="1"/>
          <w:color w:val="auto"/>
        </w:rPr>
        <w:t>describe assigned agreement</w:t>
      </w:r>
      <w:r>
        <w:rPr>
          <w:rFonts w:ascii="Arial" w:cs="Arial" w:eastAsia="Arial" w:hAnsi="Arial"/>
          <w:sz w:val="18"/>
          <w:szCs w:val="18"/>
          <w:b w:val="1"/>
          <w:bCs w:val="1"/>
          <w:color w:val="auto"/>
        </w:rPr>
        <w:t xml:space="preserve">] dated </w:t>
      </w:r>
      <w:r>
        <w:rPr>
          <w:rFonts w:ascii="Arial" w:cs="Arial" w:eastAsia="Arial" w:hAnsi="Arial"/>
          <w:sz w:val="18"/>
          <w:szCs w:val="18"/>
          <w:color w:val="auto"/>
        </w:rPr>
        <w:t>[•]</w:t>
      </w:r>
      <w:r>
        <w:rPr>
          <w:rFonts w:ascii="Arial" w:cs="Arial" w:eastAsia="Arial" w:hAnsi="Arial"/>
          <w:sz w:val="18"/>
          <w:szCs w:val="18"/>
          <w:b w:val="1"/>
          <w:bCs w:val="1"/>
          <w:color w:val="auto"/>
        </w:rPr>
        <w:t xml:space="preserve"> between you and Weatherford Eurasia Limited (the "Company")</w:t>
      </w:r>
    </w:p>
    <w:p>
      <w:pPr>
        <w:spacing w:after="0" w:line="225" w:lineRule="exact"/>
        <w:rPr>
          <w:sz w:val="20"/>
          <w:szCs w:val="20"/>
          <w:color w:val="auto"/>
        </w:rPr>
      </w:pPr>
    </w:p>
    <w:p>
      <w:pPr>
        <w:jc w:val="both"/>
        <w:ind w:left="660" w:hanging="652"/>
        <w:spacing w:after="0" w:line="255" w:lineRule="auto"/>
        <w:tabs>
          <w:tab w:leader="none" w:pos="66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 xml:space="preserve">We give notice that, by a deed of charge and assignment dated [•] (the </w:t>
      </w:r>
      <w:r>
        <w:rPr>
          <w:rFonts w:ascii="Arial" w:cs="Arial" w:eastAsia="Arial" w:hAnsi="Arial"/>
          <w:sz w:val="18"/>
          <w:szCs w:val="18"/>
          <w:b w:val="1"/>
          <w:bCs w:val="1"/>
          <w:color w:val="auto"/>
        </w:rPr>
        <w:t>"Deed"</w:t>
      </w:r>
      <w:r>
        <w:rPr>
          <w:rFonts w:ascii="Arial" w:cs="Arial" w:eastAsia="Arial" w:hAnsi="Arial"/>
          <w:sz w:val="18"/>
          <w:szCs w:val="18"/>
          <w:color w:val="auto"/>
        </w:rPr>
        <w:t xml:space="preserve">), we have assigned to Deutsche Bank Trust Company Americas (the </w:t>
      </w:r>
      <w:r>
        <w:rPr>
          <w:rFonts w:ascii="Arial" w:cs="Arial" w:eastAsia="Arial" w:hAnsi="Arial"/>
          <w:sz w:val="18"/>
          <w:szCs w:val="18"/>
          <w:b w:val="1"/>
          <w:bCs w:val="1"/>
          <w:color w:val="auto"/>
        </w:rPr>
        <w:t>"Collateral Agent"</w:t>
      </w:r>
      <w:r>
        <w:rPr>
          <w:rFonts w:ascii="Arial" w:cs="Arial" w:eastAsia="Arial" w:hAnsi="Arial"/>
          <w:sz w:val="18"/>
          <w:szCs w:val="18"/>
          <w:color w:val="auto"/>
        </w:rPr>
        <w:t>) as Collateral Agent for certain banks and others all our present and future right, title and interest in and to [</w:t>
      </w:r>
      <w:r>
        <w:rPr>
          <w:rFonts w:ascii="Arial" w:cs="Arial" w:eastAsia="Arial" w:hAnsi="Arial"/>
          <w:sz w:val="18"/>
          <w:szCs w:val="18"/>
          <w:i w:val="1"/>
          <w:iCs w:val="1"/>
          <w:color w:val="auto"/>
        </w:rPr>
        <w:t>insert details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Assigned Agreement</w:t>
      </w:r>
      <w:r>
        <w:rPr>
          <w:rFonts w:ascii="Arial" w:cs="Arial" w:eastAsia="Arial" w:hAnsi="Arial"/>
          <w:sz w:val="18"/>
          <w:szCs w:val="18"/>
          <w:color w:val="auto"/>
        </w:rPr>
        <w:t>] (together with any other agreement supplementing or amending the same,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including all rights and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Agreement and all proceeds and claims arising from the Agreement. This charge and assignment is subject, and without prejudice, to the charge and assignment to the Collateral Agent of all our right, title and interest in the Agreement pursuant to the ABL deed of charge and assignment dated [5] December 2019, notice of which was given to you by a notice dated [•] (the “</w:t>
      </w:r>
      <w:r>
        <w:rPr>
          <w:rFonts w:ascii="Arial" w:cs="Arial" w:eastAsia="Arial" w:hAnsi="Arial"/>
          <w:sz w:val="18"/>
          <w:szCs w:val="18"/>
          <w:b w:val="1"/>
          <w:bCs w:val="1"/>
          <w:color w:val="auto"/>
        </w:rPr>
        <w:t>ABL Deed of Charge and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 Notice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an Enforcement Event (as defined in the Deed) has occurred (but not at any other time) the Company instructs you:</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040"/>
        </w:numPr>
        <w:rPr>
          <w:rFonts w:ascii="Arial" w:cs="Arial" w:eastAsia="Arial" w:hAnsi="Arial"/>
          <w:sz w:val="16"/>
          <w:szCs w:val="16"/>
          <w:color w:val="auto"/>
        </w:rPr>
      </w:pPr>
      <w:r>
        <w:rPr>
          <w:rFonts w:ascii="Arial" w:cs="Arial" w:eastAsia="Arial" w:hAnsi="Arial"/>
          <w:sz w:val="16"/>
          <w:szCs w:val="16"/>
          <w:color w:val="auto"/>
        </w:rPr>
        <w:t>to disclose to the Collateral Agent at our expense (without any reference to or further authority from us and without any enquiry by you as to the justification for such disclosure), such information relating to the Agreement as the Collateral Agent may from time to time request;</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1"/>
          <w:numId w:val="1040"/>
        </w:numPr>
        <w:rPr>
          <w:rFonts w:ascii="Arial" w:cs="Arial" w:eastAsia="Arial" w:hAnsi="Arial"/>
          <w:sz w:val="18"/>
          <w:szCs w:val="18"/>
          <w:color w:val="auto"/>
        </w:rPr>
      </w:pPr>
      <w:r>
        <w:rPr>
          <w:rFonts w:ascii="Arial" w:cs="Arial" w:eastAsia="Arial" w:hAnsi="Arial"/>
          <w:sz w:val="18"/>
          <w:szCs w:val="18"/>
          <w:color w:val="auto"/>
        </w:rPr>
        <w:t>to hold all sums from time to time due and payable by you to us under the Agreement to the order of the Collateral Agent;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40"/>
        </w:numPr>
        <w:rPr>
          <w:rFonts w:ascii="Arial" w:cs="Arial" w:eastAsia="Arial" w:hAnsi="Arial"/>
          <w:sz w:val="18"/>
          <w:szCs w:val="18"/>
          <w:color w:val="auto"/>
        </w:rPr>
      </w:pPr>
      <w:r>
        <w:rPr>
          <w:rFonts w:ascii="Arial" w:cs="Arial" w:eastAsia="Arial" w:hAnsi="Arial"/>
          <w:sz w:val="18"/>
          <w:szCs w:val="18"/>
          <w:color w:val="auto"/>
        </w:rPr>
        <w:t>to pay or release all or any part of the sums from time to time due and payable by you to us under the Agreement only in accordance with the written instructions given to you by the Collateral Agent from time to time;</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40"/>
        </w:numPr>
        <w:rPr>
          <w:rFonts w:ascii="Arial" w:cs="Arial" w:eastAsia="Arial" w:hAnsi="Arial"/>
          <w:sz w:val="18"/>
          <w:szCs w:val="18"/>
          <w:color w:val="auto"/>
        </w:rPr>
      </w:pPr>
      <w:r>
        <w:rPr>
          <w:rFonts w:ascii="Arial" w:cs="Arial" w:eastAsia="Arial" w:hAnsi="Arial"/>
          <w:sz w:val="18"/>
          <w:szCs w:val="18"/>
          <w:color w:val="auto"/>
        </w:rPr>
        <w:t>to comply with any written notice or instructions in any way relating to, or purporting to relate to, the Deed or the Agreement or the debts represented thereby which you receive at any time from the Collateral Agent without any reference to or further authority from us and without any enquiry by you as to the justification for or validity of such notice or instruction; and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1040"/>
        </w:numPr>
        <w:rPr>
          <w:rFonts w:ascii="Arial" w:cs="Arial" w:eastAsia="Arial" w:hAnsi="Arial"/>
          <w:sz w:val="18"/>
          <w:szCs w:val="18"/>
          <w:color w:val="auto"/>
        </w:rPr>
      </w:pPr>
      <w:r>
        <w:rPr>
          <w:rFonts w:ascii="Arial" w:cs="Arial" w:eastAsia="Arial" w:hAnsi="Arial"/>
          <w:sz w:val="18"/>
          <w:szCs w:val="18"/>
          <w:color w:val="auto"/>
        </w:rPr>
        <w:t>to send copies of all notices and other information given or received under the Agreement to the Collateral Agent.</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You may continue to deal with us in relation to the Agreement until you review a written notice from the Collateral Agent specifying that an Enforcement Event (as defined in the Deed) has occurred. Following the receipt by you of such a written notice, we are not permitted to receive from you, otherwise than through the Collateral Agent, any amount in respect of or on account of the sums payable to us from time to time under the Agreement or to agree any amendment or supplement to, or waive any obligation under, the Agreement without the prior written consent of the Collateral Agent.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7" w:name="page958"/>
    <w:bookmarkEnd w:id="957"/>
    <w:p>
      <w:pPr>
        <w:ind w:left="660" w:hanging="652"/>
        <w:spacing w:after="0"/>
        <w:tabs>
          <w:tab w:leader="none" w:pos="66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This notice may only be revoked or amended with the prior written consent of the Collateral Agent.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Please confirm by completing the enclosed copy of this notice and returning it to the Collateral Agent (with a copy to us) that you agree to the above and that: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41"/>
        </w:numPr>
        <w:rPr>
          <w:rFonts w:ascii="Arial" w:cs="Arial" w:eastAsia="Arial" w:hAnsi="Arial"/>
          <w:sz w:val="18"/>
          <w:szCs w:val="18"/>
          <w:color w:val="auto"/>
        </w:rPr>
      </w:pPr>
      <w:r>
        <w:rPr>
          <w:rFonts w:ascii="Arial" w:cs="Arial" w:eastAsia="Arial" w:hAnsi="Arial"/>
          <w:sz w:val="18"/>
          <w:szCs w:val="18"/>
          <w:color w:val="auto"/>
        </w:rPr>
        <w:t>you accept the instructions and authorisations contained in this notice and you undertake to comply with this notice; and</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41"/>
        </w:numPr>
        <w:rPr>
          <w:rFonts w:ascii="Arial" w:cs="Arial" w:eastAsia="Arial" w:hAnsi="Arial"/>
          <w:sz w:val="18"/>
          <w:szCs w:val="18"/>
          <w:color w:val="auto"/>
        </w:rPr>
      </w:pPr>
      <w:r>
        <w:rPr>
          <w:rFonts w:ascii="Arial" w:cs="Arial" w:eastAsia="Arial" w:hAnsi="Arial"/>
          <w:sz w:val="18"/>
          <w:szCs w:val="18"/>
          <w:color w:val="auto"/>
        </w:rPr>
        <w:t>except for the ABL Deed of Charge and Assignment Notice, you have not, at the date this notice is returned to the Collateral Agent, received notice of the assignment or charge, the grant of any security or the existence of any other interest of any third party in or to the Agreement or any proceeds of it and you will notify the Collateral Agent promptly if you should do so in future.</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This notice, and any acknowledgement in connection with it, and any non-contractual obligations arising out of or in connection with any of them, shall be governed by English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Eurasia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58" w:name="page959"/>
    <w:bookmarkEnd w:id="958"/>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On copy</w:t>
      </w:r>
      <w:r>
        <w:rPr>
          <w:rFonts w:ascii="Arial" w:cs="Arial" w:eastAsia="Arial" w:hAnsi="Arial"/>
          <w:sz w:val="16"/>
          <w:szCs w:val="16"/>
          <w:color w:val="auto"/>
        </w:rPr>
        <w:t>]</w:t>
      </w:r>
    </w:p>
    <w:p>
      <w:pPr>
        <w:sectPr>
          <w:pgSz w:w="11900" w:h="16838" w:orient="portrait"/>
          <w:cols w:equalWidth="0" w:num="1">
            <w:col w:w="11400"/>
          </w:cols>
          <w:pgMar w:left="240" w:top="910"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80" w:space="720"/>
            <w:col w:w="10100"/>
          </w:cols>
          <w:pgMar w:left="240" w:top="91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Eurasia Limited</w:t>
      </w:r>
    </w:p>
    <w:p>
      <w:pPr>
        <w:spacing w:after="0" w:line="211" w:lineRule="exact"/>
        <w:rPr>
          <w:sz w:val="20"/>
          <w:szCs w:val="20"/>
          <w:color w:val="auto"/>
        </w:rPr>
      </w:pPr>
    </w:p>
    <w:p>
      <w:pPr>
        <w:sectPr>
          <w:pgSz w:w="11900" w:h="16838" w:orient="portrait"/>
          <w:cols w:equalWidth="0" w:num="2">
            <w:col w:w="640" w:space="660"/>
            <w:col w:w="10100"/>
          </w:cols>
          <w:pgMar w:left="240" w:top="910" w:right="25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Gotham Road, East Leake,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Loughborough,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Leicestershire LE12 6JX</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00"/>
          </w:cols>
          <w:pgMar w:left="240" w:top="910" w:right="259" w:bottom="144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acknowledge receipt of the above notice and consent and agree to its terms. We confirm and agree to the matters set out in paragraph [5] in the above notice.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relevant party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0" w:right="259" w:bottom="1440" w:gutter="0" w:footer="0" w:header="0"/>
          <w:type w:val="continuous"/>
        </w:sectPr>
      </w:pPr>
    </w:p>
    <w:bookmarkStart w:id="959" w:name="page960"/>
    <w:bookmarkEnd w:id="959"/>
    <w:p>
      <w:pPr>
        <w:jc w:val="center"/>
        <w:ind w:right="-19"/>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NOTICE OF CHARGE OF INSURANCE POLICIES</w:t>
      </w:r>
    </w:p>
    <w:p>
      <w:pPr>
        <w:sectPr>
          <w:pgSz w:w="11900" w:h="16838" w:orient="portrait"/>
          <w:cols w:equalWidth="0" w:num="1">
            <w:col w:w="11420"/>
          </w:cols>
          <w:pgMar w:left="240" w:top="905"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insert name and address of insurance company</w:t>
      </w: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240" w:space="420"/>
            <w:col w:w="10760"/>
          </w:cols>
          <w:pgMar w:left="240" w:top="905" w:right="239" w:bottom="1440" w:gutter="0" w:footer="0" w:header="0"/>
          <w:type w:val="continuous"/>
        </w:sectPr>
      </w:pPr>
    </w:p>
    <w:p>
      <w:pPr>
        <w:spacing w:after="0" w:line="48" w:lineRule="exact"/>
        <w:rPr>
          <w:sz w:val="20"/>
          <w:szCs w:val="20"/>
          <w:color w:val="auto"/>
        </w:rPr>
      </w:pPr>
    </w:p>
    <w:p>
      <w:pPr>
        <w:ind w:left="10720"/>
        <w:spacing w:after="0"/>
        <w:rPr>
          <w:sz w:val="20"/>
          <w:szCs w:val="20"/>
          <w:color w:val="auto"/>
        </w:rPr>
      </w:pPr>
      <w:r>
        <w:rPr>
          <w:rFonts w:ascii="Arial" w:cs="Arial" w:eastAsia="Arial" w:hAnsi="Arial"/>
          <w:sz w:val="16"/>
          <w:szCs w:val="16"/>
          <w:color w:val="auto"/>
        </w:rPr>
        <w:t>Dated: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905"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here identify the relevant insurance policy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ies</w:t>
      </w:r>
      <w:r>
        <w:rPr>
          <w:rFonts w:ascii="Arial" w:cs="Arial" w:eastAsia="Arial" w:hAnsi="Arial"/>
          <w:sz w:val="15"/>
          <w:szCs w:val="15"/>
          <w:b w:val="1"/>
          <w:bCs w:val="1"/>
          <w:color w:val="auto"/>
        </w:rPr>
        <w:t>)</w:t>
      </w:r>
      <w:r>
        <w:rPr>
          <w:rFonts w:ascii="Arial" w:cs="Arial" w:eastAsia="Arial" w:hAnsi="Arial"/>
          <w:sz w:val="15"/>
          <w:szCs w:val="15"/>
          <w:color w:val="auto"/>
        </w:rPr>
        <w:t>] (the "</w:t>
      </w:r>
      <w:r>
        <w:rPr>
          <w:rFonts w:ascii="Arial" w:cs="Arial" w:eastAsia="Arial" w:hAnsi="Arial"/>
          <w:sz w:val="15"/>
          <w:szCs w:val="15"/>
          <w:b w:val="1"/>
          <w:bCs w:val="1"/>
          <w:color w:val="auto"/>
        </w:rPr>
        <w:t>Policies</w:t>
      </w:r>
      <w:r>
        <w:rPr>
          <w:rFonts w:ascii="Arial" w:cs="Arial" w:eastAsia="Arial" w:hAnsi="Arial"/>
          <w:sz w:val="15"/>
          <w:szCs w:val="15"/>
          <w:color w:val="auto"/>
        </w:rPr>
        <w:t>")</w:t>
      </w:r>
    </w:p>
    <w:p>
      <w:pPr>
        <w:spacing w:after="0" w:line="215" w:lineRule="exact"/>
        <w:rPr>
          <w:sz w:val="20"/>
          <w:szCs w:val="20"/>
          <w:color w:val="auto"/>
        </w:rPr>
      </w:pPr>
    </w:p>
    <w:p>
      <w:pPr>
        <w:sectPr>
          <w:pgSz w:w="11900" w:h="16838" w:orient="portrait"/>
          <w:cols w:equalWidth="0" w:num="2">
            <w:col w:w="260" w:space="400"/>
            <w:col w:w="10760"/>
          </w:cols>
          <w:pgMar w:left="240" w:top="905" w:right="239" w:bottom="1440" w:gutter="0" w:footer="0" w:header="0"/>
          <w:type w:val="continuous"/>
        </w:sectPr>
      </w:pPr>
    </w:p>
    <w:p>
      <w:pPr>
        <w:spacing w:after="0" w:line="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notify you that, Weatherford Eurasia Limited (the "</w:t>
      </w:r>
      <w:r>
        <w:rPr>
          <w:rFonts w:ascii="Arial" w:cs="Arial" w:eastAsia="Arial" w:hAnsi="Arial"/>
          <w:sz w:val="16"/>
          <w:szCs w:val="16"/>
          <w:b w:val="1"/>
          <w:bCs w:val="1"/>
          <w:color w:val="auto"/>
        </w:rPr>
        <w:t>Company</w:t>
      </w:r>
      <w:r>
        <w:rPr>
          <w:rFonts w:ascii="Arial" w:cs="Arial" w:eastAsia="Arial" w:hAnsi="Arial"/>
          <w:sz w:val="16"/>
          <w:szCs w:val="16"/>
          <w:color w:val="auto"/>
        </w:rPr>
        <w:t>") has assigned to Deutsche Bank Trust Company Americas (the "</w:t>
      </w:r>
      <w:r>
        <w:rPr>
          <w:rFonts w:ascii="Arial" w:cs="Arial" w:eastAsia="Arial" w:hAnsi="Arial"/>
          <w:sz w:val="16"/>
          <w:szCs w:val="16"/>
          <w:b w:val="1"/>
          <w:bCs w:val="1"/>
          <w:color w:val="auto"/>
        </w:rPr>
        <w:t>Collateral Agent</w:t>
      </w:r>
      <w:r>
        <w:rPr>
          <w:rFonts w:ascii="Arial" w:cs="Arial" w:eastAsia="Arial" w:hAnsi="Arial"/>
          <w:sz w:val="16"/>
          <w:szCs w:val="16"/>
          <w:color w:val="auto"/>
        </w:rPr>
        <w:t>") for the benefit of itself and certain other banks and financial institutions (the "</w:t>
      </w:r>
      <w:r>
        <w:rPr>
          <w:rFonts w:ascii="Arial" w:cs="Arial" w:eastAsia="Arial" w:hAnsi="Arial"/>
          <w:sz w:val="16"/>
          <w:szCs w:val="16"/>
          <w:b w:val="1"/>
          <w:bCs w:val="1"/>
          <w:color w:val="auto"/>
        </w:rPr>
        <w:t>Secured Parties</w:t>
      </w:r>
      <w:r>
        <w:rPr>
          <w:rFonts w:ascii="Arial" w:cs="Arial" w:eastAsia="Arial" w:hAnsi="Arial"/>
          <w:sz w:val="16"/>
          <w:szCs w:val="16"/>
          <w:color w:val="auto"/>
        </w:rPr>
        <w:t>") all its right, title and interest in the Policies as security for certain obligations owed by the Company to the Secured Parties by way of a deed of charge and assignment dated [•] (the "</w:t>
      </w:r>
      <w:r>
        <w:rPr>
          <w:rFonts w:ascii="Arial" w:cs="Arial" w:eastAsia="Arial" w:hAnsi="Arial"/>
          <w:sz w:val="16"/>
          <w:szCs w:val="16"/>
          <w:b w:val="1"/>
          <w:bCs w:val="1"/>
          <w:color w:val="auto"/>
        </w:rPr>
        <w:t>Deed</w:t>
      </w:r>
      <w:r>
        <w:rPr>
          <w:rFonts w:ascii="Arial" w:cs="Arial" w:eastAsia="Arial" w:hAnsi="Arial"/>
          <w:sz w:val="16"/>
          <w:szCs w:val="16"/>
          <w:color w:val="auto"/>
        </w:rPr>
        <w:t>"). This assignment is subject, and without prejudice, to the assignment to the Collateral Agent of all our right, title and interest in the Policies pursuant to the ABL deed of charge and assignment dated [5] December 2019, notice of which was given to you by a notice dated [•] (the “</w:t>
      </w:r>
      <w:r>
        <w:rPr>
          <w:rFonts w:ascii="Arial" w:cs="Arial" w:eastAsia="Arial" w:hAnsi="Arial"/>
          <w:sz w:val="16"/>
          <w:szCs w:val="16"/>
          <w:b w:val="1"/>
          <w:bCs w:val="1"/>
          <w:color w:val="auto"/>
        </w:rPr>
        <w:t>ABL Deed of Charge and Assignment Notice</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further notify you that:</w:t>
      </w:r>
    </w:p>
    <w:p>
      <w:pPr>
        <w:spacing w:after="0" w:line="225" w:lineRule="exact"/>
        <w:rPr>
          <w:sz w:val="20"/>
          <w:szCs w:val="20"/>
          <w:color w:val="auto"/>
        </w:rPr>
      </w:pPr>
    </w:p>
    <w:p>
      <w:pPr>
        <w:jc w:val="both"/>
        <w:ind w:left="660" w:hanging="652"/>
        <w:spacing w:after="0" w:line="264" w:lineRule="auto"/>
        <w:tabs>
          <w:tab w:leader="none" w:pos="66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Prior to receipt by you of a written notice from the Collateral Agent specifying that an Enforcement Event (as defined in the Deed) has occurred, the Company will continue to have the sole right to deal with you in relation to the Policies (including any amendment, waiver or termination thereof or any claims thereunder).</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Following receipt by you of a written notice from the Collateral Agent specifying that a Enforcement Event has occurred (but not at any other time) the Company irrevocably authorises you:</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42"/>
        </w:numPr>
        <w:rPr>
          <w:rFonts w:ascii="Arial" w:cs="Arial" w:eastAsia="Arial" w:hAnsi="Arial"/>
          <w:sz w:val="18"/>
          <w:szCs w:val="18"/>
          <w:color w:val="auto"/>
        </w:rPr>
      </w:pPr>
      <w:r>
        <w:rPr>
          <w:rFonts w:ascii="Arial" w:cs="Arial" w:eastAsia="Arial" w:hAnsi="Arial"/>
          <w:sz w:val="18"/>
          <w:szCs w:val="18"/>
          <w:color w:val="auto"/>
        </w:rPr>
        <w:t>to pay all monies to which the Company is entitled under the Policies direct to the Collateral Agent (or as it may direct) promptly following receipt of written instructions from the Collateral Agent to that effect;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42"/>
        </w:numPr>
        <w:rPr>
          <w:rFonts w:ascii="Arial" w:cs="Arial" w:eastAsia="Arial" w:hAnsi="Arial"/>
          <w:sz w:val="18"/>
          <w:szCs w:val="18"/>
          <w:color w:val="auto"/>
        </w:rPr>
      </w:pPr>
      <w:r>
        <w:rPr>
          <w:rFonts w:ascii="Arial" w:cs="Arial" w:eastAsia="Arial" w:hAnsi="Arial"/>
          <w:sz w:val="18"/>
          <w:szCs w:val="18"/>
          <w:color w:val="auto"/>
        </w:rPr>
        <w:t>to disclose to the Collateral Agent any information relating to the Policies which the Collateral Agent may from time to time request in writing.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The provisions of this notice may only be revoked or varied with the written consent of the Collateral Agent and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42"/>
        </w:numPr>
        <w:rPr>
          <w:rFonts w:ascii="Arial" w:cs="Arial" w:eastAsia="Arial" w:hAnsi="Arial"/>
          <w:sz w:val="17"/>
          <w:szCs w:val="17"/>
          <w:color w:val="auto"/>
        </w:rPr>
      </w:pPr>
      <w:r>
        <w:rPr>
          <w:rFonts w:ascii="Arial" w:cs="Arial" w:eastAsia="Arial" w:hAnsi="Arial"/>
          <w:sz w:val="17"/>
          <w:szCs w:val="17"/>
          <w:color w:val="auto"/>
        </w:rPr>
        <w:t>Please sign and return the enclosed copy of this notice to the Collateral Agent (with a copy to the Company) by way of confirmation that: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1042"/>
        </w:numPr>
        <w:rPr>
          <w:rFonts w:ascii="Arial" w:cs="Arial" w:eastAsia="Arial" w:hAnsi="Arial"/>
          <w:sz w:val="18"/>
          <w:szCs w:val="18"/>
          <w:color w:val="auto"/>
        </w:rPr>
      </w:pPr>
      <w:r>
        <w:rPr>
          <w:rFonts w:ascii="Arial" w:cs="Arial" w:eastAsia="Arial" w:hAnsi="Arial"/>
          <w:sz w:val="18"/>
          <w:szCs w:val="18"/>
          <w:color w:val="auto"/>
        </w:rPr>
        <w:t>you agree to act in accordance with the provisions of this notice;</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42"/>
        </w:numPr>
        <w:rPr>
          <w:rFonts w:ascii="Arial" w:cs="Arial" w:eastAsia="Arial" w:hAnsi="Arial"/>
          <w:sz w:val="18"/>
          <w:szCs w:val="18"/>
          <w:color w:val="auto"/>
        </w:rPr>
      </w:pPr>
      <w:r>
        <w:rPr>
          <w:rFonts w:ascii="Arial" w:cs="Arial" w:eastAsia="Arial" w:hAnsi="Arial"/>
          <w:sz w:val="18"/>
          <w:szCs w:val="18"/>
          <w:color w:val="auto"/>
        </w:rPr>
        <w:t>except for the ABL Deed of Charge and Assignment Notice, you have not previously received notice (other than notices which were subsequently irrevocably withdrawn) that the Company has assigned its rights under the Policies to a third party or created any other interest (whether by way of security or otherwise) in the Policies in favour of a third party;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960" w:name="page961"/>
    <w:bookmarkEnd w:id="960"/>
    <w:p>
      <w:pPr>
        <w:ind w:left="1300" w:hanging="644"/>
        <w:spacing w:after="0" w:line="277" w:lineRule="auto"/>
        <w:tabs>
          <w:tab w:leader="none" w:pos="1300"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you have not claimed or exercised nor do you have any outstanding right to claim or exercise against the Company, any right of set off, counter claim or other right relating to the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notice are governed by English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Eurasia Limited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61" w:name="page962"/>
    <w:bookmarkEnd w:id="961"/>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On acknowledgement copy</w:t>
      </w:r>
      <w:r>
        <w:rPr>
          <w:rFonts w:ascii="Arial" w:cs="Arial" w:eastAsia="Arial" w:hAnsi="Arial"/>
          <w:sz w:val="16"/>
          <w:szCs w:val="16"/>
          <w:color w:val="auto"/>
        </w:rPr>
        <w:t>]</w:t>
      </w:r>
    </w:p>
    <w:p>
      <w:pPr>
        <w:sectPr>
          <w:pgSz w:w="11900" w:h="16838" w:orient="portrait"/>
          <w:cols w:equalWidth="0" w:num="1">
            <w:col w:w="10219"/>
          </w:cols>
          <w:pgMar w:left="240" w:top="908"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Trust Company Americas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580" w:space="720"/>
            <w:col w:w="8919"/>
          </w:cols>
          <w:pgMar w:left="240" w:top="908"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Eurasia Limited</w:t>
      </w:r>
    </w:p>
    <w:p>
      <w:pPr>
        <w:spacing w:after="0" w:line="211" w:lineRule="exact"/>
        <w:rPr>
          <w:sz w:val="20"/>
          <w:szCs w:val="20"/>
          <w:color w:val="auto"/>
        </w:rPr>
      </w:pPr>
    </w:p>
    <w:p>
      <w:pPr>
        <w:sectPr>
          <w:pgSz w:w="11900" w:h="16838" w:orient="portrait"/>
          <w:cols w:equalWidth="0" w:num="2">
            <w:col w:w="640" w:space="660"/>
            <w:col w:w="8919"/>
          </w:cols>
          <w:pgMar w:left="240" w:top="908" w:right="1440"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Gotham Road, East Leake,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Loughborough,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Leicestershire LE12 6JX</w:t>
      </w:r>
    </w:p>
    <w:p>
      <w:pPr>
        <w:sectPr>
          <w:pgSz w:w="11900" w:h="16838" w:orient="portrait"/>
          <w:cols w:equalWidth="0" w:num="1">
            <w:col w:w="10219"/>
          </w:cols>
          <w:pgMar w:left="240" w:top="908"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acknowledge receipt of the above notice and confirm the matters set out in paragraphs 4(a) to (c)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name of insurance company</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type w:val="continuous"/>
        </w:sectPr>
      </w:pPr>
    </w:p>
    <w:bookmarkStart w:id="962" w:name="page963"/>
    <w:bookmarkEnd w:id="962"/>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40"/>
        <w:spacing w:after="0"/>
        <w:tabs>
          <w:tab w:leader="none" w:pos="65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-7620</wp:posOffset>
            </wp:positionV>
            <wp:extent cx="9144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9">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EURASIA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Mortgagor)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692150</wp:posOffset>
            </wp:positionV>
            <wp:extent cx="2898775"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EQUITABLE SHARE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289877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This Equitable Share Mortgage is entered into subject to the terms of the Intercreditor Agreement dated on or about the date of this Deed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1231900</wp:posOffset>
            </wp:positionV>
            <wp:extent cx="724662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528955</wp:posOffset>
            </wp:positionV>
            <wp:extent cx="1054735" cy="27432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3">
                      <a:extLst>
                        <a:ext uri="{28A0092B-C50C-407E-A947-70E740481C1C}"/>
                      </a:extLst>
                    </a:blip>
                    <a:srcRect/>
                    <a:stretch>
                      <a:fillRect/>
                    </a:stretch>
                  </pic:blipFill>
                  <pic:spPr bwMode="auto">
                    <a:xfrm>
                      <a:off x="0" y="0"/>
                      <a:ext cx="1054735" cy="27432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63" w:name="page964"/>
    <w:bookmarkEnd w:id="96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9600" w:type="dxa"/>
            <w:vAlign w:val="bottom"/>
          </w:tcPr>
          <w:p>
            <w:pPr>
              <w:ind w:left="4540"/>
              <w:spacing w:after="0"/>
              <w:rPr>
                <w:sz w:val="20"/>
                <w:szCs w:val="20"/>
                <w:color w:val="auto"/>
              </w:rPr>
            </w:pPr>
            <w:r>
              <w:rPr>
                <w:rFonts w:ascii="Arial" w:cs="Arial" w:eastAsia="Arial" w:hAnsi="Arial"/>
                <w:sz w:val="18"/>
                <w:szCs w:val="18"/>
                <w:b w:val="1"/>
                <w:bCs w:val="1"/>
                <w:color w:val="auto"/>
              </w:rPr>
              <w:t>CONTENTS</w:t>
            </w:r>
          </w:p>
        </w:tc>
        <w:tc>
          <w:tcPr>
            <w:tcW w:w="114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96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010000"/>
              </w:rPr>
              <w:t>1.</w:t>
            </w:r>
          </w:p>
        </w:tc>
        <w:tc>
          <w:tcPr>
            <w:tcW w:w="9600" w:type="dxa"/>
            <w:vAlign w:val="bottom"/>
          </w:tcPr>
          <w:p>
            <w:pPr>
              <w:ind w:left="140"/>
              <w:spacing w:after="0"/>
              <w:rPr>
                <w:sz w:val="20"/>
                <w:szCs w:val="20"/>
                <w:color w:val="auto"/>
              </w:rPr>
            </w:pPr>
            <w:r>
              <w:rPr>
                <w:rFonts w:ascii="Arial" w:cs="Arial" w:eastAsia="Arial" w:hAnsi="Arial"/>
                <w:sz w:val="18"/>
                <w:szCs w:val="18"/>
                <w:color w:val="auto"/>
              </w:rPr>
              <w:t>DEFINITIONS AND INTERPRETATION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w:t>
            </w:r>
          </w:p>
        </w:tc>
        <w:tc>
          <w:tcPr>
            <w:tcW w:w="9600" w:type="dxa"/>
            <w:vAlign w:val="bottom"/>
          </w:tcPr>
          <w:p>
            <w:pPr>
              <w:ind w:left="140"/>
              <w:spacing w:after="0"/>
              <w:rPr>
                <w:sz w:val="20"/>
                <w:szCs w:val="20"/>
                <w:color w:val="auto"/>
              </w:rPr>
            </w:pPr>
            <w:r>
              <w:rPr>
                <w:rFonts w:ascii="Arial" w:cs="Arial" w:eastAsia="Arial" w:hAnsi="Arial"/>
                <w:sz w:val="18"/>
                <w:szCs w:val="18"/>
                <w:color w:val="auto"/>
              </w:rPr>
              <w:t>TRUST</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3.</w:t>
            </w:r>
          </w:p>
        </w:tc>
        <w:tc>
          <w:tcPr>
            <w:tcW w:w="9600" w:type="dxa"/>
            <w:vAlign w:val="bottom"/>
          </w:tcPr>
          <w:p>
            <w:pPr>
              <w:ind w:left="140"/>
              <w:spacing w:after="0"/>
              <w:rPr>
                <w:sz w:val="20"/>
                <w:szCs w:val="20"/>
                <w:color w:val="auto"/>
              </w:rPr>
            </w:pPr>
            <w:r>
              <w:rPr>
                <w:rFonts w:ascii="Arial" w:cs="Arial" w:eastAsia="Arial" w:hAnsi="Arial"/>
                <w:sz w:val="18"/>
                <w:szCs w:val="18"/>
                <w:color w:val="auto"/>
              </w:rPr>
              <w:t>INTERCREDITOR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4.</w:t>
            </w:r>
          </w:p>
        </w:tc>
        <w:tc>
          <w:tcPr>
            <w:tcW w:w="9600" w:type="dxa"/>
            <w:vAlign w:val="bottom"/>
          </w:tcPr>
          <w:p>
            <w:pPr>
              <w:ind w:left="140"/>
              <w:spacing w:after="0"/>
              <w:rPr>
                <w:sz w:val="20"/>
                <w:szCs w:val="20"/>
                <w:color w:val="auto"/>
              </w:rPr>
            </w:pPr>
            <w:r>
              <w:rPr>
                <w:rFonts w:ascii="Arial" w:cs="Arial" w:eastAsia="Arial" w:hAnsi="Arial"/>
                <w:sz w:val="18"/>
                <w:szCs w:val="18"/>
                <w:color w:val="auto"/>
              </w:rPr>
              <w:t>ABL EQUITABLE SHARE MORTGAGE</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5.</w:t>
            </w:r>
          </w:p>
        </w:tc>
        <w:tc>
          <w:tcPr>
            <w:tcW w:w="9600" w:type="dxa"/>
            <w:vAlign w:val="bottom"/>
          </w:tcPr>
          <w:p>
            <w:pPr>
              <w:ind w:left="140"/>
              <w:spacing w:after="0"/>
              <w:rPr>
                <w:sz w:val="20"/>
                <w:szCs w:val="20"/>
                <w:color w:val="auto"/>
              </w:rPr>
            </w:pPr>
            <w:r>
              <w:rPr>
                <w:rFonts w:ascii="Arial" w:cs="Arial" w:eastAsia="Arial" w:hAnsi="Arial"/>
                <w:sz w:val="18"/>
                <w:szCs w:val="18"/>
                <w:color w:val="auto"/>
              </w:rPr>
              <w:t>COVENANT TO PAY</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6.</w:t>
            </w:r>
          </w:p>
        </w:tc>
        <w:tc>
          <w:tcPr>
            <w:tcW w:w="9600" w:type="dxa"/>
            <w:vAlign w:val="bottom"/>
          </w:tcPr>
          <w:p>
            <w:pPr>
              <w:ind w:left="140"/>
              <w:spacing w:after="0"/>
              <w:rPr>
                <w:sz w:val="20"/>
                <w:szCs w:val="20"/>
                <w:color w:val="auto"/>
              </w:rPr>
            </w:pPr>
            <w:r>
              <w:rPr>
                <w:rFonts w:ascii="Arial" w:cs="Arial" w:eastAsia="Arial" w:hAnsi="Arial"/>
                <w:sz w:val="18"/>
                <w:szCs w:val="18"/>
                <w:color w:val="auto"/>
              </w:rPr>
              <w:t>CREATION OF SECURITY</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7.</w:t>
            </w:r>
          </w:p>
        </w:tc>
        <w:tc>
          <w:tcPr>
            <w:tcW w:w="9600" w:type="dxa"/>
            <w:vAlign w:val="bottom"/>
          </w:tcPr>
          <w:p>
            <w:pPr>
              <w:ind w:left="140"/>
              <w:spacing w:after="0"/>
              <w:rPr>
                <w:sz w:val="20"/>
                <w:szCs w:val="20"/>
                <w:color w:val="auto"/>
              </w:rPr>
            </w:pPr>
            <w:r>
              <w:rPr>
                <w:rFonts w:ascii="Arial" w:cs="Arial" w:eastAsia="Arial" w:hAnsi="Arial"/>
                <w:sz w:val="18"/>
                <w:szCs w:val="18"/>
                <w:color w:val="auto"/>
              </w:rPr>
              <w:t>COVENANT TO DEPOSIT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8.</w:t>
            </w:r>
          </w:p>
        </w:tc>
        <w:tc>
          <w:tcPr>
            <w:tcW w:w="9600" w:type="dxa"/>
            <w:vAlign w:val="bottom"/>
          </w:tcPr>
          <w:p>
            <w:pPr>
              <w:ind w:left="140"/>
              <w:spacing w:after="0"/>
              <w:rPr>
                <w:sz w:val="20"/>
                <w:szCs w:val="20"/>
                <w:color w:val="auto"/>
              </w:rPr>
            </w:pPr>
            <w:r>
              <w:rPr>
                <w:rFonts w:ascii="Arial" w:cs="Arial" w:eastAsia="Arial" w:hAnsi="Arial"/>
                <w:sz w:val="18"/>
                <w:szCs w:val="18"/>
                <w:color w:val="auto"/>
              </w:rPr>
              <w:t>FURTHER ASSURANCE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9.</w:t>
            </w:r>
          </w:p>
        </w:tc>
        <w:tc>
          <w:tcPr>
            <w:tcW w:w="9600" w:type="dxa"/>
            <w:vAlign w:val="bottom"/>
          </w:tcPr>
          <w:p>
            <w:pPr>
              <w:ind w:left="140"/>
              <w:spacing w:after="0"/>
              <w:rPr>
                <w:sz w:val="20"/>
                <w:szCs w:val="20"/>
                <w:color w:val="auto"/>
              </w:rPr>
            </w:pPr>
            <w:r>
              <w:rPr>
                <w:rFonts w:ascii="Arial" w:cs="Arial" w:eastAsia="Arial" w:hAnsi="Arial"/>
                <w:sz w:val="18"/>
                <w:szCs w:val="18"/>
                <w:color w:val="auto"/>
              </w:rPr>
              <w:t>VOTING RIGHTS AND DIVIDENDS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10.</w:t>
            </w:r>
          </w:p>
        </w:tc>
        <w:tc>
          <w:tcPr>
            <w:tcW w:w="960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11.</w:t>
            </w:r>
          </w:p>
        </w:tc>
        <w:tc>
          <w:tcPr>
            <w:tcW w:w="9600" w:type="dxa"/>
            <w:vAlign w:val="bottom"/>
          </w:tcPr>
          <w:p>
            <w:pPr>
              <w:ind w:left="140"/>
              <w:spacing w:after="0"/>
              <w:rPr>
                <w:sz w:val="20"/>
                <w:szCs w:val="20"/>
                <w:color w:val="auto"/>
              </w:rPr>
            </w:pPr>
            <w:r>
              <w:rPr>
                <w:rFonts w:ascii="Arial" w:cs="Arial" w:eastAsia="Arial" w:hAnsi="Arial"/>
                <w:sz w:val="18"/>
                <w:szCs w:val="18"/>
                <w:color w:val="auto"/>
              </w:rPr>
              <w:t>RESTRICTIONS ON DEALINGS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12.</w:t>
            </w:r>
          </w:p>
        </w:tc>
        <w:tc>
          <w:tcPr>
            <w:tcW w:w="9600" w:type="dxa"/>
            <w:vAlign w:val="bottom"/>
          </w:tcPr>
          <w:p>
            <w:pPr>
              <w:ind w:left="140"/>
              <w:spacing w:after="0"/>
              <w:rPr>
                <w:sz w:val="20"/>
                <w:szCs w:val="20"/>
                <w:color w:val="auto"/>
              </w:rPr>
            </w:pPr>
            <w:r>
              <w:rPr>
                <w:rFonts w:ascii="Arial" w:cs="Arial" w:eastAsia="Arial" w:hAnsi="Arial"/>
                <w:sz w:val="18"/>
                <w:szCs w:val="18"/>
                <w:color w:val="auto"/>
              </w:rPr>
              <w:t>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13.</w:t>
            </w:r>
          </w:p>
        </w:tc>
        <w:tc>
          <w:tcPr>
            <w:tcW w:w="9600" w:type="dxa"/>
            <w:vAlign w:val="bottom"/>
          </w:tcPr>
          <w:p>
            <w:pPr>
              <w:ind w:left="140"/>
              <w:spacing w:after="0"/>
              <w:rPr>
                <w:sz w:val="20"/>
                <w:szCs w:val="20"/>
                <w:color w:val="auto"/>
              </w:rPr>
            </w:pPr>
            <w:r>
              <w:rPr>
                <w:rFonts w:ascii="Arial" w:cs="Arial" w:eastAsia="Arial" w:hAnsi="Arial"/>
                <w:sz w:val="18"/>
                <w:szCs w:val="18"/>
                <w:color w:val="auto"/>
              </w:rPr>
              <w:t>POWER OF ATTORNEY</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14.</w:t>
            </w:r>
          </w:p>
        </w:tc>
        <w:tc>
          <w:tcPr>
            <w:tcW w:w="9600" w:type="dxa"/>
            <w:vAlign w:val="bottom"/>
          </w:tcPr>
          <w:p>
            <w:pPr>
              <w:ind w:left="140"/>
              <w:spacing w:after="0"/>
              <w:rPr>
                <w:sz w:val="20"/>
                <w:szCs w:val="20"/>
                <w:color w:val="auto"/>
              </w:rPr>
            </w:pPr>
            <w:r>
              <w:rPr>
                <w:rFonts w:ascii="Arial" w:cs="Arial" w:eastAsia="Arial" w:hAnsi="Arial"/>
                <w:sz w:val="18"/>
                <w:szCs w:val="18"/>
                <w:color w:val="auto"/>
              </w:rPr>
              <w:t>ENFORCEMENT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15.</w:t>
            </w:r>
          </w:p>
        </w:tc>
        <w:tc>
          <w:tcPr>
            <w:tcW w:w="9600" w:type="dxa"/>
            <w:vAlign w:val="bottom"/>
          </w:tcPr>
          <w:p>
            <w:pPr>
              <w:ind w:left="140"/>
              <w:spacing w:after="0"/>
              <w:rPr>
                <w:sz w:val="20"/>
                <w:szCs w:val="20"/>
                <w:color w:val="auto"/>
              </w:rPr>
            </w:pPr>
            <w:r>
              <w:rPr>
                <w:rFonts w:ascii="Arial" w:cs="Arial" w:eastAsia="Arial" w:hAnsi="Arial"/>
                <w:sz w:val="18"/>
                <w:szCs w:val="18"/>
                <w:color w:val="auto"/>
              </w:rPr>
              <w:t>APPOINTMENT OF RECEIVERS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16.</w:t>
            </w:r>
          </w:p>
        </w:tc>
        <w:tc>
          <w:tcPr>
            <w:tcW w:w="9600" w:type="dxa"/>
            <w:vAlign w:val="bottom"/>
          </w:tcPr>
          <w:p>
            <w:pPr>
              <w:ind w:left="140"/>
              <w:spacing w:after="0"/>
              <w:rPr>
                <w:sz w:val="20"/>
                <w:szCs w:val="20"/>
                <w:color w:val="auto"/>
              </w:rPr>
            </w:pPr>
            <w:r>
              <w:rPr>
                <w:rFonts w:ascii="Arial" w:cs="Arial" w:eastAsia="Arial" w:hAnsi="Arial"/>
                <w:sz w:val="18"/>
                <w:szCs w:val="18"/>
                <w:color w:val="auto"/>
              </w:rPr>
              <w:t>RIGHTS OF RECEIVERS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17.</w:t>
            </w:r>
          </w:p>
        </w:tc>
        <w:tc>
          <w:tcPr>
            <w:tcW w:w="9600" w:type="dxa"/>
            <w:vAlign w:val="bottom"/>
          </w:tcPr>
          <w:p>
            <w:pPr>
              <w:ind w:left="140"/>
              <w:spacing w:after="0"/>
              <w:rPr>
                <w:sz w:val="20"/>
                <w:szCs w:val="20"/>
                <w:color w:val="auto"/>
              </w:rPr>
            </w:pPr>
            <w:r>
              <w:rPr>
                <w:rFonts w:ascii="Arial" w:cs="Arial" w:eastAsia="Arial" w:hAnsi="Arial"/>
                <w:sz w:val="18"/>
                <w:szCs w:val="18"/>
                <w:color w:val="auto"/>
              </w:rPr>
              <w:t>RIGHTS OF COLLATERAL AGENT AND SECURED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18.</w:t>
            </w:r>
          </w:p>
        </w:tc>
        <w:tc>
          <w:tcPr>
            <w:tcW w:w="9600" w:type="dxa"/>
            <w:vAlign w:val="bottom"/>
          </w:tcPr>
          <w:p>
            <w:pPr>
              <w:ind w:left="140"/>
              <w:spacing w:after="0"/>
              <w:rPr>
                <w:sz w:val="20"/>
                <w:szCs w:val="20"/>
                <w:color w:val="auto"/>
              </w:rPr>
            </w:pPr>
            <w:r>
              <w:rPr>
                <w:rFonts w:ascii="Arial" w:cs="Arial" w:eastAsia="Arial" w:hAnsi="Arial"/>
                <w:sz w:val="18"/>
                <w:szCs w:val="18"/>
                <w:color w:val="auto"/>
              </w:rPr>
              <w:t>APPLICATION OF MONEYS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19.</w:t>
            </w:r>
          </w:p>
        </w:tc>
        <w:tc>
          <w:tcPr>
            <w:tcW w:w="9600" w:type="dxa"/>
            <w:vAlign w:val="bottom"/>
          </w:tcPr>
          <w:p>
            <w:pPr>
              <w:ind w:left="140"/>
              <w:spacing w:after="0"/>
              <w:rPr>
                <w:sz w:val="20"/>
                <w:szCs w:val="20"/>
                <w:color w:val="auto"/>
              </w:rPr>
            </w:pPr>
            <w:r>
              <w:rPr>
                <w:rFonts w:ascii="Arial" w:cs="Arial" w:eastAsia="Arial" w:hAnsi="Arial"/>
                <w:sz w:val="18"/>
                <w:szCs w:val="18"/>
                <w:color w:val="auto"/>
              </w:rPr>
              <w:t>LIABILITY OF COLLATERAL AGENT, RECEIVER AND DELEGATES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20.</w:t>
            </w:r>
          </w:p>
        </w:tc>
        <w:tc>
          <w:tcPr>
            <w:tcW w:w="960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21.</w:t>
            </w:r>
          </w:p>
        </w:tc>
        <w:tc>
          <w:tcPr>
            <w:tcW w:w="9600" w:type="dxa"/>
            <w:vAlign w:val="bottom"/>
          </w:tcPr>
          <w:p>
            <w:pPr>
              <w:ind w:left="140"/>
              <w:spacing w:after="0"/>
              <w:rPr>
                <w:sz w:val="20"/>
                <w:szCs w:val="20"/>
                <w:color w:val="auto"/>
              </w:rPr>
            </w:pPr>
            <w:r>
              <w:rPr>
                <w:rFonts w:ascii="Arial" w:cs="Arial" w:eastAsia="Arial" w:hAnsi="Arial"/>
                <w:sz w:val="18"/>
                <w:szCs w:val="18"/>
                <w:color w:val="auto"/>
              </w:rPr>
              <w:t>PROTECTION OF THIRD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22.</w:t>
            </w:r>
          </w:p>
        </w:tc>
        <w:tc>
          <w:tcPr>
            <w:tcW w:w="9600" w:type="dxa"/>
            <w:vAlign w:val="bottom"/>
          </w:tcPr>
          <w:p>
            <w:pPr>
              <w:ind w:left="140"/>
              <w:spacing w:after="0"/>
              <w:rPr>
                <w:sz w:val="20"/>
                <w:szCs w:val="20"/>
                <w:color w:val="auto"/>
              </w:rPr>
            </w:pPr>
            <w:r>
              <w:rPr>
                <w:rFonts w:ascii="Arial" w:cs="Arial" w:eastAsia="Arial" w:hAnsi="Arial"/>
                <w:sz w:val="18"/>
                <w:szCs w:val="18"/>
                <w:color w:val="auto"/>
              </w:rPr>
              <w:t>SECURITY CONTINUING, CUMULATIVE AND NOT TO BE AFFECTED</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23.</w:t>
            </w:r>
          </w:p>
        </w:tc>
        <w:tc>
          <w:tcPr>
            <w:tcW w:w="9600" w:type="dxa"/>
            <w:vAlign w:val="bottom"/>
          </w:tcPr>
          <w:p>
            <w:pPr>
              <w:ind w:left="140"/>
              <w:spacing w:after="0"/>
              <w:rPr>
                <w:sz w:val="20"/>
                <w:szCs w:val="20"/>
                <w:color w:val="auto"/>
              </w:rPr>
            </w:pPr>
            <w:r>
              <w:rPr>
                <w:rFonts w:ascii="Arial" w:cs="Arial" w:eastAsia="Arial" w:hAnsi="Arial"/>
                <w:sz w:val="18"/>
                <w:szCs w:val="18"/>
                <w:color w:val="auto"/>
              </w:rPr>
              <w:t>CERTIFICATE CONCLUSIVE, ETC.</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24.</w:t>
            </w:r>
          </w:p>
        </w:tc>
        <w:tc>
          <w:tcPr>
            <w:tcW w:w="9600" w:type="dxa"/>
            <w:vAlign w:val="bottom"/>
          </w:tcPr>
          <w:p>
            <w:pPr>
              <w:ind w:left="140"/>
              <w:spacing w:after="0"/>
              <w:rPr>
                <w:sz w:val="20"/>
                <w:szCs w:val="20"/>
                <w:color w:val="auto"/>
              </w:rPr>
            </w:pPr>
            <w:r>
              <w:rPr>
                <w:rFonts w:ascii="Arial" w:cs="Arial" w:eastAsia="Arial" w:hAnsi="Arial"/>
                <w:sz w:val="18"/>
                <w:szCs w:val="18"/>
                <w:color w:val="auto"/>
              </w:rPr>
              <w:t>NO SET-OFF BY MORTGAGOR</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010000"/>
              </w:rPr>
              <w:t>25.</w:t>
            </w:r>
          </w:p>
        </w:tc>
        <w:tc>
          <w:tcPr>
            <w:tcW w:w="9600" w:type="dxa"/>
            <w:vAlign w:val="bottom"/>
          </w:tcPr>
          <w:p>
            <w:pPr>
              <w:ind w:left="140"/>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64" w:name="page965"/>
    <w:bookmarkEnd w:id="964"/>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010000"/>
              </w:rPr>
              <w:t>26.</w:t>
            </w:r>
          </w:p>
        </w:tc>
        <w:tc>
          <w:tcPr>
            <w:tcW w:w="7300" w:type="dxa"/>
            <w:vAlign w:val="bottom"/>
          </w:tcPr>
          <w:p>
            <w:pPr>
              <w:ind w:left="300"/>
              <w:spacing w:after="0"/>
              <w:rPr>
                <w:sz w:val="20"/>
                <w:szCs w:val="20"/>
                <w:color w:val="auto"/>
              </w:rPr>
            </w:pPr>
            <w:r>
              <w:rPr>
                <w:rFonts w:ascii="Arial" w:cs="Arial" w:eastAsia="Arial" w:hAnsi="Arial"/>
                <w:sz w:val="18"/>
                <w:szCs w:val="18"/>
                <w:color w:val="auto"/>
              </w:rPr>
              <w:t>RELEASE OF SECURITY</w:t>
            </w:r>
          </w:p>
        </w:tc>
        <w:tc>
          <w:tcPr>
            <w:tcW w:w="3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010000"/>
              </w:rPr>
              <w:t>27.</w:t>
            </w:r>
          </w:p>
        </w:tc>
        <w:tc>
          <w:tcPr>
            <w:tcW w:w="7300" w:type="dxa"/>
            <w:vAlign w:val="bottom"/>
          </w:tcPr>
          <w:p>
            <w:pPr>
              <w:ind w:left="300"/>
              <w:spacing w:after="0"/>
              <w:rPr>
                <w:sz w:val="20"/>
                <w:szCs w:val="20"/>
                <w:color w:val="auto"/>
              </w:rPr>
            </w:pPr>
            <w:r>
              <w:rPr>
                <w:rFonts w:ascii="Arial" w:cs="Arial" w:eastAsia="Arial" w:hAnsi="Arial"/>
                <w:sz w:val="18"/>
                <w:szCs w:val="18"/>
                <w:color w:val="auto"/>
              </w:rPr>
              <w:t>MISCELLANEOUS</w:t>
            </w:r>
          </w:p>
        </w:tc>
        <w:tc>
          <w:tcPr>
            <w:tcW w:w="3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010000"/>
              </w:rPr>
              <w:t>28.</w:t>
            </w:r>
          </w:p>
        </w:tc>
        <w:tc>
          <w:tcPr>
            <w:tcW w:w="7300" w:type="dxa"/>
            <w:vAlign w:val="bottom"/>
          </w:tcPr>
          <w:p>
            <w:pPr>
              <w:ind w:left="300"/>
              <w:spacing w:after="0"/>
              <w:rPr>
                <w:sz w:val="20"/>
                <w:szCs w:val="20"/>
                <w:color w:val="auto"/>
              </w:rPr>
            </w:pPr>
            <w:r>
              <w:rPr>
                <w:rFonts w:ascii="Arial" w:cs="Arial" w:eastAsia="Arial" w:hAnsi="Arial"/>
                <w:sz w:val="18"/>
                <w:szCs w:val="18"/>
                <w:color w:val="auto"/>
              </w:rPr>
              <w:t>ASSIGNMENT, ETC.</w:t>
            </w:r>
          </w:p>
        </w:tc>
        <w:tc>
          <w:tcPr>
            <w:tcW w:w="3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010000"/>
              </w:rPr>
              <w:t>29.</w:t>
            </w:r>
          </w:p>
        </w:tc>
        <w:tc>
          <w:tcPr>
            <w:tcW w:w="7300" w:type="dxa"/>
            <w:vAlign w:val="bottom"/>
          </w:tcPr>
          <w:p>
            <w:pPr>
              <w:ind w:left="300"/>
              <w:spacing w:after="0"/>
              <w:rPr>
                <w:sz w:val="20"/>
                <w:szCs w:val="20"/>
                <w:color w:val="auto"/>
              </w:rPr>
            </w:pPr>
            <w:r>
              <w:rPr>
                <w:rFonts w:ascii="Arial" w:cs="Arial" w:eastAsia="Arial" w:hAnsi="Arial"/>
                <w:sz w:val="18"/>
                <w:szCs w:val="18"/>
                <w:color w:val="auto"/>
              </w:rPr>
              <w:t>NOTICES</w:t>
            </w:r>
          </w:p>
        </w:tc>
        <w:tc>
          <w:tcPr>
            <w:tcW w:w="3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010000"/>
              </w:rPr>
              <w:t>30.</w:t>
            </w:r>
          </w:p>
        </w:tc>
        <w:tc>
          <w:tcPr>
            <w:tcW w:w="7300" w:type="dxa"/>
            <w:vAlign w:val="bottom"/>
          </w:tcPr>
          <w:p>
            <w:pPr>
              <w:ind w:left="300"/>
              <w:spacing w:after="0"/>
              <w:rPr>
                <w:sz w:val="20"/>
                <w:szCs w:val="20"/>
                <w:color w:val="auto"/>
              </w:rPr>
            </w:pPr>
            <w:r>
              <w:rPr>
                <w:rFonts w:ascii="Arial" w:cs="Arial" w:eastAsia="Arial" w:hAnsi="Arial"/>
                <w:sz w:val="18"/>
                <w:szCs w:val="18"/>
                <w:color w:val="auto"/>
              </w:rPr>
              <w:t>GOVERNING LAW AND JURISDICTION</w:t>
            </w:r>
          </w:p>
        </w:tc>
        <w:tc>
          <w:tcPr>
            <w:tcW w:w="3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SCHEDULE 1 ORIGINAL SHARES</w:t>
            </w:r>
          </w:p>
        </w:tc>
        <w:tc>
          <w:tcPr>
            <w:tcW w:w="3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SCHEDULE 2 REPRESENTATIONS AND WARRANTIES</w:t>
            </w:r>
          </w:p>
        </w:tc>
        <w:tc>
          <w:tcPr>
            <w:tcW w:w="3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SCHEDULE 3 COVENANTS</w:t>
            </w:r>
          </w:p>
        </w:tc>
        <w:tc>
          <w:tcPr>
            <w:tcW w:w="36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5" w:name="page966"/>
    <w:bookmarkEnd w:id="965"/>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b w:val="1"/>
                <w:bCs w:val="1"/>
                <w:color w:val="auto"/>
                <w:w w:val="97"/>
              </w:rPr>
              <w:t xml:space="preserve">THIS DEED </w:t>
            </w:r>
            <w:r>
              <w:rPr>
                <w:rFonts w:ascii="Arial" w:cs="Arial" w:eastAsia="Arial" w:hAnsi="Arial"/>
                <w:sz w:val="18"/>
                <w:szCs w:val="18"/>
                <w:color w:val="auto"/>
                <w:w w:val="97"/>
              </w:rPr>
              <w:t>is made on</w:t>
            </w:r>
          </w:p>
        </w:tc>
        <w:tc>
          <w:tcPr>
            <w:tcW w:w="1380" w:type="dxa"/>
            <w:vAlign w:val="bottom"/>
            <w:tcBorders>
              <w:bottom w:val="single" w:sz="8" w:color="auto"/>
            </w:tcBorders>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2019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660" w:hanging="652"/>
        <w:spacing w:after="0" w:line="282" w:lineRule="auto"/>
        <w:tabs>
          <w:tab w:leader="none" w:pos="660" w:val="left"/>
        </w:tabs>
        <w:numPr>
          <w:ilvl w:val="0"/>
          <w:numId w:val="1044"/>
        </w:numPr>
        <w:rPr>
          <w:rFonts w:ascii="Arial" w:cs="Arial" w:eastAsia="Arial" w:hAnsi="Arial"/>
          <w:sz w:val="18"/>
          <w:szCs w:val="18"/>
          <w:color w:val="auto"/>
        </w:rPr>
      </w:pPr>
      <w:r>
        <w:rPr>
          <w:rFonts w:ascii="Arial" w:cs="Arial" w:eastAsia="Arial" w:hAnsi="Arial"/>
          <w:sz w:val="18"/>
          <w:szCs w:val="18"/>
          <w:b w:val="1"/>
          <w:bCs w:val="1"/>
          <w:color w:val="auto"/>
        </w:rPr>
        <w:t>WEATHERFORD EURASIA LIMITED</w:t>
      </w:r>
      <w:r>
        <w:rPr>
          <w:rFonts w:ascii="Arial" w:cs="Arial" w:eastAsia="Arial" w:hAnsi="Arial"/>
          <w:sz w:val="18"/>
          <w:szCs w:val="18"/>
          <w:color w:val="auto"/>
        </w:rPr>
        <w:t>, a limited company incorporated in England and Wales under registered number 02440463,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Weatherford Gotham Road, East Leake, Loughborough, Leicestershire LE12 6JX, (the "</w:t>
      </w:r>
      <w:r>
        <w:rPr>
          <w:rFonts w:ascii="Arial" w:cs="Arial" w:eastAsia="Arial" w:hAnsi="Arial"/>
          <w:sz w:val="18"/>
          <w:szCs w:val="18"/>
          <w:b w:val="1"/>
          <w:bCs w:val="1"/>
          <w:color w:val="auto"/>
        </w:rPr>
        <w:t>Mortgagor</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1044"/>
        </w:numPr>
        <w:rPr>
          <w:rFonts w:ascii="Arial" w:cs="Arial" w:eastAsia="Arial" w:hAnsi="Arial"/>
          <w:sz w:val="18"/>
          <w:szCs w:val="18"/>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(the "</w:t>
      </w:r>
      <w:r>
        <w:rPr>
          <w:rFonts w:ascii="Arial" w:cs="Arial" w:eastAsia="Arial" w:hAnsi="Arial"/>
          <w:sz w:val="18"/>
          <w:szCs w:val="18"/>
          <w:b w:val="1"/>
          <w:bCs w:val="1"/>
          <w:color w:val="auto"/>
        </w:rPr>
        <w:t>Collateral Agent</w:t>
      </w:r>
      <w:r>
        <w:rPr>
          <w:rFonts w:ascii="Arial" w:cs="Arial" w:eastAsia="Arial" w:hAnsi="Arial"/>
          <w:sz w:val="18"/>
          <w:szCs w:val="18"/>
          <w:color w:val="auto"/>
        </w:rPr>
        <w:t>", which expression includes its successors in title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for itself and on behalf of the Secured Parties as the holders of the Secured Obligations (as defined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Under the Loan Agreement (as defined below) the Lenders have granted to the Borrowers a letter of credit line facility (the "</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Under the Guarantee various Affiliates of the Parent, including the Mortgagor, have guaranteed the obligations of the Borrowers under the Loan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The Mortgagor is the direct owner of the entire issued share capital of the Company.</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45"/>
        </w:numPr>
        <w:rPr>
          <w:rFonts w:ascii="Arial" w:cs="Arial" w:eastAsia="Arial" w:hAnsi="Arial"/>
          <w:sz w:val="18"/>
          <w:szCs w:val="18"/>
          <w:color w:val="auto"/>
        </w:rPr>
      </w:pPr>
      <w:r>
        <w:rPr>
          <w:rFonts w:ascii="Arial" w:cs="Arial" w:eastAsia="Arial" w:hAnsi="Arial"/>
          <w:sz w:val="18"/>
          <w:szCs w:val="18"/>
          <w:color w:val="auto"/>
        </w:rPr>
        <w:t>Under the terms of the Loan Agreement the Mortgagor is required to execute and deliver this equitable share mortgage of the entire issued share capital of the Company in favour of the Collateral Agent for the benefit of the Secured Parties to secure the Secured Obligations (each as defined below).</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45"/>
        </w:numPr>
        <w:rPr>
          <w:rFonts w:ascii="Arial" w:cs="Arial" w:eastAsia="Arial" w:hAnsi="Arial"/>
          <w:sz w:val="17"/>
          <w:szCs w:val="17"/>
          <w:color w:val="auto"/>
        </w:rPr>
      </w:pPr>
      <w:r>
        <w:rPr>
          <w:rFonts w:ascii="Arial" w:cs="Arial" w:eastAsia="Arial" w:hAnsi="Arial"/>
          <w:sz w:val="17"/>
          <w:szCs w:val="17"/>
          <w:color w:val="auto"/>
        </w:rPr>
        <w:t>It is intended that this document takes effect as a deed notwithstanding the fact that a party may only execute this document under hand.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AS FOLLOWS</w:t>
      </w:r>
    </w:p>
    <w:p>
      <w:pPr>
        <w:spacing w:after="0" w:line="225" w:lineRule="exact"/>
        <w:rPr>
          <w:sz w:val="20"/>
          <w:szCs w:val="20"/>
          <w:color w:val="auto"/>
        </w:rPr>
      </w:pPr>
    </w:p>
    <w:p>
      <w:pPr>
        <w:ind w:left="660" w:hanging="652"/>
        <w:spacing w:after="0"/>
        <w:tabs>
          <w:tab w:leader="none" w:pos="660" w:val="left"/>
        </w:tabs>
        <w:numPr>
          <w:ilvl w:val="0"/>
          <w:numId w:val="1046"/>
        </w:numPr>
        <w:rPr>
          <w:rFonts w:ascii="Arial" w:cs="Arial" w:eastAsia="Arial" w:hAnsi="Arial"/>
          <w:sz w:val="18"/>
          <w:szCs w:val="18"/>
          <w:b w:val="1"/>
          <w:bCs w:val="1"/>
          <w:color w:val="010000"/>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this Deed, capitalised words and phrases used but not defined herein shall have the meanings set out in the Loan Agreement and the following words and phrases shall have the meanings set out below.</w:t>
      </w:r>
    </w:p>
    <w:p>
      <w:pPr>
        <w:spacing w:after="0" w:line="166"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Equitable Share Mortgage</w:t>
      </w:r>
      <w:r>
        <w:rPr>
          <w:rFonts w:ascii="Arial" w:cs="Arial" w:eastAsia="Arial" w:hAnsi="Arial"/>
          <w:sz w:val="18"/>
          <w:szCs w:val="18"/>
          <w:color w:val="auto"/>
        </w:rPr>
        <w:t>" means an equitable share mortgage dated on or about the date hereof between, amongst others, the Mortgagor and Wells Fargo Bank, National Association as collateral agent, granted pursuant to an asset based loan credit agreement dated on or about the date of this Deed between, amongst others, Weatherford International Ltd. and Weatherford International, LLC as borrowers, the lenders party thereto, and Wells Fargo Bank, National Association as collateral agent.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or bank holiday on which banks are open for business in London and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966" w:name="page967"/>
    <w:bookmarkEnd w:id="966"/>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cash within the meaning of Financial Collateral Arrangements (No. 2) Regulations 2003;</w:t>
      </w:r>
    </w:p>
    <w:p>
      <w:pPr>
        <w:spacing w:after="0" w:line="225"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Reeves Wireline Technologies Limited, a company incorporated in England and Wales under registered number 00096365, whose registered office is at Gotham Road, East Leake, Loughborough, Leicestershire LE12 6JX.</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 delegate or a sub-delegate of the Collateral Agent or of any Receiver appointed under this Deed.</w:t>
      </w:r>
    </w:p>
    <w:p>
      <w:pPr>
        <w:spacing w:after="0" w:line="225" w:lineRule="exact"/>
        <w:rPr>
          <w:sz w:val="20"/>
          <w:szCs w:val="20"/>
          <w:color w:val="auto"/>
        </w:rPr>
      </w:pPr>
    </w:p>
    <w:p>
      <w:pPr>
        <w:jc w:val="both"/>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Derived Assets</w:t>
      </w:r>
      <w:r>
        <w:rPr>
          <w:rFonts w:ascii="Arial" w:cs="Arial" w:eastAsia="Arial" w:hAnsi="Arial"/>
          <w:sz w:val="18"/>
          <w:szCs w:val="18"/>
          <w:color w:val="auto"/>
        </w:rPr>
        <w:t>" means, with respect to the Company, any Shares, rights or other property of a capital nature which accrue or are offered, issued or paid at any time (whether by way of rights, redemption, substitution, exchange, conversion, purchase, bonus, consolidation, subdivision, preference, warrant, option or otherwise) in respect of:</w:t>
      </w:r>
    </w:p>
    <w:p>
      <w:pPr>
        <w:spacing w:after="0" w:line="180" w:lineRule="exact"/>
        <w:rPr>
          <w:sz w:val="20"/>
          <w:szCs w:val="20"/>
          <w:color w:val="auto"/>
        </w:rPr>
      </w:pPr>
    </w:p>
    <w:p>
      <w:pPr>
        <w:ind w:left="644" w:hanging="644"/>
        <w:spacing w:after="0"/>
        <w:tabs>
          <w:tab w:leader="none" w:pos="644"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the Original Shares;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any Further Shares; and</w:t>
      </w:r>
    </w:p>
    <w:p>
      <w:pPr>
        <w:spacing w:after="0" w:line="225" w:lineRule="exact"/>
        <w:rPr>
          <w:rFonts w:ascii="Arial" w:cs="Arial" w:eastAsia="Arial" w:hAnsi="Arial"/>
          <w:sz w:val="18"/>
          <w:szCs w:val="18"/>
          <w:color w:val="auto"/>
        </w:rPr>
      </w:pPr>
    </w:p>
    <w:p>
      <w:pPr>
        <w:ind w:left="4" w:right="2120" w:hanging="4"/>
        <w:spacing w:after="0" w:line="498" w:lineRule="auto"/>
        <w:tabs>
          <w:tab w:leader="none" w:pos="652"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any Shares, rights or other property previously accruing, offered, issued or paid as mentioned in this definition, provided, however, that "</w:t>
      </w:r>
      <w:r>
        <w:rPr>
          <w:rFonts w:ascii="Arial" w:cs="Arial" w:eastAsia="Arial" w:hAnsi="Arial"/>
          <w:sz w:val="18"/>
          <w:szCs w:val="18"/>
          <w:b w:val="1"/>
          <w:bCs w:val="1"/>
          <w:color w:val="auto"/>
        </w:rPr>
        <w:t>Derived Assets</w:t>
      </w:r>
      <w:r>
        <w:rPr>
          <w:rFonts w:ascii="Arial" w:cs="Arial" w:eastAsia="Arial" w:hAnsi="Arial"/>
          <w:sz w:val="18"/>
          <w:szCs w:val="18"/>
          <w:color w:val="auto"/>
        </w:rPr>
        <w:t>" shall not include any Excluded Assets.</w:t>
      </w:r>
    </w:p>
    <w:p>
      <w:pPr>
        <w:spacing w:after="0" w:line="1" w:lineRule="exact"/>
        <w:rPr>
          <w:sz w:val="20"/>
          <w:szCs w:val="20"/>
          <w:color w:val="auto"/>
        </w:rPr>
      </w:pPr>
    </w:p>
    <w:p>
      <w:pPr>
        <w:ind w:left="4"/>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Disputes</w:t>
      </w:r>
      <w:r>
        <w:rPr>
          <w:rFonts w:ascii="Arial" w:cs="Arial" w:eastAsia="Arial" w:hAnsi="Arial"/>
          <w:sz w:val="17"/>
          <w:szCs w:val="17"/>
          <w:color w:val="auto"/>
        </w:rPr>
        <w:t>" means any disputes or claims which may arise out of or in connection with this Deed or the Security (including, without limitation, regarding their respective existence, validity or termination and any non-contractual obligations or liabilities arising in connection with them).</w:t>
      </w:r>
    </w:p>
    <w:p>
      <w:pPr>
        <w:spacing w:after="0" w:line="13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Dividends</w:t>
      </w:r>
      <w:r>
        <w:rPr>
          <w:rFonts w:ascii="Arial" w:cs="Arial" w:eastAsia="Arial" w:hAnsi="Arial"/>
          <w:sz w:val="18"/>
          <w:szCs w:val="18"/>
          <w:color w:val="auto"/>
        </w:rPr>
        <w:t>" means any dividends, interest and other income paid or payable in respect of the Original Shares, any Further Shares or any Derived Assets (but "</w:t>
      </w:r>
      <w:r>
        <w:rPr>
          <w:rFonts w:ascii="Arial" w:cs="Arial" w:eastAsia="Arial" w:hAnsi="Arial"/>
          <w:sz w:val="18"/>
          <w:szCs w:val="18"/>
          <w:b w:val="1"/>
          <w:bCs w:val="1"/>
          <w:color w:val="auto"/>
        </w:rPr>
        <w:t>Dividends</w:t>
      </w:r>
      <w:r>
        <w:rPr>
          <w:rFonts w:ascii="Arial" w:cs="Arial" w:eastAsia="Arial" w:hAnsi="Arial"/>
          <w:sz w:val="18"/>
          <w:szCs w:val="18"/>
          <w:color w:val="auto"/>
        </w:rPr>
        <w:t>" shall exclude, for the avoidance of doubt, any Excluded Assets).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Event</w:t>
      </w:r>
      <w:r>
        <w:rPr>
          <w:rFonts w:ascii="Arial" w:cs="Arial" w:eastAsia="Arial" w:hAnsi="Arial"/>
          <w:sz w:val="18"/>
          <w:szCs w:val="18"/>
          <w:color w:val="auto"/>
        </w:rPr>
        <w:t>" has the meaning set out in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Collateral</w:t>
      </w:r>
      <w:r>
        <w:rPr>
          <w:rFonts w:ascii="Arial" w:cs="Arial" w:eastAsia="Arial" w:hAnsi="Arial"/>
          <w:sz w:val="18"/>
          <w:szCs w:val="18"/>
          <w:color w:val="auto"/>
        </w:rPr>
        <w:t>" means financial collateral within the meaning of the Financial Collateral Arrangements Regulations.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Collateral Arrangements Regulations</w:t>
      </w:r>
      <w:r>
        <w:rPr>
          <w:rFonts w:ascii="Arial" w:cs="Arial" w:eastAsia="Arial" w:hAnsi="Arial"/>
          <w:sz w:val="17"/>
          <w:szCs w:val="17"/>
          <w:color w:val="auto"/>
        </w:rPr>
        <w:t>" means the Financial Collateral Arrangements (No.2) Regulations 2003, as amended.</w:t>
      </w:r>
    </w:p>
    <w:p>
      <w:pPr>
        <w:spacing w:after="0" w:line="237"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Shares</w:t>
      </w:r>
      <w:r>
        <w:rPr>
          <w:rFonts w:ascii="Arial" w:cs="Arial" w:eastAsia="Arial" w:hAnsi="Arial"/>
          <w:sz w:val="18"/>
          <w:szCs w:val="18"/>
          <w:color w:val="auto"/>
        </w:rPr>
        <w:t>" means all Shares (other than the Original Shares and any Shares comprised in any Derived Assets) issued by the Company at any time after the execution of this Deed.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 Affiliate Guaranty dated on or about the date of this Deed, between, among others, the Parent and the Collateral Agent.</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Act</w:t>
      </w:r>
      <w:r>
        <w:rPr>
          <w:rFonts w:ascii="Arial" w:cs="Arial" w:eastAsia="Arial" w:hAnsi="Arial"/>
          <w:sz w:val="18"/>
          <w:szCs w:val="18"/>
          <w:color w:val="auto"/>
        </w:rPr>
        <w:t>" means the Insolvency Act 1986.</w:t>
      </w:r>
    </w:p>
    <w:p>
      <w:pPr>
        <w:spacing w:after="0" w:line="200" w:lineRule="exact"/>
        <w:rPr>
          <w:sz w:val="20"/>
          <w:szCs w:val="20"/>
          <w:color w:val="auto"/>
        </w:rPr>
      </w:pPr>
    </w:p>
    <w:p>
      <w:pPr>
        <w:spacing w:after="0" w:line="245"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967" w:name="page968"/>
    <w:bookmarkEnd w:id="967"/>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Event</w:t>
      </w:r>
      <w:r>
        <w:rPr>
          <w:rFonts w:ascii="Arial" w:cs="Arial" w:eastAsia="Arial" w:hAnsi="Arial"/>
          <w:sz w:val="17"/>
          <w:szCs w:val="17"/>
          <w:color w:val="auto"/>
        </w:rPr>
        <w:t>" in relation to any person, means: (a) such person is unable or admits inability to pay its debts as they fall due, suspends making payments on any of its debts or, by reason of actual or anticipated financial difficulties, commences negotiations with one or more of its creditors with a view to rescheduling any of its indebtedness (including any composition, assignment or arrangement with any creditor of such person); (b) any resolution is passed or order made for the winding up, dissolution, administration or reorganisation of that person, a moratorium is declared in relation to any indebtedness of that person or an administrator is appointed to that person (other than a solvent liquidation or reorganisation of such person on terms previously approved in writing by the Collateral Agent); (c) the appointment of any liquidator (other than a solvent liquidation or reorganisation of such person on terms previously approved in writing by the Collateral Agent), receiver, administrator, administrative receiver, compulsory manager or other similar officer in respect of that person or any of its assets; or (d) in respect of any person, any analogous procedure or step is taken in any jurisdiction.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the intercreditor agreement, dated on or about the date of this Deed, among the Collateral Agent, Wells Fargo Bank, National Association, the Parent, Weatherford International Ltd., Weatherford International LLC, and the other grantors of the Parent named therein.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means the letter of credit facility agreement, between, among others, the Parent, the Collateral Agent and the Lenders, dated on or about the date of this Deed.</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w:t>
      </w:r>
      <w:r>
        <w:rPr>
          <w:rFonts w:ascii="Arial" w:cs="Arial" w:eastAsia="Arial" w:hAnsi="Arial"/>
          <w:sz w:val="17"/>
          <w:szCs w:val="17"/>
          <w:color w:val="auto"/>
        </w:rPr>
        <w:t>" means any liability, damages, claim, cost, loss, penalty, expense, demand (or actions in respect thereof) including, without limitation, all charges and fees (professional and otherwise), together with all costs, disbursements and expenses in connection therewith.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LPA</w:t>
      </w:r>
      <w:r>
        <w:rPr>
          <w:rFonts w:ascii="Arial" w:cs="Arial" w:eastAsia="Arial" w:hAnsi="Arial"/>
          <w:sz w:val="18"/>
          <w:szCs w:val="18"/>
          <w:color w:val="auto"/>
        </w:rPr>
        <w:t>" means the Law of Property Act 1925.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Shares</w:t>
      </w:r>
      <w:r>
        <w:rPr>
          <w:rFonts w:ascii="Arial" w:cs="Arial" w:eastAsia="Arial" w:hAnsi="Arial"/>
          <w:sz w:val="18"/>
          <w:szCs w:val="18"/>
          <w:color w:val="auto"/>
        </w:rPr>
        <w:t>" means the Shares in the Company details of which are set out in Schedule 1 (</w:t>
      </w:r>
      <w:r>
        <w:rPr>
          <w:rFonts w:ascii="Arial" w:cs="Arial" w:eastAsia="Arial" w:hAnsi="Arial"/>
          <w:sz w:val="18"/>
          <w:szCs w:val="18"/>
          <w:i w:val="1"/>
          <w:iCs w:val="1"/>
          <w:color w:val="auto"/>
        </w:rPr>
        <w:t>Original Shares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Parent</w:t>
      </w:r>
      <w:r>
        <w:rPr>
          <w:rFonts w:ascii="Arial" w:cs="Arial" w:eastAsia="Arial" w:hAnsi="Arial"/>
          <w:sz w:val="18"/>
          <w:szCs w:val="18"/>
          <w:color w:val="auto"/>
        </w:rPr>
        <w:t>" means Weatherford International Public Limited Company, a public limited company incorporated in the Republic of Ireland,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number 540406 whose registered office address is 70 Sir John Rogerson's Quay, Dublin 2.</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in Full</w:t>
      </w:r>
      <w:r>
        <w:rPr>
          <w:rFonts w:ascii="Arial" w:cs="Arial" w:eastAsia="Arial" w:hAnsi="Arial"/>
          <w:sz w:val="18"/>
          <w:szCs w:val="18"/>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the Mortgagor) shall have been paid in full in cash.</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means any proceedings, suit or action arising out of or in connection with any Disputes or otherwise arising out of or in connection with this Deed or the Security (including, without limitation, regarding their respective existence, validity or termination and any non-contractual obligations or liabilities arising in connection with them).</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968" w:name="page969"/>
    <w:bookmarkEnd w:id="9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and manager or receiver of all or any of the Secured Assets, in each case appointed under this Deed.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means each Receiver and each Delegate and each such person's respective officers, employees and agents.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Currency</w:t>
      </w:r>
      <w:r>
        <w:rPr>
          <w:rFonts w:ascii="Arial" w:cs="Arial" w:eastAsia="Arial" w:hAnsi="Arial"/>
          <w:sz w:val="18"/>
          <w:szCs w:val="18"/>
          <w:color w:val="auto"/>
        </w:rPr>
        <w:t>" has the meaning set out in Clause 14.3(b)(ii) (</w:t>
      </w:r>
      <w:r>
        <w:rPr>
          <w:rFonts w:ascii="Arial" w:cs="Arial" w:eastAsia="Arial" w:hAnsi="Arial"/>
          <w:sz w:val="18"/>
          <w:szCs w:val="18"/>
          <w:i w:val="1"/>
          <w:iCs w:val="1"/>
          <w:color w:val="auto"/>
        </w:rPr>
        <w:t>Appropriation of Financial Collateral</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Rights</w:t>
      </w:r>
      <w:r>
        <w:rPr>
          <w:rFonts w:ascii="Arial" w:cs="Arial" w:eastAsia="Arial" w:hAnsi="Arial"/>
          <w:sz w:val="17"/>
          <w:szCs w:val="17"/>
          <w:color w:val="auto"/>
        </w:rPr>
        <w:t>" means rights, benefits, powers, privileges, authorities, discretions, remedies and liberties (in each case, of any nature whatsoever).</w:t>
      </w:r>
    </w:p>
    <w:p>
      <w:pPr>
        <w:spacing w:after="0" w:line="237"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Assets</w:t>
      </w:r>
      <w:r>
        <w:rPr>
          <w:rFonts w:ascii="Arial" w:cs="Arial" w:eastAsia="Arial" w:hAnsi="Arial"/>
          <w:sz w:val="18"/>
          <w:szCs w:val="18"/>
          <w:color w:val="auto"/>
        </w:rPr>
        <w:t>" means the Original Shares, any Further Shares, any Derived Assets and any Dividends (but "</w:t>
      </w:r>
      <w:r>
        <w:rPr>
          <w:rFonts w:ascii="Arial" w:cs="Arial" w:eastAsia="Arial" w:hAnsi="Arial"/>
          <w:sz w:val="18"/>
          <w:szCs w:val="18"/>
          <w:b w:val="1"/>
          <w:bCs w:val="1"/>
          <w:color w:val="auto"/>
        </w:rPr>
        <w:t>Secured Assets</w:t>
      </w:r>
      <w:r>
        <w:rPr>
          <w:rFonts w:ascii="Arial" w:cs="Arial" w:eastAsia="Arial" w:hAnsi="Arial"/>
          <w:sz w:val="18"/>
          <w:szCs w:val="18"/>
          <w:color w:val="auto"/>
        </w:rPr>
        <w:t>" shall exclude, for the avoidance of doubt, any Excluded Assets).</w:t>
      </w:r>
    </w:p>
    <w:p>
      <w:pPr>
        <w:spacing w:after="0" w:line="162"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Obligations</w:t>
      </w:r>
      <w:r>
        <w:rPr>
          <w:rFonts w:ascii="Arial" w:cs="Arial" w:eastAsia="Arial" w:hAnsi="Arial"/>
          <w:sz w:val="16"/>
          <w:szCs w:val="16"/>
          <w:color w:val="auto"/>
        </w:rPr>
        <w:t>" has the meaning given to it in the Loan Agreement but, for the avoidance of doubt, shall also include all reasonable and documented legal costs, charges and expenses and any other Loss which the Collateral Agent, any Receiver or any Delegate may incur in enforcing or obtaining, or attempting to enforce or obtain, payment of any such moneys and liabilities to the extent that such costs, charges, expenses and other Losses are of the type which are reimbursable by the Borrowers pursuant to Section 11.03 (</w:t>
      </w:r>
      <w:r>
        <w:rPr>
          <w:rFonts w:ascii="Arial" w:cs="Arial" w:eastAsia="Arial" w:hAnsi="Arial"/>
          <w:sz w:val="16"/>
          <w:szCs w:val="16"/>
          <w:i w:val="1"/>
          <w:iCs w:val="1"/>
          <w:color w:val="auto"/>
        </w:rPr>
        <w:t>Expenses, etc.</w:t>
      </w:r>
      <w:r>
        <w:rPr>
          <w:rFonts w:ascii="Arial" w:cs="Arial" w:eastAsia="Arial" w:hAnsi="Arial"/>
          <w:sz w:val="16"/>
          <w:szCs w:val="16"/>
          <w:color w:val="auto"/>
        </w:rPr>
        <w:t>) of the Loan Agreement.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to it in the Loan Agreement.</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or all of the Security Interests created or expressed to be created, or which may at any time hereafter be created, by or pursuant to this Deed.</w:t>
      </w:r>
    </w:p>
    <w:p>
      <w:pPr>
        <w:spacing w:after="0" w:line="16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 any mortgage, fixed or floating charge, sub-mortgage or charge, pledge, lien, assignment by way of security or subject to a proviso for reassignment, encumbrance, hypothecation, any title retention arrangement (other than in respect of goods purchased in the ordinary course of trading), any agreement or arrangement having substantially the same economic or financial effect as any of the foregoing (including any "hold back" or "flawed asset" arrangement) and any security interest or agreement or arrangement analogous to any of the foregoing arising under the laws of any other jurisdiction.</w:t>
      </w:r>
    </w:p>
    <w:p>
      <w:pPr>
        <w:spacing w:after="0" w:line="184"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with respect to the Company, stocks and shares of any kind (but "</w:t>
      </w:r>
      <w:r>
        <w:rPr>
          <w:rFonts w:ascii="Arial" w:cs="Arial" w:eastAsia="Arial" w:hAnsi="Arial"/>
          <w:sz w:val="18"/>
          <w:szCs w:val="18"/>
          <w:b w:val="1"/>
          <w:bCs w:val="1"/>
          <w:color w:val="auto"/>
        </w:rPr>
        <w:t>Shares</w:t>
      </w:r>
      <w:r>
        <w:rPr>
          <w:rFonts w:ascii="Arial" w:cs="Arial" w:eastAsia="Arial" w:hAnsi="Arial"/>
          <w:sz w:val="18"/>
          <w:szCs w:val="18"/>
          <w:color w:val="auto"/>
        </w:rPr>
        <w:t>" shall exclude, for the avoidance of doubt, any Excluded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to it in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Parties Act</w:t>
      </w:r>
      <w:r>
        <w:rPr>
          <w:rFonts w:ascii="Arial" w:cs="Arial" w:eastAsia="Arial" w:hAnsi="Arial"/>
          <w:sz w:val="18"/>
          <w:szCs w:val="18"/>
          <w:color w:val="auto"/>
        </w:rPr>
        <w:t>" means the Contracts (Rights of Third Parties) Act 1999.</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1.2</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Deed, the following rules of interpretation apply, unless otherwise specified or the context otherwise requires.</w:t>
      </w:r>
    </w:p>
    <w:p>
      <w:pPr>
        <w:spacing w:after="0" w:line="221" w:lineRule="exact"/>
        <w:rPr>
          <w:sz w:val="20"/>
          <w:szCs w:val="20"/>
          <w:color w:val="auto"/>
        </w:rPr>
      </w:pPr>
    </w:p>
    <w:p>
      <w:pPr>
        <w:jc w:val="both"/>
        <w:ind w:left="1300" w:hanging="644"/>
        <w:spacing w:after="0" w:line="266" w:lineRule="auto"/>
        <w:tabs>
          <w:tab w:leader="none" w:pos="1300" w:val="left"/>
        </w:tabs>
        <w:numPr>
          <w:ilvl w:val="0"/>
          <w:numId w:val="1048"/>
        </w:numPr>
        <w:rPr>
          <w:rFonts w:ascii="Arial" w:cs="Arial" w:eastAsia="Arial" w:hAnsi="Arial"/>
          <w:sz w:val="18"/>
          <w:szCs w:val="18"/>
          <w:color w:val="010000"/>
        </w:rPr>
      </w:pPr>
      <w:r>
        <w:rPr>
          <w:rFonts w:ascii="Arial" w:cs="Arial" w:eastAsia="Arial" w:hAnsi="Arial"/>
          <w:sz w:val="18"/>
          <w:szCs w:val="18"/>
          <w:b w:val="1"/>
          <w:bCs w:val="1"/>
          <w:color w:val="auto"/>
        </w:rPr>
        <w:t>Person</w:t>
      </w:r>
      <w:r>
        <w:rPr>
          <w:rFonts w:ascii="Arial" w:cs="Arial" w:eastAsia="Arial" w:hAnsi="Arial"/>
          <w:sz w:val="18"/>
          <w:szCs w:val="18"/>
          <w:color w:val="auto"/>
        </w:rPr>
        <w:t>: a reference to a "person" includes any individual, firm, partnership, body corporate, unincorporated association, government, state</w:t>
      </w:r>
      <w:r>
        <w:rPr>
          <w:rFonts w:ascii="Arial" w:cs="Arial" w:eastAsia="Arial" w:hAnsi="Arial"/>
          <w:sz w:val="18"/>
          <w:szCs w:val="18"/>
          <w:b w:val="1"/>
          <w:bCs w:val="1"/>
          <w:color w:val="auto"/>
        </w:rPr>
        <w:t xml:space="preserve"> </w:t>
      </w:r>
      <w:r>
        <w:rPr>
          <w:rFonts w:ascii="Arial" w:cs="Arial" w:eastAsia="Arial" w:hAnsi="Arial"/>
          <w:sz w:val="18"/>
          <w:szCs w:val="18"/>
          <w:color w:val="auto"/>
        </w:rPr>
        <w:t>or agency of a state, local or municipal authority or government body, trust, foundation, joint venture or association (in each case whether or not having separate legal personality).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69" w:name="page970"/>
    <w:bookmarkEnd w:id="969"/>
    <w:p>
      <w:pPr>
        <w:jc w:val="both"/>
        <w:ind w:left="644" w:hanging="644"/>
        <w:spacing w:after="0" w:line="261" w:lineRule="auto"/>
        <w:tabs>
          <w:tab w:leader="none" w:pos="644" w:val="left"/>
        </w:tabs>
        <w:numPr>
          <w:ilvl w:val="0"/>
          <w:numId w:val="1049"/>
        </w:numPr>
        <w:rPr>
          <w:rFonts w:ascii="Arial" w:cs="Arial" w:eastAsia="Arial" w:hAnsi="Arial"/>
          <w:sz w:val="18"/>
          <w:szCs w:val="18"/>
          <w:color w:val="010000"/>
        </w:rPr>
      </w:pPr>
      <w:r>
        <w:rPr>
          <w:rFonts w:ascii="Arial" w:cs="Arial" w:eastAsia="Arial" w:hAnsi="Arial"/>
          <w:sz w:val="18"/>
          <w:szCs w:val="18"/>
          <w:b w:val="1"/>
          <w:bCs w:val="1"/>
          <w:color w:val="auto"/>
        </w:rPr>
        <w:t>References to this Deed and other agreements and documents</w:t>
      </w:r>
      <w:r>
        <w:rPr>
          <w:rFonts w:ascii="Arial" w:cs="Arial" w:eastAsia="Arial" w:hAnsi="Arial"/>
          <w:sz w:val="18"/>
          <w:szCs w:val="18"/>
          <w:color w:val="auto"/>
        </w:rPr>
        <w:t>: a reference to this Deed or to another deed, agreement,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(including, without limitation, any share certificate and any Loan Document) is a reference to this Deed or to the relevant other deed, agreement, document or instrument as supplemented, varied, amended, modified, novated or replaced from time to time and to any agreement, deed or document executed pursuant thereto.</w:t>
      </w:r>
    </w:p>
    <w:p>
      <w:pPr>
        <w:spacing w:after="0" w:line="180" w:lineRule="exact"/>
        <w:rPr>
          <w:rFonts w:ascii="Arial" w:cs="Arial" w:eastAsia="Arial" w:hAnsi="Arial"/>
          <w:sz w:val="18"/>
          <w:szCs w:val="18"/>
          <w:color w:val="010000"/>
        </w:rPr>
      </w:pPr>
    </w:p>
    <w:p>
      <w:pPr>
        <w:jc w:val="both"/>
        <w:ind w:left="644" w:hanging="644"/>
        <w:spacing w:after="0" w:line="258" w:lineRule="auto"/>
        <w:tabs>
          <w:tab w:leader="none" w:pos="644" w:val="left"/>
        </w:tabs>
        <w:numPr>
          <w:ilvl w:val="0"/>
          <w:numId w:val="1049"/>
        </w:numPr>
        <w:rPr>
          <w:rFonts w:ascii="Arial" w:cs="Arial" w:eastAsia="Arial" w:hAnsi="Arial"/>
          <w:sz w:val="18"/>
          <w:szCs w:val="18"/>
          <w:color w:val="010000"/>
        </w:rPr>
      </w:pPr>
      <w:r>
        <w:rPr>
          <w:rFonts w:ascii="Arial" w:cs="Arial" w:eastAsia="Arial" w:hAnsi="Arial"/>
          <w:sz w:val="18"/>
          <w:szCs w:val="18"/>
          <w:b w:val="1"/>
          <w:bCs w:val="1"/>
          <w:color w:val="auto"/>
        </w:rPr>
        <w:t>Successors, transferees and assigns</w:t>
      </w:r>
      <w:r>
        <w:rPr>
          <w:rFonts w:ascii="Arial" w:cs="Arial" w:eastAsia="Arial" w:hAnsi="Arial"/>
          <w:sz w:val="18"/>
          <w:szCs w:val="18"/>
          <w:color w:val="auto"/>
        </w:rPr>
        <w:t>: a reference to a person (including, without limitation, any party to this Deed, any Secured Party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to any Loan Document) shall include reference to its successors, transferees (including by novation) and assigns and any person deriving title under or through it, whether in security or otherwise, any person into which such person may be merged or consolidated, any company resulting from any merger or consolidation of such person and any person succeeding to all or substantially all of the business of that person.</w:t>
      </w:r>
    </w:p>
    <w:p>
      <w:pPr>
        <w:spacing w:after="0" w:line="183" w:lineRule="exact"/>
        <w:rPr>
          <w:rFonts w:ascii="Arial" w:cs="Arial" w:eastAsia="Arial" w:hAnsi="Arial"/>
          <w:sz w:val="18"/>
          <w:szCs w:val="18"/>
          <w:color w:val="010000"/>
        </w:rPr>
      </w:pPr>
    </w:p>
    <w:p>
      <w:pPr>
        <w:jc w:val="both"/>
        <w:ind w:left="644" w:hanging="644"/>
        <w:spacing w:after="0" w:line="266" w:lineRule="auto"/>
        <w:tabs>
          <w:tab w:leader="none" w:pos="644" w:val="left"/>
        </w:tabs>
        <w:numPr>
          <w:ilvl w:val="0"/>
          <w:numId w:val="1049"/>
        </w:numPr>
        <w:rPr>
          <w:rFonts w:ascii="Arial" w:cs="Arial" w:eastAsia="Arial" w:hAnsi="Arial"/>
          <w:sz w:val="18"/>
          <w:szCs w:val="18"/>
          <w:color w:val="010000"/>
        </w:rPr>
      </w:pPr>
      <w:r>
        <w:rPr>
          <w:rFonts w:ascii="Arial" w:cs="Arial" w:eastAsia="Arial" w:hAnsi="Arial"/>
          <w:sz w:val="18"/>
          <w:szCs w:val="18"/>
          <w:b w:val="1"/>
          <w:bCs w:val="1"/>
          <w:color w:val="auto"/>
        </w:rPr>
        <w:t>Statutory provisions</w:t>
      </w:r>
      <w:r>
        <w:rPr>
          <w:rFonts w:ascii="Arial" w:cs="Arial" w:eastAsia="Arial" w:hAnsi="Arial"/>
          <w:sz w:val="18"/>
          <w:szCs w:val="18"/>
          <w:color w:val="auto"/>
        </w:rPr>
        <w:t>: a reference to any statute, statutory provision, order, instrument, rule or regulation is to that statute, provision, order,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rule or regulation as amended or re-enacted from time to time, any provision of which it is a re-enactment or consolidation and any order, instrument or regulation made or issued under it.</w:t>
      </w:r>
    </w:p>
    <w:p>
      <w:pPr>
        <w:spacing w:after="0" w:line="176" w:lineRule="exact"/>
        <w:rPr>
          <w:rFonts w:ascii="Arial" w:cs="Arial" w:eastAsia="Arial" w:hAnsi="Arial"/>
          <w:sz w:val="18"/>
          <w:szCs w:val="18"/>
          <w:color w:val="010000"/>
        </w:rPr>
      </w:pPr>
    </w:p>
    <w:p>
      <w:pPr>
        <w:ind w:left="644" w:hanging="644"/>
        <w:spacing w:after="0"/>
        <w:tabs>
          <w:tab w:leader="none" w:pos="644" w:val="left"/>
        </w:tabs>
        <w:numPr>
          <w:ilvl w:val="0"/>
          <w:numId w:val="1049"/>
        </w:numPr>
        <w:rPr>
          <w:rFonts w:ascii="Arial" w:cs="Arial" w:eastAsia="Arial" w:hAnsi="Arial"/>
          <w:sz w:val="18"/>
          <w:szCs w:val="18"/>
          <w:color w:val="010000"/>
        </w:rPr>
      </w:pPr>
      <w:r>
        <w:rPr>
          <w:rFonts w:ascii="Arial" w:cs="Arial" w:eastAsia="Arial" w:hAnsi="Arial"/>
          <w:sz w:val="18"/>
          <w:szCs w:val="18"/>
          <w:b w:val="1"/>
          <w:bCs w:val="1"/>
          <w:color w:val="auto"/>
        </w:rPr>
        <w:t>Headings</w:t>
      </w:r>
      <w:r>
        <w:rPr>
          <w:rFonts w:ascii="Arial" w:cs="Arial" w:eastAsia="Arial" w:hAnsi="Arial"/>
          <w:sz w:val="18"/>
          <w:szCs w:val="18"/>
          <w:color w:val="auto"/>
        </w:rPr>
        <w:t>: headings are for convenience only and shall not affect the interpretation of this Deed.</w:t>
      </w:r>
    </w:p>
    <w:p>
      <w:pPr>
        <w:spacing w:after="0" w:line="225" w:lineRule="exact"/>
        <w:rPr>
          <w:rFonts w:ascii="Arial" w:cs="Arial" w:eastAsia="Arial" w:hAnsi="Arial"/>
          <w:sz w:val="18"/>
          <w:szCs w:val="18"/>
          <w:color w:val="010000"/>
        </w:rPr>
      </w:pPr>
    </w:p>
    <w:p>
      <w:pPr>
        <w:ind w:left="644" w:hanging="644"/>
        <w:spacing w:after="0" w:line="347" w:lineRule="auto"/>
        <w:tabs>
          <w:tab w:leader="none" w:pos="644" w:val="left"/>
        </w:tabs>
        <w:numPr>
          <w:ilvl w:val="0"/>
          <w:numId w:val="1049"/>
        </w:numPr>
        <w:rPr>
          <w:rFonts w:ascii="Arial" w:cs="Arial" w:eastAsia="Arial" w:hAnsi="Arial"/>
          <w:sz w:val="16"/>
          <w:szCs w:val="16"/>
          <w:color w:val="010000"/>
        </w:rPr>
      </w:pPr>
      <w:r>
        <w:rPr>
          <w:rFonts w:ascii="Arial" w:cs="Arial" w:eastAsia="Arial" w:hAnsi="Arial"/>
          <w:sz w:val="16"/>
          <w:szCs w:val="16"/>
          <w:b w:val="1"/>
          <w:bCs w:val="1"/>
          <w:color w:val="auto"/>
        </w:rPr>
        <w:t>Clauses, Schedules and Paragraphs</w:t>
      </w:r>
      <w:r>
        <w:rPr>
          <w:rFonts w:ascii="Arial" w:cs="Arial" w:eastAsia="Arial" w:hAnsi="Arial"/>
          <w:sz w:val="16"/>
          <w:szCs w:val="16"/>
          <w:color w:val="auto"/>
        </w:rPr>
        <w:t>: a reference to a Clause is to a clause in this Deed; a reference to a Schedule is to a schedule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Deed; a reference to a Paragraph is to a paragraph of a Schedule; and a reference to this Deed includes a reference to each of its Schedules.</w:t>
      </w:r>
    </w:p>
    <w:p>
      <w:pPr>
        <w:spacing w:after="0" w:line="116" w:lineRule="exact"/>
        <w:rPr>
          <w:rFonts w:ascii="Arial" w:cs="Arial" w:eastAsia="Arial" w:hAnsi="Arial"/>
          <w:sz w:val="16"/>
          <w:szCs w:val="16"/>
          <w:color w:val="010000"/>
        </w:rPr>
      </w:pPr>
    </w:p>
    <w:p>
      <w:pPr>
        <w:ind w:left="644" w:hanging="644"/>
        <w:spacing w:after="0"/>
        <w:tabs>
          <w:tab w:leader="none" w:pos="644" w:val="left"/>
        </w:tabs>
        <w:numPr>
          <w:ilvl w:val="0"/>
          <w:numId w:val="1049"/>
        </w:numPr>
        <w:rPr>
          <w:rFonts w:ascii="Arial" w:cs="Arial" w:eastAsia="Arial" w:hAnsi="Arial"/>
          <w:sz w:val="16"/>
          <w:szCs w:val="16"/>
          <w:color w:val="010000"/>
        </w:rPr>
      </w:pPr>
      <w:r>
        <w:rPr>
          <w:rFonts w:ascii="Arial" w:cs="Arial" w:eastAsia="Arial" w:hAnsi="Arial"/>
          <w:sz w:val="16"/>
          <w:szCs w:val="16"/>
          <w:b w:val="1"/>
          <w:bCs w:val="1"/>
          <w:color w:val="auto"/>
        </w:rPr>
        <w:t>Disposal</w:t>
      </w:r>
      <w:r>
        <w:rPr>
          <w:rFonts w:ascii="Arial" w:cs="Arial" w:eastAsia="Arial" w:hAnsi="Arial"/>
          <w:sz w:val="16"/>
          <w:szCs w:val="16"/>
          <w:color w:val="auto"/>
        </w:rPr>
        <w:t>: a reference to "disposal" includes any of the following, whether by a single transaction or series of transactions whether related or</w:t>
      </w:r>
    </w:p>
    <w:p>
      <w:pPr>
        <w:spacing w:after="0" w:line="50" w:lineRule="exact"/>
        <w:rPr>
          <w:rFonts w:ascii="Arial" w:cs="Arial" w:eastAsia="Arial" w:hAnsi="Arial"/>
          <w:sz w:val="16"/>
          <w:szCs w:val="16"/>
          <w:color w:val="010000"/>
        </w:rPr>
      </w:pPr>
    </w:p>
    <w:p>
      <w:pPr>
        <w:jc w:val="both"/>
        <w:ind w:left="644"/>
        <w:spacing w:after="0" w:line="255" w:lineRule="auto"/>
        <w:rPr>
          <w:rFonts w:ascii="Arial" w:cs="Arial" w:eastAsia="Arial" w:hAnsi="Arial"/>
          <w:sz w:val="16"/>
          <w:szCs w:val="16"/>
          <w:color w:val="010000"/>
        </w:rPr>
      </w:pPr>
      <w:r>
        <w:rPr>
          <w:rFonts w:ascii="Arial" w:cs="Arial" w:eastAsia="Arial" w:hAnsi="Arial"/>
          <w:sz w:val="18"/>
          <w:szCs w:val="18"/>
          <w:color w:val="auto"/>
        </w:rPr>
        <w:t>not, and whether voluntary or involuntary: a sale, transfer, assignment, loan, parting with any interest in or permitting the use by another person of, the grant of any option to purchase or pre-emption right or other present or future right to acquire or create any interest in, or any other disposal or dealing, and "dispose" shall be construed accordingly.</w:t>
      </w:r>
    </w:p>
    <w:p>
      <w:pPr>
        <w:spacing w:after="0" w:line="186" w:lineRule="exact"/>
        <w:rPr>
          <w:rFonts w:ascii="Arial" w:cs="Arial" w:eastAsia="Arial" w:hAnsi="Arial"/>
          <w:sz w:val="16"/>
          <w:szCs w:val="16"/>
          <w:color w:val="010000"/>
        </w:rPr>
      </w:pPr>
    </w:p>
    <w:p>
      <w:pPr>
        <w:jc w:val="both"/>
        <w:ind w:left="644" w:hanging="644"/>
        <w:spacing w:after="0" w:line="281" w:lineRule="auto"/>
        <w:tabs>
          <w:tab w:leader="none" w:pos="644" w:val="left"/>
        </w:tabs>
        <w:numPr>
          <w:ilvl w:val="0"/>
          <w:numId w:val="1049"/>
        </w:numPr>
        <w:rPr>
          <w:rFonts w:ascii="Arial" w:cs="Arial" w:eastAsia="Arial" w:hAnsi="Arial"/>
          <w:sz w:val="17"/>
          <w:szCs w:val="17"/>
          <w:color w:val="010000"/>
        </w:rPr>
      </w:pPr>
      <w:r>
        <w:rPr>
          <w:rFonts w:ascii="Arial" w:cs="Arial" w:eastAsia="Arial" w:hAnsi="Arial"/>
          <w:sz w:val="17"/>
          <w:szCs w:val="17"/>
          <w:b w:val="1"/>
          <w:bCs w:val="1"/>
          <w:color w:val="auto"/>
        </w:rPr>
        <w:t>Loan Agreement and Intercreditor Agreement</w:t>
      </w:r>
      <w:r>
        <w:rPr>
          <w:rFonts w:ascii="Arial" w:cs="Arial" w:eastAsia="Arial" w:hAnsi="Arial"/>
          <w:sz w:val="17"/>
          <w:szCs w:val="17"/>
          <w:color w:val="auto"/>
        </w:rPr>
        <w:t>: The undertakings and other obligations of the Mortgagor, Collateral Agent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under this Deed shall at all times be read and construed as subject to the provisions of the Loan Agreement, the Intercreditor Agreement and the Guarantee which shall prevail in case of any conflict. The terms of this Deed shall not operate or be construed so as to prohibit or restrict any transaction or matter that is permitted by the Loan Agreement or the Intercreditor Agreement.</w:t>
      </w:r>
    </w:p>
    <w:p>
      <w:pPr>
        <w:spacing w:after="0" w:line="385"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970" w:name="page971"/>
    <w:bookmarkEnd w:id="970"/>
    <w:p>
      <w:pPr>
        <w:ind w:left="660" w:hanging="652"/>
        <w:spacing w:after="0"/>
        <w:tabs>
          <w:tab w:leader="none" w:pos="660" w:val="left"/>
        </w:tabs>
        <w:numPr>
          <w:ilvl w:val="0"/>
          <w:numId w:val="1050"/>
        </w:numPr>
        <w:rPr>
          <w:rFonts w:ascii="Arial" w:cs="Arial" w:eastAsia="Arial" w:hAnsi="Arial"/>
          <w:sz w:val="18"/>
          <w:szCs w:val="18"/>
          <w:b w:val="1"/>
          <w:bCs w:val="1"/>
          <w:color w:val="010000"/>
        </w:rPr>
      </w:pPr>
      <w:r>
        <w:rPr>
          <w:rFonts w:ascii="Arial" w:cs="Arial" w:eastAsia="Arial" w:hAnsi="Arial"/>
          <w:sz w:val="18"/>
          <w:szCs w:val="18"/>
          <w:b w:val="1"/>
          <w:bCs w:val="1"/>
          <w:color w:val="auto"/>
        </w:rPr>
        <w:t>TRUST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8"/>
          <w:szCs w:val="18"/>
          <w:color w:val="auto"/>
        </w:rPr>
        <w:t>The Collateral Agent shall hold, and hereby declares that it shall hold, the benefit of the Security and the benefit of all representations, warranties, covenants and undertakings under this Deed on trust for the Secured Parties on and subject to the terms of this Deed and the Mortgagor hereby acknowledges such trusts.</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8"/>
          <w:szCs w:val="18"/>
          <w:color w:val="auto"/>
        </w:rPr>
        <w:t>In this Deed the Collateral Agent acts under the authority of the Secured Parties contained in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 of the Loan Agreement and in accordance with, subject to and with the full benefit of the provisions of such Article X (</w:t>
      </w:r>
      <w:r>
        <w:rPr>
          <w:rFonts w:ascii="Arial" w:cs="Arial" w:eastAsia="Arial" w:hAnsi="Arial"/>
          <w:sz w:val="18"/>
          <w:szCs w:val="18"/>
          <w:i w:val="1"/>
          <w:iCs w:val="1"/>
          <w:color w:val="auto"/>
        </w:rPr>
        <w:t>Administrative Agent</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1051"/>
        </w:numPr>
        <w:rPr>
          <w:rFonts w:ascii="Arial" w:cs="Arial" w:eastAsia="Arial" w:hAnsi="Arial"/>
          <w:sz w:val="18"/>
          <w:szCs w:val="18"/>
          <w:b w:val="1"/>
          <w:bCs w:val="1"/>
          <w:color w:val="010000"/>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8"/>
          <w:szCs w:val="18"/>
          <w:color w:val="auto"/>
        </w:rPr>
        <w:t>The priority of claims in relation to this Deed and the ABL Equitable Share Mortgage shall be subject to the Intercreditor Agreement. Each Secured Party, of its acceptance of the benefits of this Deed (a) consents to the subordination of security provided for in the Intercreditor Agreement, (b) agrees that it will be bound by, and will take no actions contrary to, the provisions of the Intercreditor Agreement and (c) authorizes and instructs the Collateral Agent to enter into the Intercreditor Agreement as Collateral Agent on behalf of such Secured Party. The foregoing provisions are intended as an inducement to the Secured Parties to extend credit to Borrowers or to acquire any notes or other evidence of any debt obligation owing from the Borrowers and such Secured Parties are intended third party beneficiaries of such provisions and the provisions of the Intercreditor Agreement.</w:t>
      </w:r>
    </w:p>
    <w:p>
      <w:pPr>
        <w:spacing w:after="0" w:line="18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8"/>
          <w:szCs w:val="18"/>
          <w:color w:val="auto"/>
        </w:rPr>
        <w:t>Notwithstanding any other provision contained herein, this Deed, the security created hereby and the rights, remedies, duties and obligations provided for herein are subject in all respects to the provisions of the Intercreditor Agreement and, to the extent provided therein, the applicable LC Security Documents (as defined in the Intercreditor Agreement). In the event of any conflict or inconsistency between the provisions of this Deed and the Intercreditor Agreement, the provisions of the Intercreditor Agreement shall prevail.</w:t>
      </w:r>
    </w:p>
    <w:p>
      <w:pPr>
        <w:spacing w:after="0" w:line="183" w:lineRule="exact"/>
        <w:rPr>
          <w:sz w:val="20"/>
          <w:szCs w:val="20"/>
          <w:color w:val="auto"/>
        </w:rPr>
      </w:pPr>
    </w:p>
    <w:p>
      <w:pPr>
        <w:ind w:left="660" w:hanging="652"/>
        <w:spacing w:after="0"/>
        <w:tabs>
          <w:tab w:leader="none" w:pos="660" w:val="left"/>
        </w:tabs>
        <w:numPr>
          <w:ilvl w:val="0"/>
          <w:numId w:val="1052"/>
        </w:numPr>
        <w:rPr>
          <w:rFonts w:ascii="Arial" w:cs="Arial" w:eastAsia="Arial" w:hAnsi="Arial"/>
          <w:sz w:val="18"/>
          <w:szCs w:val="18"/>
          <w:b w:val="1"/>
          <w:bCs w:val="1"/>
          <w:color w:val="010000"/>
        </w:rPr>
      </w:pPr>
      <w:r>
        <w:rPr>
          <w:rFonts w:ascii="Arial" w:cs="Arial" w:eastAsia="Arial" w:hAnsi="Arial"/>
          <w:sz w:val="18"/>
          <w:szCs w:val="18"/>
          <w:b w:val="1"/>
          <w:bCs w:val="1"/>
          <w:color w:val="auto"/>
        </w:rPr>
        <w:t>ABL EQUITABLE SHARE MORTGAGE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color w:val="auto"/>
        </w:rPr>
        <w:t>All security created under this Deed does not affect the security created by the ABL Equitable Share Mortgage.</w:t>
      </w:r>
    </w:p>
    <w:p>
      <w:pPr>
        <w:spacing w:after="0" w:line="225"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010000"/>
        </w:rPr>
        <w:t>4.2</w:t>
      </w:r>
      <w:r>
        <w:rPr>
          <w:sz w:val="20"/>
          <w:szCs w:val="20"/>
          <w:color w:val="auto"/>
        </w:rPr>
        <w:tab/>
      </w:r>
      <w:r>
        <w:rPr>
          <w:rFonts w:ascii="Arial" w:cs="Arial" w:eastAsia="Arial" w:hAnsi="Arial"/>
          <w:sz w:val="17"/>
          <w:szCs w:val="17"/>
          <w:color w:val="auto"/>
        </w:rPr>
        <w:t>Notwithstanding any provision of this Deed, provided that the Mortgagor is in compliance with the terms of the ABL Equitable Share Mortgage (including without limitation, any obligation to deliver or deposit any deeds, documents of title, certificates, evidence of ownership or other original documentation thereunder) then to the extent that the terms of this Deed impose the same or substantially the same obligation in respect of such deeds, documents of title, certificates, evidence of ownership or other original documentation, the Mortgagor will be deemed to have complied with the relevant obligations under this Deed by virtue of its compliance under the ABL Equitable Share Mortgage, provided however that, in the event that the terms of the ABL Equitable Share Mortgage no longer continue to be in full force and effect or the ABL Equitable Share Mortgage is released or discharged (or as otherwise required by the Intercreditor Agreement) the Mortgagor shall be required to as soon as reasonably practicable comply with the relevant obligations under this Deed. The Collateral Agent may retain any document delivered to it under this Deed or otherwise only until such time as the Security Interests created under this Deed are irrevocably released.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71" w:name="page972"/>
    <w:bookmarkEnd w:id="971"/>
    <w:p>
      <w:pPr>
        <w:ind w:left="660" w:hanging="652"/>
        <w:spacing w:after="0"/>
        <w:tabs>
          <w:tab w:leader="none" w:pos="660" w:val="left"/>
        </w:tabs>
        <w:numPr>
          <w:ilvl w:val="0"/>
          <w:numId w:val="1053"/>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 TO PAY</w:t>
      </w:r>
    </w:p>
    <w:p>
      <w:pPr>
        <w:spacing w:after="0" w:line="229" w:lineRule="exact"/>
        <w:rPr>
          <w:rFonts w:ascii="Arial" w:cs="Arial" w:eastAsia="Arial" w:hAnsi="Arial"/>
          <w:sz w:val="18"/>
          <w:szCs w:val="18"/>
          <w:b w:val="1"/>
          <w:bCs w:val="1"/>
          <w:color w:val="010000"/>
        </w:rPr>
      </w:pPr>
    </w:p>
    <w:p>
      <w:pPr>
        <w:jc w:val="both"/>
        <w:ind w:left="660"/>
        <w:spacing w:after="0" w:line="257" w:lineRule="auto"/>
        <w:rPr>
          <w:rFonts w:ascii="Arial" w:cs="Arial" w:eastAsia="Arial" w:hAnsi="Arial"/>
          <w:sz w:val="18"/>
          <w:szCs w:val="18"/>
          <w:b w:val="1"/>
          <w:bCs w:val="1"/>
          <w:color w:val="010000"/>
        </w:rPr>
      </w:pPr>
      <w:r>
        <w:rPr>
          <w:rFonts w:ascii="Arial" w:cs="Arial" w:eastAsia="Arial" w:hAnsi="Arial"/>
          <w:sz w:val="18"/>
          <w:szCs w:val="18"/>
          <w:color w:val="auto"/>
        </w:rPr>
        <w:t>Subject to any limits on its liability and any grace periods specifically recorded in the Loan Documents, the Mortgagor covenants with the Collateral Agent to pay and discharge all Secured Obligations which may from time to time be or become due, owing or payable by the Mortgagor (whether as principal or surety and whether or not jointly with another) to or to the order of the Collateral Agent under, pursuant to or in connection with the Loan Agreement, the Guarantee and/or this Deed, as applicable, in each case at the times when, and in the currency or currencies and in the manner in which, they are expressed to be due, owing or payable herein or therein.</w:t>
      </w:r>
    </w:p>
    <w:p>
      <w:pPr>
        <w:spacing w:after="0" w:line="184"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53"/>
        </w:numPr>
        <w:rPr>
          <w:rFonts w:ascii="Arial" w:cs="Arial" w:eastAsia="Arial" w:hAnsi="Arial"/>
          <w:sz w:val="18"/>
          <w:szCs w:val="18"/>
          <w:b w:val="1"/>
          <w:bCs w:val="1"/>
          <w:color w:val="010000"/>
        </w:rPr>
      </w:pPr>
      <w:r>
        <w:rPr>
          <w:rFonts w:ascii="Arial" w:cs="Arial" w:eastAsia="Arial" w:hAnsi="Arial"/>
          <w:sz w:val="18"/>
          <w:szCs w:val="18"/>
          <w:b w:val="1"/>
          <w:bCs w:val="1"/>
          <w:color w:val="auto"/>
        </w:rPr>
        <w:t>CREATION OF SECURITY</w:t>
      </w:r>
    </w:p>
    <w:p>
      <w:pPr>
        <w:spacing w:after="0" w:line="229" w:lineRule="exact"/>
        <w:rPr>
          <w:rFonts w:ascii="Arial" w:cs="Arial" w:eastAsia="Arial" w:hAnsi="Arial"/>
          <w:sz w:val="18"/>
          <w:szCs w:val="18"/>
          <w:b w:val="1"/>
          <w:bCs w:val="1"/>
          <w:color w:val="010000"/>
        </w:rPr>
      </w:pPr>
    </w:p>
    <w:p>
      <w:pPr>
        <w:jc w:val="both"/>
        <w:ind w:left="660"/>
        <w:spacing w:after="0" w:line="264" w:lineRule="auto"/>
        <w:rPr>
          <w:rFonts w:ascii="Arial" w:cs="Arial" w:eastAsia="Arial" w:hAnsi="Arial"/>
          <w:sz w:val="18"/>
          <w:szCs w:val="18"/>
          <w:b w:val="1"/>
          <w:bCs w:val="1"/>
          <w:color w:val="010000"/>
        </w:rPr>
      </w:pPr>
      <w:r>
        <w:rPr>
          <w:rFonts w:ascii="Arial" w:cs="Arial" w:eastAsia="Arial" w:hAnsi="Arial"/>
          <w:sz w:val="18"/>
          <w:szCs w:val="18"/>
          <w:color w:val="auto"/>
        </w:rPr>
        <w:t>The Mortgagor, as continuing security for the payment and discharge of the Secured Obligations and with full title guarantee, charges by way of fixed charge all of its Rights, title and interest in and to the Original Shares, all Further Shares, all Derived Assets and all Dividends in favour of the Collateral Agent.</w:t>
      </w:r>
    </w:p>
    <w:p>
      <w:pPr>
        <w:spacing w:after="0" w:line="177"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53"/>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 TO DEPOSIT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7.1</w:t>
      </w:r>
      <w:r>
        <w:rPr>
          <w:sz w:val="20"/>
          <w:szCs w:val="20"/>
          <w:color w:val="auto"/>
        </w:rPr>
        <w:tab/>
      </w:r>
      <w:r>
        <w:rPr>
          <w:rFonts w:ascii="Arial" w:cs="Arial" w:eastAsia="Arial" w:hAnsi="Arial"/>
          <w:sz w:val="16"/>
          <w:szCs w:val="16"/>
          <w:b w:val="1"/>
          <w:bCs w:val="1"/>
          <w:color w:val="auto"/>
        </w:rPr>
        <w:t>Original Shares and Further Shares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Mortgagor shall, promptly after execution of this Deed in the case of the Original Shares, and within 15 Business Days (or such later date as may be agreed upon by the Collateral Agent) of issue of any Further Shares deposit with the Collateral Agent (or other person nominated by the Collateral Agent):</w:t>
      </w:r>
    </w:p>
    <w:p>
      <w:pPr>
        <w:spacing w:after="0" w:line="181" w:lineRule="exact"/>
        <w:rPr>
          <w:sz w:val="20"/>
          <w:szCs w:val="20"/>
          <w:color w:val="auto"/>
        </w:rPr>
      </w:pPr>
    </w:p>
    <w:p>
      <w:pPr>
        <w:ind w:left="1300" w:hanging="644"/>
        <w:spacing w:after="0"/>
        <w:tabs>
          <w:tab w:leader="none" w:pos="1300" w:val="left"/>
        </w:tabs>
        <w:numPr>
          <w:ilvl w:val="0"/>
          <w:numId w:val="1054"/>
        </w:numPr>
        <w:rPr>
          <w:rFonts w:ascii="Arial" w:cs="Arial" w:eastAsia="Arial" w:hAnsi="Arial"/>
          <w:sz w:val="18"/>
          <w:szCs w:val="18"/>
          <w:color w:val="010000"/>
        </w:rPr>
      </w:pPr>
      <w:r>
        <w:rPr>
          <w:rFonts w:ascii="Arial" w:cs="Arial" w:eastAsia="Arial" w:hAnsi="Arial"/>
          <w:sz w:val="18"/>
          <w:szCs w:val="18"/>
          <w:color w:val="auto"/>
        </w:rPr>
        <w:t>all share certificates, documents of title and other documentary evidence of ownership in relation to such Shares; and</w:t>
      </w:r>
    </w:p>
    <w:p>
      <w:pPr>
        <w:spacing w:after="0" w:line="225"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054"/>
        </w:numPr>
        <w:rPr>
          <w:rFonts w:ascii="Arial" w:cs="Arial" w:eastAsia="Arial" w:hAnsi="Arial"/>
          <w:sz w:val="18"/>
          <w:szCs w:val="18"/>
          <w:color w:val="010000"/>
        </w:rPr>
      </w:pPr>
      <w:r>
        <w:rPr>
          <w:rFonts w:ascii="Arial" w:cs="Arial" w:eastAsia="Arial" w:hAnsi="Arial"/>
          <w:sz w:val="18"/>
          <w:szCs w:val="18"/>
          <w:color w:val="auto"/>
        </w:rPr>
        <w:t>transfers of such Shares duly executed by the Mortgagor or its nominee with the name of the transferee left blank, or if the Collateral Agent so requires, duly executed by the Mortgagor or its nominee in favour of the Collateral Agent (or its nominee).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7.2</w:t>
      </w:r>
      <w:r>
        <w:rPr>
          <w:sz w:val="20"/>
          <w:szCs w:val="20"/>
          <w:color w:val="auto"/>
        </w:rPr>
        <w:tab/>
      </w:r>
      <w:r>
        <w:rPr>
          <w:rFonts w:ascii="Arial" w:cs="Arial" w:eastAsia="Arial" w:hAnsi="Arial"/>
          <w:sz w:val="15"/>
          <w:szCs w:val="15"/>
          <w:b w:val="1"/>
          <w:bCs w:val="1"/>
          <w:color w:val="auto"/>
        </w:rPr>
        <w:t>Derived Assets</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Mortgagor shall promptly and in any event within 15 Business Days (or such later date as may be agreed upon by the Collateral Agent) of the issue, accrual or offer of any Derived Assets, deliver to the Collateral Agent or procure the delivery to the Collateral Agent of:</w:t>
      </w:r>
    </w:p>
    <w:p>
      <w:pPr>
        <w:spacing w:after="0" w:line="147" w:lineRule="exact"/>
        <w:rPr>
          <w:sz w:val="20"/>
          <w:szCs w:val="20"/>
          <w:color w:val="auto"/>
        </w:rPr>
      </w:pPr>
    </w:p>
    <w:p>
      <w:pPr>
        <w:ind w:left="1300" w:right="20" w:hanging="644"/>
        <w:spacing w:after="0" w:line="277" w:lineRule="auto"/>
        <w:tabs>
          <w:tab w:leader="none" w:pos="1300" w:val="left"/>
        </w:tabs>
        <w:numPr>
          <w:ilvl w:val="0"/>
          <w:numId w:val="1055"/>
        </w:numPr>
        <w:rPr>
          <w:rFonts w:ascii="Arial" w:cs="Arial" w:eastAsia="Arial" w:hAnsi="Arial"/>
          <w:sz w:val="18"/>
          <w:szCs w:val="18"/>
          <w:color w:val="010000"/>
        </w:rPr>
      </w:pPr>
      <w:r>
        <w:rPr>
          <w:rFonts w:ascii="Arial" w:cs="Arial" w:eastAsia="Arial" w:hAnsi="Arial"/>
          <w:sz w:val="18"/>
          <w:szCs w:val="18"/>
          <w:color w:val="auto"/>
        </w:rPr>
        <w:t>all share certificates, renounceable certificates, letters of allotment, documents of title and other documentary evidence of ownership in relation to the Derived Assets;</w:t>
      </w:r>
    </w:p>
    <w:p>
      <w:pPr>
        <w:spacing w:after="0" w:line="170"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055"/>
        </w:numPr>
        <w:rPr>
          <w:rFonts w:ascii="Arial" w:cs="Arial" w:eastAsia="Arial" w:hAnsi="Arial"/>
          <w:sz w:val="18"/>
          <w:szCs w:val="18"/>
          <w:color w:val="010000"/>
        </w:rPr>
      </w:pPr>
      <w:r>
        <w:rPr>
          <w:rFonts w:ascii="Arial" w:cs="Arial" w:eastAsia="Arial" w:hAnsi="Arial"/>
          <w:sz w:val="18"/>
          <w:szCs w:val="18"/>
          <w:color w:val="auto"/>
        </w:rPr>
        <w:t>such documents as are referred to Clauses 7.1(b) (</w:t>
      </w:r>
      <w:r>
        <w:rPr>
          <w:rFonts w:ascii="Arial" w:cs="Arial" w:eastAsia="Arial" w:hAnsi="Arial"/>
          <w:sz w:val="18"/>
          <w:szCs w:val="18"/>
          <w:i w:val="1"/>
          <w:iCs w:val="1"/>
          <w:color w:val="auto"/>
        </w:rPr>
        <w:t>Original Shares and Further Shares</w:t>
      </w:r>
      <w:r>
        <w:rPr>
          <w:rFonts w:ascii="Arial" w:cs="Arial" w:eastAsia="Arial" w:hAnsi="Arial"/>
          <w:sz w:val="18"/>
          <w:szCs w:val="18"/>
          <w:color w:val="auto"/>
        </w:rPr>
        <w:t>) in relation to any Shares comprised in such Derived Assets;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72" w:name="page973"/>
    <w:bookmarkEnd w:id="972"/>
    <w:p>
      <w:pPr>
        <w:jc w:val="both"/>
        <w:ind w:left="1300" w:hanging="644"/>
        <w:spacing w:after="0" w:line="264" w:lineRule="auto"/>
        <w:tabs>
          <w:tab w:leader="none" w:pos="1300" w:val="left"/>
        </w:tabs>
        <w:numPr>
          <w:ilvl w:val="1"/>
          <w:numId w:val="1056"/>
        </w:numPr>
        <w:rPr>
          <w:rFonts w:ascii="Arial" w:cs="Arial" w:eastAsia="Arial" w:hAnsi="Arial"/>
          <w:sz w:val="18"/>
          <w:szCs w:val="18"/>
          <w:color w:val="010000"/>
        </w:rPr>
      </w:pPr>
      <w:r>
        <w:rPr>
          <w:rFonts w:ascii="Arial" w:cs="Arial" w:eastAsia="Arial" w:hAnsi="Arial"/>
          <w:sz w:val="18"/>
          <w:szCs w:val="18"/>
          <w:color w:val="auto"/>
        </w:rPr>
        <w:t>such other documents as the Collateral Agent may reasonably require to enable the Collateral Agent (or its nominee) or, after the occurrence of an Enforcement Event, any Receiver or any purchaser to be registered as the owner of, or otherwise to obtain legal title to, the Derived Assets in accordance with this Deed.</w:t>
      </w:r>
    </w:p>
    <w:p>
      <w:pPr>
        <w:spacing w:after="0" w:line="177" w:lineRule="exact"/>
        <w:rPr>
          <w:rFonts w:ascii="Arial" w:cs="Arial" w:eastAsia="Arial" w:hAnsi="Arial"/>
          <w:sz w:val="18"/>
          <w:szCs w:val="18"/>
          <w:color w:val="010000"/>
        </w:rPr>
      </w:pPr>
    </w:p>
    <w:p>
      <w:pPr>
        <w:ind w:left="660" w:hanging="652"/>
        <w:spacing w:after="0"/>
        <w:tabs>
          <w:tab w:leader="none" w:pos="660" w:val="left"/>
        </w:tabs>
        <w:numPr>
          <w:ilvl w:val="0"/>
          <w:numId w:val="1057"/>
        </w:numPr>
        <w:rPr>
          <w:rFonts w:ascii="Arial" w:cs="Arial" w:eastAsia="Arial" w:hAnsi="Arial"/>
          <w:sz w:val="18"/>
          <w:szCs w:val="18"/>
          <w:b w:val="1"/>
          <w:bCs w:val="1"/>
          <w:color w:val="010000"/>
        </w:rPr>
      </w:pPr>
      <w:r>
        <w:rPr>
          <w:rFonts w:ascii="Arial" w:cs="Arial" w:eastAsia="Arial" w:hAnsi="Arial"/>
          <w:sz w:val="18"/>
          <w:szCs w:val="18"/>
          <w:b w:val="1"/>
          <w:bCs w:val="1"/>
          <w:color w:val="auto"/>
        </w:rPr>
        <w:t>FURTHER ASSURANCE</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7"/>
          <w:szCs w:val="17"/>
          <w:color w:val="auto"/>
        </w:rPr>
        <w:t>The Mortgagor shall, at its own cost, promptly take whatever action the Collateral Agent or any Receiver may reasonably require with a view to:</w:t>
      </w:r>
    </w:p>
    <w:p>
      <w:pPr>
        <w:spacing w:after="0" w:line="236" w:lineRule="exact"/>
        <w:rPr>
          <w:rFonts w:ascii="Arial" w:cs="Arial" w:eastAsia="Arial" w:hAnsi="Arial"/>
          <w:sz w:val="18"/>
          <w:szCs w:val="18"/>
          <w:b w:val="1"/>
          <w:bCs w:val="1"/>
          <w:color w:val="010000"/>
        </w:rPr>
      </w:pPr>
    </w:p>
    <w:p>
      <w:pPr>
        <w:ind w:left="1300" w:hanging="644"/>
        <w:spacing w:after="0" w:line="277" w:lineRule="auto"/>
        <w:tabs>
          <w:tab w:leader="none" w:pos="1300" w:val="left"/>
        </w:tabs>
        <w:numPr>
          <w:ilvl w:val="1"/>
          <w:numId w:val="1057"/>
        </w:numPr>
        <w:rPr>
          <w:rFonts w:ascii="Arial" w:cs="Arial" w:eastAsia="Arial" w:hAnsi="Arial"/>
          <w:sz w:val="18"/>
          <w:szCs w:val="18"/>
          <w:color w:val="010000"/>
        </w:rPr>
      </w:pPr>
      <w:r>
        <w:rPr>
          <w:rFonts w:ascii="Arial" w:cs="Arial" w:eastAsia="Arial" w:hAnsi="Arial"/>
          <w:sz w:val="18"/>
          <w:szCs w:val="18"/>
          <w:color w:val="auto"/>
        </w:rPr>
        <w:t>creating, preserving, perfecting or protecting any of the Security or the first priority of any of the Security (subject to any Liens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70" w:lineRule="exact"/>
        <w:rPr>
          <w:rFonts w:ascii="Arial" w:cs="Arial" w:eastAsia="Arial" w:hAnsi="Arial"/>
          <w:sz w:val="18"/>
          <w:szCs w:val="18"/>
          <w:color w:val="010000"/>
        </w:rPr>
      </w:pPr>
    </w:p>
    <w:p>
      <w:pPr>
        <w:ind w:left="1300" w:hanging="644"/>
        <w:spacing w:after="0" w:line="277" w:lineRule="auto"/>
        <w:tabs>
          <w:tab w:leader="none" w:pos="1300" w:val="left"/>
        </w:tabs>
        <w:numPr>
          <w:ilvl w:val="1"/>
          <w:numId w:val="1057"/>
        </w:numPr>
        <w:rPr>
          <w:rFonts w:ascii="Arial" w:cs="Arial" w:eastAsia="Arial" w:hAnsi="Arial"/>
          <w:sz w:val="18"/>
          <w:szCs w:val="18"/>
          <w:color w:val="010000"/>
        </w:rPr>
      </w:pPr>
      <w:r>
        <w:rPr>
          <w:rFonts w:ascii="Arial" w:cs="Arial" w:eastAsia="Arial" w:hAnsi="Arial"/>
          <w:sz w:val="18"/>
          <w:szCs w:val="18"/>
          <w:color w:val="auto"/>
        </w:rPr>
        <w:t>facilitating the enforcement of the Security or the exercise of any Rights vested in the Collateral Agent or any Receiver in connection with this Deed; or</w:t>
      </w:r>
    </w:p>
    <w:p>
      <w:pPr>
        <w:spacing w:after="0" w:line="170" w:lineRule="exact"/>
        <w:rPr>
          <w:rFonts w:ascii="Arial" w:cs="Arial" w:eastAsia="Arial" w:hAnsi="Arial"/>
          <w:sz w:val="18"/>
          <w:szCs w:val="18"/>
          <w:color w:val="010000"/>
        </w:rPr>
      </w:pPr>
    </w:p>
    <w:p>
      <w:pPr>
        <w:ind w:left="1300" w:hanging="644"/>
        <w:spacing w:after="0" w:line="277" w:lineRule="auto"/>
        <w:tabs>
          <w:tab w:leader="none" w:pos="1300" w:val="left"/>
        </w:tabs>
        <w:numPr>
          <w:ilvl w:val="1"/>
          <w:numId w:val="1057"/>
        </w:numPr>
        <w:rPr>
          <w:rFonts w:ascii="Arial" w:cs="Arial" w:eastAsia="Arial" w:hAnsi="Arial"/>
          <w:sz w:val="18"/>
          <w:szCs w:val="18"/>
          <w:color w:val="010000"/>
        </w:rPr>
      </w:pPr>
      <w:r>
        <w:rPr>
          <w:rFonts w:ascii="Arial" w:cs="Arial" w:eastAsia="Arial" w:hAnsi="Arial"/>
          <w:sz w:val="18"/>
          <w:szCs w:val="18"/>
          <w:color w:val="auto"/>
        </w:rPr>
        <w:t>providing more effectively to the Collateral Agent the full benefit of the Rights conferred on it by this Deed and otherwise giving full effect to the provisions of this Deed,</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including, without limitation, executing such assignments, transfers and conveyances of the Secured Assets (whether in favour of the Collateral Agent, any Secured Party or otherwise), giving such notices and making such filings and registrations as the Collateral Agent or any Receiver shall reasonably require, in each case in such form and on such terms as the Collateral Agent or Receiver shall reasonably specify.</w:t>
      </w:r>
    </w:p>
    <w:p>
      <w:pPr>
        <w:spacing w:after="0" w:line="162" w:lineRule="exact"/>
        <w:rPr>
          <w:sz w:val="20"/>
          <w:szCs w:val="20"/>
          <w:color w:val="auto"/>
        </w:rPr>
      </w:pPr>
    </w:p>
    <w:p>
      <w:pPr>
        <w:ind w:left="660" w:hanging="652"/>
        <w:spacing w:after="0"/>
        <w:tabs>
          <w:tab w:leader="none" w:pos="660" w:val="left"/>
        </w:tabs>
        <w:numPr>
          <w:ilvl w:val="0"/>
          <w:numId w:val="1058"/>
        </w:numPr>
        <w:rPr>
          <w:rFonts w:ascii="Arial" w:cs="Arial" w:eastAsia="Arial" w:hAnsi="Arial"/>
          <w:sz w:val="18"/>
          <w:szCs w:val="18"/>
          <w:b w:val="1"/>
          <w:bCs w:val="1"/>
          <w:color w:val="010000"/>
        </w:rPr>
      </w:pPr>
      <w:r>
        <w:rPr>
          <w:rFonts w:ascii="Arial" w:cs="Arial" w:eastAsia="Arial" w:hAnsi="Arial"/>
          <w:sz w:val="18"/>
          <w:szCs w:val="18"/>
          <w:b w:val="1"/>
          <w:bCs w:val="1"/>
          <w:color w:val="auto"/>
        </w:rPr>
        <w:t>VOTING RIGHTS AND DIVIDENDS</w:t>
      </w:r>
    </w:p>
    <w:p>
      <w:pPr>
        <w:spacing w:after="0" w:line="225"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18"/>
          <w:szCs w:val="18"/>
          <w:b w:val="1"/>
          <w:bCs w:val="1"/>
          <w:color w:val="010000"/>
        </w:rPr>
        <w:t>9.1</w:t>
      </w:r>
      <w:r>
        <w:rPr>
          <w:rFonts w:ascii="Arial" w:cs="Arial" w:eastAsia="Arial" w:hAnsi="Arial"/>
          <w:sz w:val="16"/>
          <w:szCs w:val="16"/>
          <w:b w:val="1"/>
          <w:bCs w:val="1"/>
          <w:color w:val="auto"/>
        </w:rPr>
        <w:t>Prior to a Enforcement Event</w:t>
      </w:r>
    </w:p>
    <w:p>
      <w:pPr>
        <w:spacing w:after="0" w:line="229" w:lineRule="exact"/>
        <w:rPr>
          <w:rFonts w:ascii="Arial" w:cs="Arial" w:eastAsia="Arial" w:hAnsi="Arial"/>
          <w:sz w:val="18"/>
          <w:szCs w:val="18"/>
          <w:b w:val="1"/>
          <w:bCs w:val="1"/>
          <w:color w:val="010000"/>
        </w:rPr>
      </w:pPr>
    </w:p>
    <w:p>
      <w:pPr>
        <w:jc w:val="both"/>
        <w:ind w:left="1300" w:hanging="644"/>
        <w:spacing w:after="0" w:line="264" w:lineRule="auto"/>
        <w:tabs>
          <w:tab w:leader="none" w:pos="1300" w:val="left"/>
        </w:tabs>
        <w:numPr>
          <w:ilvl w:val="1"/>
          <w:numId w:val="1058"/>
        </w:numPr>
        <w:rPr>
          <w:rFonts w:ascii="Arial" w:cs="Arial" w:eastAsia="Arial" w:hAnsi="Arial"/>
          <w:sz w:val="18"/>
          <w:szCs w:val="18"/>
          <w:color w:val="010000"/>
        </w:rPr>
      </w:pPr>
      <w:r>
        <w:rPr>
          <w:rFonts w:ascii="Arial" w:cs="Arial" w:eastAsia="Arial" w:hAnsi="Arial"/>
          <w:sz w:val="18"/>
          <w:szCs w:val="18"/>
          <w:color w:val="auto"/>
        </w:rPr>
        <w:t>Prior to such time as the Collateral Agent has, following the occurrence of an Enforcement Event, notified the Mortgagor in writing that it has elected to collect any Dividends in accordance with the terms of this Deed, the Mortgagor shall be entitled to receive and retain free from the Security any Dividends paid to it.</w:t>
      </w:r>
    </w:p>
    <w:p>
      <w:pPr>
        <w:spacing w:after="0" w:line="181" w:lineRule="exact"/>
        <w:rPr>
          <w:rFonts w:ascii="Arial" w:cs="Arial" w:eastAsia="Arial" w:hAnsi="Arial"/>
          <w:sz w:val="18"/>
          <w:szCs w:val="18"/>
          <w:color w:val="010000"/>
        </w:rPr>
      </w:pPr>
    </w:p>
    <w:p>
      <w:pPr>
        <w:jc w:val="both"/>
        <w:ind w:left="1300" w:hanging="644"/>
        <w:spacing w:after="0" w:line="255" w:lineRule="auto"/>
        <w:tabs>
          <w:tab w:leader="none" w:pos="1300" w:val="left"/>
        </w:tabs>
        <w:numPr>
          <w:ilvl w:val="1"/>
          <w:numId w:val="1058"/>
        </w:numPr>
        <w:rPr>
          <w:rFonts w:ascii="Arial" w:cs="Arial" w:eastAsia="Arial" w:hAnsi="Arial"/>
          <w:sz w:val="18"/>
          <w:szCs w:val="18"/>
          <w:color w:val="010000"/>
        </w:rPr>
      </w:pPr>
      <w:r>
        <w:rPr>
          <w:rFonts w:ascii="Arial" w:cs="Arial" w:eastAsia="Arial" w:hAnsi="Arial"/>
          <w:sz w:val="18"/>
          <w:szCs w:val="18"/>
          <w:color w:val="auto"/>
        </w:rPr>
        <w:t>Prior to such time as the Collateral Agent has, following the occurrence of an Enforcement Event, notified the Mortgagor in writing that it has elected to exercise voting and other Rights relating to the Secured Assets in accordance with the terms of this Deed, the Mortgagor shall be entitled to exercise and control the exercise of all voting and other Rights relating to the Secured Assets provided that it shall not exercise any such voting rights or powers in a manner which would diminish the effectiveness or enforceability of the Security Interests created under this Deed in any material respect or restrict the transferability of the Secured Assets by the Collateral Agent or any Relevant Person.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73" w:name="page974"/>
    <w:bookmarkEnd w:id="973"/>
    <w:p>
      <w:pPr>
        <w:spacing w:after="0"/>
        <w:tabs>
          <w:tab w:leader="none" w:pos="640" w:val="left"/>
        </w:tabs>
        <w:rPr>
          <w:sz w:val="20"/>
          <w:szCs w:val="20"/>
          <w:color w:val="auto"/>
        </w:rPr>
      </w:pPr>
      <w:r>
        <w:rPr>
          <w:rFonts w:ascii="Arial" w:cs="Arial" w:eastAsia="Arial" w:hAnsi="Arial"/>
          <w:sz w:val="18"/>
          <w:szCs w:val="18"/>
          <w:b w:val="1"/>
          <w:bCs w:val="1"/>
          <w:color w:val="010000"/>
        </w:rPr>
        <w:t>9.2</w:t>
      </w:r>
      <w:r>
        <w:rPr>
          <w:sz w:val="20"/>
          <w:szCs w:val="20"/>
          <w:color w:val="auto"/>
        </w:rPr>
        <w:tab/>
      </w:r>
      <w:r>
        <w:rPr>
          <w:rFonts w:ascii="Arial" w:cs="Arial" w:eastAsia="Arial" w:hAnsi="Arial"/>
          <w:sz w:val="16"/>
          <w:szCs w:val="16"/>
          <w:b w:val="1"/>
          <w:bCs w:val="1"/>
          <w:color w:val="auto"/>
        </w:rPr>
        <w:t>Following an Enforcement Event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and at all times after, the occurrence of any Enforcement Event:</w:t>
      </w:r>
    </w:p>
    <w:p>
      <w:pPr>
        <w:spacing w:after="0" w:line="225" w:lineRule="exact"/>
        <w:rPr>
          <w:sz w:val="20"/>
          <w:szCs w:val="20"/>
          <w:color w:val="auto"/>
        </w:rPr>
      </w:pPr>
    </w:p>
    <w:p>
      <w:pPr>
        <w:jc w:val="both"/>
        <w:ind w:left="1300" w:hanging="644"/>
        <w:spacing w:after="0" w:line="264" w:lineRule="auto"/>
        <w:tabs>
          <w:tab w:leader="none" w:pos="1300" w:val="left"/>
        </w:tabs>
        <w:numPr>
          <w:ilvl w:val="1"/>
          <w:numId w:val="1059"/>
        </w:numPr>
        <w:rPr>
          <w:rFonts w:ascii="Arial" w:cs="Arial" w:eastAsia="Arial" w:hAnsi="Arial"/>
          <w:sz w:val="18"/>
          <w:szCs w:val="18"/>
          <w:color w:val="010000"/>
        </w:rPr>
      </w:pPr>
      <w:r>
        <w:rPr>
          <w:rFonts w:ascii="Arial" w:cs="Arial" w:eastAsia="Arial" w:hAnsi="Arial"/>
          <w:sz w:val="18"/>
          <w:szCs w:val="18"/>
          <w:color w:val="auto"/>
        </w:rPr>
        <w:t>at the request of the Collateral Agent, all Dividends shall be paid to and retained by the Collateral Agent or, if appointed, any Receiver and any such monies which may be received by the Mortgagor shall, pending such payment, be segregated from any other property of the Mortgagor and held in trust for the Collateral Agent; and</w:t>
      </w:r>
    </w:p>
    <w:p>
      <w:pPr>
        <w:spacing w:after="0" w:line="181" w:lineRule="exact"/>
        <w:rPr>
          <w:rFonts w:ascii="Arial" w:cs="Arial" w:eastAsia="Arial" w:hAnsi="Arial"/>
          <w:sz w:val="18"/>
          <w:szCs w:val="18"/>
          <w:color w:val="010000"/>
        </w:rPr>
      </w:pPr>
    </w:p>
    <w:p>
      <w:pPr>
        <w:jc w:val="both"/>
        <w:ind w:left="1300" w:hanging="644"/>
        <w:spacing w:after="0" w:line="255" w:lineRule="auto"/>
        <w:tabs>
          <w:tab w:leader="none" w:pos="1300" w:val="left"/>
        </w:tabs>
        <w:numPr>
          <w:ilvl w:val="1"/>
          <w:numId w:val="1059"/>
        </w:numPr>
        <w:rPr>
          <w:rFonts w:ascii="Arial" w:cs="Arial" w:eastAsia="Arial" w:hAnsi="Arial"/>
          <w:sz w:val="18"/>
          <w:szCs w:val="18"/>
          <w:color w:val="010000"/>
        </w:rPr>
      </w:pPr>
      <w:r>
        <w:rPr>
          <w:rFonts w:ascii="Arial" w:cs="Arial" w:eastAsia="Arial" w:hAnsi="Arial"/>
          <w:sz w:val="18"/>
          <w:szCs w:val="18"/>
          <w:color w:val="auto"/>
        </w:rPr>
        <w:t>the Collateral Agent or, if appointed, any Receiver may, for the purpose of preserving the value of the Security or realising it, direct the exercise of all voting and other Rights relating to the Secured Assets and the Mortgagor shall procure that all voting and other Rights relating to the Secured Assets are exercised in accordance with such instructions as may, from time to time, be given to the Mortgagor by the Collateral Agent, or, if appointed, any Receiver and the Mortgagor shall deliver to the Collateral Agent or, if appointed, any Receiver such forms of proxy or other appropriate forms of authorisation as may be required to enable the Collateral Agent or, as the case may be, Receiver to exercise such voting and other Rights.</w:t>
      </w:r>
    </w:p>
    <w:p>
      <w:pPr>
        <w:spacing w:after="0" w:line="189" w:lineRule="exact"/>
        <w:rPr>
          <w:rFonts w:ascii="Arial" w:cs="Arial" w:eastAsia="Arial" w:hAnsi="Arial"/>
          <w:sz w:val="18"/>
          <w:szCs w:val="18"/>
          <w:color w:val="010000"/>
        </w:rPr>
      </w:pPr>
    </w:p>
    <w:p>
      <w:pPr>
        <w:ind w:left="660" w:hanging="652"/>
        <w:spacing w:after="0"/>
        <w:tabs>
          <w:tab w:leader="none" w:pos="660" w:val="left"/>
        </w:tabs>
        <w:numPr>
          <w:ilvl w:val="0"/>
          <w:numId w:val="1060"/>
        </w:numPr>
        <w:rPr>
          <w:rFonts w:ascii="Arial" w:cs="Arial" w:eastAsia="Arial" w:hAnsi="Arial"/>
          <w:sz w:val="18"/>
          <w:szCs w:val="18"/>
          <w:b w:val="1"/>
          <w:bCs w:val="1"/>
          <w:color w:val="010000"/>
        </w:rPr>
      </w:pPr>
      <w:r>
        <w:rPr>
          <w:rFonts w:ascii="Arial" w:cs="Arial" w:eastAsia="Arial" w:hAnsi="Arial"/>
          <w:sz w:val="18"/>
          <w:szCs w:val="18"/>
          <w:b w:val="1"/>
          <w:bCs w:val="1"/>
          <w:color w:val="auto"/>
        </w:rPr>
        <w:t>REPRESENTATIONS AND WARRANTIES</w:t>
      </w:r>
    </w:p>
    <w:p>
      <w:pPr>
        <w:spacing w:after="0" w:line="229" w:lineRule="exact"/>
        <w:rPr>
          <w:rFonts w:ascii="Arial" w:cs="Arial" w:eastAsia="Arial" w:hAnsi="Arial"/>
          <w:sz w:val="18"/>
          <w:szCs w:val="18"/>
          <w:b w:val="1"/>
          <w:bCs w:val="1"/>
          <w:color w:val="010000"/>
        </w:rPr>
      </w:pPr>
    </w:p>
    <w:p>
      <w:pPr>
        <w:jc w:val="both"/>
        <w:ind w:left="660"/>
        <w:spacing w:after="0" w:line="264" w:lineRule="auto"/>
        <w:rPr>
          <w:rFonts w:ascii="Arial" w:cs="Arial" w:eastAsia="Arial" w:hAnsi="Arial"/>
          <w:sz w:val="18"/>
          <w:szCs w:val="18"/>
          <w:b w:val="1"/>
          <w:bCs w:val="1"/>
          <w:color w:val="010000"/>
        </w:rPr>
      </w:pPr>
      <w:r>
        <w:rPr>
          <w:rFonts w:ascii="Arial" w:cs="Arial" w:eastAsia="Arial" w:hAnsi="Arial"/>
          <w:sz w:val="18"/>
          <w:szCs w:val="18"/>
          <w:color w:val="auto"/>
        </w:rPr>
        <w:t>The Mortgagor represents and warrants to the Collateral Agent that each of the matters set out in Schedule 2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(save the matters in paragraph 2) is true and correct as at the date hereof. Each representation and warranty 2 will be given (and the matters therein true and correct) on the date of each issue of any Shares referred to in it.</w:t>
      </w:r>
    </w:p>
    <w:p>
      <w:pPr>
        <w:spacing w:after="0" w:line="177"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60"/>
        </w:numPr>
        <w:rPr>
          <w:rFonts w:ascii="Arial" w:cs="Arial" w:eastAsia="Arial" w:hAnsi="Arial"/>
          <w:sz w:val="18"/>
          <w:szCs w:val="18"/>
          <w:b w:val="1"/>
          <w:bCs w:val="1"/>
          <w:color w:val="010000"/>
        </w:rPr>
      </w:pPr>
      <w:r>
        <w:rPr>
          <w:rFonts w:ascii="Arial" w:cs="Arial" w:eastAsia="Arial" w:hAnsi="Arial"/>
          <w:sz w:val="18"/>
          <w:szCs w:val="18"/>
          <w:b w:val="1"/>
          <w:bCs w:val="1"/>
          <w:color w:val="auto"/>
        </w:rPr>
        <w:t>RESTRICTIONS ON DEALINGS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11.1</w:t>
      </w:r>
      <w:r>
        <w:rPr>
          <w:sz w:val="20"/>
          <w:szCs w:val="20"/>
          <w:color w:val="auto"/>
        </w:rPr>
        <w:tab/>
      </w:r>
      <w:r>
        <w:rPr>
          <w:rFonts w:ascii="Arial" w:cs="Arial" w:eastAsia="Arial" w:hAnsi="Arial"/>
          <w:sz w:val="16"/>
          <w:szCs w:val="16"/>
          <w:b w:val="1"/>
          <w:bCs w:val="1"/>
          <w:color w:val="auto"/>
        </w:rPr>
        <w:t>Security</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Mortgagor may only create, incur, assume or permit to exist a Security Interest on any Secured Asset if it is permitted by Section 8.04 (</w:t>
      </w:r>
      <w:r>
        <w:rPr>
          <w:rFonts w:ascii="Arial" w:cs="Arial" w:eastAsia="Arial" w:hAnsi="Arial"/>
          <w:sz w:val="18"/>
          <w:szCs w:val="18"/>
          <w:i w:val="1"/>
          <w:iCs w:val="1"/>
          <w:color w:val="auto"/>
        </w:rPr>
        <w:t>Liens</w:t>
      </w:r>
      <w:r>
        <w:rPr>
          <w:rFonts w:ascii="Arial" w:cs="Arial" w:eastAsia="Arial" w:hAnsi="Arial"/>
          <w:sz w:val="18"/>
          <w:szCs w:val="18"/>
          <w:color w:val="auto"/>
        </w:rPr>
        <w:t>) of the Loan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11.2</w:t>
      </w:r>
      <w:r>
        <w:rPr>
          <w:sz w:val="20"/>
          <w:szCs w:val="20"/>
          <w:color w:val="auto"/>
        </w:rPr>
        <w:tab/>
      </w:r>
      <w:r>
        <w:rPr>
          <w:rFonts w:ascii="Arial" w:cs="Arial" w:eastAsia="Arial" w:hAnsi="Arial"/>
          <w:sz w:val="15"/>
          <w:szCs w:val="15"/>
          <w:b w:val="1"/>
          <w:bCs w:val="1"/>
          <w:color w:val="auto"/>
        </w:rPr>
        <w:t>Disposals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Mortgagor may only Dispose of any Secured Asset if it is permitted by Section 8.05 (</w:t>
      </w:r>
      <w:r>
        <w:rPr>
          <w:rFonts w:ascii="Arial" w:cs="Arial" w:eastAsia="Arial" w:hAnsi="Arial"/>
          <w:sz w:val="18"/>
          <w:szCs w:val="18"/>
          <w:i w:val="1"/>
          <w:iCs w:val="1"/>
          <w:color w:val="auto"/>
        </w:rPr>
        <w:t>Asset Dispositions</w:t>
      </w:r>
      <w:r>
        <w:rPr>
          <w:rFonts w:ascii="Arial" w:cs="Arial" w:eastAsia="Arial" w:hAnsi="Arial"/>
          <w:sz w:val="18"/>
          <w:szCs w:val="18"/>
          <w:color w:val="auto"/>
        </w:rPr>
        <w:t>) of the Loan Agreement.</w:t>
      </w:r>
    </w:p>
    <w:p>
      <w:pPr>
        <w:spacing w:after="0" w:line="221" w:lineRule="exact"/>
        <w:rPr>
          <w:sz w:val="20"/>
          <w:szCs w:val="20"/>
          <w:color w:val="auto"/>
        </w:rPr>
      </w:pPr>
    </w:p>
    <w:p>
      <w:pPr>
        <w:ind w:left="660" w:hanging="652"/>
        <w:spacing w:after="0"/>
        <w:tabs>
          <w:tab w:leader="none" w:pos="660" w:val="left"/>
        </w:tabs>
        <w:numPr>
          <w:ilvl w:val="0"/>
          <w:numId w:val="1061"/>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The Mortgagor covenants with the Collateral Agent in the terms set out in Schedule 3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61"/>
        </w:numPr>
        <w:rPr>
          <w:rFonts w:ascii="Arial" w:cs="Arial" w:eastAsia="Arial" w:hAnsi="Arial"/>
          <w:sz w:val="18"/>
          <w:szCs w:val="18"/>
          <w:b w:val="1"/>
          <w:bCs w:val="1"/>
          <w:color w:val="010000"/>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010000"/>
        </w:rPr>
        <w:t>13.1</w:t>
      </w:r>
      <w:r>
        <w:rPr>
          <w:sz w:val="20"/>
          <w:szCs w:val="20"/>
          <w:color w:val="auto"/>
        </w:rPr>
        <w:tab/>
      </w:r>
      <w:r>
        <w:rPr>
          <w:rFonts w:ascii="Arial" w:cs="Arial" w:eastAsia="Arial" w:hAnsi="Arial"/>
          <w:sz w:val="18"/>
          <w:szCs w:val="18"/>
          <w:color w:val="auto"/>
        </w:rPr>
        <w:t>The Mortgagor irrevocably and by way of security appoints the Collateral Agent and each Receiver severally to be its attorney (each with full powers of substitution and delegation), on its behalf, in its name or otherwise, and, after the occurrence of an Enforcement Event, at such times and in such manner as the attorney may reasonably think fit:</w:t>
      </w:r>
    </w:p>
    <w:p>
      <w:pPr>
        <w:spacing w:after="0" w:line="181" w:lineRule="exact"/>
        <w:rPr>
          <w:sz w:val="20"/>
          <w:szCs w:val="20"/>
          <w:color w:val="auto"/>
        </w:rPr>
      </w:pPr>
    </w:p>
    <w:p>
      <w:pPr>
        <w:ind w:left="5680" w:right="2180" w:hanging="5024"/>
        <w:spacing w:after="0" w:line="778" w:lineRule="auto"/>
        <w:tabs>
          <w:tab w:leader="none" w:pos="1309" w:val="left"/>
        </w:tabs>
        <w:numPr>
          <w:ilvl w:val="0"/>
          <w:numId w:val="1062"/>
        </w:numPr>
        <w:rPr>
          <w:rFonts w:ascii="Arial" w:cs="Arial" w:eastAsia="Arial" w:hAnsi="Arial"/>
          <w:sz w:val="18"/>
          <w:szCs w:val="18"/>
          <w:color w:val="010000"/>
        </w:rPr>
      </w:pPr>
      <w:r>
        <w:rPr>
          <w:rFonts w:ascii="Arial" w:cs="Arial" w:eastAsia="Arial" w:hAnsi="Arial"/>
          <w:sz w:val="18"/>
          <w:szCs w:val="18"/>
          <w:color w:val="auto"/>
        </w:rPr>
        <w:t>to do anything which the Mortgagor is obliged to do under this Deed but has not done in a timely manner;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74" w:name="page975"/>
    <w:bookmarkEnd w:id="974"/>
    <w:p>
      <w:pPr>
        <w:ind w:left="1300" w:hanging="644"/>
        <w:spacing w:after="0" w:line="277" w:lineRule="auto"/>
        <w:tabs>
          <w:tab w:leader="none" w:pos="1300" w:val="left"/>
        </w:tabs>
        <w:numPr>
          <w:ilvl w:val="0"/>
          <w:numId w:val="1063"/>
        </w:numPr>
        <w:rPr>
          <w:rFonts w:ascii="Arial" w:cs="Arial" w:eastAsia="Arial" w:hAnsi="Arial"/>
          <w:sz w:val="18"/>
          <w:szCs w:val="18"/>
          <w:color w:val="010000"/>
        </w:rPr>
      </w:pPr>
      <w:r>
        <w:rPr>
          <w:rFonts w:ascii="Arial" w:cs="Arial" w:eastAsia="Arial" w:hAnsi="Arial"/>
          <w:sz w:val="18"/>
          <w:szCs w:val="18"/>
          <w:color w:val="auto"/>
        </w:rPr>
        <w:t>to do anything which it reasonably considers appropriate in relation to the exercise of any of its Rights under this Deed, the LPA, the Insolvency Act or otherwise,</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including, without limitation, the execution and delivery of transfers of any Secured Asset (to the Collateral Agent or otherwise) (but only after an Enforcement Event), the completion of any stock transfer form deposited with the Collateral Agent pursuant to Clause 7 (</w:t>
      </w:r>
      <w:r>
        <w:rPr>
          <w:rFonts w:ascii="Arial" w:cs="Arial" w:eastAsia="Arial" w:hAnsi="Arial"/>
          <w:sz w:val="17"/>
          <w:szCs w:val="17"/>
          <w:i w:val="1"/>
          <w:iCs w:val="1"/>
          <w:color w:val="auto"/>
        </w:rPr>
        <w:t>Covenant to Deposit</w:t>
      </w:r>
      <w:r>
        <w:rPr>
          <w:rFonts w:ascii="Arial" w:cs="Arial" w:eastAsia="Arial" w:hAnsi="Arial"/>
          <w:sz w:val="17"/>
          <w:szCs w:val="17"/>
          <w:color w:val="auto"/>
        </w:rPr>
        <w:t>) (but only after an Enforcement Event), the giving of any notice relating to all or any of the Secured Assets or Security, the execution of any other document whatsoever and (but only after an Enforcement Event) the exercise of any voting or other Rights of the Mortgagor in its capacity as legal owner of the Original Shares, Further Shares and any other shares comprised in any Derived Asset.</w:t>
      </w:r>
    </w:p>
    <w:p>
      <w:pPr>
        <w:spacing w:after="0" w:line="173"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13.2</w:t>
      </w:r>
      <w:r>
        <w:rPr>
          <w:sz w:val="20"/>
          <w:szCs w:val="20"/>
          <w:color w:val="auto"/>
        </w:rPr>
        <w:tab/>
      </w:r>
      <w:r>
        <w:rPr>
          <w:rFonts w:ascii="Arial" w:cs="Arial" w:eastAsia="Arial" w:hAnsi="Arial"/>
          <w:sz w:val="18"/>
          <w:szCs w:val="18"/>
          <w:color w:val="auto"/>
        </w:rPr>
        <w:t>The Mortgagor hereby ratifies and confirms and agrees to ratify and confirm whatever the attorney shall do or purport to do in the exercise or purported exercise of its Rights as attorney.</w:t>
      </w:r>
    </w:p>
    <w:p>
      <w:pPr>
        <w:spacing w:after="0" w:line="166" w:lineRule="exact"/>
        <w:rPr>
          <w:sz w:val="20"/>
          <w:szCs w:val="20"/>
          <w:color w:val="auto"/>
        </w:rPr>
      </w:pPr>
    </w:p>
    <w:p>
      <w:pPr>
        <w:ind w:left="660" w:hanging="652"/>
        <w:spacing w:after="0"/>
        <w:tabs>
          <w:tab w:leader="none" w:pos="660" w:val="left"/>
        </w:tabs>
        <w:numPr>
          <w:ilvl w:val="0"/>
          <w:numId w:val="1064"/>
        </w:numPr>
        <w:rPr>
          <w:rFonts w:ascii="Arial" w:cs="Arial" w:eastAsia="Arial" w:hAnsi="Arial"/>
          <w:sz w:val="18"/>
          <w:szCs w:val="18"/>
          <w:b w:val="1"/>
          <w:bCs w:val="1"/>
          <w:color w:val="010000"/>
        </w:rPr>
      </w:pPr>
      <w:r>
        <w:rPr>
          <w:rFonts w:ascii="Arial" w:cs="Arial" w:eastAsia="Arial" w:hAnsi="Arial"/>
          <w:sz w:val="18"/>
          <w:szCs w:val="18"/>
          <w:b w:val="1"/>
          <w:bCs w:val="1"/>
          <w:color w:val="auto"/>
        </w:rPr>
        <w:t>ENFORCEMENT</w:t>
      </w:r>
    </w:p>
    <w:p>
      <w:pPr>
        <w:spacing w:after="0" w:line="225" w:lineRule="exact"/>
        <w:rPr>
          <w:rFonts w:ascii="Arial" w:cs="Arial" w:eastAsia="Arial" w:hAnsi="Arial"/>
          <w:sz w:val="18"/>
          <w:szCs w:val="18"/>
          <w:b w:val="1"/>
          <w:bCs w:val="1"/>
          <w:color w:val="010000"/>
        </w:rPr>
      </w:pPr>
    </w:p>
    <w:p>
      <w:pPr>
        <w:spacing w:after="0"/>
        <w:rPr>
          <w:rFonts w:ascii="Arial" w:cs="Arial" w:eastAsia="Arial" w:hAnsi="Arial"/>
          <w:sz w:val="18"/>
          <w:szCs w:val="18"/>
          <w:b w:val="1"/>
          <w:bCs w:val="1"/>
          <w:color w:val="010000"/>
        </w:rPr>
      </w:pPr>
      <w:r>
        <w:rPr>
          <w:rFonts w:ascii="Arial" w:cs="Arial" w:eastAsia="Arial" w:hAnsi="Arial"/>
          <w:sz w:val="18"/>
          <w:szCs w:val="18"/>
          <w:b w:val="1"/>
          <w:bCs w:val="1"/>
          <w:color w:val="010000"/>
        </w:rPr>
        <w:t xml:space="preserve">14.1    </w:t>
      </w:r>
      <w:r>
        <w:rPr>
          <w:rFonts w:ascii="Arial" w:cs="Arial" w:eastAsia="Arial" w:hAnsi="Arial"/>
          <w:sz w:val="18"/>
          <w:szCs w:val="18"/>
          <w:b w:val="1"/>
          <w:bCs w:val="1"/>
          <w:color w:val="000000"/>
        </w:rPr>
        <w:t>Enforceability</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Security shall, subject to any prohibition or restriction imposed by law, become enforceable upon and at any time after an Event of Default occurs and is continuing (an "</w:t>
      </w:r>
      <w:r>
        <w:rPr>
          <w:rFonts w:ascii="Arial" w:cs="Arial" w:eastAsia="Arial" w:hAnsi="Arial"/>
          <w:sz w:val="18"/>
          <w:szCs w:val="18"/>
          <w:b w:val="1"/>
          <w:bCs w:val="1"/>
          <w:color w:val="auto"/>
        </w:rPr>
        <w:t>Enforcement Event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14.2</w:t>
      </w:r>
      <w:r>
        <w:rPr>
          <w:sz w:val="20"/>
          <w:szCs w:val="20"/>
          <w:color w:val="auto"/>
        </w:rPr>
        <w:tab/>
      </w:r>
      <w:r>
        <w:rPr>
          <w:rFonts w:ascii="Arial" w:cs="Arial" w:eastAsia="Arial" w:hAnsi="Arial"/>
          <w:sz w:val="16"/>
          <w:szCs w:val="16"/>
          <w:b w:val="1"/>
          <w:bCs w:val="1"/>
          <w:color w:val="auto"/>
        </w:rPr>
        <w:t>Enforcement</w:t>
      </w:r>
    </w:p>
    <w:p>
      <w:pPr>
        <w:spacing w:after="0" w:line="229" w:lineRule="exact"/>
        <w:rPr>
          <w:sz w:val="20"/>
          <w:szCs w:val="20"/>
          <w:color w:val="auto"/>
        </w:rPr>
      </w:pPr>
    </w:p>
    <w:p>
      <w:pPr>
        <w:ind w:left="1300" w:hanging="644"/>
        <w:spacing w:after="0" w:line="277" w:lineRule="auto"/>
        <w:tabs>
          <w:tab w:leader="none" w:pos="1300" w:val="left"/>
        </w:tabs>
        <w:numPr>
          <w:ilvl w:val="0"/>
          <w:numId w:val="1065"/>
        </w:numPr>
        <w:rPr>
          <w:rFonts w:ascii="Arial" w:cs="Arial" w:eastAsia="Arial" w:hAnsi="Arial"/>
          <w:sz w:val="18"/>
          <w:szCs w:val="18"/>
          <w:color w:val="010000"/>
        </w:rPr>
      </w:pPr>
      <w:r>
        <w:rPr>
          <w:rFonts w:ascii="Arial" w:cs="Arial" w:eastAsia="Arial" w:hAnsi="Arial"/>
          <w:sz w:val="18"/>
          <w:szCs w:val="18"/>
          <w:color w:val="auto"/>
        </w:rPr>
        <w:t>At any time after the Security has become enforceable in accordance with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 the Collateral Agent may (but shall not be obliged to) do any one or more of the following:</w:t>
      </w:r>
    </w:p>
    <w:p>
      <w:pPr>
        <w:spacing w:after="0" w:line="170" w:lineRule="exact"/>
        <w:rPr>
          <w:rFonts w:ascii="Arial" w:cs="Arial" w:eastAsia="Arial" w:hAnsi="Arial"/>
          <w:sz w:val="18"/>
          <w:szCs w:val="18"/>
          <w:color w:val="010000"/>
        </w:rPr>
      </w:pPr>
    </w:p>
    <w:p>
      <w:pPr>
        <w:jc w:val="both"/>
        <w:ind w:left="1960" w:hanging="655"/>
        <w:spacing w:after="0" w:line="264" w:lineRule="auto"/>
        <w:tabs>
          <w:tab w:leader="none" w:pos="1960" w:val="left"/>
        </w:tabs>
        <w:numPr>
          <w:ilvl w:val="1"/>
          <w:numId w:val="1065"/>
        </w:numPr>
        <w:rPr>
          <w:rFonts w:ascii="Arial" w:cs="Arial" w:eastAsia="Arial" w:hAnsi="Arial"/>
          <w:sz w:val="18"/>
          <w:szCs w:val="18"/>
          <w:color w:val="010000"/>
        </w:rPr>
      </w:pPr>
      <w:r>
        <w:rPr>
          <w:rFonts w:ascii="Arial" w:cs="Arial" w:eastAsia="Arial" w:hAnsi="Arial"/>
          <w:sz w:val="18"/>
          <w:szCs w:val="18"/>
          <w:color w:val="auto"/>
        </w:rPr>
        <w:t>take possession of, get in and collect all or any of the Secured Assets, and in particular take any steps necessary to vest all or any of the Secured Assets in the name of the Collateral Agent or its nominee including completing any transfers of any shares comprised in the Secured Assets and receive and retain any dividends;</w:t>
      </w:r>
    </w:p>
    <w:p>
      <w:pPr>
        <w:spacing w:after="0" w:line="181" w:lineRule="exact"/>
        <w:rPr>
          <w:rFonts w:ascii="Arial" w:cs="Arial" w:eastAsia="Arial" w:hAnsi="Arial"/>
          <w:sz w:val="18"/>
          <w:szCs w:val="18"/>
          <w:color w:val="010000"/>
        </w:rPr>
      </w:pPr>
    </w:p>
    <w:p>
      <w:pPr>
        <w:ind w:left="1960" w:right="20" w:hanging="655"/>
        <w:spacing w:after="0" w:line="277" w:lineRule="auto"/>
        <w:tabs>
          <w:tab w:leader="none" w:pos="1960" w:val="left"/>
        </w:tabs>
        <w:numPr>
          <w:ilvl w:val="1"/>
          <w:numId w:val="1065"/>
        </w:numPr>
        <w:rPr>
          <w:rFonts w:ascii="Arial" w:cs="Arial" w:eastAsia="Arial" w:hAnsi="Arial"/>
          <w:sz w:val="18"/>
          <w:szCs w:val="18"/>
          <w:color w:val="010000"/>
        </w:rPr>
      </w:pPr>
      <w:r>
        <w:rPr>
          <w:rFonts w:ascii="Arial" w:cs="Arial" w:eastAsia="Arial" w:hAnsi="Arial"/>
          <w:sz w:val="18"/>
          <w:szCs w:val="18"/>
          <w:color w:val="auto"/>
        </w:rPr>
        <w:t>exercise all rights conferred on a mortgagee by law including, without limitation, under the LPA (as such rights are varied or extended, where applicable, by this Deed);</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1"/>
          <w:numId w:val="1065"/>
        </w:numPr>
        <w:rPr>
          <w:rFonts w:ascii="Arial" w:cs="Arial" w:eastAsia="Arial" w:hAnsi="Arial"/>
          <w:sz w:val="18"/>
          <w:szCs w:val="18"/>
          <w:color w:val="010000"/>
        </w:rPr>
      </w:pPr>
      <w:r>
        <w:rPr>
          <w:rFonts w:ascii="Arial" w:cs="Arial" w:eastAsia="Arial" w:hAnsi="Arial"/>
          <w:sz w:val="18"/>
          <w:szCs w:val="18"/>
          <w:color w:val="auto"/>
        </w:rPr>
        <w:t>exercise its rights under Clause 14.3 (</w:t>
      </w:r>
      <w:r>
        <w:rPr>
          <w:rFonts w:ascii="Arial" w:cs="Arial" w:eastAsia="Arial" w:hAnsi="Arial"/>
          <w:sz w:val="18"/>
          <w:szCs w:val="18"/>
          <w:i w:val="1"/>
          <w:iCs w:val="1"/>
          <w:color w:val="auto"/>
        </w:rPr>
        <w:t>Appropriation of Financial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960" w:hanging="655"/>
        <w:spacing w:after="0" w:line="279" w:lineRule="auto"/>
        <w:tabs>
          <w:tab w:leader="none" w:pos="1960" w:val="left"/>
        </w:tabs>
        <w:numPr>
          <w:ilvl w:val="1"/>
          <w:numId w:val="1065"/>
        </w:numPr>
        <w:rPr>
          <w:rFonts w:ascii="Arial" w:cs="Arial" w:eastAsia="Arial" w:hAnsi="Arial"/>
          <w:sz w:val="17"/>
          <w:szCs w:val="17"/>
          <w:color w:val="010000"/>
        </w:rPr>
      </w:pPr>
      <w:r>
        <w:rPr>
          <w:rFonts w:ascii="Arial" w:cs="Arial" w:eastAsia="Arial" w:hAnsi="Arial"/>
          <w:sz w:val="17"/>
          <w:szCs w:val="17"/>
          <w:color w:val="auto"/>
        </w:rPr>
        <w:t>sell, exchange, convert into money or otherwise dispose of or realise the Secured Assets (whether by public offer or private contract) to any person and for such consideration (whether comprising cash, debentures or other obligations, shares or other valuable consideration of any kind) and on such terms (whether payable or deliverable in a lump sum or by instalments) as it may reasonably think fit, and for this purpose complete any transfers of any of the Secured Assets;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5" w:name="page976"/>
    <w:bookmarkEnd w:id="975"/>
    <w:p>
      <w:pPr>
        <w:ind w:left="1960" w:hanging="655"/>
        <w:spacing w:after="0" w:line="277" w:lineRule="auto"/>
        <w:tabs>
          <w:tab w:leader="none" w:pos="1960" w:val="left"/>
        </w:tabs>
        <w:numPr>
          <w:ilvl w:val="1"/>
          <w:numId w:val="1066"/>
        </w:numPr>
        <w:rPr>
          <w:rFonts w:ascii="Arial" w:cs="Arial" w:eastAsia="Arial" w:hAnsi="Arial"/>
          <w:sz w:val="18"/>
          <w:szCs w:val="18"/>
          <w:color w:val="010000"/>
        </w:rPr>
      </w:pPr>
      <w:r>
        <w:rPr>
          <w:rFonts w:ascii="Arial" w:cs="Arial" w:eastAsia="Arial" w:hAnsi="Arial"/>
          <w:sz w:val="18"/>
          <w:szCs w:val="18"/>
          <w:color w:val="auto"/>
        </w:rPr>
        <w:t>following written notice to the Mortgagor, exercise or direct the exercise of all voting and other Rights relating to the Secured Assets in such manner as it may reasonably think fit;</w:t>
      </w:r>
    </w:p>
    <w:p>
      <w:pPr>
        <w:spacing w:after="0" w:line="170" w:lineRule="exact"/>
        <w:rPr>
          <w:rFonts w:ascii="Arial" w:cs="Arial" w:eastAsia="Arial" w:hAnsi="Arial"/>
          <w:sz w:val="18"/>
          <w:szCs w:val="18"/>
          <w:color w:val="010000"/>
        </w:rPr>
      </w:pPr>
    </w:p>
    <w:p>
      <w:pPr>
        <w:ind w:left="1960" w:hanging="655"/>
        <w:spacing w:after="0" w:line="277" w:lineRule="auto"/>
        <w:tabs>
          <w:tab w:leader="none" w:pos="1960" w:val="left"/>
        </w:tabs>
        <w:numPr>
          <w:ilvl w:val="1"/>
          <w:numId w:val="1066"/>
        </w:numPr>
        <w:rPr>
          <w:rFonts w:ascii="Arial" w:cs="Arial" w:eastAsia="Arial" w:hAnsi="Arial"/>
          <w:sz w:val="18"/>
          <w:szCs w:val="18"/>
          <w:color w:val="010000"/>
        </w:rPr>
      </w:pPr>
      <w:r>
        <w:rPr>
          <w:rFonts w:ascii="Arial" w:cs="Arial" w:eastAsia="Arial" w:hAnsi="Arial"/>
          <w:sz w:val="18"/>
          <w:szCs w:val="18"/>
          <w:color w:val="auto"/>
        </w:rPr>
        <w:t>settle, adjust, refer to arbitration, compromise and arrange any claims, accounts, Disputes, questions and demands relating in any way to the Secured Assets;</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1"/>
          <w:numId w:val="1066"/>
        </w:numPr>
        <w:rPr>
          <w:rFonts w:ascii="Arial" w:cs="Arial" w:eastAsia="Arial" w:hAnsi="Arial"/>
          <w:sz w:val="18"/>
          <w:szCs w:val="18"/>
          <w:color w:val="010000"/>
        </w:rPr>
      </w:pPr>
      <w:r>
        <w:rPr>
          <w:rFonts w:ascii="Arial" w:cs="Arial" w:eastAsia="Arial" w:hAnsi="Arial"/>
          <w:sz w:val="18"/>
          <w:szCs w:val="18"/>
          <w:color w:val="auto"/>
        </w:rPr>
        <w:t>bring, prosecute, enforce, defend and abandon actions, suits and Proceedings in relation to the Secured Assets;</w:t>
      </w:r>
    </w:p>
    <w:p>
      <w:pPr>
        <w:spacing w:after="0" w:line="225" w:lineRule="exact"/>
        <w:rPr>
          <w:rFonts w:ascii="Arial" w:cs="Arial" w:eastAsia="Arial" w:hAnsi="Arial"/>
          <w:sz w:val="18"/>
          <w:szCs w:val="18"/>
          <w:color w:val="010000"/>
        </w:rPr>
      </w:pPr>
    </w:p>
    <w:p>
      <w:pPr>
        <w:ind w:left="1960" w:hanging="655"/>
        <w:spacing w:after="0"/>
        <w:tabs>
          <w:tab w:leader="none" w:pos="1960" w:val="left"/>
        </w:tabs>
        <w:numPr>
          <w:ilvl w:val="1"/>
          <w:numId w:val="1066"/>
        </w:numPr>
        <w:rPr>
          <w:rFonts w:ascii="Arial" w:cs="Arial" w:eastAsia="Arial" w:hAnsi="Arial"/>
          <w:sz w:val="18"/>
          <w:szCs w:val="18"/>
          <w:color w:val="010000"/>
        </w:rPr>
      </w:pPr>
      <w:r>
        <w:rPr>
          <w:rFonts w:ascii="Arial" w:cs="Arial" w:eastAsia="Arial" w:hAnsi="Arial"/>
          <w:sz w:val="18"/>
          <w:szCs w:val="18"/>
          <w:color w:val="auto"/>
        </w:rPr>
        <w:t>exercise its rights under Clause 15 (</w:t>
      </w:r>
      <w:r>
        <w:rPr>
          <w:rFonts w:ascii="Arial" w:cs="Arial" w:eastAsia="Arial" w:hAnsi="Arial"/>
          <w:sz w:val="18"/>
          <w:szCs w:val="18"/>
          <w:i w:val="1"/>
          <w:iCs w:val="1"/>
          <w:color w:val="auto"/>
        </w:rPr>
        <w:t>Appointment Of Receivers</w:t>
      </w:r>
      <w:r>
        <w:rPr>
          <w:rFonts w:ascii="Arial" w:cs="Arial" w:eastAsia="Arial" w:hAnsi="Arial"/>
          <w:sz w:val="18"/>
          <w:szCs w:val="18"/>
          <w:color w:val="auto"/>
        </w:rPr>
        <w:t>); and</w:t>
      </w:r>
    </w:p>
    <w:p>
      <w:pPr>
        <w:spacing w:after="0" w:line="225" w:lineRule="exact"/>
        <w:rPr>
          <w:rFonts w:ascii="Arial" w:cs="Arial" w:eastAsia="Arial" w:hAnsi="Arial"/>
          <w:sz w:val="18"/>
          <w:szCs w:val="18"/>
          <w:color w:val="010000"/>
        </w:rPr>
      </w:pPr>
    </w:p>
    <w:p>
      <w:pPr>
        <w:jc w:val="both"/>
        <w:ind w:left="1960" w:hanging="655"/>
        <w:spacing w:after="0" w:line="264" w:lineRule="auto"/>
        <w:tabs>
          <w:tab w:leader="none" w:pos="1960" w:val="left"/>
        </w:tabs>
        <w:numPr>
          <w:ilvl w:val="1"/>
          <w:numId w:val="1066"/>
        </w:numPr>
        <w:rPr>
          <w:rFonts w:ascii="Arial" w:cs="Arial" w:eastAsia="Arial" w:hAnsi="Arial"/>
          <w:sz w:val="18"/>
          <w:szCs w:val="18"/>
          <w:color w:val="010000"/>
        </w:rPr>
      </w:pPr>
      <w:r>
        <w:rPr>
          <w:rFonts w:ascii="Arial" w:cs="Arial" w:eastAsia="Arial" w:hAnsi="Arial"/>
          <w:sz w:val="18"/>
          <w:szCs w:val="18"/>
          <w:color w:val="auto"/>
        </w:rPr>
        <w:t>do all such other acts and things it may consider necessary or expedient for the realisation of the Secured Assets, or incidental to the exercise of any of the Rights conferred on it, under or in connection with this Deed or the LPA and to concur in the doing of anything which it has the Right to do and to do any such thing jointly with any other person.</w:t>
      </w:r>
    </w:p>
    <w:p>
      <w:pPr>
        <w:spacing w:after="0" w:line="181" w:lineRule="exact"/>
        <w:rPr>
          <w:rFonts w:ascii="Arial" w:cs="Arial" w:eastAsia="Arial" w:hAnsi="Arial"/>
          <w:sz w:val="18"/>
          <w:szCs w:val="18"/>
          <w:color w:val="010000"/>
        </w:rPr>
      </w:pPr>
    </w:p>
    <w:p>
      <w:pPr>
        <w:ind w:left="1300" w:hanging="644"/>
        <w:spacing w:after="0" w:line="342" w:lineRule="auto"/>
        <w:tabs>
          <w:tab w:leader="none" w:pos="1300" w:val="left"/>
        </w:tabs>
        <w:numPr>
          <w:ilvl w:val="0"/>
          <w:numId w:val="1067"/>
        </w:numPr>
        <w:rPr>
          <w:rFonts w:ascii="Arial" w:cs="Arial" w:eastAsia="Arial" w:hAnsi="Arial"/>
          <w:sz w:val="16"/>
          <w:szCs w:val="16"/>
          <w:color w:val="010000"/>
        </w:rPr>
      </w:pPr>
      <w:r>
        <w:rPr>
          <w:rFonts w:ascii="Arial" w:cs="Arial" w:eastAsia="Arial" w:hAnsi="Arial"/>
          <w:sz w:val="16"/>
          <w:szCs w:val="16"/>
          <w:color w:val="auto"/>
        </w:rPr>
        <w:t>For the purposes only of section 101 of the LPA, the Secured Obligations shall be deemed to have become due, and the powers conferred by that section (as varied and extended by this Deed) shall be deemed to have arisen immediately upon execution of this Deed.</w:t>
      </w:r>
    </w:p>
    <w:p>
      <w:pPr>
        <w:spacing w:after="0" w:line="123" w:lineRule="exact"/>
        <w:rPr>
          <w:rFonts w:ascii="Arial" w:cs="Arial" w:eastAsia="Arial" w:hAnsi="Arial"/>
          <w:sz w:val="16"/>
          <w:szCs w:val="16"/>
          <w:color w:val="010000"/>
        </w:rPr>
      </w:pPr>
    </w:p>
    <w:p>
      <w:pPr>
        <w:ind w:left="1300" w:hanging="644"/>
        <w:spacing w:after="0"/>
        <w:tabs>
          <w:tab w:leader="none" w:pos="1300" w:val="left"/>
        </w:tabs>
        <w:numPr>
          <w:ilvl w:val="0"/>
          <w:numId w:val="1067"/>
        </w:numPr>
        <w:rPr>
          <w:rFonts w:ascii="Arial" w:cs="Arial" w:eastAsia="Arial" w:hAnsi="Arial"/>
          <w:sz w:val="18"/>
          <w:szCs w:val="18"/>
          <w:color w:val="010000"/>
        </w:rPr>
      </w:pPr>
      <w:r>
        <w:rPr>
          <w:rFonts w:ascii="Arial" w:cs="Arial" w:eastAsia="Arial" w:hAnsi="Arial"/>
          <w:sz w:val="18"/>
          <w:szCs w:val="18"/>
          <w:color w:val="auto"/>
        </w:rPr>
        <w:t>Sections 93 and 103 of the LPA shall not apply to this Deed.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14.3</w:t>
      </w:r>
      <w:r>
        <w:rPr>
          <w:sz w:val="20"/>
          <w:szCs w:val="20"/>
          <w:color w:val="auto"/>
        </w:rPr>
        <w:tab/>
      </w:r>
      <w:r>
        <w:rPr>
          <w:rFonts w:ascii="Arial" w:cs="Arial" w:eastAsia="Arial" w:hAnsi="Arial"/>
          <w:sz w:val="16"/>
          <w:szCs w:val="16"/>
          <w:b w:val="1"/>
          <w:bCs w:val="1"/>
          <w:color w:val="auto"/>
        </w:rPr>
        <w:t>Appropriation of Financial Collateral</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1068"/>
        </w:numPr>
        <w:rPr>
          <w:rFonts w:ascii="Arial" w:cs="Arial" w:eastAsia="Arial" w:hAnsi="Arial"/>
          <w:sz w:val="18"/>
          <w:szCs w:val="18"/>
          <w:color w:val="010000"/>
        </w:rPr>
      </w:pPr>
      <w:r>
        <w:rPr>
          <w:rFonts w:ascii="Arial" w:cs="Arial" w:eastAsia="Arial" w:hAnsi="Arial"/>
          <w:sz w:val="18"/>
          <w:szCs w:val="18"/>
          <w:color w:val="auto"/>
        </w:rPr>
        <w:t>At any time after the Security has become enforceable in accordance with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 the Collateral Agent may, by the giving of written notice to the Mortgagor, appropriate all or any part of the Original Shares, Further Shares, any Shares comprised in any Derived Asset and any other Secured Asset which constitutes Financial Collateral.</w:t>
      </w:r>
    </w:p>
    <w:p>
      <w:pPr>
        <w:spacing w:after="0" w:line="181" w:lineRule="exact"/>
        <w:rPr>
          <w:rFonts w:ascii="Arial" w:cs="Arial" w:eastAsia="Arial" w:hAnsi="Arial"/>
          <w:sz w:val="18"/>
          <w:szCs w:val="18"/>
          <w:color w:val="010000"/>
        </w:rPr>
      </w:pPr>
    </w:p>
    <w:p>
      <w:pPr>
        <w:ind w:left="1300" w:hanging="644"/>
        <w:spacing w:after="0"/>
        <w:tabs>
          <w:tab w:leader="none" w:pos="1300" w:val="left"/>
        </w:tabs>
        <w:numPr>
          <w:ilvl w:val="0"/>
          <w:numId w:val="1068"/>
        </w:numPr>
        <w:rPr>
          <w:rFonts w:ascii="Arial" w:cs="Arial" w:eastAsia="Arial" w:hAnsi="Arial"/>
          <w:sz w:val="18"/>
          <w:szCs w:val="18"/>
          <w:color w:val="010000"/>
        </w:rPr>
      </w:pPr>
      <w:r>
        <w:rPr>
          <w:rFonts w:ascii="Arial" w:cs="Arial" w:eastAsia="Arial" w:hAnsi="Arial"/>
          <w:sz w:val="18"/>
          <w:szCs w:val="18"/>
          <w:color w:val="auto"/>
        </w:rPr>
        <w:t>If the Collateral Agent exercises that power of appropriation:</w:t>
      </w:r>
    </w:p>
    <w:p>
      <w:pPr>
        <w:spacing w:after="0" w:line="225" w:lineRule="exact"/>
        <w:rPr>
          <w:rFonts w:ascii="Arial" w:cs="Arial" w:eastAsia="Arial" w:hAnsi="Arial"/>
          <w:sz w:val="18"/>
          <w:szCs w:val="18"/>
          <w:color w:val="010000"/>
        </w:rPr>
      </w:pPr>
    </w:p>
    <w:p>
      <w:pPr>
        <w:jc w:val="both"/>
        <w:ind w:left="1960" w:hanging="655"/>
        <w:spacing w:after="0" w:line="257" w:lineRule="auto"/>
        <w:tabs>
          <w:tab w:leader="none" w:pos="1960" w:val="left"/>
        </w:tabs>
        <w:numPr>
          <w:ilvl w:val="1"/>
          <w:numId w:val="1068"/>
        </w:numPr>
        <w:rPr>
          <w:rFonts w:ascii="Arial" w:cs="Arial" w:eastAsia="Arial" w:hAnsi="Arial"/>
          <w:sz w:val="18"/>
          <w:szCs w:val="18"/>
          <w:color w:val="010000"/>
        </w:rPr>
      </w:pPr>
      <w:r>
        <w:rPr>
          <w:rFonts w:ascii="Arial" w:cs="Arial" w:eastAsia="Arial" w:hAnsi="Arial"/>
          <w:sz w:val="18"/>
          <w:szCs w:val="18"/>
          <w:color w:val="auto"/>
        </w:rPr>
        <w:t>any Original Shares, Further Shares or Shares comprised in any Derived Asset shall be valued by the Collateral Agent as at the time of exercise of the power; their value shall be the amount of any cash payment which the Collateral Agent reasonably determines would be received on a sale or other disposal of such Shares effected for payment as soon as reasonably possible after that time; and the Collateral Agent will make that determination in a commercially reasonable manner (including by way of an independent valuation); and</w:t>
      </w:r>
    </w:p>
    <w:p>
      <w:pPr>
        <w:spacing w:after="0" w:line="188" w:lineRule="exact"/>
        <w:rPr>
          <w:rFonts w:ascii="Arial" w:cs="Arial" w:eastAsia="Arial" w:hAnsi="Arial"/>
          <w:sz w:val="18"/>
          <w:szCs w:val="18"/>
          <w:color w:val="010000"/>
        </w:rPr>
      </w:pPr>
    </w:p>
    <w:p>
      <w:pPr>
        <w:jc w:val="both"/>
        <w:ind w:left="1960" w:hanging="655"/>
        <w:spacing w:after="0" w:line="279" w:lineRule="auto"/>
        <w:tabs>
          <w:tab w:leader="none" w:pos="1960" w:val="left"/>
        </w:tabs>
        <w:numPr>
          <w:ilvl w:val="1"/>
          <w:numId w:val="1068"/>
        </w:numPr>
        <w:rPr>
          <w:rFonts w:ascii="Arial" w:cs="Arial" w:eastAsia="Arial" w:hAnsi="Arial"/>
          <w:sz w:val="17"/>
          <w:szCs w:val="17"/>
          <w:color w:val="010000"/>
        </w:rPr>
      </w:pPr>
      <w:r>
        <w:rPr>
          <w:rFonts w:ascii="Arial" w:cs="Arial" w:eastAsia="Arial" w:hAnsi="Arial"/>
          <w:sz w:val="17"/>
          <w:szCs w:val="17"/>
          <w:color w:val="auto"/>
        </w:rPr>
        <w:t>any Secured Asset appropriated which constitutes Cash and which is not denominated in the currency in which any Secured Obligations which then remain unpaid are required to be paid (the "</w:t>
      </w:r>
      <w:r>
        <w:rPr>
          <w:rFonts w:ascii="Arial" w:cs="Arial" w:eastAsia="Arial" w:hAnsi="Arial"/>
          <w:sz w:val="17"/>
          <w:szCs w:val="17"/>
          <w:b w:val="1"/>
          <w:bCs w:val="1"/>
          <w:color w:val="auto"/>
        </w:rPr>
        <w:t>Required Currency</w:t>
      </w:r>
      <w:r>
        <w:rPr>
          <w:rFonts w:ascii="Arial" w:cs="Arial" w:eastAsia="Arial" w:hAnsi="Arial"/>
          <w:sz w:val="17"/>
          <w:szCs w:val="17"/>
          <w:color w:val="auto"/>
        </w:rPr>
        <w:t>") shall be valued as if it had been converted into the Required Currency on the date of appropriation (or as soon as practicable thereafter) at the rate of exchange at which the Collateral Agent is able, on the relevant day, to purchase the Required Currency with the other.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76" w:name="page977"/>
    <w:bookmarkEnd w:id="976"/>
    <w:p>
      <w:pPr>
        <w:ind w:right="8020" w:firstLine="8"/>
        <w:spacing w:after="0" w:line="503" w:lineRule="auto"/>
        <w:tabs>
          <w:tab w:leader="none" w:pos="648" w:val="left"/>
        </w:tabs>
        <w:numPr>
          <w:ilvl w:val="0"/>
          <w:numId w:val="1069"/>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APPOINTMENT OF RECEIVERS </w:t>
      </w:r>
      <w:r>
        <w:rPr>
          <w:rFonts w:ascii="Arial" w:cs="Arial" w:eastAsia="Arial" w:hAnsi="Arial"/>
          <w:sz w:val="18"/>
          <w:szCs w:val="18"/>
          <w:b w:val="1"/>
          <w:bCs w:val="1"/>
          <w:color w:val="010000"/>
        </w:rPr>
        <w:t xml:space="preserve">15.1 </w:t>
      </w:r>
      <w:r>
        <w:rPr>
          <w:rFonts w:ascii="Arial" w:cs="Arial" w:eastAsia="Arial" w:hAnsi="Arial"/>
          <w:sz w:val="18"/>
          <w:szCs w:val="18"/>
          <w:b w:val="1"/>
          <w:bCs w:val="1"/>
          <w:color w:val="000000"/>
        </w:rPr>
        <w:t>Appointment and removal</w:t>
      </w:r>
    </w:p>
    <w:p>
      <w:pPr>
        <w:spacing w:after="0" w:line="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 any time after the Security has become enforceable in accordance with Clause 14.1 (</w:t>
      </w:r>
      <w:r>
        <w:rPr>
          <w:rFonts w:ascii="Arial" w:cs="Arial" w:eastAsia="Arial" w:hAnsi="Arial"/>
          <w:sz w:val="18"/>
          <w:szCs w:val="18"/>
          <w:i w:val="1"/>
          <w:iCs w:val="1"/>
          <w:color w:val="auto"/>
        </w:rPr>
        <w:t>Enforceability</w:t>
      </w:r>
      <w:r>
        <w:rPr>
          <w:rFonts w:ascii="Arial" w:cs="Arial" w:eastAsia="Arial" w:hAnsi="Arial"/>
          <w:sz w:val="18"/>
          <w:szCs w:val="18"/>
          <w:color w:val="auto"/>
        </w:rPr>
        <w:t>) the Collateral Agent may, by deed or other instrument signed by any manager or officer of the Collateral Agent or by any other person authorised for this purpose by the Collateral Agent, appoint any person or persons to be Receiver or Receivers of all or any part of the Secured Assets, on such terms as the Collateral Agent reasonably thinks fit, and may similarly remove any Receiver (subject, where relevant, to any requirement for a court order) whether or not the Collateral Agent appoints any person in his place and may replace any Receiver.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15.2</w:t>
      </w:r>
      <w:r>
        <w:rPr>
          <w:sz w:val="20"/>
          <w:szCs w:val="20"/>
          <w:color w:val="auto"/>
        </w:rPr>
        <w:tab/>
      </w:r>
      <w:r>
        <w:rPr>
          <w:rFonts w:ascii="Arial" w:cs="Arial" w:eastAsia="Arial" w:hAnsi="Arial"/>
          <w:sz w:val="16"/>
          <w:szCs w:val="16"/>
          <w:b w:val="1"/>
          <w:bCs w:val="1"/>
          <w:color w:val="auto"/>
        </w:rPr>
        <w:t>More than one Receiver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more than one person is appointed as Receiver, the Collateral Agent may give the relevant persons power to act jointly or severally.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15.3</w:t>
      </w:r>
      <w:r>
        <w:rPr>
          <w:sz w:val="20"/>
          <w:szCs w:val="20"/>
          <w:color w:val="auto"/>
        </w:rPr>
        <w:tab/>
      </w:r>
      <w:r>
        <w:rPr>
          <w:rFonts w:ascii="Arial" w:cs="Arial" w:eastAsia="Arial" w:hAnsi="Arial"/>
          <w:sz w:val="15"/>
          <w:szCs w:val="15"/>
          <w:b w:val="1"/>
          <w:bCs w:val="1"/>
          <w:color w:val="auto"/>
        </w:rPr>
        <w:t>Appointment over part of the Secured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Receiver is appointed over only part of the Secured Assets:</w:t>
      </w:r>
    </w:p>
    <w:p>
      <w:pPr>
        <w:spacing w:after="0" w:line="225" w:lineRule="exact"/>
        <w:rPr>
          <w:sz w:val="20"/>
          <w:szCs w:val="20"/>
          <w:color w:val="auto"/>
        </w:rPr>
      </w:pPr>
    </w:p>
    <w:p>
      <w:pPr>
        <w:ind w:left="1300" w:hanging="644"/>
        <w:spacing w:after="0" w:line="277" w:lineRule="auto"/>
        <w:tabs>
          <w:tab w:leader="none" w:pos="1300" w:val="left"/>
        </w:tabs>
        <w:numPr>
          <w:ilvl w:val="0"/>
          <w:numId w:val="1070"/>
        </w:numPr>
        <w:rPr>
          <w:rFonts w:ascii="Arial" w:cs="Arial" w:eastAsia="Arial" w:hAnsi="Arial"/>
          <w:sz w:val="18"/>
          <w:szCs w:val="18"/>
          <w:color w:val="010000"/>
        </w:rPr>
      </w:pPr>
      <w:r>
        <w:rPr>
          <w:rFonts w:ascii="Arial" w:cs="Arial" w:eastAsia="Arial" w:hAnsi="Arial"/>
          <w:sz w:val="18"/>
          <w:szCs w:val="18"/>
          <w:color w:val="auto"/>
        </w:rPr>
        <w:t>references in this Deed to the Rights of a Receiver in relation to Secured Assets shall be construed as references to the relevant part of the Secured Assets; and</w:t>
      </w:r>
    </w:p>
    <w:p>
      <w:pPr>
        <w:spacing w:after="0" w:line="170"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070"/>
        </w:numPr>
        <w:rPr>
          <w:rFonts w:ascii="Arial" w:cs="Arial" w:eastAsia="Arial" w:hAnsi="Arial"/>
          <w:sz w:val="18"/>
          <w:szCs w:val="18"/>
          <w:color w:val="010000"/>
        </w:rPr>
      </w:pPr>
      <w:r>
        <w:rPr>
          <w:rFonts w:ascii="Arial" w:cs="Arial" w:eastAsia="Arial" w:hAnsi="Arial"/>
          <w:sz w:val="18"/>
          <w:szCs w:val="18"/>
          <w:color w:val="auto"/>
        </w:rPr>
        <w:t>the Collateral Agent may subsequently extend his appointment (or that of any Receiver replacing him) to any other part of the Secured Assets, or appoint another Receiver over that or any other part of the Secured Assets.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15.4</w:t>
      </w:r>
      <w:r>
        <w:rPr>
          <w:sz w:val="20"/>
          <w:szCs w:val="20"/>
          <w:color w:val="auto"/>
        </w:rPr>
        <w:tab/>
      </w:r>
      <w:r>
        <w:rPr>
          <w:rFonts w:ascii="Arial" w:cs="Arial" w:eastAsia="Arial" w:hAnsi="Arial"/>
          <w:sz w:val="16"/>
          <w:szCs w:val="16"/>
          <w:b w:val="1"/>
          <w:bCs w:val="1"/>
          <w:color w:val="auto"/>
        </w:rPr>
        <w:t>Statutory restrictions</w:t>
      </w:r>
    </w:p>
    <w:p>
      <w:pPr>
        <w:spacing w:after="0" w:line="229" w:lineRule="exact"/>
        <w:rPr>
          <w:sz w:val="20"/>
          <w:szCs w:val="20"/>
          <w:color w:val="auto"/>
        </w:rPr>
      </w:pPr>
    </w:p>
    <w:p>
      <w:pPr>
        <w:ind w:left="1300" w:hanging="644"/>
        <w:spacing w:after="0"/>
        <w:tabs>
          <w:tab w:leader="none" w:pos="1300" w:val="left"/>
        </w:tabs>
        <w:numPr>
          <w:ilvl w:val="0"/>
          <w:numId w:val="1071"/>
        </w:numPr>
        <w:rPr>
          <w:rFonts w:ascii="Arial" w:cs="Arial" w:eastAsia="Arial" w:hAnsi="Arial"/>
          <w:sz w:val="18"/>
          <w:szCs w:val="18"/>
          <w:color w:val="010000"/>
        </w:rPr>
      </w:pPr>
      <w:r>
        <w:rPr>
          <w:rFonts w:ascii="Arial" w:cs="Arial" w:eastAsia="Arial" w:hAnsi="Arial"/>
          <w:sz w:val="18"/>
          <w:szCs w:val="18"/>
          <w:color w:val="auto"/>
        </w:rPr>
        <w:t>Section 109(1) of the LPA shall not apply to this Deed.</w:t>
      </w:r>
    </w:p>
    <w:p>
      <w:pPr>
        <w:spacing w:after="0" w:line="225"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071"/>
        </w:numPr>
        <w:rPr>
          <w:rFonts w:ascii="Arial" w:cs="Arial" w:eastAsia="Arial" w:hAnsi="Arial"/>
          <w:sz w:val="18"/>
          <w:szCs w:val="18"/>
          <w:color w:val="010000"/>
        </w:rPr>
      </w:pPr>
      <w:r>
        <w:rPr>
          <w:rFonts w:ascii="Arial" w:cs="Arial" w:eastAsia="Arial" w:hAnsi="Arial"/>
          <w:sz w:val="18"/>
          <w:szCs w:val="18"/>
          <w:color w:val="auto"/>
        </w:rPr>
        <w:t>The Collateral Agent's rights to appoint a Receiver or Receivers hereunder are subject to the restrictions set out in Part III of Schedule A1 to the Insolvency Act.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15.5</w:t>
      </w:r>
      <w:r>
        <w:rPr>
          <w:sz w:val="20"/>
          <w:szCs w:val="20"/>
          <w:color w:val="auto"/>
        </w:rPr>
        <w:tab/>
      </w:r>
      <w:r>
        <w:rPr>
          <w:rFonts w:ascii="Arial" w:cs="Arial" w:eastAsia="Arial" w:hAnsi="Arial"/>
          <w:sz w:val="16"/>
          <w:szCs w:val="16"/>
          <w:b w:val="1"/>
          <w:bCs w:val="1"/>
          <w:color w:val="auto"/>
        </w:rPr>
        <w:t>Agent of the Mortgagor</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1072"/>
        </w:numPr>
        <w:rPr>
          <w:rFonts w:ascii="Arial" w:cs="Arial" w:eastAsia="Arial" w:hAnsi="Arial"/>
          <w:sz w:val="18"/>
          <w:szCs w:val="18"/>
          <w:color w:val="010000"/>
        </w:rPr>
      </w:pPr>
      <w:r>
        <w:rPr>
          <w:rFonts w:ascii="Arial" w:cs="Arial" w:eastAsia="Arial" w:hAnsi="Arial"/>
          <w:sz w:val="18"/>
          <w:szCs w:val="18"/>
          <w:color w:val="auto"/>
        </w:rPr>
        <w:t>Each Receiver shall, so far as the law permits, be the agent of the Mortgagor and the Mortgagor alone shall be responsible for each Receiver's remuneration and for his acts, omissions or defaults, and shall be liable on any contracts or engagements made, entered into or adopted by him and for any Losses incurred by him save, in each case, in circumstances where the liabilities or Losses arises as a direct result of the Receiver’s gross negligence or wilful misconduct.</w:t>
      </w:r>
    </w:p>
    <w:p>
      <w:pPr>
        <w:spacing w:after="0" w:line="186" w:lineRule="exact"/>
        <w:rPr>
          <w:rFonts w:ascii="Arial" w:cs="Arial" w:eastAsia="Arial" w:hAnsi="Arial"/>
          <w:sz w:val="18"/>
          <w:szCs w:val="18"/>
          <w:color w:val="010000"/>
        </w:rPr>
      </w:pPr>
    </w:p>
    <w:p>
      <w:pPr>
        <w:jc w:val="both"/>
        <w:ind w:left="1300" w:hanging="644"/>
        <w:spacing w:after="0" w:line="264" w:lineRule="auto"/>
        <w:tabs>
          <w:tab w:leader="none" w:pos="1300" w:val="left"/>
        </w:tabs>
        <w:numPr>
          <w:ilvl w:val="0"/>
          <w:numId w:val="1072"/>
        </w:numPr>
        <w:rPr>
          <w:rFonts w:ascii="Arial" w:cs="Arial" w:eastAsia="Arial" w:hAnsi="Arial"/>
          <w:sz w:val="18"/>
          <w:szCs w:val="18"/>
          <w:color w:val="010000"/>
        </w:rPr>
      </w:pPr>
      <w:r>
        <w:rPr>
          <w:rFonts w:ascii="Arial" w:cs="Arial" w:eastAsia="Arial" w:hAnsi="Arial"/>
          <w:sz w:val="18"/>
          <w:szCs w:val="18"/>
          <w:color w:val="auto"/>
        </w:rPr>
        <w:t>The Collateral Agent shall not be responsible for or incur any liability (whether to the Mortgagor or any other person) in connection with any Receiver's acts, omissions, defaults, contracts, engagements or Losses save, in each case, in circumstances where the liabilities or Losses arises as a direct result of the Receiver’s gross negligence or wilful misconduct.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77" w:name="page978"/>
    <w:bookmarkEnd w:id="977"/>
    <w:p>
      <w:pPr>
        <w:ind w:left="1300" w:hanging="644"/>
        <w:spacing w:after="0" w:line="277" w:lineRule="auto"/>
        <w:tabs>
          <w:tab w:leader="none" w:pos="1300" w:val="left"/>
        </w:tabs>
        <w:numPr>
          <w:ilvl w:val="1"/>
          <w:numId w:val="1073"/>
        </w:numPr>
        <w:rPr>
          <w:rFonts w:ascii="Arial" w:cs="Arial" w:eastAsia="Arial" w:hAnsi="Arial"/>
          <w:sz w:val="18"/>
          <w:szCs w:val="18"/>
          <w:color w:val="010000"/>
        </w:rPr>
      </w:pPr>
      <w:r>
        <w:rPr>
          <w:rFonts w:ascii="Arial" w:cs="Arial" w:eastAsia="Arial" w:hAnsi="Arial"/>
          <w:sz w:val="18"/>
          <w:szCs w:val="18"/>
          <w:color w:val="auto"/>
        </w:rPr>
        <w:t>Notwithstanding Clause 15.5(a) (</w:t>
      </w:r>
      <w:r>
        <w:rPr>
          <w:rFonts w:ascii="Arial" w:cs="Arial" w:eastAsia="Arial" w:hAnsi="Arial"/>
          <w:sz w:val="18"/>
          <w:szCs w:val="18"/>
          <w:i w:val="1"/>
          <w:iCs w:val="1"/>
          <w:color w:val="auto"/>
        </w:rPr>
        <w:t>Agent of the Mortgagor</w:t>
      </w:r>
      <w:r>
        <w:rPr>
          <w:rFonts w:ascii="Arial" w:cs="Arial" w:eastAsia="Arial" w:hAnsi="Arial"/>
          <w:sz w:val="18"/>
          <w:szCs w:val="18"/>
          <w:color w:val="auto"/>
        </w:rPr>
        <w:t>) if a liquidator of the Mortgagor is appointed, the Receiver shall thereafter act as principal and not as agent for the Collateral Agent, unless otherwise agreed by the Collateral Agent.</w:t>
      </w:r>
    </w:p>
    <w:p>
      <w:pPr>
        <w:spacing w:after="0" w:line="166" w:lineRule="exact"/>
        <w:rPr>
          <w:rFonts w:ascii="Arial" w:cs="Arial" w:eastAsia="Arial" w:hAnsi="Arial"/>
          <w:sz w:val="18"/>
          <w:szCs w:val="18"/>
          <w:color w:val="010000"/>
        </w:rPr>
      </w:pPr>
    </w:p>
    <w:p>
      <w:pPr>
        <w:ind w:left="660" w:hanging="652"/>
        <w:spacing w:after="0"/>
        <w:tabs>
          <w:tab w:leader="none" w:pos="660" w:val="left"/>
        </w:tabs>
        <w:numPr>
          <w:ilvl w:val="0"/>
          <w:numId w:val="1074"/>
        </w:numPr>
        <w:rPr>
          <w:rFonts w:ascii="Arial" w:cs="Arial" w:eastAsia="Arial" w:hAnsi="Arial"/>
          <w:sz w:val="18"/>
          <w:szCs w:val="18"/>
          <w:b w:val="1"/>
          <w:bCs w:val="1"/>
          <w:color w:val="010000"/>
        </w:rPr>
      </w:pPr>
      <w:r>
        <w:rPr>
          <w:rFonts w:ascii="Arial" w:cs="Arial" w:eastAsia="Arial" w:hAnsi="Arial"/>
          <w:sz w:val="18"/>
          <w:szCs w:val="18"/>
          <w:b w:val="1"/>
          <w:bCs w:val="1"/>
          <w:color w:val="auto"/>
        </w:rPr>
        <w:t>RIGHTS OF RECEIVERS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16.1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Any Receiver appointed under this Deed shall (subject to any contrary provision specified in his appointment) have all the Rights of the Collateral Agent under Clause 17 (</w:t>
      </w:r>
      <w:r>
        <w:rPr>
          <w:rFonts w:ascii="Arial" w:cs="Arial" w:eastAsia="Arial" w:hAnsi="Arial"/>
          <w:sz w:val="18"/>
          <w:szCs w:val="18"/>
          <w:i w:val="1"/>
          <w:iCs w:val="1"/>
          <w:color w:val="auto"/>
        </w:rPr>
        <w:t>Rights of Collateral Agent and Secured Parties</w:t>
      </w:r>
      <w:r>
        <w:rPr>
          <w:rFonts w:ascii="Arial" w:cs="Arial" w:eastAsia="Arial" w:hAnsi="Arial"/>
          <w:sz w:val="18"/>
          <w:szCs w:val="18"/>
          <w:color w:val="auto"/>
        </w:rPr>
        <w:t>) (insofar as applicable to a Receiver) and shall exercise the Rights, either in his own name or in the name of the Mortgagor or otherwise and in such manner and upon such terms and conditions as the Receiver reasonably thinks fit:</w:t>
      </w:r>
    </w:p>
    <w:p>
      <w:pPr>
        <w:spacing w:after="0" w:line="183" w:lineRule="exact"/>
        <w:rPr>
          <w:sz w:val="20"/>
          <w:szCs w:val="20"/>
          <w:color w:val="auto"/>
        </w:rPr>
      </w:pPr>
    </w:p>
    <w:p>
      <w:pPr>
        <w:ind w:left="1300" w:hanging="644"/>
        <w:spacing w:after="0"/>
        <w:tabs>
          <w:tab w:leader="none" w:pos="1300" w:val="left"/>
        </w:tabs>
        <w:numPr>
          <w:ilvl w:val="0"/>
          <w:numId w:val="1075"/>
        </w:numPr>
        <w:rPr>
          <w:rFonts w:ascii="Arial" w:cs="Arial" w:eastAsia="Arial" w:hAnsi="Arial"/>
          <w:sz w:val="16"/>
          <w:szCs w:val="16"/>
          <w:color w:val="010000"/>
        </w:rPr>
      </w:pPr>
      <w:r>
        <w:rPr>
          <w:rFonts w:ascii="Arial" w:cs="Arial" w:eastAsia="Arial" w:hAnsi="Arial"/>
          <w:sz w:val="16"/>
          <w:szCs w:val="16"/>
          <w:b w:val="1"/>
          <w:bCs w:val="1"/>
          <w:color w:val="auto"/>
        </w:rPr>
        <w:t>Rights under Clause 14.2(a) (</w:t>
      </w:r>
      <w:r>
        <w:rPr>
          <w:rFonts w:ascii="Arial" w:cs="Arial" w:eastAsia="Arial" w:hAnsi="Arial"/>
          <w:sz w:val="16"/>
          <w:szCs w:val="16"/>
          <w:b w:val="1"/>
          <w:bCs w:val="1"/>
          <w:i w:val="1"/>
          <w:iCs w:val="1"/>
          <w:color w:val="auto"/>
        </w:rPr>
        <w:t>Enforcement</w:t>
      </w:r>
      <w:r>
        <w:rPr>
          <w:rFonts w:ascii="Arial" w:cs="Arial" w:eastAsia="Arial" w:hAnsi="Arial"/>
          <w:sz w:val="16"/>
          <w:szCs w:val="16"/>
          <w:b w:val="1"/>
          <w:bCs w:val="1"/>
          <w:color w:val="auto"/>
        </w:rPr>
        <w:t>)</w:t>
      </w:r>
      <w:r>
        <w:rPr>
          <w:rFonts w:ascii="Arial" w:cs="Arial" w:eastAsia="Arial" w:hAnsi="Arial"/>
          <w:sz w:val="16"/>
          <w:szCs w:val="16"/>
          <w:color w:val="auto"/>
        </w:rPr>
        <w:t>: to exercise any or all of the Rights conferred upon the Collateral Agent under Clause 14.2(a)</w:t>
      </w:r>
    </w:p>
    <w:p>
      <w:pPr>
        <w:spacing w:after="0" w:line="50"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7"/>
          <w:szCs w:val="17"/>
          <w:color w:val="auto"/>
        </w:rPr>
        <w:t>(i) to 14.2(a)(vii) and under Clause 14.2(a)(ix), as if reference to "Collateral Agent" in Clause 14.2(a)(i) were a reference to "Receiver";</w:t>
      </w:r>
    </w:p>
    <w:p>
      <w:pPr>
        <w:spacing w:after="0" w:line="218" w:lineRule="exact"/>
        <w:rPr>
          <w:rFonts w:ascii="Arial" w:cs="Arial" w:eastAsia="Arial" w:hAnsi="Arial"/>
          <w:sz w:val="16"/>
          <w:szCs w:val="16"/>
          <w:color w:val="010000"/>
        </w:rPr>
      </w:pPr>
    </w:p>
    <w:p>
      <w:pPr>
        <w:ind w:left="1300" w:hanging="644"/>
        <w:spacing w:after="0" w:line="282" w:lineRule="auto"/>
        <w:tabs>
          <w:tab w:leader="none" w:pos="1300" w:val="left"/>
        </w:tabs>
        <w:numPr>
          <w:ilvl w:val="0"/>
          <w:numId w:val="1075"/>
        </w:numPr>
        <w:rPr>
          <w:rFonts w:ascii="Arial" w:cs="Arial" w:eastAsia="Arial" w:hAnsi="Arial"/>
          <w:sz w:val="18"/>
          <w:szCs w:val="18"/>
          <w:color w:val="010000"/>
        </w:rPr>
      </w:pPr>
      <w:r>
        <w:rPr>
          <w:rFonts w:ascii="Arial" w:cs="Arial" w:eastAsia="Arial" w:hAnsi="Arial"/>
          <w:sz w:val="18"/>
          <w:szCs w:val="18"/>
          <w:b w:val="1"/>
          <w:bCs w:val="1"/>
          <w:color w:val="auto"/>
        </w:rPr>
        <w:t>Insolvency Act</w:t>
      </w:r>
      <w:r>
        <w:rPr>
          <w:rFonts w:ascii="Arial" w:cs="Arial" w:eastAsia="Arial" w:hAnsi="Arial"/>
          <w:sz w:val="18"/>
          <w:szCs w:val="18"/>
          <w:color w:val="auto"/>
        </w:rPr>
        <w:t>: to exercise all rights set out in Schedule 1 of the Insolvency Act as in force at the date of this Deed (whether or not in force</w:t>
      </w:r>
      <w:r>
        <w:rPr>
          <w:rFonts w:ascii="Arial" w:cs="Arial" w:eastAsia="Arial" w:hAnsi="Arial"/>
          <w:sz w:val="18"/>
          <w:szCs w:val="18"/>
          <w:b w:val="1"/>
          <w:bCs w:val="1"/>
          <w:color w:val="auto"/>
        </w:rPr>
        <w:t xml:space="preserve"> </w:t>
      </w:r>
      <w:r>
        <w:rPr>
          <w:rFonts w:ascii="Arial" w:cs="Arial" w:eastAsia="Arial" w:hAnsi="Arial"/>
          <w:sz w:val="18"/>
          <w:szCs w:val="18"/>
          <w:color w:val="auto"/>
        </w:rPr>
        <w:t>at the date of exercise) and all other powers conferred by law, at the time of exercise, on Receivers;</w:t>
      </w:r>
    </w:p>
    <w:p>
      <w:pPr>
        <w:spacing w:after="0" w:line="161" w:lineRule="exact"/>
        <w:rPr>
          <w:rFonts w:ascii="Arial" w:cs="Arial" w:eastAsia="Arial" w:hAnsi="Arial"/>
          <w:sz w:val="18"/>
          <w:szCs w:val="18"/>
          <w:color w:val="010000"/>
        </w:rPr>
      </w:pPr>
    </w:p>
    <w:p>
      <w:pPr>
        <w:jc w:val="both"/>
        <w:ind w:left="1300" w:hanging="644"/>
        <w:spacing w:after="0" w:line="258" w:lineRule="auto"/>
        <w:tabs>
          <w:tab w:leader="none" w:pos="1300" w:val="left"/>
        </w:tabs>
        <w:numPr>
          <w:ilvl w:val="0"/>
          <w:numId w:val="1075"/>
        </w:numPr>
        <w:rPr>
          <w:rFonts w:ascii="Arial" w:cs="Arial" w:eastAsia="Arial" w:hAnsi="Arial"/>
          <w:sz w:val="18"/>
          <w:szCs w:val="18"/>
          <w:color w:val="010000"/>
        </w:rPr>
      </w:pPr>
      <w:r>
        <w:rPr>
          <w:rFonts w:ascii="Arial" w:cs="Arial" w:eastAsia="Arial" w:hAnsi="Arial"/>
          <w:sz w:val="18"/>
          <w:szCs w:val="18"/>
          <w:b w:val="1"/>
          <w:bCs w:val="1"/>
          <w:color w:val="auto"/>
        </w:rPr>
        <w:t>Raise or borrow money</w:t>
      </w:r>
      <w:r>
        <w:rPr>
          <w:rFonts w:ascii="Arial" w:cs="Arial" w:eastAsia="Arial" w:hAnsi="Arial"/>
          <w:sz w:val="18"/>
          <w:szCs w:val="18"/>
          <w:color w:val="auto"/>
        </w:rPr>
        <w:t>: to raise or borrow money, either unsecured or on the security of any Secured Asset (either in priority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or otherwise) for any purpose whatsoever, including, without limitation, for the purpose of exercising any of the Rights conferred upon the Receiver by or pursuant to this Deed or of defraying any costs, charges, Losses, liabilities or expenses (including his remuneration) incurred by or due to the Receiver in the exercise thereof, in each case and at all times, in accordance with its express power to raise or borrow money pursuant to Schedule 1 of the Insolvency Act;</w:t>
      </w:r>
    </w:p>
    <w:p>
      <w:pPr>
        <w:spacing w:after="0" w:line="183" w:lineRule="exact"/>
        <w:rPr>
          <w:rFonts w:ascii="Arial" w:cs="Arial" w:eastAsia="Arial" w:hAnsi="Arial"/>
          <w:sz w:val="18"/>
          <w:szCs w:val="18"/>
          <w:color w:val="010000"/>
        </w:rPr>
      </w:pPr>
    </w:p>
    <w:p>
      <w:pPr>
        <w:ind w:left="1300" w:hanging="644"/>
        <w:spacing w:after="0" w:line="347" w:lineRule="auto"/>
        <w:tabs>
          <w:tab w:leader="none" w:pos="1300" w:val="left"/>
        </w:tabs>
        <w:numPr>
          <w:ilvl w:val="0"/>
          <w:numId w:val="1075"/>
        </w:numPr>
        <w:rPr>
          <w:rFonts w:ascii="Arial" w:cs="Arial" w:eastAsia="Arial" w:hAnsi="Arial"/>
          <w:sz w:val="16"/>
          <w:szCs w:val="16"/>
          <w:color w:val="010000"/>
        </w:rPr>
      </w:pPr>
      <w:r>
        <w:rPr>
          <w:rFonts w:ascii="Arial" w:cs="Arial" w:eastAsia="Arial" w:hAnsi="Arial"/>
          <w:sz w:val="16"/>
          <w:szCs w:val="16"/>
          <w:b w:val="1"/>
          <w:bCs w:val="1"/>
          <w:color w:val="auto"/>
        </w:rPr>
        <w:t>Redemption of Security Interests</w:t>
      </w:r>
      <w:r>
        <w:rPr>
          <w:rFonts w:ascii="Arial" w:cs="Arial" w:eastAsia="Arial" w:hAnsi="Arial"/>
          <w:sz w:val="16"/>
          <w:szCs w:val="16"/>
          <w:color w:val="auto"/>
        </w:rPr>
        <w:t>: to redeem any Security Interest (whether or not having priority to the Security) over any Secured Asset</w:t>
      </w:r>
      <w:r>
        <w:rPr>
          <w:rFonts w:ascii="Arial" w:cs="Arial" w:eastAsia="Arial" w:hAnsi="Arial"/>
          <w:sz w:val="16"/>
          <w:szCs w:val="16"/>
          <w:b w:val="1"/>
          <w:bCs w:val="1"/>
          <w:color w:val="auto"/>
        </w:rPr>
        <w:t xml:space="preserve"> </w:t>
      </w:r>
      <w:r>
        <w:rPr>
          <w:rFonts w:ascii="Arial" w:cs="Arial" w:eastAsia="Arial" w:hAnsi="Arial"/>
          <w:sz w:val="16"/>
          <w:szCs w:val="16"/>
          <w:color w:val="auto"/>
        </w:rPr>
        <w:t>and to settle the accounts of holders of such interests and any accounts so settled shall be conclusive and binding on the Mortgagor;</w:t>
      </w:r>
    </w:p>
    <w:p>
      <w:pPr>
        <w:spacing w:after="0" w:line="116" w:lineRule="exact"/>
        <w:rPr>
          <w:rFonts w:ascii="Arial" w:cs="Arial" w:eastAsia="Arial" w:hAnsi="Arial"/>
          <w:sz w:val="16"/>
          <w:szCs w:val="16"/>
          <w:color w:val="010000"/>
        </w:rPr>
      </w:pPr>
    </w:p>
    <w:p>
      <w:pPr>
        <w:ind w:left="1300" w:right="20" w:hanging="644"/>
        <w:spacing w:after="0" w:line="282" w:lineRule="auto"/>
        <w:tabs>
          <w:tab w:leader="none" w:pos="1300" w:val="left"/>
        </w:tabs>
        <w:numPr>
          <w:ilvl w:val="0"/>
          <w:numId w:val="1075"/>
        </w:numPr>
        <w:rPr>
          <w:rFonts w:ascii="Arial" w:cs="Arial" w:eastAsia="Arial" w:hAnsi="Arial"/>
          <w:sz w:val="18"/>
          <w:szCs w:val="18"/>
          <w:color w:val="010000"/>
        </w:rPr>
      </w:pPr>
      <w:r>
        <w:rPr>
          <w:rFonts w:ascii="Arial" w:cs="Arial" w:eastAsia="Arial" w:hAnsi="Arial"/>
          <w:sz w:val="18"/>
          <w:szCs w:val="18"/>
          <w:b w:val="1"/>
          <w:bCs w:val="1"/>
          <w:color w:val="auto"/>
        </w:rPr>
        <w:t>Receipts</w:t>
      </w:r>
      <w:r>
        <w:rPr>
          <w:rFonts w:ascii="Arial" w:cs="Arial" w:eastAsia="Arial" w:hAnsi="Arial"/>
          <w:sz w:val="18"/>
          <w:szCs w:val="18"/>
          <w:color w:val="auto"/>
        </w:rPr>
        <w:t>: to give a valid receipt for any moneys and execute any assurance or thing which may be proper or desirable for realising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Asset;</w:t>
      </w:r>
    </w:p>
    <w:p>
      <w:pPr>
        <w:spacing w:after="0" w:line="161" w:lineRule="exact"/>
        <w:rPr>
          <w:rFonts w:ascii="Arial" w:cs="Arial" w:eastAsia="Arial" w:hAnsi="Arial"/>
          <w:sz w:val="18"/>
          <w:szCs w:val="18"/>
          <w:color w:val="010000"/>
        </w:rPr>
      </w:pPr>
    </w:p>
    <w:p>
      <w:pPr>
        <w:ind w:left="1300" w:hanging="644"/>
        <w:spacing w:after="0" w:line="282" w:lineRule="auto"/>
        <w:tabs>
          <w:tab w:leader="none" w:pos="1300" w:val="left"/>
        </w:tabs>
        <w:numPr>
          <w:ilvl w:val="0"/>
          <w:numId w:val="1075"/>
        </w:numPr>
        <w:rPr>
          <w:rFonts w:ascii="Arial" w:cs="Arial" w:eastAsia="Arial" w:hAnsi="Arial"/>
          <w:sz w:val="18"/>
          <w:szCs w:val="18"/>
          <w:color w:val="010000"/>
        </w:rPr>
      </w:pPr>
      <w:r>
        <w:rPr>
          <w:rFonts w:ascii="Arial" w:cs="Arial" w:eastAsia="Arial" w:hAnsi="Arial"/>
          <w:sz w:val="18"/>
          <w:szCs w:val="18"/>
          <w:b w:val="1"/>
          <w:bCs w:val="1"/>
          <w:color w:val="auto"/>
        </w:rPr>
        <w:t>Delegation</w:t>
      </w:r>
      <w:r>
        <w:rPr>
          <w:rFonts w:ascii="Arial" w:cs="Arial" w:eastAsia="Arial" w:hAnsi="Arial"/>
          <w:sz w:val="18"/>
          <w:szCs w:val="18"/>
          <w:color w:val="auto"/>
        </w:rPr>
        <w:t>: to delegate to any person any Rights exercisable by the Receiver under or in connection with this Deed, either generally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and on such terms as the Receiver reasonably thinks fit; and</w:t>
      </w:r>
    </w:p>
    <w:p>
      <w:pPr>
        <w:spacing w:after="0" w:line="161" w:lineRule="exact"/>
        <w:rPr>
          <w:rFonts w:ascii="Arial" w:cs="Arial" w:eastAsia="Arial" w:hAnsi="Arial"/>
          <w:sz w:val="18"/>
          <w:szCs w:val="18"/>
          <w:color w:val="010000"/>
        </w:rPr>
      </w:pPr>
    </w:p>
    <w:p>
      <w:pPr>
        <w:jc w:val="both"/>
        <w:ind w:left="1300" w:hanging="644"/>
        <w:spacing w:after="0" w:line="314" w:lineRule="auto"/>
        <w:tabs>
          <w:tab w:leader="none" w:pos="1300" w:val="left"/>
        </w:tabs>
        <w:numPr>
          <w:ilvl w:val="0"/>
          <w:numId w:val="1075"/>
        </w:numPr>
        <w:rPr>
          <w:rFonts w:ascii="Arial" w:cs="Arial" w:eastAsia="Arial" w:hAnsi="Arial"/>
          <w:sz w:val="16"/>
          <w:szCs w:val="16"/>
          <w:color w:val="010000"/>
        </w:rPr>
      </w:pPr>
      <w:r>
        <w:rPr>
          <w:rFonts w:ascii="Arial" w:cs="Arial" w:eastAsia="Arial" w:hAnsi="Arial"/>
          <w:sz w:val="16"/>
          <w:szCs w:val="16"/>
          <w:b w:val="1"/>
          <w:bCs w:val="1"/>
          <w:color w:val="auto"/>
        </w:rPr>
        <w:t>General</w:t>
      </w:r>
      <w:r>
        <w:rPr>
          <w:rFonts w:ascii="Arial" w:cs="Arial" w:eastAsia="Arial" w:hAnsi="Arial"/>
          <w:sz w:val="16"/>
          <w:szCs w:val="16"/>
          <w:color w:val="auto"/>
        </w:rPr>
        <w:t>: to do all such other acts and things the Receiver considers necessary or desirable in connection with the exercise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conferred upon the Receiver hereunder or by law and all things the Receiver considers incidental or conducive to the exercise and performance of such Rights and obligations and to do anything which the Receiver has the right to do jointly with any other person.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8" w:name="page979"/>
    <w:bookmarkEnd w:id="978"/>
    <w:p>
      <w:pPr>
        <w:spacing w:after="0"/>
        <w:tabs>
          <w:tab w:leader="none" w:pos="640" w:val="left"/>
        </w:tabs>
        <w:rPr>
          <w:sz w:val="20"/>
          <w:szCs w:val="20"/>
          <w:color w:val="auto"/>
        </w:rPr>
      </w:pPr>
      <w:r>
        <w:rPr>
          <w:rFonts w:ascii="Arial" w:cs="Arial" w:eastAsia="Arial" w:hAnsi="Arial"/>
          <w:sz w:val="18"/>
          <w:szCs w:val="18"/>
          <w:b w:val="1"/>
          <w:bCs w:val="1"/>
          <w:color w:val="010000"/>
        </w:rPr>
        <w:t>16.2</w:t>
      </w:r>
      <w:r>
        <w:rPr>
          <w:sz w:val="20"/>
          <w:szCs w:val="20"/>
          <w:color w:val="auto"/>
        </w:rPr>
        <w:tab/>
      </w:r>
      <w:r>
        <w:rPr>
          <w:rFonts w:ascii="Arial" w:cs="Arial" w:eastAsia="Arial" w:hAnsi="Arial"/>
          <w:sz w:val="16"/>
          <w:szCs w:val="16"/>
          <w:b w:val="1"/>
          <w:bCs w:val="1"/>
          <w:color w:val="auto"/>
        </w:rPr>
        <w:t>Remuneration</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Subject to section 36 of the Insolvency Act, the remuneration of any Receiver may be fixed by the Collateral Agent without being limited to the maximum rate specified by section 109(6) of the LPA. Such remuneration shall be payable by the Mortgagor alone. The amount of such remuneration may be debited by the Collateral Agent from any account of the Mortgagor but shall, in any event, form part of the Secured Obligations and accordingly be secured on the Secured Assets under the Security. Such remuneration shall be paid on such terms and in such manner as the Collateral Agent and Receiver may from time to time agree or failing such agreement as the Collateral Agent reasonably determines.</w:t>
      </w:r>
    </w:p>
    <w:p>
      <w:pPr>
        <w:spacing w:after="0" w:line="154" w:lineRule="exact"/>
        <w:rPr>
          <w:sz w:val="20"/>
          <w:szCs w:val="20"/>
          <w:color w:val="auto"/>
        </w:rPr>
      </w:pPr>
    </w:p>
    <w:p>
      <w:pPr>
        <w:ind w:right="5640" w:firstLine="8"/>
        <w:spacing w:after="0" w:line="503" w:lineRule="auto"/>
        <w:tabs>
          <w:tab w:leader="none" w:pos="648" w:val="left"/>
        </w:tabs>
        <w:numPr>
          <w:ilvl w:val="0"/>
          <w:numId w:val="1076"/>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RIGHTS OF COLLATERAL AGENT AND SECURED PARTIES </w:t>
      </w:r>
      <w:r>
        <w:rPr>
          <w:rFonts w:ascii="Arial" w:cs="Arial" w:eastAsia="Arial" w:hAnsi="Arial"/>
          <w:sz w:val="18"/>
          <w:szCs w:val="18"/>
          <w:b w:val="1"/>
          <w:bCs w:val="1"/>
          <w:color w:val="010000"/>
        </w:rPr>
        <w:t xml:space="preserve">17.1 </w:t>
      </w:r>
      <w:r>
        <w:rPr>
          <w:rFonts w:ascii="Arial" w:cs="Arial" w:eastAsia="Arial" w:hAnsi="Arial"/>
          <w:sz w:val="18"/>
          <w:szCs w:val="18"/>
          <w:b w:val="1"/>
          <w:bCs w:val="1"/>
          <w:color w:val="000000"/>
        </w:rPr>
        <w:t>Receipts</w:t>
      </w:r>
    </w:p>
    <w:p>
      <w:pPr>
        <w:spacing w:after="0" w:line="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Collateral Agent may give a valid receipt for any moneys and execute any assurance or thing which may be proper or desirable for realising any Secured Asset.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17.2</w:t>
      </w:r>
      <w:r>
        <w:rPr>
          <w:sz w:val="20"/>
          <w:szCs w:val="20"/>
          <w:color w:val="auto"/>
        </w:rPr>
        <w:tab/>
      </w:r>
      <w:r>
        <w:rPr>
          <w:rFonts w:ascii="Arial" w:cs="Arial" w:eastAsia="Arial" w:hAnsi="Arial"/>
          <w:sz w:val="16"/>
          <w:szCs w:val="16"/>
          <w:b w:val="1"/>
          <w:bCs w:val="1"/>
          <w:color w:val="auto"/>
        </w:rPr>
        <w:t>Delegation</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Collateral Agent may at any time, and from time to time, delegate to any person any Rights exercisable by the Collateral Agent under or in connection with this Deed on such terms and conditions (including power to sub-delegate) as the Collateral Agent thinks fit.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17.3</w:t>
      </w:r>
      <w:r>
        <w:rPr>
          <w:sz w:val="20"/>
          <w:szCs w:val="20"/>
          <w:color w:val="auto"/>
        </w:rPr>
        <w:tab/>
      </w:r>
      <w:r>
        <w:rPr>
          <w:rFonts w:ascii="Arial" w:cs="Arial" w:eastAsia="Arial" w:hAnsi="Arial"/>
          <w:sz w:val="16"/>
          <w:szCs w:val="16"/>
          <w:b w:val="1"/>
          <w:bCs w:val="1"/>
          <w:color w:val="auto"/>
        </w:rPr>
        <w:t>Redemption of prior Security Interests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Collateral Agent may, at any time after an Enforcement Event has occurred, redeem any Security Interest having priority to the Security at any time or procure the transfer thereof to the Collateral Agent and may settle the accounts of holders of such interests and any account so settled shall be conclusive and binding on the Mortgagor. All principal monies, interest and Losses of and incidental to such redemption or transfer shall be paid by the Mortgagor to the Collateral Agent promptly on demand.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17.4</w:t>
      </w:r>
      <w:r>
        <w:rPr>
          <w:sz w:val="20"/>
          <w:szCs w:val="20"/>
          <w:color w:val="auto"/>
        </w:rPr>
        <w:tab/>
      </w:r>
      <w:r>
        <w:rPr>
          <w:rFonts w:ascii="Arial" w:cs="Arial" w:eastAsia="Arial" w:hAnsi="Arial"/>
          <w:sz w:val="15"/>
          <w:szCs w:val="15"/>
          <w:b w:val="1"/>
          <w:bCs w:val="1"/>
          <w:color w:val="auto"/>
        </w:rPr>
        <w:t>Suspense account</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Until Payment in Full, the Collateral Agent or the Receiver (as appropriate) may at any time credit to and retain in an interest bearing suspense account, for such period as it reasonably thinks fit, any moneys received, recovered or realised pursuant to this Deed, without any obligation to apply all or any part of the same in or towards the discharge of the Secured Obligations.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17.5</w:t>
      </w:r>
      <w:r>
        <w:rPr>
          <w:sz w:val="20"/>
          <w:szCs w:val="20"/>
          <w:color w:val="auto"/>
        </w:rPr>
        <w:tab/>
      </w:r>
      <w:r>
        <w:rPr>
          <w:rFonts w:ascii="Arial" w:cs="Arial" w:eastAsia="Arial" w:hAnsi="Arial"/>
          <w:sz w:val="15"/>
          <w:szCs w:val="15"/>
          <w:b w:val="1"/>
          <w:bCs w:val="1"/>
          <w:color w:val="auto"/>
        </w:rPr>
        <w:t>New account</w:t>
      </w:r>
    </w:p>
    <w:p>
      <w:pPr>
        <w:spacing w:after="0" w:line="22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If the Collateral Agent receives notice (actual or constructive) of any subsequent Security Interest (other than any Security Interest permitted under the Loan Agreement) over any Secured Asset, or if an Insolvency Event in relation to the Mortgagor occurs, each Secured Party may open a new account in the name of the Mortgagor (whether or not it allows any existing account to continue), and if it does not do so, it shall be deemed to have done so at the time the Collateral Agent received or was deemed to have received such notice or at the time that the Insolvency Event commenced (such time the "</w:t>
      </w:r>
      <w:r>
        <w:rPr>
          <w:rFonts w:ascii="Arial" w:cs="Arial" w:eastAsia="Arial" w:hAnsi="Arial"/>
          <w:sz w:val="16"/>
          <w:szCs w:val="16"/>
          <w:b w:val="1"/>
          <w:bCs w:val="1"/>
          <w:color w:val="auto"/>
        </w:rPr>
        <w:t>Relevant Time</w:t>
      </w:r>
      <w:r>
        <w:rPr>
          <w:rFonts w:ascii="Arial" w:cs="Arial" w:eastAsia="Arial" w:hAnsi="Arial"/>
          <w:sz w:val="16"/>
          <w:szCs w:val="16"/>
          <w:color w:val="auto"/>
        </w:rPr>
        <w:t>"). Thereafter, all subsequent payments by the Mortgagor to the relevant Secured Party and all payments received by the relevant Secured Party for the account of the Mortgagor, whether received from the Collateral Agent or otherwise, shall be credited or deemed to have been credited to the new account, and shall not operate to reduce the Secured Obligations owing to such Secured Party at the Relevant Time.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979" w:name="page980"/>
    <w:bookmarkEnd w:id="979"/>
    <w:p>
      <w:pPr>
        <w:spacing w:after="0"/>
        <w:tabs>
          <w:tab w:leader="none" w:pos="640" w:val="left"/>
        </w:tabs>
        <w:rPr>
          <w:sz w:val="20"/>
          <w:szCs w:val="20"/>
          <w:color w:val="auto"/>
        </w:rPr>
      </w:pPr>
      <w:r>
        <w:rPr>
          <w:rFonts w:ascii="Arial" w:cs="Arial" w:eastAsia="Arial" w:hAnsi="Arial"/>
          <w:sz w:val="18"/>
          <w:szCs w:val="18"/>
          <w:b w:val="1"/>
          <w:bCs w:val="1"/>
          <w:color w:val="010000"/>
        </w:rPr>
        <w:t>17.6</w:t>
      </w:r>
      <w:r>
        <w:rPr>
          <w:sz w:val="20"/>
          <w:szCs w:val="20"/>
          <w:color w:val="auto"/>
        </w:rPr>
        <w:tab/>
      </w:r>
      <w:r>
        <w:rPr>
          <w:rFonts w:ascii="Arial" w:cs="Arial" w:eastAsia="Arial" w:hAnsi="Arial"/>
          <w:sz w:val="16"/>
          <w:szCs w:val="16"/>
          <w:b w:val="1"/>
          <w:bCs w:val="1"/>
          <w:color w:val="auto"/>
        </w:rPr>
        <w:t>Other security and rights</w:t>
      </w:r>
    </w:p>
    <w:p>
      <w:pPr>
        <w:spacing w:after="0" w:line="22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Collateral Agent may, at any time, without affecting the Security or the liability of the Mortgagor under this Deed: (a) refrain from applying or enforcing any other moneys, Security Interests or rights held or received by it (or any trustee or agent on its behalf) in respect of any Secured Obligations; or (b) apply and enforce the same in such manner and order as it reasonably sees fit (whether against those amounts or otherwise), and the Mortgagor waives any right it may have of first requiring the Collateral Agent to proceed against any other person, exercise any other rights or take any other steps before exercising any Rights under or pursuant to this Deed.</w:t>
      </w:r>
    </w:p>
    <w:p>
      <w:pPr>
        <w:spacing w:after="0" w:line="169" w:lineRule="exact"/>
        <w:rPr>
          <w:sz w:val="20"/>
          <w:szCs w:val="20"/>
          <w:color w:val="auto"/>
        </w:rPr>
      </w:pPr>
    </w:p>
    <w:p>
      <w:pPr>
        <w:ind w:right="8380" w:firstLine="8"/>
        <w:spacing w:after="0" w:line="503" w:lineRule="auto"/>
        <w:tabs>
          <w:tab w:leader="none" w:pos="648" w:val="left"/>
        </w:tabs>
        <w:numPr>
          <w:ilvl w:val="0"/>
          <w:numId w:val="1077"/>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APPLICATION OF MONEYS </w:t>
      </w:r>
      <w:r>
        <w:rPr>
          <w:rFonts w:ascii="Arial" w:cs="Arial" w:eastAsia="Arial" w:hAnsi="Arial"/>
          <w:sz w:val="18"/>
          <w:szCs w:val="18"/>
          <w:b w:val="1"/>
          <w:bCs w:val="1"/>
          <w:color w:val="010000"/>
        </w:rPr>
        <w:t xml:space="preserve">18.1 </w:t>
      </w:r>
      <w:r>
        <w:rPr>
          <w:rFonts w:ascii="Arial" w:cs="Arial" w:eastAsia="Arial" w:hAnsi="Arial"/>
          <w:sz w:val="18"/>
          <w:szCs w:val="18"/>
          <w:b w:val="1"/>
          <w:bCs w:val="1"/>
          <w:color w:val="000000"/>
        </w:rPr>
        <w:t>Application</w:t>
      </w:r>
    </w:p>
    <w:p>
      <w:pPr>
        <w:spacing w:after="0" w:line="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All moneys realised, received or recovered by the Collateral Agent or any Receiver in the exercise of their respective Rights under or in connection with this Deed, shall (subject, in each case, to any claims ranking in priority as a matter of law) be applied in or towards, in the order specified in the Loan Agreement.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18.2</w:t>
      </w:r>
      <w:r>
        <w:rPr>
          <w:sz w:val="20"/>
          <w:szCs w:val="20"/>
          <w:color w:val="auto"/>
        </w:rPr>
        <w:tab/>
      </w:r>
      <w:r>
        <w:rPr>
          <w:rFonts w:ascii="Arial" w:cs="Arial" w:eastAsia="Arial" w:hAnsi="Arial"/>
          <w:sz w:val="15"/>
          <w:szCs w:val="15"/>
          <w:b w:val="1"/>
          <w:bCs w:val="1"/>
          <w:color w:val="auto"/>
        </w:rPr>
        <w:t>Statutory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105, 107(2) and 109(8) of the LPA shall not apply to this Deed.</w:t>
      </w:r>
    </w:p>
    <w:p>
      <w:pPr>
        <w:spacing w:after="0" w:line="221" w:lineRule="exact"/>
        <w:rPr>
          <w:sz w:val="20"/>
          <w:szCs w:val="20"/>
          <w:color w:val="auto"/>
        </w:rPr>
      </w:pPr>
    </w:p>
    <w:p>
      <w:pPr>
        <w:ind w:left="660" w:hanging="652"/>
        <w:spacing w:after="0"/>
        <w:tabs>
          <w:tab w:leader="none" w:pos="660" w:val="left"/>
        </w:tabs>
        <w:numPr>
          <w:ilvl w:val="0"/>
          <w:numId w:val="1078"/>
        </w:numPr>
        <w:rPr>
          <w:rFonts w:ascii="Arial" w:cs="Arial" w:eastAsia="Arial" w:hAnsi="Arial"/>
          <w:sz w:val="18"/>
          <w:szCs w:val="18"/>
          <w:b w:val="1"/>
          <w:bCs w:val="1"/>
          <w:color w:val="010000"/>
        </w:rPr>
      </w:pPr>
      <w:r>
        <w:rPr>
          <w:rFonts w:ascii="Arial" w:cs="Arial" w:eastAsia="Arial" w:hAnsi="Arial"/>
          <w:sz w:val="18"/>
          <w:szCs w:val="18"/>
          <w:b w:val="1"/>
          <w:bCs w:val="1"/>
          <w:color w:val="auto"/>
        </w:rPr>
        <w:t>LIABILITY OF COLLATERAL AGENT, RECEIVER AND DELEGATES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010000"/>
        </w:rPr>
        <w:t>19.1</w:t>
      </w:r>
      <w:r>
        <w:rPr>
          <w:sz w:val="20"/>
          <w:szCs w:val="20"/>
          <w:color w:val="auto"/>
        </w:rPr>
        <w:tab/>
      </w:r>
      <w:r>
        <w:rPr>
          <w:rFonts w:ascii="Arial" w:cs="Arial" w:eastAsia="Arial" w:hAnsi="Arial"/>
          <w:sz w:val="18"/>
          <w:szCs w:val="18"/>
          <w:color w:val="auto"/>
        </w:rPr>
        <w:t>No Relevant Person shall, in any circumstances, (whether as mortgagee in possession or otherwise) be liable to the Mortgagor or to any other person for any Loss arising under or in connection with this Deed or the Security, including, without limitation, any Loss relating to: (a) the enforcement of the Security in accordance with this Deed; or (b) any exercise, purported exercise or non-exercise of any Right under or in relation to this Deed or the Security.</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010000"/>
        </w:rPr>
        <w:t>19.2</w:t>
      </w:r>
      <w:r>
        <w:rPr>
          <w:sz w:val="20"/>
          <w:szCs w:val="20"/>
          <w:color w:val="auto"/>
        </w:rPr>
        <w:tab/>
      </w:r>
      <w:r>
        <w:rPr>
          <w:rFonts w:ascii="Arial" w:cs="Arial" w:eastAsia="Arial" w:hAnsi="Arial"/>
          <w:sz w:val="18"/>
          <w:szCs w:val="18"/>
          <w:color w:val="auto"/>
        </w:rPr>
        <w:t>Clause 19.1 (</w:t>
      </w:r>
      <w:r>
        <w:rPr>
          <w:rFonts w:ascii="Arial" w:cs="Arial" w:eastAsia="Arial" w:hAnsi="Arial"/>
          <w:sz w:val="18"/>
          <w:szCs w:val="18"/>
          <w:i w:val="1"/>
          <w:iCs w:val="1"/>
          <w:color w:val="auto"/>
        </w:rPr>
        <w:t>Liability of Collateral Agent, Receiver</w:t>
      </w:r>
      <w:r>
        <w:rPr>
          <w:rFonts w:ascii="Arial" w:cs="Arial" w:eastAsia="Arial" w:hAnsi="Arial"/>
          <w:sz w:val="18"/>
          <w:szCs w:val="18"/>
          <w:color w:val="auto"/>
        </w:rPr>
        <w:t xml:space="preserve"> ) shall not apply in respect of any Loss to the extent that it has been found by a final non-appealable judgment of a court of competent jurisdiction to have been incurred by reason of the Relevant Person’s gross negligence, wilful misconduct or unlawful conduct.</w:t>
      </w:r>
    </w:p>
    <w:p>
      <w:pPr>
        <w:spacing w:after="0" w:line="181"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010000"/>
        </w:rPr>
        <w:t>19.3</w:t>
      </w:r>
      <w:r>
        <w:rPr>
          <w:sz w:val="20"/>
          <w:szCs w:val="20"/>
          <w:color w:val="auto"/>
        </w:rPr>
        <w:tab/>
      </w:r>
      <w:r>
        <w:rPr>
          <w:rFonts w:ascii="Arial" w:cs="Arial" w:eastAsia="Arial" w:hAnsi="Arial"/>
          <w:sz w:val="17"/>
          <w:szCs w:val="17"/>
          <w:color w:val="auto"/>
        </w:rPr>
        <w:t>The Mortgagor may not take any proceedings against any officer, employee or agent of the Collateral Agent or of any Receiver or of any Delegate in respect of any claim against the Collateral Agent, Receiver or Delegate or in respect of any act or omission of such officer, employee or agent (save where such act has been found by a final non-appealable judgment of a court of competent jurisdiction to have been a direct result of his or its gross negligence, wilful misconduct or unlawful conduct), in each case in connection with this Deed.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80" w:name="page981"/>
    <w:bookmarkEnd w:id="980"/>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19.4</w:t>
      </w:r>
      <w:r>
        <w:rPr>
          <w:sz w:val="20"/>
          <w:szCs w:val="20"/>
          <w:color w:val="auto"/>
        </w:rPr>
        <w:tab/>
      </w:r>
      <w:r>
        <w:rPr>
          <w:rFonts w:ascii="Arial" w:cs="Arial" w:eastAsia="Arial" w:hAnsi="Arial"/>
          <w:sz w:val="18"/>
          <w:szCs w:val="18"/>
          <w:color w:val="auto"/>
        </w:rPr>
        <w:t>Each officer, employee and agent of the Collateral Agent or of any Receiver or Delegate may rely on this Clause 19 (</w:t>
      </w:r>
      <w:r>
        <w:rPr>
          <w:rFonts w:ascii="Arial" w:cs="Arial" w:eastAsia="Arial" w:hAnsi="Arial"/>
          <w:sz w:val="18"/>
          <w:szCs w:val="18"/>
          <w:i w:val="1"/>
          <w:iCs w:val="1"/>
          <w:color w:val="auto"/>
        </w:rPr>
        <w:t>Liability of Collateral Agent,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Receiver </w:t>
      </w:r>
      <w:r>
        <w:rPr>
          <w:rFonts w:ascii="Arial" w:cs="Arial" w:eastAsia="Arial" w:hAnsi="Arial"/>
          <w:sz w:val="18"/>
          <w:szCs w:val="18"/>
          <w:color w:val="auto"/>
        </w:rPr>
        <w:t>) in accordance with the Third Parties Act (but subject to Clause 27.5 (</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1079"/>
        </w:numPr>
        <w:rPr>
          <w:rFonts w:ascii="Arial" w:cs="Arial" w:eastAsia="Arial" w:hAnsi="Arial"/>
          <w:sz w:val="18"/>
          <w:szCs w:val="18"/>
          <w:b w:val="1"/>
          <w:bCs w:val="1"/>
          <w:color w:val="010000"/>
        </w:rPr>
      </w:pPr>
      <w:r>
        <w:rPr>
          <w:rFonts w:ascii="Arial" w:cs="Arial" w:eastAsia="Arial" w:hAnsi="Arial"/>
          <w:sz w:val="18"/>
          <w:szCs w:val="18"/>
          <w:b w:val="1"/>
          <w:bCs w:val="1"/>
          <w:color w:val="auto"/>
        </w:rPr>
        <w:t>INDEMNITY</w:t>
      </w:r>
    </w:p>
    <w:p>
      <w:pPr>
        <w:spacing w:after="0" w:line="229" w:lineRule="exact"/>
        <w:rPr>
          <w:rFonts w:ascii="Arial" w:cs="Arial" w:eastAsia="Arial" w:hAnsi="Arial"/>
          <w:sz w:val="18"/>
          <w:szCs w:val="18"/>
          <w:b w:val="1"/>
          <w:bCs w:val="1"/>
          <w:color w:val="010000"/>
        </w:rPr>
      </w:pPr>
    </w:p>
    <w:p>
      <w:pPr>
        <w:jc w:val="both"/>
        <w:ind w:left="660"/>
        <w:spacing w:after="0" w:line="264" w:lineRule="auto"/>
        <w:rPr>
          <w:rFonts w:ascii="Arial" w:cs="Arial" w:eastAsia="Arial" w:hAnsi="Arial"/>
          <w:sz w:val="18"/>
          <w:szCs w:val="18"/>
          <w:b w:val="1"/>
          <w:bCs w:val="1"/>
          <w:color w:val="010000"/>
        </w:rPr>
      </w:pPr>
      <w:r>
        <w:rPr>
          <w:rFonts w:ascii="Arial" w:cs="Arial" w:eastAsia="Arial" w:hAnsi="Arial"/>
          <w:sz w:val="18"/>
          <w:szCs w:val="18"/>
          <w:color w:val="auto"/>
        </w:rPr>
        <w:t>The Mortgagor shall indemnify each Relevant Person to the extent that and in the manner in which the Borrowers indemnify the Indemnitees under Section 11.04 (</w:t>
      </w:r>
      <w:r>
        <w:rPr>
          <w:rFonts w:ascii="Arial" w:cs="Arial" w:eastAsia="Arial" w:hAnsi="Arial"/>
          <w:sz w:val="18"/>
          <w:szCs w:val="18"/>
          <w:i w:val="1"/>
          <w:iCs w:val="1"/>
          <w:color w:val="auto"/>
        </w:rPr>
        <w:t>Indemnity</w:t>
      </w:r>
      <w:r>
        <w:rPr>
          <w:rFonts w:ascii="Arial" w:cs="Arial" w:eastAsia="Arial" w:hAnsi="Arial"/>
          <w:sz w:val="18"/>
          <w:szCs w:val="18"/>
          <w:color w:val="auto"/>
        </w:rPr>
        <w:t>) of the Loan Agreement. Each Relevant Person may rely on this Clause 20 (</w:t>
      </w:r>
      <w:r>
        <w:rPr>
          <w:rFonts w:ascii="Arial" w:cs="Arial" w:eastAsia="Arial" w:hAnsi="Arial"/>
          <w:sz w:val="18"/>
          <w:szCs w:val="18"/>
          <w:i w:val="1"/>
          <w:iCs w:val="1"/>
          <w:color w:val="auto"/>
        </w:rPr>
        <w:t>Indemnity</w:t>
      </w:r>
      <w:r>
        <w:rPr>
          <w:rFonts w:ascii="Arial" w:cs="Arial" w:eastAsia="Arial" w:hAnsi="Arial"/>
          <w:sz w:val="18"/>
          <w:szCs w:val="18"/>
          <w:color w:val="auto"/>
        </w:rPr>
        <w:t>) in accordance with the Third Parties Act but subject to Clause 27.5 (</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79"/>
        </w:numPr>
        <w:rPr>
          <w:rFonts w:ascii="Arial" w:cs="Arial" w:eastAsia="Arial" w:hAnsi="Arial"/>
          <w:sz w:val="18"/>
          <w:szCs w:val="18"/>
          <w:b w:val="1"/>
          <w:bCs w:val="1"/>
          <w:color w:val="010000"/>
        </w:rPr>
      </w:pPr>
      <w:r>
        <w:rPr>
          <w:rFonts w:ascii="Arial" w:cs="Arial" w:eastAsia="Arial" w:hAnsi="Arial"/>
          <w:sz w:val="18"/>
          <w:szCs w:val="18"/>
          <w:b w:val="1"/>
          <w:bCs w:val="1"/>
          <w:color w:val="auto"/>
        </w:rPr>
        <w:t>PROTECTION OF THIRD PARTIES</w:t>
      </w:r>
    </w:p>
    <w:p>
      <w:pPr>
        <w:spacing w:after="0" w:line="229" w:lineRule="exact"/>
        <w:rPr>
          <w:rFonts w:ascii="Arial" w:cs="Arial" w:eastAsia="Arial" w:hAnsi="Arial"/>
          <w:sz w:val="18"/>
          <w:szCs w:val="18"/>
          <w:b w:val="1"/>
          <w:bCs w:val="1"/>
          <w:color w:val="010000"/>
        </w:rPr>
      </w:pPr>
    </w:p>
    <w:p>
      <w:pPr>
        <w:jc w:val="both"/>
        <w:ind w:left="660"/>
        <w:spacing w:after="0" w:line="272" w:lineRule="auto"/>
        <w:rPr>
          <w:rFonts w:ascii="Arial" w:cs="Arial" w:eastAsia="Arial" w:hAnsi="Arial"/>
          <w:sz w:val="18"/>
          <w:szCs w:val="18"/>
          <w:b w:val="1"/>
          <w:bCs w:val="1"/>
          <w:color w:val="010000"/>
        </w:rPr>
      </w:pPr>
      <w:r>
        <w:rPr>
          <w:rFonts w:ascii="Arial" w:cs="Arial" w:eastAsia="Arial" w:hAnsi="Arial"/>
          <w:sz w:val="17"/>
          <w:szCs w:val="17"/>
          <w:color w:val="auto"/>
        </w:rPr>
        <w:t>No person (including a purchaser) dealing with the Collateral Agent, any Receiver or any Delegate shall be concerned to enquire: (a) whether any Secured Obligation has become payable or remains outstanding; (b) whether any event has happened upon which any of the Rights exercised or purported to be exercised by the Collateral Agent, any Receiver or any Delegate under or in connection with this Deed, the LPA, the Insolvency Act or otherwise has arisen or become exercisable; (c) whether any consents, regulations, restrictions or directions relating to any such Rights have been obtained or complied with; (d) otherwise as to the propriety, regularity or validity of the exercise or purported exercise of any such Rights; or (e) as to the application of any moneys borrowed or raised or any realisation proceeds and the receipt of the Collateral Agent, Receiver or Delegate shall be an absolute and conclusive discharge to the relevant person.</w:t>
      </w:r>
    </w:p>
    <w:p>
      <w:pPr>
        <w:spacing w:after="0" w:line="173"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79"/>
        </w:numPr>
        <w:rPr>
          <w:rFonts w:ascii="Arial" w:cs="Arial" w:eastAsia="Arial" w:hAnsi="Arial"/>
          <w:sz w:val="18"/>
          <w:szCs w:val="18"/>
          <w:b w:val="1"/>
          <w:bCs w:val="1"/>
          <w:color w:val="010000"/>
        </w:rPr>
      </w:pPr>
      <w:r>
        <w:rPr>
          <w:rFonts w:ascii="Arial" w:cs="Arial" w:eastAsia="Arial" w:hAnsi="Arial"/>
          <w:sz w:val="18"/>
          <w:szCs w:val="18"/>
          <w:b w:val="1"/>
          <w:bCs w:val="1"/>
          <w:color w:val="auto"/>
        </w:rPr>
        <w:t>SECURITY CONTINUING, CUMULATIVE AND NOT TO BE AFFECTED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22.1</w:t>
      </w:r>
      <w:r>
        <w:rPr>
          <w:sz w:val="20"/>
          <w:szCs w:val="20"/>
          <w:color w:val="auto"/>
        </w:rPr>
        <w:tab/>
      </w:r>
      <w:r>
        <w:rPr>
          <w:rFonts w:ascii="Arial" w:cs="Arial" w:eastAsia="Arial" w:hAnsi="Arial"/>
          <w:sz w:val="16"/>
          <w:szCs w:val="16"/>
          <w:b w:val="1"/>
          <w:bCs w:val="1"/>
          <w:color w:val="auto"/>
        </w:rPr>
        <w:t>Continuing security</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Clauses 26.1, 26.2 and 26.3 (</w:t>
      </w:r>
      <w:r>
        <w:rPr>
          <w:rFonts w:ascii="Arial" w:cs="Arial" w:eastAsia="Arial" w:hAnsi="Arial"/>
          <w:sz w:val="18"/>
          <w:szCs w:val="18"/>
          <w:i w:val="1"/>
          <w:iCs w:val="1"/>
          <w:color w:val="auto"/>
        </w:rPr>
        <w:t>Release of Security</w:t>
      </w:r>
      <w:r>
        <w:rPr>
          <w:rFonts w:ascii="Arial" w:cs="Arial" w:eastAsia="Arial" w:hAnsi="Arial"/>
          <w:sz w:val="18"/>
          <w:szCs w:val="18"/>
          <w:color w:val="auto"/>
        </w:rPr>
        <w:t>), the Security shall remain in full force and effect as a continuing security to the Collateral Agent for the Secured Obligations and shall not be satisfied, discharged or affected by any intermediate payment or discharge of all or part of the Secured Obligations or by any other matter or thing whatsoever.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22.2</w:t>
      </w:r>
      <w:r>
        <w:rPr>
          <w:sz w:val="20"/>
          <w:szCs w:val="20"/>
          <w:color w:val="auto"/>
        </w:rPr>
        <w:tab/>
      </w:r>
      <w:r>
        <w:rPr>
          <w:rFonts w:ascii="Arial" w:cs="Arial" w:eastAsia="Arial" w:hAnsi="Arial"/>
          <w:sz w:val="16"/>
          <w:szCs w:val="16"/>
          <w:b w:val="1"/>
          <w:bCs w:val="1"/>
          <w:color w:val="auto"/>
        </w:rPr>
        <w:t>Security Interests cumulative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Security is in addition to, and shall not be prejudiced by, any other Security Interest, guarantee, indemnity, right of recourse or any other right which the Collateral Agent or any Secured Party may now or hereafter have in respect of all or any part of the Secured Obligations. No prior Security Interest shall merge with any Security.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81" w:name="page982"/>
    <w:bookmarkEnd w:id="981"/>
    <w:p>
      <w:pPr>
        <w:spacing w:after="0"/>
        <w:tabs>
          <w:tab w:leader="none" w:pos="640" w:val="left"/>
        </w:tabs>
        <w:rPr>
          <w:sz w:val="20"/>
          <w:szCs w:val="20"/>
          <w:color w:val="auto"/>
        </w:rPr>
      </w:pPr>
      <w:r>
        <w:rPr>
          <w:rFonts w:ascii="Arial" w:cs="Arial" w:eastAsia="Arial" w:hAnsi="Arial"/>
          <w:sz w:val="18"/>
          <w:szCs w:val="18"/>
          <w:b w:val="1"/>
          <w:bCs w:val="1"/>
          <w:color w:val="010000"/>
        </w:rPr>
        <w:t>22.3</w:t>
      </w:r>
      <w:r>
        <w:rPr>
          <w:sz w:val="20"/>
          <w:szCs w:val="20"/>
          <w:color w:val="auto"/>
        </w:rPr>
        <w:tab/>
      </w:r>
      <w:r>
        <w:rPr>
          <w:rFonts w:ascii="Arial" w:cs="Arial" w:eastAsia="Arial" w:hAnsi="Arial"/>
          <w:sz w:val="15"/>
          <w:szCs w:val="15"/>
          <w:b w:val="1"/>
          <w:bCs w:val="1"/>
          <w:color w:val="auto"/>
        </w:rPr>
        <w:t>Security not to be affected</w:t>
      </w:r>
    </w:p>
    <w:p>
      <w:pPr>
        <w:spacing w:after="0" w:line="229"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Neither the obligations of the Mortgagor under or pursuant to this Deed nor the Security will be prejudiced or affected by any act, omission or thing (whether or not known to the Mortgagor or the Collateral Agent or any Secured Party) which, but for this provision, would reduce, release, prejudice or provide any defence in respect of any of the Mortgagor's obligations under or pursuant to this Deed or the Security including, without limitation:</w:t>
      </w:r>
    </w:p>
    <w:p>
      <w:pPr>
        <w:jc w:val="both"/>
        <w:ind w:left="660" w:hanging="4"/>
        <w:spacing w:after="0" w:line="267" w:lineRule="auto"/>
        <w:tabs>
          <w:tab w:leader="none" w:pos="944" w:val="left"/>
        </w:tabs>
        <w:numPr>
          <w:ilvl w:val="1"/>
          <w:numId w:val="1080"/>
        </w:numPr>
        <w:rPr>
          <w:rFonts w:ascii="Arial" w:cs="Arial" w:eastAsia="Arial" w:hAnsi="Arial"/>
          <w:sz w:val="17"/>
          <w:szCs w:val="17"/>
          <w:color w:val="auto"/>
        </w:rPr>
      </w:pPr>
      <w:r>
        <w:rPr>
          <w:rFonts w:ascii="Arial" w:cs="Arial" w:eastAsia="Arial" w:hAnsi="Arial"/>
          <w:sz w:val="17"/>
          <w:szCs w:val="17"/>
          <w:color w:val="auto"/>
        </w:rPr>
        <w:t>any variation, amendment, novation, supplement, extension, restatement or replacement of, or any waiver or release granted under or in connection with, any Loan Document, any document the obligations under which are secured hereunder, any other security, any guarantee, any indemnity or any other document; (b) any time being given, or any other indulgence or concession being granted, by the Collateral Agent to the Mortgagor or any other person; (c) the taking, variation, compromise, exchange, renewal or release of, or refusal or neglect to perfect, take up or enforce, any rights against, or any Security Interest over assets of, any other person; (d) any non-observance of any formality; (e) any incapacity or lack of power or authority of the Mortgagor or any other person; (f) any change in the constitution, membership, ownership, legal form, name or status of the Mortgagor or any other person; (g) any unenforceability, illegality or invalidity of any obligation of any person under any other deed or document; or (h) any insolvency or similar proceedings; (i) any amalgamation, merger or reconstruction effected by the Collateral Agent with any other person or any sale or transfer of the whole or any part of the undertaking and assets of the Collateral Agent to any other person; (j) the existence of any claim, set-off or other right which the Mortgagor may have at any time against the Collateral Agent or any other person; or (k) the making or absence of any demand for payment of any Obligation by the Collateral Agent or otherwise.</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1081"/>
        </w:numPr>
        <w:rPr>
          <w:rFonts w:ascii="Arial" w:cs="Arial" w:eastAsia="Arial" w:hAnsi="Arial"/>
          <w:sz w:val="18"/>
          <w:szCs w:val="18"/>
          <w:b w:val="1"/>
          <w:bCs w:val="1"/>
          <w:color w:val="010000"/>
        </w:rPr>
      </w:pPr>
      <w:r>
        <w:rPr>
          <w:rFonts w:ascii="Arial" w:cs="Arial" w:eastAsia="Arial" w:hAnsi="Arial"/>
          <w:sz w:val="18"/>
          <w:szCs w:val="18"/>
          <w:b w:val="1"/>
          <w:bCs w:val="1"/>
          <w:color w:val="auto"/>
        </w:rPr>
        <w:t>CERTIFICATE CONCLUSIVE, ETC</w:t>
      </w:r>
    </w:p>
    <w:p>
      <w:pPr>
        <w:spacing w:after="0" w:line="229" w:lineRule="exact"/>
        <w:rPr>
          <w:rFonts w:ascii="Arial" w:cs="Arial" w:eastAsia="Arial" w:hAnsi="Arial"/>
          <w:sz w:val="18"/>
          <w:szCs w:val="18"/>
          <w:b w:val="1"/>
          <w:bCs w:val="1"/>
          <w:color w:val="010000"/>
        </w:rPr>
      </w:pPr>
    </w:p>
    <w:p>
      <w:pPr>
        <w:jc w:val="both"/>
        <w:ind w:left="660"/>
        <w:spacing w:after="0" w:line="279" w:lineRule="auto"/>
        <w:rPr>
          <w:rFonts w:ascii="Arial" w:cs="Arial" w:eastAsia="Arial" w:hAnsi="Arial"/>
          <w:sz w:val="18"/>
          <w:szCs w:val="18"/>
          <w:b w:val="1"/>
          <w:bCs w:val="1"/>
          <w:color w:val="010000"/>
        </w:rPr>
      </w:pPr>
      <w:r>
        <w:rPr>
          <w:rFonts w:ascii="Arial" w:cs="Arial" w:eastAsia="Arial" w:hAnsi="Arial"/>
          <w:sz w:val="17"/>
          <w:szCs w:val="17"/>
          <w:color w:val="auto"/>
        </w:rPr>
        <w:t>For all purposes, including any Proceedings, a certificate signed by any officer or manager of the Collateral Agent (or copy thereof) as to the amount of any indebtedness comprised in the Secured Obligations, any applicable rate of interest or any other amount or interest rate for the purpose of this Deed shall, in the absence of manifest error, be conclusive and binding on the Mortgagor and all entries in any accounts maintained by the Collateral Agent for the purposes of this Deed shall be prima facie evidence of the matters to which they relate.</w:t>
      </w:r>
    </w:p>
    <w:p>
      <w:pPr>
        <w:spacing w:after="0" w:line="167"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81"/>
        </w:numPr>
        <w:rPr>
          <w:rFonts w:ascii="Arial" w:cs="Arial" w:eastAsia="Arial" w:hAnsi="Arial"/>
          <w:sz w:val="18"/>
          <w:szCs w:val="18"/>
          <w:b w:val="1"/>
          <w:bCs w:val="1"/>
          <w:color w:val="010000"/>
        </w:rPr>
      </w:pPr>
      <w:r>
        <w:rPr>
          <w:rFonts w:ascii="Arial" w:cs="Arial" w:eastAsia="Arial" w:hAnsi="Arial"/>
          <w:sz w:val="18"/>
          <w:szCs w:val="18"/>
          <w:b w:val="1"/>
          <w:bCs w:val="1"/>
          <w:color w:val="auto"/>
        </w:rPr>
        <w:t>NO SET-OFF BY MORTGAGOR</w:t>
      </w:r>
    </w:p>
    <w:p>
      <w:pPr>
        <w:spacing w:after="0" w:line="229" w:lineRule="exact"/>
        <w:rPr>
          <w:rFonts w:ascii="Arial" w:cs="Arial" w:eastAsia="Arial" w:hAnsi="Arial"/>
          <w:sz w:val="18"/>
          <w:szCs w:val="18"/>
          <w:b w:val="1"/>
          <w:bCs w:val="1"/>
          <w:color w:val="010000"/>
        </w:rPr>
      </w:pPr>
    </w:p>
    <w:p>
      <w:pPr>
        <w:jc w:val="both"/>
        <w:ind w:left="660"/>
        <w:spacing w:after="0" w:line="259" w:lineRule="auto"/>
        <w:rPr>
          <w:rFonts w:ascii="Arial" w:cs="Arial" w:eastAsia="Arial" w:hAnsi="Arial"/>
          <w:sz w:val="18"/>
          <w:szCs w:val="18"/>
          <w:b w:val="1"/>
          <w:bCs w:val="1"/>
          <w:color w:val="010000"/>
        </w:rPr>
      </w:pPr>
      <w:r>
        <w:rPr>
          <w:rFonts w:ascii="Arial" w:cs="Arial" w:eastAsia="Arial" w:hAnsi="Arial"/>
          <w:sz w:val="18"/>
          <w:szCs w:val="18"/>
          <w:color w:val="auto"/>
        </w:rPr>
        <w:t>The Mortgagor shall not be entitled to, and shall not, set off any obligation owed by the Collateral Agent or any other Secured Party to the Mortgagor against any obligation whether or not matured owed by the Mortgagor to the Collateral Agent or other Secured Party and shall make all payments to be made by it under this Deed in full without any set off, restriction or condition and without any deduction for or on account of any counterclaim.</w:t>
      </w:r>
    </w:p>
    <w:p>
      <w:pPr>
        <w:spacing w:after="0" w:line="182"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81"/>
        </w:numPr>
        <w:rPr>
          <w:rFonts w:ascii="Arial" w:cs="Arial" w:eastAsia="Arial" w:hAnsi="Arial"/>
          <w:sz w:val="18"/>
          <w:szCs w:val="18"/>
          <w:b w:val="1"/>
          <w:bCs w:val="1"/>
          <w:color w:val="010000"/>
        </w:rPr>
      </w:pPr>
      <w:r>
        <w:rPr>
          <w:rFonts w:ascii="Arial" w:cs="Arial" w:eastAsia="Arial" w:hAnsi="Arial"/>
          <w:sz w:val="18"/>
          <w:szCs w:val="18"/>
          <w:b w:val="1"/>
          <w:bCs w:val="1"/>
          <w:color w:val="auto"/>
        </w:rPr>
        <w:t>COSTS AND EXPENSES</w:t>
      </w:r>
    </w:p>
    <w:p>
      <w:pPr>
        <w:spacing w:after="0" w:line="229" w:lineRule="exact"/>
        <w:rPr>
          <w:rFonts w:ascii="Arial" w:cs="Arial" w:eastAsia="Arial" w:hAnsi="Arial"/>
          <w:sz w:val="18"/>
          <w:szCs w:val="18"/>
          <w:b w:val="1"/>
          <w:bCs w:val="1"/>
          <w:color w:val="010000"/>
        </w:rPr>
      </w:pPr>
    </w:p>
    <w:p>
      <w:pPr>
        <w:ind w:left="660"/>
        <w:spacing w:after="0" w:line="277" w:lineRule="auto"/>
        <w:rPr>
          <w:rFonts w:ascii="Arial" w:cs="Arial" w:eastAsia="Arial" w:hAnsi="Arial"/>
          <w:sz w:val="18"/>
          <w:szCs w:val="18"/>
          <w:b w:val="1"/>
          <w:bCs w:val="1"/>
          <w:color w:val="010000"/>
        </w:rPr>
      </w:pPr>
      <w:r>
        <w:rPr>
          <w:rFonts w:ascii="Arial" w:cs="Arial" w:eastAsia="Arial" w:hAnsi="Arial"/>
          <w:sz w:val="18"/>
          <w:szCs w:val="18"/>
          <w:color w:val="auto"/>
        </w:rPr>
        <w:t>The Mortgagor shall pay to the Collateral Agent in relation to this Deed such costs and expenses as are of the type which are reimbursable by the Borrowers pursuant to Section 11.03 (</w:t>
      </w:r>
      <w:r>
        <w:rPr>
          <w:rFonts w:ascii="Arial" w:cs="Arial" w:eastAsia="Arial" w:hAnsi="Arial"/>
          <w:sz w:val="18"/>
          <w:szCs w:val="18"/>
          <w:i w:val="1"/>
          <w:iCs w:val="1"/>
          <w:color w:val="auto"/>
        </w:rPr>
        <w:t>Expenses, Etc.</w:t>
      </w:r>
      <w:r>
        <w:rPr>
          <w:rFonts w:ascii="Arial" w:cs="Arial" w:eastAsia="Arial" w:hAnsi="Arial"/>
          <w:sz w:val="18"/>
          <w:szCs w:val="18"/>
          <w:color w:val="auto"/>
        </w:rPr>
        <w:t>) of the Loan Agreement.</w:t>
      </w:r>
    </w:p>
    <w:p>
      <w:pPr>
        <w:spacing w:after="0" w:line="166"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81"/>
        </w:numPr>
        <w:rPr>
          <w:rFonts w:ascii="Arial" w:cs="Arial" w:eastAsia="Arial" w:hAnsi="Arial"/>
          <w:sz w:val="18"/>
          <w:szCs w:val="18"/>
          <w:b w:val="1"/>
          <w:bCs w:val="1"/>
          <w:color w:val="010000"/>
        </w:rPr>
      </w:pPr>
      <w:r>
        <w:rPr>
          <w:rFonts w:ascii="Arial" w:cs="Arial" w:eastAsia="Arial" w:hAnsi="Arial"/>
          <w:sz w:val="18"/>
          <w:szCs w:val="18"/>
          <w:b w:val="1"/>
          <w:bCs w:val="1"/>
          <w:color w:val="auto"/>
        </w:rPr>
        <w:t>RELEASE OF SECURITY</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Arial" w:cs="Arial" w:eastAsia="Arial" w:hAnsi="Arial"/>
          <w:sz w:val="18"/>
          <w:szCs w:val="18"/>
          <w:color w:val="010000"/>
        </w:rPr>
        <w:t>26.1</w:t>
      </w:r>
      <w:r>
        <w:rPr>
          <w:sz w:val="20"/>
          <w:szCs w:val="20"/>
          <w:color w:val="auto"/>
        </w:rPr>
        <w:tab/>
      </w:r>
      <w:r>
        <w:rPr>
          <w:rFonts w:ascii="Arial" w:cs="Arial" w:eastAsia="Arial" w:hAnsi="Arial"/>
          <w:sz w:val="18"/>
          <w:szCs w:val="18"/>
          <w:color w:val="auto"/>
        </w:rPr>
        <w:t xml:space="preserve">Subject to Clauses 26.2 and 26.3 </w:t>
      </w:r>
      <w:r>
        <w:rPr>
          <w:rFonts w:ascii="Arial" w:cs="Arial" w:eastAsia="Arial" w:hAnsi="Arial"/>
          <w:sz w:val="18"/>
          <w:szCs w:val="18"/>
          <w:i w:val="1"/>
          <w:iCs w:val="1"/>
          <w:color w:val="auto"/>
        </w:rPr>
        <w:t>(Release of Security</w:t>
      </w:r>
      <w:r>
        <w:rPr>
          <w:rFonts w:ascii="Arial" w:cs="Arial" w:eastAsia="Arial" w:hAnsi="Arial"/>
          <w:sz w:val="18"/>
          <w:szCs w:val="18"/>
          <w:b w:val="1"/>
          <w:bCs w:val="1"/>
          <w:color w:val="auto"/>
        </w:rPr>
        <w:t>)</w:t>
      </w:r>
      <w:r>
        <w:rPr>
          <w:rFonts w:ascii="Arial" w:cs="Arial" w:eastAsia="Arial" w:hAnsi="Arial"/>
          <w:sz w:val="18"/>
          <w:szCs w:val="18"/>
          <w:color w:val="auto"/>
        </w:rPr>
        <w:t>, upon Payment in Full, the Collateral Agent shall, at the request and cost of the Mortgagor, execute such documents and do all such things as may be necessary to release the Secured Assets from the Security.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82" w:name="page983"/>
    <w:bookmarkEnd w:id="982"/>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010000"/>
        </w:rPr>
        <w:t>26.2</w:t>
      </w:r>
      <w:r>
        <w:rPr>
          <w:sz w:val="20"/>
          <w:szCs w:val="20"/>
          <w:color w:val="auto"/>
        </w:rPr>
        <w:tab/>
      </w:r>
      <w:r>
        <w:rPr>
          <w:rFonts w:ascii="Arial" w:cs="Arial" w:eastAsia="Arial" w:hAnsi="Arial"/>
          <w:sz w:val="18"/>
          <w:szCs w:val="18"/>
          <w:color w:val="auto"/>
        </w:rPr>
        <w:t>Notwithstanding anything to the contrary in this Deed (including, without limitation, Clauses 26.1 and 26.3 (</w:t>
      </w:r>
      <w:r>
        <w:rPr>
          <w:rFonts w:ascii="Arial" w:cs="Arial" w:eastAsia="Arial" w:hAnsi="Arial"/>
          <w:sz w:val="18"/>
          <w:szCs w:val="18"/>
          <w:i w:val="1"/>
          <w:iCs w:val="1"/>
          <w:color w:val="auto"/>
        </w:rPr>
        <w:t>Release of Security</w:t>
      </w:r>
      <w:r>
        <w:rPr>
          <w:rFonts w:ascii="Arial" w:cs="Arial" w:eastAsia="Arial" w:hAnsi="Arial"/>
          <w:sz w:val="18"/>
          <w:szCs w:val="18"/>
          <w:color w:val="auto"/>
        </w:rPr>
        <w:t>) hereof), the obligations of the Mortgagor under this Deed shall automatically terminate and the Collateral Agent shall, at the request and cost of the Mortgagor, execute such documents and do all such things as may be necessary to release the Secured Assets from the Security to the extent provided in and in accordance with Section 11.01(c) (</w:t>
      </w:r>
      <w:r>
        <w:rPr>
          <w:rFonts w:ascii="Arial" w:cs="Arial" w:eastAsia="Arial" w:hAnsi="Arial"/>
          <w:sz w:val="18"/>
          <w:szCs w:val="18"/>
          <w:i w:val="1"/>
          <w:iCs w:val="1"/>
          <w:color w:val="auto"/>
        </w:rPr>
        <w:t>Waiver; Amendments; Joinder; Release of Guarantors; Release of Collateral</w:t>
      </w:r>
      <w:r>
        <w:rPr>
          <w:rFonts w:ascii="Arial" w:cs="Arial" w:eastAsia="Arial" w:hAnsi="Arial"/>
          <w:sz w:val="18"/>
          <w:szCs w:val="18"/>
          <w:color w:val="auto"/>
        </w:rPr>
        <w:t>) and Section 11.23 (</w:t>
      </w:r>
      <w:r>
        <w:rPr>
          <w:rFonts w:ascii="Arial" w:cs="Arial" w:eastAsia="Arial" w:hAnsi="Arial"/>
          <w:sz w:val="18"/>
          <w:szCs w:val="18"/>
          <w:i w:val="1"/>
          <w:iCs w:val="1"/>
          <w:color w:val="auto"/>
        </w:rPr>
        <w:t>Release of</w:t>
      </w:r>
      <w:r>
        <w:rPr>
          <w:rFonts w:ascii="Arial" w:cs="Arial" w:eastAsia="Arial" w:hAnsi="Arial"/>
          <w:sz w:val="18"/>
          <w:szCs w:val="18"/>
          <w:color w:val="auto"/>
        </w:rPr>
        <w:t xml:space="preserve"> </w:t>
      </w:r>
      <w:r>
        <w:rPr>
          <w:rFonts w:ascii="Arial" w:cs="Arial" w:eastAsia="Arial" w:hAnsi="Arial"/>
          <w:sz w:val="18"/>
          <w:szCs w:val="18"/>
          <w:i w:val="1"/>
          <w:iCs w:val="1"/>
          <w:color w:val="auto"/>
        </w:rPr>
        <w:t>Guarantors</w:t>
      </w:r>
      <w:r>
        <w:rPr>
          <w:rFonts w:ascii="Arial" w:cs="Arial" w:eastAsia="Arial" w:hAnsi="Arial"/>
          <w:sz w:val="18"/>
          <w:szCs w:val="18"/>
          <w:color w:val="auto"/>
        </w:rPr>
        <w:t>) of the Loan Agreement.</w:t>
      </w:r>
    </w:p>
    <w:p>
      <w:pPr>
        <w:spacing w:after="0" w:line="188"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010000"/>
        </w:rPr>
        <w:t>26.3</w:t>
      </w:r>
      <w:r>
        <w:rPr>
          <w:sz w:val="20"/>
          <w:szCs w:val="20"/>
          <w:color w:val="auto"/>
        </w:rPr>
        <w:tab/>
      </w:r>
      <w:r>
        <w:rPr>
          <w:rFonts w:ascii="Arial" w:cs="Arial" w:eastAsia="Arial" w:hAnsi="Arial"/>
          <w:sz w:val="18"/>
          <w:szCs w:val="18"/>
          <w:color w:val="auto"/>
        </w:rPr>
        <w:t>If any amount paid by the Mortgagor in respect of the Secured Obligations is capable of being avoided or set aside on the liquidation or administration of the Mortgagor or otherwise, then for the purposes of this Deed that amount shall not be considered to have been paid. No interest shall accrue on any such amount, unless and until such amount is so avoided or set aside.</w:t>
      </w:r>
    </w:p>
    <w:p>
      <w:pPr>
        <w:spacing w:after="0" w:line="177" w:lineRule="exact"/>
        <w:rPr>
          <w:sz w:val="20"/>
          <w:szCs w:val="20"/>
          <w:color w:val="auto"/>
        </w:rPr>
      </w:pPr>
    </w:p>
    <w:p>
      <w:pPr>
        <w:ind w:right="9060" w:firstLine="8"/>
        <w:spacing w:after="0" w:line="503" w:lineRule="auto"/>
        <w:tabs>
          <w:tab w:leader="none" w:pos="648" w:val="left"/>
        </w:tabs>
        <w:numPr>
          <w:ilvl w:val="0"/>
          <w:numId w:val="1082"/>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MISCELLANEOUS </w:t>
      </w:r>
      <w:r>
        <w:rPr>
          <w:rFonts w:ascii="Arial" w:cs="Arial" w:eastAsia="Arial" w:hAnsi="Arial"/>
          <w:sz w:val="18"/>
          <w:szCs w:val="18"/>
          <w:b w:val="1"/>
          <w:bCs w:val="1"/>
          <w:color w:val="010000"/>
        </w:rPr>
        <w:t xml:space="preserve">27.1 </w:t>
      </w:r>
      <w:r>
        <w:rPr>
          <w:rFonts w:ascii="Arial" w:cs="Arial" w:eastAsia="Arial" w:hAnsi="Arial"/>
          <w:sz w:val="18"/>
          <w:szCs w:val="18"/>
          <w:b w:val="1"/>
          <w:bCs w:val="1"/>
          <w:color w:val="000000"/>
        </w:rPr>
        <w:t>Remedies and waivers</w:t>
      </w:r>
    </w:p>
    <w:p>
      <w:pPr>
        <w:spacing w:after="0" w:line="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No failure to exercise or delay in exercising any right, power or remedy provided by law or under this Deed shall operate to impair the same or be construed as a waiver of it. No single or partial exercise of any such right, power or remedy shall preclude or restrict any further or other exercise of the same or the exercise of any other right, power or remedy. No waiver of any such right, power or remedy shall constitute a waiver of any other right, power or remedy. Except as expressly provided in this Deed, the rights, powers and remedies provided in this Deed are cumulative and not exclusive of any rights provided by law.</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27.2</w:t>
      </w:r>
      <w:r>
        <w:rPr>
          <w:sz w:val="20"/>
          <w:szCs w:val="20"/>
          <w:color w:val="auto"/>
        </w:rPr>
        <w:tab/>
      </w:r>
      <w:r>
        <w:rPr>
          <w:rFonts w:ascii="Arial" w:cs="Arial" w:eastAsia="Arial" w:hAnsi="Arial"/>
          <w:sz w:val="15"/>
          <w:szCs w:val="15"/>
          <w:b w:val="1"/>
          <w:bCs w:val="1"/>
          <w:color w:val="auto"/>
        </w:rPr>
        <w:t>Variations and consents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 consent, variation or waiver in respect of any provision of this Deed shall be effective unless it is agreed in writing and signed by or on behalf of each of the parties to this Deed.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27.3</w:t>
      </w:r>
      <w:r>
        <w:rPr>
          <w:sz w:val="20"/>
          <w:szCs w:val="20"/>
          <w:color w:val="auto"/>
        </w:rPr>
        <w:tab/>
      </w:r>
      <w:r>
        <w:rPr>
          <w:rFonts w:ascii="Arial" w:cs="Arial" w:eastAsia="Arial" w:hAnsi="Arial"/>
          <w:sz w:val="16"/>
          <w:szCs w:val="16"/>
          <w:b w:val="1"/>
          <w:bCs w:val="1"/>
          <w:color w:val="auto"/>
        </w:rPr>
        <w:t>Invalidity and severability</w:t>
      </w:r>
    </w:p>
    <w:p>
      <w:pPr>
        <w:spacing w:after="0" w:line="22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If any provision of this Deed is or becomes or is found by a court or other competent authority to be illegal, invalid or unenforceable in any respect, in whole or in part, under any law of any jurisdiction, that shall not affect or impair the legality, validity and enforceability in that jurisdiction of any other provision of this Deed or the legality, validity or enforceability in any other jurisdiction of that provision or any other provision of this Deed.</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27.4</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Deed (and each variation or waiver in respect of any provision of it) may be executed in any number of counterparts and by the parties on separate counterparts, but shall not be effective until each party has executed at least one counterpart. Each counterpart, once executed and, where relevant, delivered, shall constitute an original of this Deed or the relevant variation or waiver, but all the counterparts together shall constitute one and the same instrument.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83" w:name="page984"/>
    <w:bookmarkEnd w:id="983"/>
    <w:p>
      <w:pPr>
        <w:spacing w:after="0"/>
        <w:tabs>
          <w:tab w:leader="none" w:pos="640" w:val="left"/>
        </w:tabs>
        <w:rPr>
          <w:sz w:val="20"/>
          <w:szCs w:val="20"/>
          <w:color w:val="auto"/>
        </w:rPr>
      </w:pPr>
      <w:r>
        <w:rPr>
          <w:rFonts w:ascii="Arial" w:cs="Arial" w:eastAsia="Arial" w:hAnsi="Arial"/>
          <w:sz w:val="18"/>
          <w:szCs w:val="18"/>
          <w:b w:val="1"/>
          <w:bCs w:val="1"/>
          <w:color w:val="010000"/>
        </w:rPr>
        <w:t>27.5</w:t>
      </w:r>
      <w:r>
        <w:rPr>
          <w:sz w:val="20"/>
          <w:szCs w:val="20"/>
          <w:color w:val="auto"/>
        </w:rPr>
        <w:tab/>
      </w:r>
      <w:r>
        <w:rPr>
          <w:rFonts w:ascii="Arial" w:cs="Arial" w:eastAsia="Arial" w:hAnsi="Arial"/>
          <w:sz w:val="16"/>
          <w:szCs w:val="16"/>
          <w:b w:val="1"/>
          <w:bCs w:val="1"/>
          <w:color w:val="auto"/>
        </w:rPr>
        <w:t>Third party rights</w:t>
      </w:r>
    </w:p>
    <w:p>
      <w:pPr>
        <w:spacing w:after="0" w:line="22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Except for each Secured Party who is not party to this Deed and as otherwise specifically provided herein a person who is not party to this Deed has no right under the Third Parties Act to enforce any provision of this Deed. Each Secured Party (who is not party to this Deed) may enforce and enjoy the benefits of the provisions of Clauses 17 (</w:t>
      </w:r>
      <w:r>
        <w:rPr>
          <w:rFonts w:ascii="Arial" w:cs="Arial" w:eastAsia="Arial" w:hAnsi="Arial"/>
          <w:sz w:val="16"/>
          <w:szCs w:val="16"/>
          <w:i w:val="1"/>
          <w:iCs w:val="1"/>
          <w:color w:val="auto"/>
        </w:rPr>
        <w:t>Rights of Collateral Agent and Secured Parties</w:t>
      </w:r>
      <w:r>
        <w:rPr>
          <w:rFonts w:ascii="Arial" w:cs="Arial" w:eastAsia="Arial" w:hAnsi="Arial"/>
          <w:sz w:val="16"/>
          <w:szCs w:val="16"/>
          <w:color w:val="auto"/>
        </w:rPr>
        <w:t>), 20 (</w:t>
      </w:r>
      <w:r>
        <w:rPr>
          <w:rFonts w:ascii="Arial" w:cs="Arial" w:eastAsia="Arial" w:hAnsi="Arial"/>
          <w:sz w:val="16"/>
          <w:szCs w:val="16"/>
          <w:i w:val="1"/>
          <w:iCs w:val="1"/>
          <w:color w:val="auto"/>
        </w:rPr>
        <w:t>Indemnity</w:t>
      </w:r>
      <w:r>
        <w:rPr>
          <w:rFonts w:ascii="Arial" w:cs="Arial" w:eastAsia="Arial" w:hAnsi="Arial"/>
          <w:sz w:val="16"/>
          <w:szCs w:val="16"/>
          <w:color w:val="auto"/>
        </w:rPr>
        <w:t>) and 25 (</w:t>
      </w:r>
      <w:r>
        <w:rPr>
          <w:rFonts w:ascii="Arial" w:cs="Arial" w:eastAsia="Arial" w:hAnsi="Arial"/>
          <w:sz w:val="16"/>
          <w:szCs w:val="16"/>
          <w:i w:val="1"/>
          <w:iCs w:val="1"/>
          <w:color w:val="auto"/>
        </w:rPr>
        <w:t>Costs and Expenses</w:t>
      </w:r>
      <w:r>
        <w:rPr>
          <w:rFonts w:ascii="Arial" w:cs="Arial" w:eastAsia="Arial" w:hAnsi="Arial"/>
          <w:sz w:val="16"/>
          <w:szCs w:val="16"/>
          <w:color w:val="auto"/>
        </w:rPr>
        <w:t xml:space="preserve">) of this Deed. This does not affect any right or remedy of a third </w:t>
      </w:r>
      <w:r>
        <w:rPr>
          <w:rFonts w:ascii="Arial" w:cs="Arial" w:eastAsia="Arial" w:hAnsi="Arial"/>
          <w:sz w:val="16"/>
          <w:szCs w:val="16"/>
          <w:i w:val="1"/>
          <w:iCs w:val="1"/>
          <w:color w:val="auto"/>
        </w:rPr>
        <w:t>party</w:t>
      </w:r>
      <w:r>
        <w:rPr>
          <w:rFonts w:ascii="Arial" w:cs="Arial" w:eastAsia="Arial" w:hAnsi="Arial"/>
          <w:sz w:val="16"/>
          <w:szCs w:val="16"/>
          <w:color w:val="auto"/>
        </w:rPr>
        <w:t xml:space="preserve"> which exists or is available other than under the Third Parties Act.</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27.6</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This Deed together with the other Loan Documents constitutes the entire agreement and understanding between the parties relating to their subject matter. Accordingly this Deed supersedes all prior oral or written agreements, representations or warranties. Any liabilities for and any remedies in respect of any such agreements, representations or warranties made are excluded, save only in respect of such as are expressly made or repeated in this Deed or in the other Loan Documents. No party has entered into this Deed or any other Loan Document in reliance on any oral or written agreement, representation or warranty of any other party or any other person which is not made or repeated in this Deed or any other Loan Document. Nothing in this Clause shall operate to exclude liability for any fraudulent statement or act.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27.7</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Subject to Clause 1.2(h) (</w:t>
      </w:r>
      <w:r>
        <w:rPr>
          <w:rFonts w:ascii="Arial" w:cs="Arial" w:eastAsia="Arial" w:hAnsi="Arial"/>
          <w:sz w:val="18"/>
          <w:szCs w:val="18"/>
          <w:i w:val="1"/>
          <w:iCs w:val="1"/>
          <w:color w:val="auto"/>
        </w:rPr>
        <w:t>Interpretation</w:t>
      </w:r>
      <w:r>
        <w:rPr>
          <w:rFonts w:ascii="Arial" w:cs="Arial" w:eastAsia="Arial" w:hAnsi="Arial"/>
          <w:sz w:val="18"/>
          <w:szCs w:val="18"/>
          <w:color w:val="auto"/>
        </w:rPr>
        <w:t>), if there is any conflict or inconsistency between the provisions of this Deed and any other Loan Document, the provisions of this Deed shall prevail.</w:t>
      </w:r>
    </w:p>
    <w:p>
      <w:pPr>
        <w:spacing w:after="0" w:line="166" w:lineRule="exact"/>
        <w:rPr>
          <w:sz w:val="20"/>
          <w:szCs w:val="20"/>
          <w:color w:val="auto"/>
        </w:rPr>
      </w:pPr>
    </w:p>
    <w:p>
      <w:pPr>
        <w:ind w:left="660" w:hanging="652"/>
        <w:spacing w:after="0"/>
        <w:tabs>
          <w:tab w:leader="none" w:pos="660" w:val="left"/>
        </w:tabs>
        <w:numPr>
          <w:ilvl w:val="0"/>
          <w:numId w:val="1083"/>
        </w:numPr>
        <w:rPr>
          <w:rFonts w:ascii="Arial" w:cs="Arial" w:eastAsia="Arial" w:hAnsi="Arial"/>
          <w:sz w:val="18"/>
          <w:szCs w:val="18"/>
          <w:b w:val="1"/>
          <w:bCs w:val="1"/>
          <w:color w:val="010000"/>
        </w:rPr>
      </w:pPr>
      <w:r>
        <w:rPr>
          <w:rFonts w:ascii="Arial" w:cs="Arial" w:eastAsia="Arial" w:hAnsi="Arial"/>
          <w:sz w:val="18"/>
          <w:szCs w:val="18"/>
          <w:b w:val="1"/>
          <w:bCs w:val="1"/>
          <w:color w:val="auto"/>
        </w:rPr>
        <w:t>ASSIGNMENT, ETC</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28.1</w:t>
      </w:r>
      <w:r>
        <w:rPr>
          <w:sz w:val="20"/>
          <w:szCs w:val="20"/>
          <w:color w:val="auto"/>
        </w:rPr>
        <w:tab/>
      </w:r>
      <w:r>
        <w:rPr>
          <w:rFonts w:ascii="Arial" w:cs="Arial" w:eastAsia="Arial" w:hAnsi="Arial"/>
          <w:sz w:val="18"/>
          <w:szCs w:val="18"/>
          <w:color w:val="auto"/>
        </w:rPr>
        <w:t>The Collateral Agent may, at any time, in accordance with the Loan Agreement, assign, mortgage, charge, grant a trust over or otherwise dispose of all or any of its rights and benefits under this Deed.</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28.2</w:t>
      </w:r>
      <w:r>
        <w:rPr>
          <w:sz w:val="20"/>
          <w:szCs w:val="20"/>
          <w:color w:val="auto"/>
        </w:rPr>
        <w:tab/>
      </w:r>
      <w:r>
        <w:rPr>
          <w:rFonts w:ascii="Arial" w:cs="Arial" w:eastAsia="Arial" w:hAnsi="Arial"/>
          <w:sz w:val="18"/>
          <w:szCs w:val="18"/>
          <w:color w:val="auto"/>
        </w:rPr>
        <w:t>The Mortgagor shall not assign, charge, grant a trust over or otherwise dispose of all or any of its rights and benefits under this Deed, except as permitted under the Loan Agreement.</w:t>
      </w:r>
    </w:p>
    <w:p>
      <w:pPr>
        <w:spacing w:after="0" w:line="166" w:lineRule="exact"/>
        <w:rPr>
          <w:sz w:val="20"/>
          <w:szCs w:val="20"/>
          <w:color w:val="auto"/>
        </w:rPr>
      </w:pPr>
    </w:p>
    <w:p>
      <w:pPr>
        <w:ind w:left="660" w:hanging="652"/>
        <w:spacing w:after="0"/>
        <w:tabs>
          <w:tab w:leader="none" w:pos="660" w:val="left"/>
        </w:tabs>
        <w:numPr>
          <w:ilvl w:val="0"/>
          <w:numId w:val="1084"/>
        </w:numPr>
        <w:rPr>
          <w:rFonts w:ascii="Arial" w:cs="Arial" w:eastAsia="Arial" w:hAnsi="Arial"/>
          <w:sz w:val="18"/>
          <w:szCs w:val="18"/>
          <w:b w:val="1"/>
          <w:bCs w:val="1"/>
          <w:color w:val="010000"/>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010000"/>
        </w:rPr>
      </w:pPr>
    </w:p>
    <w:p>
      <w:pPr>
        <w:ind w:left="660"/>
        <w:spacing w:after="0" w:line="308" w:lineRule="auto"/>
        <w:rPr>
          <w:rFonts w:ascii="Arial" w:cs="Arial" w:eastAsia="Arial" w:hAnsi="Arial"/>
          <w:sz w:val="18"/>
          <w:szCs w:val="18"/>
          <w:b w:val="1"/>
          <w:bCs w:val="1"/>
          <w:color w:val="010000"/>
        </w:rPr>
      </w:pPr>
      <w:r>
        <w:rPr>
          <w:rFonts w:ascii="Arial" w:cs="Arial" w:eastAsia="Arial" w:hAnsi="Arial"/>
          <w:sz w:val="17"/>
          <w:szCs w:val="17"/>
          <w:color w:val="auto"/>
        </w:rPr>
        <w:t>Any notice or other communication under this Deed shall be made in accordance with the provisions set out in the Loan Agreement. Any notice delivered to the Parent or the Borrowers on behalf of the Mortgagor shall be deemed to have been delivered to the Mortgagor.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84" w:name="page985"/>
    <w:bookmarkEnd w:id="984"/>
    <w:p>
      <w:pPr>
        <w:ind w:right="7380" w:firstLine="8"/>
        <w:spacing w:after="0" w:line="503" w:lineRule="auto"/>
        <w:tabs>
          <w:tab w:leader="none" w:pos="648" w:val="left"/>
        </w:tabs>
        <w:numPr>
          <w:ilvl w:val="0"/>
          <w:numId w:val="1085"/>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GOVERNING LAW AND JURISDICTION </w:t>
      </w:r>
      <w:r>
        <w:rPr>
          <w:rFonts w:ascii="Arial" w:cs="Arial" w:eastAsia="Arial" w:hAnsi="Arial"/>
          <w:sz w:val="18"/>
          <w:szCs w:val="18"/>
          <w:b w:val="1"/>
          <w:bCs w:val="1"/>
          <w:color w:val="010000"/>
        </w:rPr>
        <w:t xml:space="preserve">30.1 </w:t>
      </w:r>
      <w:r>
        <w:rPr>
          <w:rFonts w:ascii="Arial" w:cs="Arial" w:eastAsia="Arial" w:hAnsi="Arial"/>
          <w:sz w:val="18"/>
          <w:szCs w:val="18"/>
          <w:b w:val="1"/>
          <w:bCs w:val="1"/>
          <w:color w:val="000000"/>
        </w:rPr>
        <w:t>Governing law</w:t>
      </w:r>
    </w:p>
    <w:p>
      <w:pPr>
        <w:spacing w:after="0" w:line="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This Deed (including any non-contractual obligations or liabilities arising out of it or in connection with it) is governed by and is to be construed in accordance with English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30.2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1300" w:hanging="644"/>
        <w:spacing w:after="0"/>
        <w:tabs>
          <w:tab w:leader="none" w:pos="1300" w:val="left"/>
        </w:tabs>
        <w:numPr>
          <w:ilvl w:val="0"/>
          <w:numId w:val="1086"/>
        </w:numPr>
        <w:rPr>
          <w:rFonts w:ascii="Arial" w:cs="Arial" w:eastAsia="Arial" w:hAnsi="Arial"/>
          <w:sz w:val="18"/>
          <w:szCs w:val="18"/>
          <w:color w:val="010000"/>
        </w:rPr>
      </w:pPr>
      <w:r>
        <w:rPr>
          <w:rFonts w:ascii="Arial" w:cs="Arial" w:eastAsia="Arial" w:hAnsi="Arial"/>
          <w:sz w:val="18"/>
          <w:szCs w:val="18"/>
          <w:color w:val="auto"/>
        </w:rPr>
        <w:t>Each party irrevocably agrees that:</w:t>
      </w:r>
    </w:p>
    <w:p>
      <w:pPr>
        <w:spacing w:after="0" w:line="225" w:lineRule="exact"/>
        <w:rPr>
          <w:rFonts w:ascii="Arial" w:cs="Arial" w:eastAsia="Arial" w:hAnsi="Arial"/>
          <w:sz w:val="18"/>
          <w:szCs w:val="18"/>
          <w:color w:val="010000"/>
        </w:rPr>
      </w:pPr>
    </w:p>
    <w:p>
      <w:pPr>
        <w:ind w:left="1960" w:hanging="655"/>
        <w:spacing w:after="0" w:line="277" w:lineRule="auto"/>
        <w:tabs>
          <w:tab w:leader="none" w:pos="1960" w:val="left"/>
        </w:tabs>
        <w:numPr>
          <w:ilvl w:val="1"/>
          <w:numId w:val="1086"/>
        </w:numPr>
        <w:rPr>
          <w:rFonts w:ascii="Arial" w:cs="Arial" w:eastAsia="Arial" w:hAnsi="Arial"/>
          <w:sz w:val="18"/>
          <w:szCs w:val="18"/>
          <w:color w:val="010000"/>
        </w:rPr>
      </w:pPr>
      <w:r>
        <w:rPr>
          <w:rFonts w:ascii="Arial" w:cs="Arial" w:eastAsia="Arial" w:hAnsi="Arial"/>
          <w:sz w:val="18"/>
          <w:szCs w:val="18"/>
          <w:color w:val="auto"/>
        </w:rPr>
        <w:t>the English courts have non-exclusive jurisdiction to hear and determine any Proceedings and to settle any Disputes and each party irrevocably submits to the jurisdiction of the English courts;</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1"/>
          <w:numId w:val="1086"/>
        </w:numPr>
        <w:rPr>
          <w:rFonts w:ascii="Arial" w:cs="Arial" w:eastAsia="Arial" w:hAnsi="Arial"/>
          <w:sz w:val="18"/>
          <w:szCs w:val="18"/>
          <w:color w:val="010000"/>
        </w:rPr>
      </w:pPr>
      <w:r>
        <w:rPr>
          <w:rFonts w:ascii="Arial" w:cs="Arial" w:eastAsia="Arial" w:hAnsi="Arial"/>
          <w:sz w:val="18"/>
          <w:szCs w:val="18"/>
          <w:color w:val="auto"/>
        </w:rPr>
        <w:t>any Proceedings may be taken in the English courts;</w:t>
      </w:r>
    </w:p>
    <w:p>
      <w:pPr>
        <w:spacing w:after="0" w:line="225" w:lineRule="exact"/>
        <w:rPr>
          <w:rFonts w:ascii="Arial" w:cs="Arial" w:eastAsia="Arial" w:hAnsi="Arial"/>
          <w:sz w:val="18"/>
          <w:szCs w:val="18"/>
          <w:color w:val="010000"/>
        </w:rPr>
      </w:pPr>
    </w:p>
    <w:p>
      <w:pPr>
        <w:ind w:left="1960" w:hanging="655"/>
        <w:spacing w:after="0" w:line="277" w:lineRule="auto"/>
        <w:tabs>
          <w:tab w:leader="none" w:pos="1960" w:val="left"/>
        </w:tabs>
        <w:numPr>
          <w:ilvl w:val="1"/>
          <w:numId w:val="1086"/>
        </w:numPr>
        <w:rPr>
          <w:rFonts w:ascii="Arial" w:cs="Arial" w:eastAsia="Arial" w:hAnsi="Arial"/>
          <w:sz w:val="18"/>
          <w:szCs w:val="18"/>
          <w:color w:val="010000"/>
        </w:rPr>
      </w:pPr>
      <w:r>
        <w:rPr>
          <w:rFonts w:ascii="Arial" w:cs="Arial" w:eastAsia="Arial" w:hAnsi="Arial"/>
          <w:sz w:val="18"/>
          <w:szCs w:val="18"/>
          <w:color w:val="auto"/>
        </w:rPr>
        <w:t>any judgment in Proceedings taken in any such court shall be conclusive and binding on it and may be enforced in any other jurisdiction.</w:t>
      </w:r>
    </w:p>
    <w:p>
      <w:pPr>
        <w:spacing w:after="0" w:line="170" w:lineRule="exact"/>
        <w:rPr>
          <w:rFonts w:ascii="Arial" w:cs="Arial" w:eastAsia="Arial" w:hAnsi="Arial"/>
          <w:sz w:val="18"/>
          <w:szCs w:val="18"/>
          <w:color w:val="010000"/>
        </w:rPr>
      </w:pPr>
    </w:p>
    <w:p>
      <w:pPr>
        <w:jc w:val="both"/>
        <w:ind w:left="1300" w:hanging="644"/>
        <w:spacing w:after="0" w:line="264" w:lineRule="auto"/>
        <w:tabs>
          <w:tab w:leader="none" w:pos="1300" w:val="left"/>
        </w:tabs>
        <w:numPr>
          <w:ilvl w:val="0"/>
          <w:numId w:val="1086"/>
        </w:numPr>
        <w:rPr>
          <w:rFonts w:ascii="Arial" w:cs="Arial" w:eastAsia="Arial" w:hAnsi="Arial"/>
          <w:sz w:val="18"/>
          <w:szCs w:val="18"/>
          <w:color w:val="010000"/>
        </w:rPr>
      </w:pPr>
      <w:r>
        <w:rPr>
          <w:rFonts w:ascii="Arial" w:cs="Arial" w:eastAsia="Arial" w:hAnsi="Arial"/>
          <w:sz w:val="18"/>
          <w:szCs w:val="18"/>
          <w:color w:val="auto"/>
        </w:rPr>
        <w:t>Each party also irrevocably waives (and irrevocably agrees not to raise) any objection which it might at any time have on the ground of forum non conveniens or on any other ground to Proceedings being taken in any court referred to in this Clause 30 (</w:t>
      </w:r>
      <w:r>
        <w:rPr>
          <w:rFonts w:ascii="Arial" w:cs="Arial" w:eastAsia="Arial" w:hAnsi="Arial"/>
          <w:sz w:val="18"/>
          <w:szCs w:val="18"/>
          <w:i w:val="1"/>
          <w:iCs w:val="1"/>
          <w:color w:val="auto"/>
        </w:rPr>
        <w:t>Governing Law and</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81"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086"/>
        </w:numPr>
        <w:rPr>
          <w:rFonts w:ascii="Arial" w:cs="Arial" w:eastAsia="Arial" w:hAnsi="Arial"/>
          <w:sz w:val="18"/>
          <w:szCs w:val="18"/>
          <w:color w:val="010000"/>
        </w:rPr>
      </w:pPr>
      <w:r>
        <w:rPr>
          <w:rFonts w:ascii="Arial" w:cs="Arial" w:eastAsia="Arial" w:hAnsi="Arial"/>
          <w:sz w:val="18"/>
          <w:szCs w:val="18"/>
          <w:color w:val="auto"/>
        </w:rPr>
        <w:t>Nothing in this Clause 30 shall limit any party's right to take Proceedings against the other party in any other jurisdiction or in more than one jurisdiction concurrently.</w:t>
      </w:r>
    </w:p>
    <w:p>
      <w:pPr>
        <w:spacing w:after="0" w:line="170" w:lineRule="exact"/>
        <w:rPr>
          <w:rFonts w:ascii="Arial" w:cs="Arial" w:eastAsia="Arial" w:hAnsi="Arial"/>
          <w:sz w:val="18"/>
          <w:szCs w:val="18"/>
          <w:color w:val="010000"/>
        </w:rPr>
      </w:pPr>
    </w:p>
    <w:p>
      <w:pPr>
        <w:ind w:left="1300" w:hanging="644"/>
        <w:spacing w:after="0"/>
        <w:tabs>
          <w:tab w:leader="none" w:pos="1300" w:val="left"/>
        </w:tabs>
        <w:numPr>
          <w:ilvl w:val="0"/>
          <w:numId w:val="1086"/>
        </w:numPr>
        <w:rPr>
          <w:rFonts w:ascii="Arial" w:cs="Arial" w:eastAsia="Arial" w:hAnsi="Arial"/>
          <w:sz w:val="18"/>
          <w:szCs w:val="18"/>
          <w:color w:val="010000"/>
        </w:rPr>
      </w:pPr>
      <w:r>
        <w:rPr>
          <w:rFonts w:ascii="Arial" w:cs="Arial" w:eastAsia="Arial" w:hAnsi="Arial"/>
          <w:sz w:val="18"/>
          <w:szCs w:val="18"/>
          <w:color w:val="auto"/>
        </w:rPr>
        <w:t>This jurisdiction agreement is not concluded for the benefit of only one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Deed has been executed as a deed and is delivered on the date stated at the top of page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5" w:name="page986"/>
    <w:bookmarkEnd w:id="985"/>
    <w:tbl>
      <w:tblPr>
        <w:tblLayout w:type="fixed"/>
        <w:tblInd w:w="0" w:type="dxa"/>
        <w:tblCellMar>
          <w:top w:w="0" w:type="dxa"/>
          <w:left w:w="0" w:type="dxa"/>
          <w:bottom w:w="0" w:type="dxa"/>
          <w:right w:w="0" w:type="dxa"/>
        </w:tblCellMar>
      </w:tblP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 xml:space="preserve">Executed as deed by </w:t>
            </w:r>
            <w:r>
              <w:rPr>
                <w:rFonts w:ascii="Arial" w:cs="Arial" w:eastAsia="Arial" w:hAnsi="Arial"/>
                <w:sz w:val="18"/>
                <w:szCs w:val="18"/>
                <w:b w:val="1"/>
                <w:bCs w:val="1"/>
                <w:color w:val="auto"/>
              </w:rPr>
              <w:t>WEATHERFORD</w:t>
            </w:r>
          </w:p>
        </w:tc>
        <w:tc>
          <w:tcPr>
            <w:tcW w:w="192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EURASIA LIMITED </w:t>
            </w:r>
            <w:r>
              <w:rPr>
                <w:rFonts w:ascii="Arial" w:cs="Arial" w:eastAsia="Arial" w:hAnsi="Arial"/>
                <w:sz w:val="18"/>
                <w:szCs w:val="18"/>
                <w:color w:val="auto"/>
              </w:rPr>
              <w:t>acting by a director,</w:t>
            </w:r>
          </w:p>
        </w:tc>
        <w:tc>
          <w:tcPr>
            <w:tcW w:w="192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92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Name: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Occupation</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LC Reeves Wireline Technologies Limited Share Mortgage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86" w:name="page987"/>
    <w:bookmarkEnd w:id="986"/>
    <w:tbl>
      <w:tblPr>
        <w:tblLayout w:type="fixed"/>
        <w:tblInd w:w="0" w:type="dxa"/>
        <w:tblCellMar>
          <w:top w:w="0" w:type="dxa"/>
          <w:left w:w="0" w:type="dxa"/>
          <w:bottom w:w="0" w:type="dxa"/>
          <w:right w:w="0" w:type="dxa"/>
        </w:tblCellMar>
      </w:tblPr>
      <w:tr>
        <w:trPr>
          <w:trHeight w:val="234"/>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COLLATERAL AGENT</w:t>
            </w:r>
          </w:p>
        </w:tc>
        <w:tc>
          <w:tcPr>
            <w:tcW w:w="60" w:type="dxa"/>
            <w:vAlign w:val="bottom"/>
          </w:tcPr>
          <w:p>
            <w:pPr>
              <w:spacing w:after="0"/>
              <w:rPr>
                <w:sz w:val="20"/>
                <w:szCs w:val="20"/>
                <w:color w:val="auto"/>
              </w:rPr>
            </w:pPr>
          </w:p>
        </w:tc>
      </w:tr>
      <w:tr>
        <w:trPr>
          <w:trHeight w:val="414"/>
        </w:trPr>
        <w:tc>
          <w:tcPr>
            <w:tcW w:w="4000" w:type="dxa"/>
            <w:vAlign w:val="bottom"/>
            <w:gridSpan w:val="4"/>
          </w:tcPr>
          <w:p>
            <w:pPr>
              <w:spacing w:after="0"/>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DEUTSCHE BANK</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0"/>
        </w:trPr>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TRUST COMPANY AMERICAS</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000" w:type="dxa"/>
            <w:vAlign w:val="bottom"/>
            <w:gridSpan w:val="4"/>
          </w:tcPr>
          <w:p>
            <w:pPr>
              <w:spacing w:after="0"/>
              <w:rPr>
                <w:sz w:val="20"/>
                <w:szCs w:val="20"/>
                <w:color w:val="auto"/>
              </w:rPr>
            </w:pPr>
            <w:r>
              <w:rPr>
                <w:rFonts w:ascii="Arial" w:cs="Arial" w:eastAsia="Arial" w:hAnsi="Arial"/>
                <w:sz w:val="18"/>
                <w:szCs w:val="18"/>
                <w:color w:val="auto"/>
              </w:rPr>
              <w:t>acting by</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95"/>
        </w:trPr>
        <w:tc>
          <w:tcPr>
            <w:tcW w:w="20" w:type="dxa"/>
            <w:vAlign w:val="bottom"/>
          </w:tcPr>
          <w:p>
            <w:pPr>
              <w:spacing w:after="0"/>
              <w:rPr>
                <w:sz w:val="16"/>
                <w:szCs w:val="16"/>
                <w:color w:val="auto"/>
              </w:rPr>
            </w:pPr>
          </w:p>
        </w:tc>
        <w:tc>
          <w:tcPr>
            <w:tcW w:w="3980" w:type="dxa"/>
            <w:vAlign w:val="bottom"/>
            <w:gridSpan w:val="3"/>
          </w:tcPr>
          <w:p>
            <w:pPr>
              <w:spacing w:after="0" w:line="195" w:lineRule="exact"/>
              <w:rPr>
                <w:sz w:val="20"/>
                <w:szCs w:val="20"/>
                <w:color w:val="auto"/>
              </w:rPr>
            </w:pPr>
            <w:r>
              <w:rPr>
                <w:rFonts w:ascii="Arial" w:cs="Arial" w:eastAsia="Arial" w:hAnsi="Arial"/>
                <w:sz w:val="18"/>
                <w:szCs w:val="18"/>
                <w:color w:val="auto"/>
              </w:rPr>
              <w:t>who, in accordance with the laws of the territory</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000" w:type="dxa"/>
            <w:vAlign w:val="bottom"/>
            <w:gridSpan w:val="4"/>
          </w:tcPr>
          <w:p>
            <w:pPr>
              <w:spacing w:after="0"/>
              <w:rPr>
                <w:sz w:val="20"/>
                <w:szCs w:val="20"/>
                <w:color w:val="auto"/>
              </w:rPr>
            </w:pPr>
            <w:r>
              <w:rPr>
                <w:rFonts w:ascii="Arial" w:cs="Arial" w:eastAsia="Arial" w:hAnsi="Arial"/>
                <w:sz w:val="18"/>
                <w:szCs w:val="18"/>
                <w:color w:val="auto"/>
                <w:w w:val="99"/>
              </w:rPr>
              <w:t>in which Deutsche Bank Trust Company Americas</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000" w:type="dxa"/>
            <w:vAlign w:val="bottom"/>
            <w:gridSpan w:val="4"/>
          </w:tcPr>
          <w:p>
            <w:pPr>
              <w:spacing w:after="0"/>
              <w:rPr>
                <w:sz w:val="20"/>
                <w:szCs w:val="20"/>
                <w:color w:val="auto"/>
              </w:rPr>
            </w:pPr>
            <w:r>
              <w:rPr>
                <w:rFonts w:ascii="Arial" w:cs="Arial" w:eastAsia="Arial" w:hAnsi="Arial"/>
                <w:sz w:val="18"/>
                <w:szCs w:val="18"/>
                <w:color w:val="auto"/>
              </w:rPr>
              <w:t>is incorporated, is/are acting under its authority</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25" w:lineRule="exact"/>
        <w:rPr>
          <w:sz w:val="20"/>
          <w:szCs w:val="20"/>
          <w:color w:val="auto"/>
        </w:rPr>
      </w:pPr>
    </w:p>
    <w:p>
      <w:pPr>
        <w:jc w:val="right"/>
        <w:ind w:right="1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LC Reeves Wireline Technologies Limited Share Mortgage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6" w:right="1440" w:bottom="1440" w:gutter="0" w:footer="0" w:header="0"/>
        </w:sectPr>
      </w:pPr>
    </w:p>
    <w:bookmarkStart w:id="987" w:name="page988"/>
    <w:bookmarkEnd w:id="987"/>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SHARES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of</w:t>
            </w:r>
          </w:p>
        </w:tc>
        <w:tc>
          <w:tcPr>
            <w:tcW w:w="154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2"/>
              </w:rPr>
              <w:t>Nominal</w:t>
            </w:r>
          </w:p>
        </w:tc>
        <w:tc>
          <w:tcPr>
            <w:tcW w:w="38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Certificate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Registered</w:t>
            </w:r>
          </w:p>
        </w:tc>
      </w:tr>
      <w:tr>
        <w:trPr>
          <w:trHeight w:val="216"/>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54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Value of</w:t>
            </w:r>
          </w:p>
        </w:tc>
        <w:tc>
          <w:tcPr>
            <w:tcW w:w="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holder as at</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5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each Share</w:t>
            </w:r>
          </w:p>
        </w:tc>
        <w:tc>
          <w:tcPr>
            <w:tcW w:w="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the date</w:t>
            </w:r>
          </w:p>
        </w:tc>
      </w:tr>
      <w:tr>
        <w:trPr>
          <w:trHeight w:val="220"/>
        </w:trPr>
        <w:tc>
          <w:tcPr>
            <w:tcW w:w="19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hereof</w:t>
            </w:r>
          </w:p>
        </w:tc>
      </w:tr>
      <w:tr>
        <w:trPr>
          <w:trHeight w:val="216"/>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Reeves Wireline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Ordinary</w:t>
            </w:r>
          </w:p>
        </w:tc>
        <w:tc>
          <w:tcPr>
            <w:tcW w:w="1540" w:type="dxa"/>
            <w:vAlign w:val="bottom"/>
          </w:tcPr>
          <w:p>
            <w:pPr>
              <w:jc w:val="center"/>
              <w:ind w:left="270"/>
              <w:spacing w:after="0"/>
              <w:rPr>
                <w:sz w:val="20"/>
                <w:szCs w:val="20"/>
                <w:color w:val="auto"/>
              </w:rPr>
            </w:pPr>
            <w:r>
              <w:rPr>
                <w:rFonts w:ascii="Arial" w:cs="Arial" w:eastAsia="Arial" w:hAnsi="Arial"/>
                <w:sz w:val="18"/>
                <w:szCs w:val="18"/>
                <w:color w:val="auto"/>
                <w:w w:val="90"/>
              </w:rPr>
              <w:t>£10.00</w:t>
            </w:r>
          </w:p>
        </w:tc>
        <w:tc>
          <w:tcPr>
            <w:tcW w:w="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983,414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Weatherford Eurasia</w:t>
            </w:r>
          </w:p>
        </w:tc>
      </w:tr>
      <w:tr>
        <w:trPr>
          <w:trHeight w:val="23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Technologies Limited</w:t>
            </w:r>
          </w:p>
        </w:tc>
        <w:tc>
          <w:tcPr>
            <w:tcW w:w="1940" w:type="dxa"/>
            <w:vAlign w:val="bottom"/>
            <w:tcBorders>
              <w:right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Limited</w:t>
            </w: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642"/>
        </w:trPr>
        <w:tc>
          <w:tcPr>
            <w:tcW w:w="1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88" w:name="page989"/>
    <w:bookmarkEnd w:id="988"/>
    <w:p>
      <w:pPr>
        <w:jc w:val="center"/>
        <w:ind w:right="-11"/>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left="652" w:right="9260" w:hanging="652"/>
        <w:spacing w:after="0" w:line="566" w:lineRule="auto"/>
        <w:tabs>
          <w:tab w:leader="none" w:pos="652" w:val="left"/>
        </w:tabs>
        <w:numPr>
          <w:ilvl w:val="0"/>
          <w:numId w:val="1087"/>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Status of Shares </w:t>
      </w:r>
      <w:r>
        <w:rPr>
          <w:rFonts w:ascii="Arial" w:cs="Arial" w:eastAsia="Arial" w:hAnsi="Arial"/>
          <w:sz w:val="16"/>
          <w:szCs w:val="16"/>
          <w:color w:val="auto"/>
        </w:rPr>
        <w:t>The Original Shares:</w:t>
      </w:r>
    </w:p>
    <w:p>
      <w:pPr>
        <w:ind w:left="1292" w:hanging="644"/>
        <w:spacing w:after="0"/>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1087"/>
        </w:numPr>
        <w:rPr>
          <w:rFonts w:ascii="Arial" w:cs="Arial" w:eastAsia="Arial" w:hAnsi="Arial"/>
          <w:sz w:val="17"/>
          <w:szCs w:val="17"/>
          <w:color w:val="010000"/>
        </w:rPr>
      </w:pPr>
      <w:r>
        <w:rPr>
          <w:rFonts w:ascii="Arial" w:cs="Arial" w:eastAsia="Arial" w:hAnsi="Arial"/>
          <w:sz w:val="17"/>
          <w:szCs w:val="17"/>
          <w:color w:val="auto"/>
        </w:rPr>
        <w:t>are free from any restrictions or conditions on transfer or rights of pre-emption, except as otherwise permitted by the Loan Agreement;</w:t>
      </w:r>
    </w:p>
    <w:p>
      <w:pPr>
        <w:spacing w:after="0" w:line="236" w:lineRule="exact"/>
        <w:rPr>
          <w:rFonts w:ascii="Arial" w:cs="Arial" w:eastAsia="Arial" w:hAnsi="Arial"/>
          <w:sz w:val="17"/>
          <w:szCs w:val="17"/>
          <w:color w:val="010000"/>
        </w:rPr>
      </w:pPr>
    </w:p>
    <w:p>
      <w:pPr>
        <w:ind w:left="1292" w:hanging="644"/>
        <w:spacing w:after="0"/>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are fully paid, and no moneys or liabilities are outstanding in respect of any of them; and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represent the whole of the issued share capital of the Company.</w:t>
      </w:r>
    </w:p>
    <w:p>
      <w:pPr>
        <w:spacing w:after="0" w:line="221" w:lineRule="exact"/>
        <w:rPr>
          <w:rFonts w:ascii="Arial" w:cs="Arial" w:eastAsia="Arial" w:hAnsi="Arial"/>
          <w:sz w:val="18"/>
          <w:szCs w:val="18"/>
          <w:color w:val="010000"/>
        </w:rPr>
      </w:pPr>
    </w:p>
    <w:p>
      <w:pPr>
        <w:ind w:left="652" w:hanging="652"/>
        <w:spacing w:after="0"/>
        <w:tabs>
          <w:tab w:leader="none" w:pos="652" w:val="left"/>
        </w:tabs>
        <w:numPr>
          <w:ilvl w:val="0"/>
          <w:numId w:val="1087"/>
        </w:numPr>
        <w:rPr>
          <w:rFonts w:ascii="Arial" w:cs="Arial" w:eastAsia="Arial" w:hAnsi="Arial"/>
          <w:sz w:val="18"/>
          <w:szCs w:val="18"/>
          <w:b w:val="1"/>
          <w:bCs w:val="1"/>
          <w:color w:val="010000"/>
        </w:rPr>
      </w:pPr>
      <w:r>
        <w:rPr>
          <w:rFonts w:ascii="Arial" w:cs="Arial" w:eastAsia="Arial" w:hAnsi="Arial"/>
          <w:sz w:val="18"/>
          <w:szCs w:val="18"/>
          <w:b w:val="1"/>
          <w:bCs w:val="1"/>
          <w:color w:val="auto"/>
        </w:rPr>
        <w:t>Further Shares</w:t>
      </w:r>
    </w:p>
    <w:p>
      <w:pPr>
        <w:spacing w:after="0" w:line="229" w:lineRule="exact"/>
        <w:rPr>
          <w:rFonts w:ascii="Arial" w:cs="Arial" w:eastAsia="Arial" w:hAnsi="Arial"/>
          <w:sz w:val="18"/>
          <w:szCs w:val="18"/>
          <w:b w:val="1"/>
          <w:bCs w:val="1"/>
          <w:color w:val="010000"/>
        </w:rPr>
      </w:pPr>
    </w:p>
    <w:p>
      <w:pPr>
        <w:ind w:left="652"/>
        <w:spacing w:after="0"/>
        <w:rPr>
          <w:rFonts w:ascii="Arial" w:cs="Arial" w:eastAsia="Arial" w:hAnsi="Arial"/>
          <w:sz w:val="18"/>
          <w:szCs w:val="18"/>
          <w:b w:val="1"/>
          <w:bCs w:val="1"/>
          <w:color w:val="010000"/>
        </w:rPr>
      </w:pPr>
      <w:r>
        <w:rPr>
          <w:rFonts w:ascii="Arial" w:cs="Arial" w:eastAsia="Arial" w:hAnsi="Arial"/>
          <w:sz w:val="18"/>
          <w:szCs w:val="18"/>
          <w:color w:val="auto"/>
        </w:rPr>
        <w:t>All Further Shares and any Shares comprised in any Derived Assets:</w:t>
      </w:r>
    </w:p>
    <w:p>
      <w:pPr>
        <w:spacing w:after="0" w:line="225" w:lineRule="exact"/>
        <w:rPr>
          <w:rFonts w:ascii="Arial" w:cs="Arial" w:eastAsia="Arial" w:hAnsi="Arial"/>
          <w:sz w:val="18"/>
          <w:szCs w:val="18"/>
          <w:b w:val="1"/>
          <w:bCs w:val="1"/>
          <w:color w:val="010000"/>
        </w:rPr>
      </w:pPr>
    </w:p>
    <w:p>
      <w:pPr>
        <w:ind w:left="1292" w:hanging="644"/>
        <w:spacing w:after="0"/>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have been duly authorised and validly issued;</w:t>
      </w:r>
    </w:p>
    <w:p>
      <w:pPr>
        <w:spacing w:after="0" w:line="225" w:lineRule="exact"/>
        <w:rPr>
          <w:rFonts w:ascii="Arial" w:cs="Arial" w:eastAsia="Arial" w:hAnsi="Arial"/>
          <w:sz w:val="18"/>
          <w:szCs w:val="18"/>
          <w:color w:val="010000"/>
        </w:rPr>
      </w:pPr>
    </w:p>
    <w:p>
      <w:pPr>
        <w:ind w:left="1292" w:hanging="644"/>
        <w:spacing w:after="0"/>
        <w:tabs>
          <w:tab w:leader="none" w:pos="1292" w:val="left"/>
        </w:tabs>
        <w:numPr>
          <w:ilvl w:val="1"/>
          <w:numId w:val="1087"/>
        </w:numPr>
        <w:rPr>
          <w:rFonts w:ascii="Arial" w:cs="Arial" w:eastAsia="Arial" w:hAnsi="Arial"/>
          <w:sz w:val="17"/>
          <w:szCs w:val="17"/>
          <w:color w:val="010000"/>
        </w:rPr>
      </w:pPr>
      <w:r>
        <w:rPr>
          <w:rFonts w:ascii="Arial" w:cs="Arial" w:eastAsia="Arial" w:hAnsi="Arial"/>
          <w:sz w:val="17"/>
          <w:szCs w:val="17"/>
          <w:color w:val="auto"/>
        </w:rPr>
        <w:t>are free from any restrictions or conditions on transfer or rights of pre-emption, except as otherwise permitted by the Loan Agreement;</w:t>
      </w:r>
    </w:p>
    <w:p>
      <w:pPr>
        <w:spacing w:after="0" w:line="236"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are fully paid, and no monies or liabilities are outstanding in respect of any of them; and together with the Original Shares, any Further Shares and Shares comprised in any Derived Assets previously issued represent the whole of the issued share capital of the Company except as otherwise permitted by the Loan Agreement.</w:t>
      </w:r>
    </w:p>
    <w:p>
      <w:pPr>
        <w:spacing w:after="0" w:line="177" w:lineRule="exact"/>
        <w:rPr>
          <w:rFonts w:ascii="Arial" w:cs="Arial" w:eastAsia="Arial" w:hAnsi="Arial"/>
          <w:sz w:val="18"/>
          <w:szCs w:val="18"/>
          <w:color w:val="010000"/>
        </w:rPr>
      </w:pPr>
    </w:p>
    <w:p>
      <w:pPr>
        <w:ind w:left="652" w:hanging="652"/>
        <w:spacing w:after="0"/>
        <w:tabs>
          <w:tab w:leader="none" w:pos="652" w:val="left"/>
        </w:tabs>
        <w:numPr>
          <w:ilvl w:val="0"/>
          <w:numId w:val="1087"/>
        </w:numPr>
        <w:rPr>
          <w:rFonts w:ascii="Arial" w:cs="Arial" w:eastAsia="Arial" w:hAnsi="Arial"/>
          <w:sz w:val="18"/>
          <w:szCs w:val="18"/>
          <w:b w:val="1"/>
          <w:bCs w:val="1"/>
          <w:color w:val="010000"/>
        </w:rPr>
      </w:pPr>
      <w:r>
        <w:rPr>
          <w:rFonts w:ascii="Arial" w:cs="Arial" w:eastAsia="Arial" w:hAnsi="Arial"/>
          <w:sz w:val="18"/>
          <w:szCs w:val="18"/>
          <w:b w:val="1"/>
          <w:bCs w:val="1"/>
          <w:color w:val="auto"/>
        </w:rPr>
        <w:t>PSC Register</w:t>
      </w:r>
    </w:p>
    <w:p>
      <w:pPr>
        <w:spacing w:after="0" w:line="229" w:lineRule="exact"/>
        <w:rPr>
          <w:rFonts w:ascii="Arial" w:cs="Arial" w:eastAsia="Arial" w:hAnsi="Arial"/>
          <w:sz w:val="18"/>
          <w:szCs w:val="18"/>
          <w:b w:val="1"/>
          <w:bCs w:val="1"/>
          <w:color w:val="010000"/>
        </w:rPr>
      </w:pPr>
    </w:p>
    <w:p>
      <w:pPr>
        <w:ind w:left="1292" w:hanging="644"/>
        <w:spacing w:after="0" w:line="277" w:lineRule="auto"/>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The Mortgagor represents and warrants that it has not issued and does not intend to issue any warning notice or restrictions notice under Schedule 1B of the Companies Act 2006 in respect of any Shares which constitute Secured Asset; and</w:t>
      </w:r>
    </w:p>
    <w:p>
      <w:pPr>
        <w:spacing w:after="0" w:line="170" w:lineRule="exact"/>
        <w:rPr>
          <w:rFonts w:ascii="Arial" w:cs="Arial" w:eastAsia="Arial" w:hAnsi="Arial"/>
          <w:sz w:val="18"/>
          <w:szCs w:val="18"/>
          <w:color w:val="010000"/>
        </w:rPr>
      </w:pPr>
    </w:p>
    <w:p>
      <w:pPr>
        <w:ind w:left="1292" w:hanging="644"/>
        <w:spacing w:after="0" w:line="277" w:lineRule="auto"/>
        <w:tabs>
          <w:tab w:leader="none" w:pos="1292" w:val="left"/>
        </w:tabs>
        <w:numPr>
          <w:ilvl w:val="1"/>
          <w:numId w:val="1087"/>
        </w:numPr>
        <w:rPr>
          <w:rFonts w:ascii="Arial" w:cs="Arial" w:eastAsia="Arial" w:hAnsi="Arial"/>
          <w:sz w:val="18"/>
          <w:szCs w:val="18"/>
          <w:color w:val="010000"/>
        </w:rPr>
      </w:pPr>
      <w:r>
        <w:rPr>
          <w:rFonts w:ascii="Arial" w:cs="Arial" w:eastAsia="Arial" w:hAnsi="Arial"/>
          <w:sz w:val="18"/>
          <w:szCs w:val="18"/>
          <w:color w:val="auto"/>
        </w:rPr>
        <w:t>the Mortgagor has not received any warning notice or restrictions notice under Schedule 1B of the Companies Act 2006 in respect of any Shares which constitute Secured Asset.</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6" w:right="239" w:bottom="1440" w:gutter="0" w:footer="0" w:header="0"/>
        </w:sectPr>
      </w:pPr>
    </w:p>
    <w:bookmarkStart w:id="989" w:name="page990"/>
    <w:bookmarkEnd w:id="989"/>
    <w:p>
      <w:pPr>
        <w:jc w:val="cente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left="660" w:hanging="652"/>
        <w:spacing w:after="0"/>
        <w:tabs>
          <w:tab w:leader="none" w:pos="660" w:val="left"/>
        </w:tabs>
        <w:numPr>
          <w:ilvl w:val="0"/>
          <w:numId w:val="1088"/>
        </w:numPr>
        <w:rPr>
          <w:rFonts w:ascii="Arial" w:cs="Arial" w:eastAsia="Arial" w:hAnsi="Arial"/>
          <w:sz w:val="18"/>
          <w:szCs w:val="18"/>
          <w:b w:val="1"/>
          <w:bCs w:val="1"/>
          <w:color w:val="010000"/>
        </w:rPr>
      </w:pPr>
      <w:r>
        <w:rPr>
          <w:rFonts w:ascii="Arial" w:cs="Arial" w:eastAsia="Arial" w:hAnsi="Arial"/>
          <w:sz w:val="18"/>
          <w:szCs w:val="18"/>
          <w:b w:val="1"/>
          <w:bCs w:val="1"/>
          <w:color w:val="auto"/>
        </w:rPr>
        <w:t>Restrictions on Transfer and Rights of Pre-emption</w:t>
      </w:r>
    </w:p>
    <w:p>
      <w:pPr>
        <w:spacing w:after="0" w:line="229" w:lineRule="exact"/>
        <w:rPr>
          <w:rFonts w:ascii="Arial" w:cs="Arial" w:eastAsia="Arial" w:hAnsi="Arial"/>
          <w:sz w:val="18"/>
          <w:szCs w:val="18"/>
          <w:b w:val="1"/>
          <w:bCs w:val="1"/>
          <w:color w:val="010000"/>
        </w:rPr>
      </w:pPr>
    </w:p>
    <w:p>
      <w:pPr>
        <w:ind w:left="660"/>
        <w:spacing w:after="0" w:line="277" w:lineRule="auto"/>
        <w:rPr>
          <w:rFonts w:ascii="Arial" w:cs="Arial" w:eastAsia="Arial" w:hAnsi="Arial"/>
          <w:sz w:val="18"/>
          <w:szCs w:val="18"/>
          <w:b w:val="1"/>
          <w:bCs w:val="1"/>
          <w:color w:val="010000"/>
        </w:rPr>
      </w:pPr>
      <w:r>
        <w:rPr>
          <w:rFonts w:ascii="Arial" w:cs="Arial" w:eastAsia="Arial" w:hAnsi="Arial"/>
          <w:sz w:val="18"/>
          <w:szCs w:val="18"/>
          <w:color w:val="auto"/>
        </w:rPr>
        <w:t>The Mortgagor shall ensure that the Original Shares, any Further Shares and any Shares comprised in any Derived Assets are and remain free from any restriction on transfer or rights of pre-emption, except as otherwise permitted by the Loan Agreement.</w:t>
      </w:r>
    </w:p>
    <w:p>
      <w:pPr>
        <w:spacing w:after="0" w:line="166" w:lineRule="exact"/>
        <w:rPr>
          <w:rFonts w:ascii="Arial" w:cs="Arial" w:eastAsia="Arial" w:hAnsi="Arial"/>
          <w:sz w:val="18"/>
          <w:szCs w:val="18"/>
          <w:b w:val="1"/>
          <w:bCs w:val="1"/>
          <w:color w:val="010000"/>
        </w:rPr>
      </w:pPr>
    </w:p>
    <w:p>
      <w:pPr>
        <w:ind w:left="660" w:hanging="652"/>
        <w:spacing w:after="0"/>
        <w:tabs>
          <w:tab w:leader="none" w:pos="660" w:val="left"/>
        </w:tabs>
        <w:numPr>
          <w:ilvl w:val="0"/>
          <w:numId w:val="1088"/>
        </w:numPr>
        <w:rPr>
          <w:rFonts w:ascii="Arial" w:cs="Arial" w:eastAsia="Arial" w:hAnsi="Arial"/>
          <w:sz w:val="18"/>
          <w:szCs w:val="18"/>
          <w:b w:val="1"/>
          <w:bCs w:val="1"/>
          <w:color w:val="010000"/>
        </w:rPr>
      </w:pPr>
      <w:r>
        <w:rPr>
          <w:rFonts w:ascii="Arial" w:cs="Arial" w:eastAsia="Arial" w:hAnsi="Arial"/>
          <w:sz w:val="18"/>
          <w:szCs w:val="18"/>
          <w:b w:val="1"/>
          <w:bCs w:val="1"/>
          <w:color w:val="auto"/>
        </w:rPr>
        <w:t>Articles of Association</w:t>
      </w:r>
    </w:p>
    <w:p>
      <w:pPr>
        <w:spacing w:after="0" w:line="229" w:lineRule="exact"/>
        <w:rPr>
          <w:rFonts w:ascii="Arial" w:cs="Arial" w:eastAsia="Arial" w:hAnsi="Arial"/>
          <w:sz w:val="18"/>
          <w:szCs w:val="18"/>
          <w:b w:val="1"/>
          <w:bCs w:val="1"/>
          <w:color w:val="010000"/>
        </w:rPr>
      </w:pPr>
    </w:p>
    <w:p>
      <w:pPr>
        <w:ind w:left="660"/>
        <w:spacing w:after="0" w:line="277" w:lineRule="auto"/>
        <w:rPr>
          <w:rFonts w:ascii="Arial" w:cs="Arial" w:eastAsia="Arial" w:hAnsi="Arial"/>
          <w:sz w:val="18"/>
          <w:szCs w:val="18"/>
          <w:b w:val="1"/>
          <w:bCs w:val="1"/>
          <w:color w:val="010000"/>
        </w:rPr>
      </w:pPr>
      <w:r>
        <w:rPr>
          <w:rFonts w:ascii="Arial" w:cs="Arial" w:eastAsia="Arial" w:hAnsi="Arial"/>
          <w:sz w:val="18"/>
          <w:szCs w:val="18"/>
          <w:color w:val="auto"/>
        </w:rPr>
        <w:t>The Mortgagor shall not permit the articles of association of the Company to be amended or modified in any way that would adversely affect in any material respect the Security created pursuant to this Deed.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90" w:name="page991"/>
    <w:bookmarkEnd w:id="990"/>
    <w:p>
      <w:pPr>
        <w:jc w:val="right"/>
        <w:spacing w:after="0"/>
        <w:rPr>
          <w:sz w:val="20"/>
          <w:szCs w:val="20"/>
          <w:color w:val="auto"/>
        </w:rPr>
      </w:pPr>
      <w:r>
        <w:rPr>
          <w:rFonts w:ascii="Arial" w:cs="Arial" w:eastAsia="Arial" w:hAnsi="Arial"/>
          <w:sz w:val="18"/>
          <w:szCs w:val="18"/>
          <w:b w:val="1"/>
          <w:bCs w:val="1"/>
          <w:u w:val="single" w:color="auto"/>
          <w:color w:val="auto"/>
        </w:rPr>
        <w:t>EXHIBIT L</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u w:val="single" w:color="auto"/>
          <w:color w:val="auto"/>
        </w:rPr>
        <w:t>FORM OF BRITISH VIRGIN ISLANDS SECURITY AGREEMENTS</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991" w:name="page992"/>
    <w:bookmarkEnd w:id="991"/>
    <w:p>
      <w:pPr>
        <w:jc w:val="right"/>
        <w:spacing w:after="0"/>
        <w:rPr>
          <w:sz w:val="20"/>
          <w:szCs w:val="20"/>
          <w:color w:val="auto"/>
        </w:rPr>
      </w:pPr>
      <w:r>
        <w:rPr>
          <w:rFonts w:ascii="Arial" w:cs="Arial" w:eastAsia="Arial" w:hAnsi="Arial"/>
          <w:sz w:val="18"/>
          <w:szCs w:val="18"/>
          <w:b w:val="1"/>
          <w:bCs w:val="1"/>
          <w:u w:val="single" w:color="auto"/>
          <w:color w:val="auto"/>
        </w:rPr>
        <w:t>EXHIBIT M</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b w:val="1"/>
          <w:bCs w:val="1"/>
          <w:u w:val="single" w:color="auto"/>
          <w:color w:val="auto"/>
        </w:rPr>
        <w:t>FORM OF INTERCOMPANY SUBORDINATION AGREEMENT</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992" w:name="page993"/>
    <w:bookmarkEnd w:id="992"/>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INTERCOMPANY SUBORDINATION AGREEMENT</w:t>
      </w:r>
    </w:p>
    <w:p>
      <w:pPr>
        <w:spacing w:after="0" w:line="211" w:lineRule="exact"/>
        <w:rPr>
          <w:sz w:val="20"/>
          <w:szCs w:val="20"/>
          <w:color w:val="auto"/>
        </w:rPr>
      </w:pPr>
    </w:p>
    <w:p>
      <w:pPr>
        <w:ind w:left="660"/>
        <w:spacing w:after="0"/>
        <w:tabs>
          <w:tab w:leader="none" w:pos="8700" w:val="left"/>
        </w:tabs>
        <w:rPr>
          <w:sz w:val="20"/>
          <w:szCs w:val="20"/>
          <w:color w:val="auto"/>
        </w:rPr>
      </w:pPr>
      <w:r>
        <w:rPr>
          <w:rFonts w:ascii="Arial" w:cs="Arial" w:eastAsia="Arial" w:hAnsi="Arial"/>
          <w:sz w:val="18"/>
          <w:szCs w:val="18"/>
          <w:color w:val="auto"/>
        </w:rPr>
        <w:t>THIS INTERCOMPANY SUBORDINATION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w:t>
      </w:r>
      <w:r>
        <w:rPr>
          <w:sz w:val="20"/>
          <w:szCs w:val="20"/>
          <w:color w:val="auto"/>
        </w:rPr>
        <w:tab/>
      </w:r>
      <w:r>
        <w:rPr>
          <w:rFonts w:ascii="Arial" w:cs="Arial" w:eastAsia="Arial" w:hAnsi="Arial"/>
          <w:sz w:val="16"/>
          <w:szCs w:val="16"/>
          <w:color w:val="auto"/>
        </w:rPr>
        <w:t>], 20 and is made by and among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-10160</wp:posOffset>
            </wp:positionV>
            <wp:extent cx="565785"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entities listed on the signature pages hereto (such entities, together with any other subsidiaries of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whether now existing or hereafter formed or acquired, that become party to this Agreement from time to time in accordance with the terms of Section 6 hereof, being individually referred to herein as a “</w:t>
      </w:r>
      <w:r>
        <w:rPr>
          <w:rFonts w:ascii="Arial" w:cs="Arial" w:eastAsia="Arial" w:hAnsi="Arial"/>
          <w:sz w:val="18"/>
          <w:szCs w:val="18"/>
          <w:u w:val="single" w:color="auto"/>
          <w:color w:val="auto"/>
        </w:rPr>
        <w:t>Company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Companies</w:t>
      </w:r>
      <w:r>
        <w:rPr>
          <w:rFonts w:ascii="Arial" w:cs="Arial" w:eastAsia="Arial" w:hAnsi="Arial"/>
          <w:sz w:val="18"/>
          <w:szCs w:val="18"/>
          <w:color w:val="auto"/>
        </w:rPr>
        <w:t>”, in any case including any applicable branch thereof).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intending to be legally bound hereby, the parties hereto covenant and agree as follows:</w:t>
      </w:r>
    </w:p>
    <w:p>
      <w:pPr>
        <w:spacing w:after="0" w:line="225" w:lineRule="exact"/>
        <w:rPr>
          <w:sz w:val="20"/>
          <w:szCs w:val="20"/>
          <w:color w:val="auto"/>
        </w:rPr>
      </w:pPr>
    </w:p>
    <w:p>
      <w:pPr>
        <w:jc w:val="both"/>
        <w:ind w:firstLine="656"/>
        <w:spacing w:after="0" w:line="255" w:lineRule="auto"/>
        <w:tabs>
          <w:tab w:leader="none" w:pos="1494" w:val="left"/>
        </w:tabs>
        <w:numPr>
          <w:ilvl w:val="0"/>
          <w:numId w:val="1089"/>
        </w:numPr>
        <w:rPr>
          <w:rFonts w:ascii="Arial" w:cs="Arial" w:eastAsia="Arial" w:hAnsi="Arial"/>
          <w:sz w:val="18"/>
          <w:szCs w:val="18"/>
          <w:color w:val="auto"/>
        </w:rPr>
      </w:pPr>
      <w:r>
        <w:rPr>
          <w:rFonts w:ascii="Arial" w:cs="Arial" w:eastAsia="Arial" w:hAnsi="Arial"/>
          <w:sz w:val="18"/>
          <w:szCs w:val="18"/>
          <w:u w:val="single" w:color="auto"/>
          <w:color w:val="auto"/>
        </w:rPr>
        <w:t>Subordinated Indebtedness Subordinated to Senior Debt</w:t>
      </w:r>
      <w:r>
        <w:rPr>
          <w:rFonts w:ascii="Arial" w:cs="Arial" w:eastAsia="Arial" w:hAnsi="Arial"/>
          <w:sz w:val="18"/>
          <w:szCs w:val="18"/>
          <w:color w:val="auto"/>
        </w:rPr>
        <w:t>. Reference is made to that certain Credit Agreement dated as of the date hereof (as the same may be amended, restated or otherwise modified or replaced from time to time, the “</w:t>
      </w:r>
      <w:r>
        <w:rPr>
          <w:rFonts w:ascii="Arial" w:cs="Arial" w:eastAsia="Arial" w:hAnsi="Arial"/>
          <w:sz w:val="18"/>
          <w:szCs w:val="18"/>
          <w:u w:val="single" w:color="auto"/>
          <w:color w:val="auto"/>
        </w:rPr>
        <w:t>LC Credit Agreement</w:t>
      </w:r>
      <w:r>
        <w:rPr>
          <w:rFonts w:ascii="Arial" w:cs="Arial" w:eastAsia="Arial" w:hAnsi="Arial"/>
          <w:sz w:val="18"/>
          <w:szCs w:val="18"/>
          <w:color w:val="auto"/>
        </w:rPr>
        <w:t>”) by and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corporation (“</w:t>
      </w:r>
      <w:r>
        <w:rPr>
          <w:rFonts w:ascii="Arial" w:cs="Arial" w:eastAsia="Arial" w:hAnsi="Arial"/>
          <w:sz w:val="18"/>
          <w:szCs w:val="18"/>
          <w:u w:val="single" w:color="auto"/>
          <w:color w:val="auto"/>
        </w:rPr>
        <w:t>WIL-Delaware</w:t>
      </w:r>
      <w:r>
        <w:rPr>
          <w:rFonts w:ascii="Arial" w:cs="Arial" w:eastAsia="Arial" w:hAnsi="Arial"/>
          <w:sz w:val="18"/>
          <w:szCs w:val="18"/>
          <w:color w:val="auto"/>
        </w:rPr>
        <w:t>”), WIL-Ireland, the Lenders from time to time party thereto, the Issuing Banks from time to time party thereto and Deutsche Bank Trust Company Americas,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Each capitalized term used herein and not defined herein shall have the meaning given to it in the LC Credit Agreement.</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Indebtedness arising from intercompany loans and advances owing by an Obligor (other than Parent) to a Restricted Subsidiary that is not an Obligor or an Unrestricted Subsidiary (the loaning or advancing Company being referred to hereunder as an “</w:t>
      </w:r>
      <w:r>
        <w:rPr>
          <w:rFonts w:ascii="Arial" w:cs="Arial" w:eastAsia="Arial" w:hAnsi="Arial"/>
          <w:sz w:val="16"/>
          <w:szCs w:val="16"/>
          <w:u w:val="single" w:color="auto"/>
          <w:color w:val="auto"/>
        </w:rPr>
        <w:t>Intercompany Lender</w:t>
      </w:r>
      <w:r>
        <w:rPr>
          <w:rFonts w:ascii="Arial" w:cs="Arial" w:eastAsia="Arial" w:hAnsi="Arial"/>
          <w:sz w:val="16"/>
          <w:szCs w:val="16"/>
          <w:color w:val="auto"/>
        </w:rPr>
        <w:t>” and the borrower or payee Company being referred to as an “</w:t>
      </w:r>
      <w:r>
        <w:rPr>
          <w:rFonts w:ascii="Arial" w:cs="Arial" w:eastAsia="Arial" w:hAnsi="Arial"/>
          <w:sz w:val="16"/>
          <w:szCs w:val="16"/>
          <w:u w:val="single" w:color="auto"/>
          <w:color w:val="auto"/>
        </w:rPr>
        <w:t>Intercompany Borrower</w:t>
      </w:r>
      <w:r>
        <w:rPr>
          <w:rFonts w:ascii="Arial" w:cs="Arial" w:eastAsia="Arial" w:hAnsi="Arial"/>
          <w:sz w:val="16"/>
          <w:szCs w:val="16"/>
          <w:color w:val="auto"/>
        </w:rPr>
        <w:t>”, and such loans and advances, collectively, “</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shall be subordinate and junior in right of payment, and exercise of remedies, to the Obligations (as defined in the LC Credit Agreement, the “</w:t>
      </w:r>
      <w:r>
        <w:rPr>
          <w:rFonts w:ascii="Arial" w:cs="Arial" w:eastAsia="Arial" w:hAnsi="Arial"/>
          <w:sz w:val="16"/>
          <w:szCs w:val="16"/>
          <w:u w:val="single" w:color="auto"/>
          <w:color w:val="auto"/>
        </w:rPr>
        <w:t>Senior Obligations</w:t>
      </w:r>
      <w:r>
        <w:rPr>
          <w:rFonts w:ascii="Arial" w:cs="Arial" w:eastAsia="Arial" w:hAnsi="Arial"/>
          <w:sz w:val="16"/>
          <w:szCs w:val="16"/>
          <w:color w:val="auto"/>
        </w:rPr>
        <w:t xml:space="preserve">”) until paid in full and pursuant to the terms of the LC Credit Agreement, except (x) to the extent that such subordination of such Subordinated Indebtedness would violate applicable law and (y) for loans and advances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as updated by WIL-Ireland from time to time. Except as expressly permitted by the LC Credit Agreement, no Intercompany Lender shall (i) acquire any Lien on any asset of any Intercompany Borrower or (ii) accept any guaranties from any other Company or from any other Subsidiary of any Obligor in each case with respect to the Subordinated Indebtedness.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Until Payment in Full has occurred in accordance with the terms of the LC Credit Agreement, no Intercompany Lender will (a) accelerate, make demand, or otherwise make due and payable prior to the original due date thereof any Subordinated Indebtedness; (b) bring, commence, institute, prosecute, or participate in any lawsuit, action, or proceeding, whether private, judicial, equitable, administrative, or otherwise to enforce its rights or interests, or otherwise take any remedy, in each case in respect of the Subordinated Indebtedness; (c) exercise any of its rights or remedies under or with respect to guaranties of the Subordinated Indebtedness, if any; (d) exercise any of its rights or remedies in connection with the Subordinated Indebtedness with respect to any Collateral of any Intercompany Borrower; (e) exercise any right to set-off, recoupment or counterclaim in respect of any indebtedness, liabilities, or obligations of Intercompany Lender to any Intercompany Borrower against any of the Subordinated Indebtedness; (f) in its capacity as an Intercompany Lender, contest, protest, or object to any exercise of secured creditor remedies by the Administrative Agent or any Senior Debt Holders (as defined below), in each case in connection with the Senior Obligations; (g) object to or contest any forbearance in respect of the Senior Obligations by the Administrative Agent or any Senior Debt Holders; (h) object to or contest any waiver of, or amendment to, the terms of the LC Credit Agreement and the other Loan Documents entered into by the Administrative Agent of any Senior Debt Holders; or (i) commence, or cause to be commenced, or join with any creditor other than the Administrative Agent or any Lender in commencing, any Insolvency Proceeding (as defined below) against any Intercompany Borrower.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93" w:name="page994"/>
    <w:bookmarkEnd w:id="993"/>
    <w:p>
      <w:pPr>
        <w:jc w:val="both"/>
        <w:ind w:firstLine="656"/>
        <w:spacing w:after="0" w:line="269" w:lineRule="auto"/>
        <w:tabs>
          <w:tab w:leader="none" w:pos="1481" w:val="left"/>
        </w:tabs>
        <w:numPr>
          <w:ilvl w:val="0"/>
          <w:numId w:val="1090"/>
        </w:numPr>
        <w:rPr>
          <w:rFonts w:ascii="Arial" w:cs="Arial" w:eastAsia="Arial" w:hAnsi="Arial"/>
          <w:sz w:val="17"/>
          <w:szCs w:val="17"/>
          <w:color w:val="auto"/>
        </w:rPr>
      </w:pPr>
      <w:r>
        <w:rPr>
          <w:rFonts w:ascii="Arial" w:cs="Arial" w:eastAsia="Arial" w:hAnsi="Arial"/>
          <w:sz w:val="17"/>
          <w:szCs w:val="17"/>
          <w:u w:val="single" w:color="auto"/>
          <w:color w:val="auto"/>
        </w:rPr>
        <w:t>Payment Over of Proceeds Upon Dissolution, Etc</w:t>
      </w:r>
      <w:r>
        <w:rPr>
          <w:rFonts w:ascii="Arial" w:cs="Arial" w:eastAsia="Arial" w:hAnsi="Arial"/>
          <w:sz w:val="17"/>
          <w:szCs w:val="17"/>
          <w:color w:val="auto"/>
        </w:rPr>
        <w:t>. Upon any distribution of assets of any Intercompany Borrower in the event of (a) any Insolvency Proceeding, or (b) any assignment for the benefit of creditors in connection with, or in lieu of, an Insolvency Proceeding or any marshalling of assets and liabilities of any such Intercompany Borrower in connection with an Insolvency Proceeding (an Intercompany Borrower distributing assets as set forth herein being referred to as a “</w:t>
      </w:r>
      <w:r>
        <w:rPr>
          <w:rFonts w:ascii="Arial" w:cs="Arial" w:eastAsia="Arial" w:hAnsi="Arial"/>
          <w:sz w:val="17"/>
          <w:szCs w:val="17"/>
          <w:u w:val="single" w:color="auto"/>
          <w:color w:val="auto"/>
        </w:rPr>
        <w:t>Distributing Company</w:t>
      </w:r>
      <w:r>
        <w:rPr>
          <w:rFonts w:ascii="Arial" w:cs="Arial" w:eastAsia="Arial" w:hAnsi="Arial"/>
          <w:sz w:val="17"/>
          <w:szCs w:val="17"/>
          <w:color w:val="auto"/>
        </w:rPr>
        <w:t>”), the Administrative Agent shall be entitled to receive, for the benefit of the holders of the Senior Obligations (each, a “</w:t>
      </w:r>
      <w:r>
        <w:rPr>
          <w:rFonts w:ascii="Arial" w:cs="Arial" w:eastAsia="Arial" w:hAnsi="Arial"/>
          <w:sz w:val="17"/>
          <w:szCs w:val="17"/>
          <w:u w:val="single" w:color="auto"/>
          <w:color w:val="auto"/>
        </w:rPr>
        <w:t>Senior Debt Holder</w:t>
      </w:r>
      <w:r>
        <w:rPr>
          <w:rFonts w:ascii="Arial" w:cs="Arial" w:eastAsia="Arial" w:hAnsi="Arial"/>
          <w:sz w:val="17"/>
          <w:szCs w:val="17"/>
          <w:color w:val="auto"/>
        </w:rPr>
        <w:t>”), Payment in Full under the LC Credit Agreement before the holder of any Subordinated Indebtedness is entitled to receive any payment on account of any Subordinated Indebtedness owed to it by the Distributing Company, and, to that end, the Administrative Agent shall be entitled to receive, for application to the payment of the Senior Obligations in accordance with the LC Credit Agreement, any payment or distribution of any kind or character, whether in cash, property or securities, which may be payable or deliverable in respect of the Subordinated Indebtedness owed by the Distributing Company in any such case, proceeding, dissolution, liquidation or other winding up event. If any Event of Default shall have occurred and be continuing, or such an Event of Default would result from or exist after giving effect to a payment with respect to any portion of the Subordinated Indebtedness, so long as any of any Senior Obligations shall remain outstanding, no payment shall be made by any Company on account of principal or interest on any portion of the Subordinated Indebtedness.</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If, while any Subordinated Indebtedness is outstanding and before Payment in Full has occurred in accordance with the terms of the LC Credit Agreement, any Insolvency Proceeding shall occur and be continuing with respect to any Company or its property: (a) the Administrative Agent hereby is irrevocably authorized and empowered (in the name of the Company or otherwise), but shall have no obligation, to demand, sue for, collect, and receive every payment or distribution in respect of the Subordinated Indebtedness and give acquittance therefor and to file claims and proofs of claim and take such other action (including voting the Subordinated Indebtedness) as it may deem necessary or advisable for the exercise or enforcement of any of the rights or interests of the Administrative Agent (or any Senior Debt Holders) under any of the Loan Documents; and (b) each Company shall promptly take such action as the Administrative Agent may reasonably request (i) to collect the Subordinated Indebtedness for the account of the Senior Debt Holders and to file appropriate claims or proofs of claim in respect of the Subordinated Indebtedness, (ii) to execute and deliver to the Administrative Agent such powers of attorney, assignments, and other instruments as it may reasonably request to enable it to enforce any and all claims with respect to the Subordinated Indebtedness, and</w:t>
      </w:r>
    </w:p>
    <w:p>
      <w:pPr>
        <w:spacing w:after="0" w:line="7" w:lineRule="exact"/>
        <w:rPr>
          <w:sz w:val="20"/>
          <w:szCs w:val="20"/>
          <w:color w:val="auto"/>
        </w:rPr>
      </w:pPr>
    </w:p>
    <w:p>
      <w:pPr>
        <w:ind w:right="20" w:firstLine="8"/>
        <w:spacing w:after="0" w:line="261" w:lineRule="auto"/>
        <w:tabs>
          <w:tab w:leader="none" w:pos="316" w:val="left"/>
        </w:tabs>
        <w:numPr>
          <w:ilvl w:val="0"/>
          <w:numId w:val="1091"/>
        </w:numPr>
        <w:rPr>
          <w:rFonts w:ascii="Arial" w:cs="Arial" w:eastAsia="Arial" w:hAnsi="Arial"/>
          <w:sz w:val="18"/>
          <w:szCs w:val="18"/>
          <w:color w:val="auto"/>
        </w:rPr>
      </w:pPr>
      <w:r>
        <w:rPr>
          <w:rFonts w:ascii="Arial" w:cs="Arial" w:eastAsia="Arial" w:hAnsi="Arial"/>
          <w:sz w:val="18"/>
          <w:szCs w:val="18"/>
          <w:color w:val="auto"/>
        </w:rPr>
        <w:t>to collect and receive any and all any payments or distributions of any kind or character, whether in cash, property or securities, which may be payable or deliverable in respect of the Subordinated Indebtedness.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440" w:val="left"/>
        </w:tabs>
        <w:numPr>
          <w:ilvl w:val="1"/>
          <w:numId w:val="1091"/>
        </w:numPr>
        <w:rPr>
          <w:rFonts w:ascii="Arial" w:cs="Arial" w:eastAsia="Arial" w:hAnsi="Arial"/>
          <w:sz w:val="18"/>
          <w:szCs w:val="18"/>
          <w:color w:val="auto"/>
        </w:rPr>
      </w:pPr>
      <w:r>
        <w:rPr>
          <w:rFonts w:ascii="Arial" w:cs="Arial" w:eastAsia="Arial" w:hAnsi="Arial"/>
          <w:sz w:val="18"/>
          <w:szCs w:val="18"/>
          <w:u w:val="single" w:color="auto"/>
          <w:color w:val="auto"/>
        </w:rPr>
        <w:t>Payment Permitted if No Default</w:t>
      </w:r>
      <w:r>
        <w:rPr>
          <w:rFonts w:ascii="Arial" w:cs="Arial" w:eastAsia="Arial" w:hAnsi="Arial"/>
          <w:sz w:val="18"/>
          <w:szCs w:val="18"/>
          <w:color w:val="auto"/>
        </w:rPr>
        <w:t>. Nothing contained in this Agreement shall prevent any of the Companies at any time, except during the pendency of any of the applicable conditions described in Section 2, from making payments of principal or interest on any portion of the Subordinated Indebtedness, or the retention thereof by any of the Companies of any money deposited with them for the payment of or on account of the principal of or interest on the Subordinated Indebtedness.</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575" w:val="left"/>
        </w:tabs>
        <w:numPr>
          <w:ilvl w:val="1"/>
          <w:numId w:val="1091"/>
        </w:numPr>
        <w:rPr>
          <w:rFonts w:ascii="Arial" w:cs="Arial" w:eastAsia="Arial" w:hAnsi="Arial"/>
          <w:sz w:val="17"/>
          <w:szCs w:val="17"/>
          <w:color w:val="auto"/>
        </w:rPr>
      </w:pPr>
      <w:r>
        <w:rPr>
          <w:rFonts w:ascii="Arial" w:cs="Arial" w:eastAsia="Arial" w:hAnsi="Arial"/>
          <w:sz w:val="17"/>
          <w:szCs w:val="17"/>
          <w:u w:val="single" w:color="auto"/>
          <w:color w:val="auto"/>
        </w:rPr>
        <w:t>Receipt of Prohibited Payments</w:t>
      </w:r>
      <w:r>
        <w:rPr>
          <w:rFonts w:ascii="Arial" w:cs="Arial" w:eastAsia="Arial" w:hAnsi="Arial"/>
          <w:sz w:val="17"/>
          <w:szCs w:val="17"/>
          <w:color w:val="auto"/>
        </w:rPr>
        <w:t>. If, notwithstanding the foregoing provisions of Sections 2 and 3, an Intercompany Lender shall have received any payment or distribution of assets from an Intercompany Borrower of any kind or character (whether in cash, property or securities) in violation of this Agreement, then such payment or distribution shall be held in trust for the benefit of the Senior Debt Holders, shall be segregated from other funds and property held by such Intercompany Lender, and shall be forthwith paid over to the Administrative Agent in the same form as so received (with any necessary endorsement) to be applied to (in the case of cash), or held as collateral for (in the case of noncash property or securities), the payment or prepayment of the Senior Obligations in accordance with the terms of the LC Credit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94" w:name="page995"/>
    <w:bookmarkEnd w:id="994"/>
    <w:p>
      <w:pPr>
        <w:jc w:val="both"/>
        <w:ind w:left="-20" w:right="20" w:firstLine="656"/>
        <w:spacing w:after="0" w:line="342" w:lineRule="auto"/>
        <w:tabs>
          <w:tab w:leader="none" w:pos="1420" w:val="left"/>
        </w:tabs>
        <w:numPr>
          <w:ilvl w:val="0"/>
          <w:numId w:val="1092"/>
        </w:numPr>
        <w:rPr>
          <w:rFonts w:ascii="Arial" w:cs="Arial" w:eastAsia="Arial" w:hAnsi="Arial"/>
          <w:sz w:val="16"/>
          <w:szCs w:val="16"/>
          <w:color w:val="auto"/>
        </w:rPr>
      </w:pPr>
      <w:r>
        <w:rPr>
          <w:rFonts w:ascii="Arial" w:cs="Arial" w:eastAsia="Arial" w:hAnsi="Arial"/>
          <w:sz w:val="16"/>
          <w:szCs w:val="16"/>
          <w:u w:val="single" w:color="auto"/>
          <w:color w:val="auto"/>
        </w:rPr>
        <w:t>Rights of Subrogation.</w:t>
      </w:r>
      <w:r>
        <w:rPr>
          <w:rFonts w:ascii="Arial" w:cs="Arial" w:eastAsia="Arial" w:hAnsi="Arial"/>
          <w:sz w:val="16"/>
          <w:szCs w:val="16"/>
          <w:color w:val="auto"/>
        </w:rPr>
        <w:t xml:space="preserve"> Each Company agrees that no payment or distribution to any Senior Debt Holder pursuant to the provisions of this Agreement shall entitle it to exercise any rights of subrogation in respect thereof until Payment in Full has occurred in accordance with the LC Credit Facility.</w:t>
      </w:r>
    </w:p>
    <w:p>
      <w:pPr>
        <w:spacing w:after="0" w:line="123" w:lineRule="exact"/>
        <w:rPr>
          <w:rFonts w:ascii="Arial" w:cs="Arial" w:eastAsia="Arial" w:hAnsi="Arial"/>
          <w:sz w:val="16"/>
          <w:szCs w:val="16"/>
          <w:color w:val="auto"/>
        </w:rPr>
      </w:pPr>
    </w:p>
    <w:p>
      <w:pPr>
        <w:jc w:val="both"/>
        <w:ind w:left="-20" w:firstLine="656"/>
        <w:spacing w:after="0" w:line="257" w:lineRule="auto"/>
        <w:tabs>
          <w:tab w:leader="none" w:pos="1393" w:val="left"/>
        </w:tabs>
        <w:numPr>
          <w:ilvl w:val="0"/>
          <w:numId w:val="1092"/>
        </w:numPr>
        <w:rPr>
          <w:rFonts w:ascii="Arial" w:cs="Arial" w:eastAsia="Arial" w:hAnsi="Arial"/>
          <w:sz w:val="18"/>
          <w:szCs w:val="18"/>
          <w:color w:val="auto"/>
        </w:rPr>
      </w:pPr>
      <w:r>
        <w:rPr>
          <w:rFonts w:ascii="Arial" w:cs="Arial" w:eastAsia="Arial" w:hAnsi="Arial"/>
          <w:sz w:val="18"/>
          <w:szCs w:val="18"/>
          <w:u w:val="single" w:color="auto"/>
          <w:color w:val="auto"/>
        </w:rPr>
        <w:t>Additional Subsidiaries</w:t>
      </w:r>
      <w:r>
        <w:rPr>
          <w:rFonts w:ascii="Arial" w:cs="Arial" w:eastAsia="Arial" w:hAnsi="Arial"/>
          <w:sz w:val="18"/>
          <w:szCs w:val="18"/>
          <w:color w:val="auto"/>
        </w:rPr>
        <w:t xml:space="preserve">. WIL-Ireland may, from time to time, cause certain of its subsidiaries to become a Company under this Agreement and to be bound hereby. Upon execution and delivery by any such subsidiary of a supplement hereto in the form attached as </w:t>
      </w:r>
      <w:r>
        <w:rPr>
          <w:rFonts w:ascii="Arial" w:cs="Arial" w:eastAsia="Arial" w:hAnsi="Arial"/>
          <w:sz w:val="18"/>
          <w:szCs w:val="18"/>
          <w:u w:val="single" w:color="auto"/>
          <w:color w:val="auto"/>
        </w:rPr>
        <w:t>Annex I</w:t>
      </w:r>
      <w:r>
        <w:rPr>
          <w:rFonts w:ascii="Arial" w:cs="Arial" w:eastAsia="Arial" w:hAnsi="Arial"/>
          <w:sz w:val="18"/>
          <w:szCs w:val="18"/>
          <w:color w:val="auto"/>
        </w:rPr>
        <w:t>, such subsidiary shall become a “Company” hereunder with, at all times after such counterpart signature page is delivered, the same force and effect as if originally named as a Company hereunder. The rights and obligations of each Company hereunder shall remain in full force and effect notwithstanding the addition of any new Company as a party to this Agreement.</w:t>
      </w:r>
    </w:p>
    <w:p>
      <w:pPr>
        <w:spacing w:after="0" w:line="188" w:lineRule="exact"/>
        <w:rPr>
          <w:rFonts w:ascii="Arial" w:cs="Arial" w:eastAsia="Arial" w:hAnsi="Arial"/>
          <w:sz w:val="18"/>
          <w:szCs w:val="18"/>
          <w:color w:val="auto"/>
        </w:rPr>
      </w:pPr>
    </w:p>
    <w:p>
      <w:pPr>
        <w:jc w:val="both"/>
        <w:ind w:left="-20" w:firstLine="656"/>
        <w:spacing w:after="0" w:line="257" w:lineRule="auto"/>
        <w:tabs>
          <w:tab w:leader="none" w:pos="1393" w:val="left"/>
        </w:tabs>
        <w:numPr>
          <w:ilvl w:val="0"/>
          <w:numId w:val="1092"/>
        </w:numPr>
        <w:rPr>
          <w:rFonts w:ascii="Arial" w:cs="Arial" w:eastAsia="Arial" w:hAnsi="Arial"/>
          <w:sz w:val="18"/>
          <w:szCs w:val="18"/>
          <w:color w:val="auto"/>
        </w:rPr>
      </w:pPr>
      <w:r>
        <w:rPr>
          <w:rFonts w:ascii="Arial" w:cs="Arial" w:eastAsia="Arial" w:hAnsi="Arial"/>
          <w:sz w:val="18"/>
          <w:szCs w:val="18"/>
          <w:u w:val="single" w:color="auto"/>
          <w:color w:val="auto"/>
        </w:rPr>
        <w:t>Continuing Force and Effect</w:t>
      </w:r>
      <w:r>
        <w:rPr>
          <w:rFonts w:ascii="Arial" w:cs="Arial" w:eastAsia="Arial" w:hAnsi="Arial"/>
          <w:sz w:val="18"/>
          <w:szCs w:val="18"/>
          <w:color w:val="auto"/>
        </w:rPr>
        <w:t>. This Agreement shall continue in force until payment in full of the Senior Obligations, it being contemplated that this Agreement be of a continuing nature. The subordinations, agreements and priorities set forth herein shall remain in full force and effect both before and after the commencement of any Insolvency Proceeding, including the relative rights of the parties hereto in or to any distribution from or in respect of any Collateral or any proceeds thereof. The provisions of this Agreement are intended to be and shall be enforceable as a subordination agreement within the meaning of Section 510 of the Bankruptcy Code.</w:t>
      </w:r>
    </w:p>
    <w:p>
      <w:pPr>
        <w:spacing w:after="0" w:line="188" w:lineRule="exact"/>
        <w:rPr>
          <w:rFonts w:ascii="Arial" w:cs="Arial" w:eastAsia="Arial" w:hAnsi="Arial"/>
          <w:sz w:val="18"/>
          <w:szCs w:val="18"/>
          <w:color w:val="auto"/>
        </w:rPr>
      </w:pPr>
    </w:p>
    <w:p>
      <w:pPr>
        <w:jc w:val="both"/>
        <w:ind w:left="-20" w:firstLine="656"/>
        <w:spacing w:after="0" w:line="264" w:lineRule="auto"/>
        <w:tabs>
          <w:tab w:leader="none" w:pos="1420" w:val="left"/>
        </w:tabs>
        <w:numPr>
          <w:ilvl w:val="0"/>
          <w:numId w:val="1092"/>
        </w:numPr>
        <w:rPr>
          <w:rFonts w:ascii="Arial" w:cs="Arial" w:eastAsia="Arial" w:hAnsi="Arial"/>
          <w:sz w:val="18"/>
          <w:szCs w:val="18"/>
          <w:color w:val="auto"/>
        </w:rPr>
      </w:pPr>
      <w:r>
        <w:rPr>
          <w:rFonts w:ascii="Arial" w:cs="Arial" w:eastAsia="Arial" w:hAnsi="Arial"/>
          <w:sz w:val="18"/>
          <w:szCs w:val="18"/>
          <w:u w:val="single" w:color="auto"/>
          <w:color w:val="auto"/>
        </w:rPr>
        <w:t>Reinstatement</w:t>
      </w:r>
      <w:r>
        <w:rPr>
          <w:rFonts w:ascii="Arial" w:cs="Arial" w:eastAsia="Arial" w:hAnsi="Arial"/>
          <w:sz w:val="18"/>
          <w:szCs w:val="18"/>
          <w:color w:val="auto"/>
        </w:rPr>
        <w:t>. This Agreement shall continue to be effective or shall be reinstated (and the amount of Senior Debt shall be reinstated), as the case may be, if, for any reason, any payment of the Senior Debt shall be rescinded or must otherwise be restored by the Administrative Agent or any Senior Debt Holder, whether as a result of an Insolvency Proceeding or otherwise.</w:t>
      </w:r>
    </w:p>
    <w:p>
      <w:pPr>
        <w:spacing w:after="0" w:line="181" w:lineRule="exact"/>
        <w:rPr>
          <w:rFonts w:ascii="Arial" w:cs="Arial" w:eastAsia="Arial" w:hAnsi="Arial"/>
          <w:sz w:val="18"/>
          <w:szCs w:val="18"/>
          <w:color w:val="auto"/>
        </w:rPr>
      </w:pPr>
    </w:p>
    <w:p>
      <w:pPr>
        <w:jc w:val="both"/>
        <w:ind w:left="-20" w:firstLine="656"/>
        <w:spacing w:after="0" w:line="259" w:lineRule="auto"/>
        <w:tabs>
          <w:tab w:leader="none" w:pos="1528" w:val="left"/>
        </w:tabs>
        <w:numPr>
          <w:ilvl w:val="0"/>
          <w:numId w:val="1092"/>
        </w:numPr>
        <w:rPr>
          <w:rFonts w:ascii="Arial" w:cs="Arial" w:eastAsia="Arial" w:hAnsi="Arial"/>
          <w:sz w:val="18"/>
          <w:szCs w:val="18"/>
          <w:color w:val="auto"/>
        </w:rPr>
      </w:pPr>
      <w:r>
        <w:rPr>
          <w:rFonts w:ascii="Arial" w:cs="Arial" w:eastAsia="Arial" w:hAnsi="Arial"/>
          <w:sz w:val="18"/>
          <w:szCs w:val="18"/>
          <w:u w:val="single" w:color="auto"/>
          <w:color w:val="auto"/>
        </w:rPr>
        <w:t>Modification, Amendments or Waivers</w:t>
      </w:r>
      <w:r>
        <w:rPr>
          <w:rFonts w:ascii="Arial" w:cs="Arial" w:eastAsia="Arial" w:hAnsi="Arial"/>
          <w:sz w:val="18"/>
          <w:szCs w:val="18"/>
          <w:color w:val="auto"/>
        </w:rPr>
        <w:t>. Any and all agreements amending or changing any provision of this Agreement shall be made only by written agreement, waiver or consent signed by the parties hereto. Notwithstanding the foregoing, this Agreement may be amended, amended and restated, supplemented, modified, waived or released with respect to any Company solely with the approval of such Company and without the approval of any other Company and without affecting the obligations of any other party hereto.</w:t>
      </w:r>
    </w:p>
    <w:p>
      <w:pPr>
        <w:spacing w:after="0" w:line="187" w:lineRule="exact"/>
        <w:rPr>
          <w:sz w:val="20"/>
          <w:szCs w:val="20"/>
          <w:color w:val="auto"/>
        </w:rPr>
      </w:pPr>
    </w:p>
    <w:p>
      <w:pPr>
        <w:jc w:val="both"/>
        <w:ind w:left="-20" w:firstLine="656"/>
        <w:spacing w:after="0" w:line="259" w:lineRule="auto"/>
        <w:tabs>
          <w:tab w:leader="none" w:pos="1501" w:val="left"/>
        </w:tabs>
        <w:numPr>
          <w:ilvl w:val="0"/>
          <w:numId w:val="109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86" w:lineRule="exact"/>
        <w:rPr>
          <w:rFonts w:ascii="Arial" w:cs="Arial" w:eastAsia="Arial" w:hAnsi="Arial"/>
          <w:sz w:val="18"/>
          <w:szCs w:val="18"/>
          <w:color w:val="auto"/>
        </w:rPr>
      </w:pPr>
    </w:p>
    <w:p>
      <w:pPr>
        <w:ind w:left="-20" w:firstLine="656"/>
        <w:spacing w:after="0" w:line="277" w:lineRule="auto"/>
        <w:tabs>
          <w:tab w:leader="none" w:pos="1393" w:val="left"/>
        </w:tabs>
        <w:numPr>
          <w:ilvl w:val="0"/>
          <w:numId w:val="109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the parties hereto and their respective successors and assigns, and the obligations of each Company shall be binding upon their respective successors and permitted assigns.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95" w:name="page996"/>
    <w:bookmarkEnd w:id="995"/>
    <w:p>
      <w:pPr>
        <w:ind w:right="20" w:firstLine="656"/>
        <w:spacing w:after="0" w:line="308" w:lineRule="auto"/>
        <w:tabs>
          <w:tab w:leader="none" w:pos="1488" w:val="left"/>
        </w:tabs>
        <w:numPr>
          <w:ilvl w:val="0"/>
          <w:numId w:val="109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the different parties hereto on any number of separate counterparts, each of which, when executed and delivered, shall be deemed an original, and all such counterparts shall together constitute one and the same instrument.</w:t>
      </w:r>
    </w:p>
    <w:p>
      <w:pPr>
        <w:spacing w:after="0" w:line="146" w:lineRule="exact"/>
        <w:rPr>
          <w:rFonts w:ascii="Arial" w:cs="Arial" w:eastAsia="Arial" w:hAnsi="Arial"/>
          <w:sz w:val="17"/>
          <w:szCs w:val="17"/>
          <w:color w:val="auto"/>
        </w:rPr>
      </w:pPr>
    </w:p>
    <w:p>
      <w:pPr>
        <w:ind w:firstLine="656"/>
        <w:spacing w:after="0" w:line="277" w:lineRule="auto"/>
        <w:tabs>
          <w:tab w:leader="none" w:pos="1494" w:val="left"/>
        </w:tabs>
        <w:numPr>
          <w:ilvl w:val="0"/>
          <w:numId w:val="10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81" w:val="left"/>
        </w:tabs>
        <w:numPr>
          <w:ilvl w:val="0"/>
          <w:numId w:val="1094"/>
        </w:numPr>
        <w:rPr>
          <w:rFonts w:ascii="Arial" w:cs="Arial" w:eastAsia="Arial" w:hAnsi="Arial"/>
          <w:sz w:val="18"/>
          <w:szCs w:val="18"/>
          <w:color w:val="auto"/>
        </w:rPr>
      </w:pPr>
      <w:r>
        <w:rPr>
          <w:rFonts w:ascii="Arial" w:cs="Arial" w:eastAsia="Arial" w:hAnsi="Arial"/>
          <w:sz w:val="18"/>
          <w:szCs w:val="18"/>
          <w:u w:val="single" w:color="auto"/>
          <w:color w:val="auto"/>
        </w:rPr>
        <w:t>Conflicts with Subordinated Indebtedness Documents</w:t>
      </w:r>
      <w:r>
        <w:rPr>
          <w:rFonts w:ascii="Arial" w:cs="Arial" w:eastAsia="Arial" w:hAnsi="Arial"/>
          <w:sz w:val="18"/>
          <w:szCs w:val="18"/>
          <w:color w:val="auto"/>
        </w:rPr>
        <w:t>. In case of any conflict or inconsistency between any terms of this Agreement, on the one hand, and any documents or instruments in respect of the Subordinated Indebtedness, on the other hand, then the terms of this Agreement shall control.</w:t>
      </w:r>
    </w:p>
    <w:p>
      <w:pPr>
        <w:spacing w:after="0" w:line="181" w:lineRule="exact"/>
        <w:rPr>
          <w:rFonts w:ascii="Arial" w:cs="Arial" w:eastAsia="Arial" w:hAnsi="Arial"/>
          <w:sz w:val="18"/>
          <w:szCs w:val="18"/>
          <w:color w:val="auto"/>
        </w:rPr>
      </w:pPr>
    </w:p>
    <w:p>
      <w:pPr>
        <w:ind w:firstLine="656"/>
        <w:spacing w:after="0" w:line="342" w:lineRule="auto"/>
        <w:tabs>
          <w:tab w:leader="none" w:pos="1454" w:val="left"/>
        </w:tabs>
        <w:numPr>
          <w:ilvl w:val="0"/>
          <w:numId w:val="1094"/>
        </w:numPr>
        <w:rPr>
          <w:rFonts w:ascii="Arial" w:cs="Arial" w:eastAsia="Arial" w:hAnsi="Arial"/>
          <w:sz w:val="16"/>
          <w:szCs w:val="16"/>
          <w:color w:val="auto"/>
        </w:rPr>
      </w:pPr>
      <w:r>
        <w:rPr>
          <w:rFonts w:ascii="Arial" w:cs="Arial" w:eastAsia="Arial" w:hAnsi="Arial"/>
          <w:sz w:val="16"/>
          <w:szCs w:val="16"/>
          <w:u w:val="single" w:color="auto"/>
          <w:color w:val="auto"/>
        </w:rPr>
        <w:t>Conflicts with LC Credit Agreement</w:t>
      </w:r>
      <w:r>
        <w:rPr>
          <w:rFonts w:ascii="Arial" w:cs="Arial" w:eastAsia="Arial" w:hAnsi="Arial"/>
          <w:sz w:val="16"/>
          <w:szCs w:val="16"/>
          <w:color w:val="auto"/>
        </w:rPr>
        <w:t>. In case of any conflict or inconsistency between any terms of this Agreement, on the one hand, and any of the terms and provisions of the LC Credit Agreement, on the other hand, then the terms and provisions of the LC Credit Agreement shall control.</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508" w:val="left"/>
        </w:tabs>
        <w:numPr>
          <w:ilvl w:val="0"/>
          <w:numId w:val="1094"/>
        </w:numPr>
        <w:rPr>
          <w:rFonts w:ascii="Arial" w:cs="Arial" w:eastAsia="Arial" w:hAnsi="Arial"/>
          <w:sz w:val="18"/>
          <w:szCs w:val="18"/>
          <w:color w:val="auto"/>
        </w:rPr>
      </w:pPr>
      <w:r>
        <w:rPr>
          <w:rFonts w:ascii="Arial" w:cs="Arial" w:eastAsia="Arial" w:hAnsi="Arial"/>
          <w:sz w:val="18"/>
          <w:szCs w:val="18"/>
          <w:u w:val="single" w:color="auto"/>
          <w:color w:val="auto"/>
        </w:rPr>
        <w:t>Conflicts with Intercreditor Agreement</w:t>
      </w:r>
      <w:r>
        <w:rPr>
          <w:rFonts w:ascii="Arial" w:cs="Arial" w:eastAsia="Arial" w:hAnsi="Arial"/>
          <w:sz w:val="18"/>
          <w:szCs w:val="18"/>
          <w:color w:val="auto"/>
        </w:rPr>
        <w:t>. In case of any conflict or inconsistency between any terms of this Agreement, on the one hand, and any of the terms and provisions of the Intercreditor Agreement, on the other hand, then the terms and provisions of the Intercreditor Agreement shall control.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96" w:name="page997"/>
    <w:bookmarkEnd w:id="996"/>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and delivered by their duly authorized officers as of the date first written above.</w:t>
      </w: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 OF COMPANY</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325882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Intercompany Subordination Agreement (LC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426720</wp:posOffset>
            </wp:positionV>
            <wp:extent cx="724662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40" w:top="909" w:right="299" w:bottom="1440" w:gutter="0" w:footer="0" w:header="0"/>
        </w:sectPr>
      </w:pPr>
    </w:p>
    <w:bookmarkStart w:id="997" w:name="page998"/>
    <w:bookmarkEnd w:id="997"/>
    <w:p>
      <w:pPr>
        <w:jc w:val="center"/>
        <w:ind w:right="-20"/>
        <w:spacing w:after="0"/>
        <w:rPr>
          <w:sz w:val="20"/>
          <w:szCs w:val="20"/>
          <w:color w:val="auto"/>
        </w:rPr>
      </w:pPr>
      <w:r>
        <w:rPr>
          <w:rFonts w:ascii="Arial" w:cs="Arial" w:eastAsia="Arial" w:hAnsi="Arial"/>
          <w:sz w:val="17"/>
          <w:szCs w:val="17"/>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98" w:name="page999"/>
    <w:bookmarkEnd w:id="998"/>
    <w:p>
      <w:pPr>
        <w:jc w:val="center"/>
        <w:spacing w:after="0"/>
        <w:rPr>
          <w:sz w:val="20"/>
          <w:szCs w:val="20"/>
          <w:color w:val="auto"/>
        </w:rPr>
      </w:pPr>
      <w:r>
        <w:rPr>
          <w:rFonts w:ascii="Arial" w:cs="Arial" w:eastAsia="Arial" w:hAnsi="Arial"/>
          <w:sz w:val="18"/>
          <w:szCs w:val="18"/>
          <w:u w:val="single" w:color="auto"/>
          <w:color w:val="auto"/>
        </w:rPr>
        <w:t>ANNEX I TO INTERCOMPANY SUBORDINATION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hereby made to the Intercompany Subordination Agreement (as the same may be amended, restated, supplemented or otherwise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dated as of December </w:t>
      </w:r>
      <w:r>
        <w:rPr>
          <w:rFonts w:ascii="Arial" w:cs="Arial" w:eastAsia="Arial" w:hAnsi="Arial"/>
          <w:sz w:val="17"/>
          <w:szCs w:val="17"/>
          <w:b w:val="1"/>
          <w:bCs w:val="1"/>
          <w:color w:val="auto"/>
        </w:rPr>
        <w:t>[ ]</w:t>
      </w:r>
      <w:r>
        <w:rPr>
          <w:rFonts w:ascii="Arial" w:cs="Arial" w:eastAsia="Arial" w:hAnsi="Arial"/>
          <w:sz w:val="17"/>
          <w:szCs w:val="17"/>
          <w:color w:val="auto"/>
        </w:rPr>
        <w:t>, 2019, made by and among the entities listed on the signature pages thereto (such entities, together with any other subsidiaries of Weatherford International plc, an Irish public limited company (“</w:t>
      </w:r>
      <w:r>
        <w:rPr>
          <w:rFonts w:ascii="Arial" w:cs="Arial" w:eastAsia="Arial" w:hAnsi="Arial"/>
          <w:sz w:val="17"/>
          <w:szCs w:val="17"/>
          <w:u w:val="single" w:color="auto"/>
          <w:color w:val="auto"/>
        </w:rPr>
        <w:t>WIL-Ireland</w:t>
      </w:r>
      <w:r>
        <w:rPr>
          <w:rFonts w:ascii="Arial" w:cs="Arial" w:eastAsia="Arial" w:hAnsi="Arial"/>
          <w:sz w:val="17"/>
          <w:szCs w:val="17"/>
          <w:color w:val="auto"/>
        </w:rPr>
        <w:t>”), whether now existing or hereafter formed or acquired, that become party to the Agreement from time to time in accordance with the terms of Section 6 of the Agreement, being individually referred to herein as a “</w:t>
      </w:r>
      <w:r>
        <w:rPr>
          <w:rFonts w:ascii="Arial" w:cs="Arial" w:eastAsia="Arial" w:hAnsi="Arial"/>
          <w:sz w:val="17"/>
          <w:szCs w:val="17"/>
          <w:u w:val="single" w:color="auto"/>
          <w:color w:val="auto"/>
        </w:rPr>
        <w:t>Company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Companies</w:t>
      </w:r>
      <w:r>
        <w:rPr>
          <w:rFonts w:ascii="Arial" w:cs="Arial" w:eastAsia="Arial" w:hAnsi="Arial"/>
          <w:sz w:val="17"/>
          <w:szCs w:val="17"/>
          <w:color w:val="auto"/>
        </w:rPr>
        <w:t>”, in any case including any applicable branch thereof). Each capitalized term used herein and not defined herein shall have the meaning given to it in the Agreement.</w:t>
      </w:r>
    </w:p>
    <w:p>
      <w:pPr>
        <w:spacing w:after="0" w:line="174" w:lineRule="exact"/>
        <w:rPr>
          <w:sz w:val="20"/>
          <w:szCs w:val="20"/>
          <w:color w:val="auto"/>
        </w:rPr>
      </w:pPr>
    </w:p>
    <w:p>
      <w:pPr>
        <w:ind w:left="660"/>
        <w:spacing w:after="0"/>
        <w:tabs>
          <w:tab w:leader="none" w:pos="7360" w:val="left"/>
        </w:tabs>
        <w:rPr>
          <w:sz w:val="20"/>
          <w:szCs w:val="20"/>
          <w:color w:val="auto"/>
        </w:rPr>
      </w:pPr>
      <w:r>
        <w:rPr>
          <w:rFonts w:ascii="Arial" w:cs="Arial" w:eastAsia="Arial" w:hAnsi="Arial"/>
          <w:sz w:val="18"/>
          <w:szCs w:val="18"/>
          <w:color w:val="auto"/>
        </w:rPr>
        <w:t xml:space="preserve">By its execution below, the undersigned, </w:t>
      </w:r>
      <w:r>
        <w:rPr>
          <w:rFonts w:ascii="Arial" w:cs="Arial" w:eastAsia="Arial" w:hAnsi="Arial"/>
          <w:sz w:val="18"/>
          <w:szCs w:val="18"/>
          <w:b w:val="1"/>
          <w:bCs w:val="1"/>
          <w:color w:val="auto"/>
        </w:rPr>
        <w:t>[</w:t>
      </w:r>
      <w:r>
        <w:rPr>
          <w:rFonts w:ascii="Arial" w:cs="Arial" w:eastAsia="Arial" w:hAnsi="Arial"/>
          <w:sz w:val="18"/>
          <w:szCs w:val="18"/>
          <w:color w:val="auto"/>
        </w:rPr>
        <w:t>NAME OF NEW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 </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 [</w:t>
      </w:r>
      <w:r>
        <w:rPr>
          <w:rFonts w:ascii="Arial" w:cs="Arial" w:eastAsia="Arial" w:hAnsi="Arial"/>
          <w:sz w:val="17"/>
          <w:szCs w:val="17"/>
          <w:color w:val="auto"/>
        </w:rPr>
        <w:t>corporation</w:t>
      </w:r>
      <w:r>
        <w:rPr>
          <w:rFonts w:ascii="Arial" w:cs="Arial" w:eastAsia="Arial" w:hAnsi="Arial"/>
          <w:sz w:val="17"/>
          <w:szCs w:val="17"/>
          <w:b w:val="1"/>
          <w:bCs w:val="1"/>
          <w:color w:val="auto"/>
        </w:rPr>
        <w:t>] [</w:t>
      </w:r>
      <w:r>
        <w:rPr>
          <w:rFonts w:ascii="Arial" w:cs="Arial" w:eastAsia="Arial" w:hAnsi="Arial"/>
          <w:sz w:val="17"/>
          <w:szCs w:val="17"/>
          <w:color w:val="auto"/>
        </w:rPr>
        <w:t>partnership</w:t>
      </w:r>
      <w:r>
        <w:rPr>
          <w:rFonts w:ascii="Arial" w:cs="Arial" w:eastAsia="Arial" w:hAnsi="Arial"/>
          <w:sz w:val="17"/>
          <w:szCs w:val="17"/>
          <w:b w:val="1"/>
          <w:bCs w:val="1"/>
          <w:color w:val="auto"/>
        </w:rPr>
        <w:t>] [</w:t>
      </w:r>
      <w:r>
        <w:rPr>
          <w:rFonts w:ascii="Arial" w:cs="Arial" w:eastAsia="Arial" w:hAnsi="Arial"/>
          <w:sz w:val="17"/>
          <w:szCs w:val="17"/>
          <w:color w:val="auto"/>
        </w:rPr>
        <w:t>limited liability company</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71437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other form of legal entity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New Company</w:t>
      </w:r>
      <w:r>
        <w:rPr>
          <w:rFonts w:ascii="Arial" w:cs="Arial" w:eastAsia="Arial" w:hAnsi="Arial"/>
          <w:sz w:val="18"/>
          <w:szCs w:val="18"/>
          <w:color w:val="auto"/>
        </w:rPr>
        <w:t>”), agrees to become, and does hereby become, a Company under the Agreement and agrees to be bound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as if originally a party thereto. Without limiting the foregoing, the undersigned hereby absolutely and unconditionally, and jointly and severally with the other Companies, guarantees performance of the obligations of the Agreement.</w:t>
      </w:r>
      <w:r>
        <w:rPr>
          <w:rFonts w:ascii="Arial" w:cs="Arial" w:eastAsia="Arial" w:hAnsi="Arial"/>
          <w:sz w:val="30"/>
          <w:szCs w:val="30"/>
          <w:color w:val="auto"/>
          <w:vertAlign w:val="superscript"/>
        </w:rPr>
        <w:t>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gridSpan w:val="3"/>
          </w:tcPr>
          <w:p>
            <w:pPr>
              <w:ind w:left="80"/>
              <w:spacing w:after="0"/>
              <w:rPr>
                <w:sz w:val="20"/>
                <w:szCs w:val="20"/>
                <w:color w:val="auto"/>
              </w:rPr>
            </w:pPr>
            <w:r>
              <w:rPr>
                <w:rFonts w:ascii="Arial" w:cs="Arial" w:eastAsia="Arial" w:hAnsi="Arial"/>
                <w:sz w:val="18"/>
                <w:szCs w:val="18"/>
                <w:color w:val="auto"/>
                <w:w w:val="94"/>
              </w:rPr>
              <w:t>IN WITNESS WHEREOF, the New Company has executed and delivered this Annex I counterpart to the Agreement as of this</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w w:val="93"/>
              </w:rPr>
              <w:t>day of</w:t>
            </w:r>
          </w:p>
        </w:tc>
      </w:tr>
      <w:tr>
        <w:trPr>
          <w:trHeight w:val="196"/>
        </w:trPr>
        <w:tc>
          <w:tcPr>
            <w:tcW w:w="5720" w:type="dxa"/>
            <w:vAlign w:val="bottom"/>
            <w:gridSpan w:val="3"/>
          </w:tcPr>
          <w:p>
            <w:pPr>
              <w:ind w:left="500"/>
              <w:spacing w:after="0" w:line="196" w:lineRule="exact"/>
              <w:rPr>
                <w:sz w:val="20"/>
                <w:szCs w:val="20"/>
                <w:color w:val="auto"/>
              </w:rPr>
            </w:pPr>
            <w:r>
              <w:rPr>
                <w:rFonts w:ascii="Arial" w:cs="Arial" w:eastAsia="Arial" w:hAnsi="Arial"/>
                <w:sz w:val="18"/>
                <w:szCs w:val="18"/>
                <w:color w:val="auto"/>
              </w:rPr>
              <w:t>, 20 .</w:t>
            </w:r>
          </w:p>
        </w:tc>
        <w:tc>
          <w:tcPr>
            <w:tcW w:w="5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 OF NEW COMPANY</w:t>
            </w: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4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By:</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634"/>
        </w:trPr>
        <w:tc>
          <w:tcPr>
            <w:tcW w:w="10140" w:type="dxa"/>
            <w:vAlign w:val="bottom"/>
            <w:gridSpan w:val="5"/>
          </w:tcPr>
          <w:p>
            <w:pPr>
              <w:spacing w:after="0"/>
              <w:rPr>
                <w:sz w:val="20"/>
                <w:szCs w:val="20"/>
                <w:color w:val="auto"/>
              </w:rPr>
            </w:pPr>
            <w:r>
              <w:rPr>
                <w:rFonts w:ascii="Arial" w:cs="Arial" w:eastAsia="Arial" w:hAnsi="Arial"/>
                <w:sz w:val="18"/>
                <w:szCs w:val="18"/>
                <w:color w:val="auto"/>
              </w:rPr>
              <w:t>Acknowledged and Agreed to:</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10140" w:type="dxa"/>
            <w:vAlign w:val="bottom"/>
            <w:gridSpan w:val="5"/>
          </w:tcPr>
          <w:p>
            <w:pPr>
              <w:spacing w:after="0"/>
              <w:rPr>
                <w:sz w:val="20"/>
                <w:szCs w:val="20"/>
                <w:color w:val="auto"/>
              </w:rPr>
            </w:pPr>
            <w:r>
              <w:rPr>
                <w:rFonts w:ascii="Arial" w:cs="Arial" w:eastAsia="Arial" w:hAnsi="Arial"/>
                <w:sz w:val="18"/>
                <w:szCs w:val="18"/>
                <w:color w:val="auto"/>
              </w:rPr>
              <w:t>DEUTSCHE BANK TRUST COMPANY AMERICAS, as Administrative Agent</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648"/>
        </w:trPr>
        <w:tc>
          <w:tcPr>
            <w:tcW w:w="10140" w:type="dxa"/>
            <w:vAlign w:val="bottom"/>
            <w:gridSpan w:val="5"/>
          </w:tcPr>
          <w:p>
            <w:pPr>
              <w:spacing w:after="0"/>
              <w:rPr>
                <w:sz w:val="20"/>
                <w:szCs w:val="20"/>
                <w:color w:val="auto"/>
              </w:rPr>
            </w:pPr>
            <w:r>
              <w:rPr>
                <w:rFonts w:ascii="Arial" w:cs="Arial" w:eastAsia="Arial" w:hAnsi="Arial"/>
                <w:sz w:val="18"/>
                <w:szCs w:val="18"/>
                <w:color w:val="auto"/>
              </w:rPr>
              <w:t>By:</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tcPr>
          <w:p>
            <w:pPr>
              <w:spacing w:after="0"/>
              <w:rPr>
                <w:sz w:val="16"/>
                <w:szCs w:val="16"/>
                <w:color w:val="auto"/>
              </w:rPr>
            </w:pPr>
          </w:p>
        </w:tc>
        <w:tc>
          <w:tcPr>
            <w:tcW w:w="442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0"/>
        </w:trPr>
        <w:tc>
          <w:tcPr>
            <w:tcW w:w="10140" w:type="dxa"/>
            <w:vAlign w:val="bottom"/>
            <w:gridSpan w:val="5"/>
          </w:tcPr>
          <w:p>
            <w:pPr>
              <w:spacing w:after="0"/>
              <w:rPr>
                <w:sz w:val="20"/>
                <w:szCs w:val="20"/>
                <w:color w:val="auto"/>
              </w:rPr>
            </w:pPr>
            <w:r>
              <w:rPr>
                <w:rFonts w:ascii="Arial" w:cs="Arial" w:eastAsia="Arial" w:hAnsi="Arial"/>
                <w:sz w:val="18"/>
                <w:szCs w:val="18"/>
                <w:color w:val="auto"/>
              </w:rPr>
              <w:t>Title:</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7" w:lineRule="exact"/>
        <w:rPr>
          <w:sz w:val="20"/>
          <w:szCs w:val="20"/>
          <w:color w:val="auto"/>
        </w:rPr>
      </w:pPr>
    </w:p>
    <w:p>
      <w:pPr>
        <w:ind w:left="240" w:hanging="124"/>
        <w:spacing w:after="0"/>
        <w:tabs>
          <w:tab w:leader="none" w:pos="240" w:val="left"/>
        </w:tabs>
        <w:numPr>
          <w:ilvl w:val="0"/>
          <w:numId w:val="1095"/>
        </w:numPr>
        <w:rPr>
          <w:rFonts w:ascii="Arial" w:cs="Arial" w:eastAsia="Arial" w:hAnsi="Arial"/>
          <w:sz w:val="30"/>
          <w:szCs w:val="30"/>
          <w:color w:val="auto"/>
          <w:vertAlign w:val="superscript"/>
        </w:rPr>
      </w:pPr>
      <w:r>
        <w:rPr>
          <w:rFonts w:ascii="Arial" w:cs="Arial" w:eastAsia="Arial" w:hAnsi="Arial"/>
          <w:sz w:val="18"/>
          <w:szCs w:val="18"/>
          <w:color w:val="auto"/>
        </w:rPr>
        <w:t>Provisions applicable to any Company organized in a new jurisdiction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99" w:name="page1000"/>
    <w:bookmarkEnd w:id="999"/>
    <w:p>
      <w:pPr>
        <w:ind w:left="10380"/>
        <w:spacing w:after="0"/>
        <w:rPr>
          <w:sz w:val="20"/>
          <w:szCs w:val="20"/>
          <w:color w:val="auto"/>
        </w:rPr>
      </w:pPr>
      <w:r>
        <w:rPr>
          <w:rFonts w:ascii="Arial" w:cs="Arial" w:eastAsia="Arial" w:hAnsi="Arial"/>
          <w:sz w:val="18"/>
          <w:szCs w:val="18"/>
          <w:b w:val="1"/>
          <w:bCs w:val="1"/>
          <w:u w:val="single" w:color="auto"/>
          <w:color w:val="auto"/>
        </w:rPr>
        <w:t>EXHIBIT 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PARTICIPANT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LENDER</w:t>
      </w:r>
      <w:r>
        <w:rPr>
          <w:rFonts w:ascii="Arial" w:cs="Arial" w:eastAsia="Arial" w:hAnsi="Arial"/>
          <w:sz w:val="18"/>
          <w:szCs w:val="18"/>
          <w:color w:val="auto"/>
        </w:rPr>
        <w:t>] (the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LegalWeatherford@weatherford.com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Project Finance Agency Services, Weatherford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Address: Mary.Coseo@db.com</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made to that certain LC Credit Agreement, dated as of December 13, 2019 (as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 Delaware</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Parent</w:t>
      </w:r>
      <w:r>
        <w:rPr>
          <w:rFonts w:ascii="Arial" w:cs="Arial" w:eastAsia="Arial" w:hAnsi="Arial"/>
          <w:sz w:val="18"/>
          <w:szCs w:val="18"/>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11.05(c)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11.25(b)</w:t>
      </w:r>
      <w:r>
        <w:rPr>
          <w:rFonts w:ascii="Arial" w:cs="Arial" w:eastAsia="Arial" w:hAnsi="Arial"/>
          <w:sz w:val="17"/>
          <w:szCs w:val="17"/>
          <w:color w:val="auto"/>
        </w:rPr>
        <w:t xml:space="preserve"> of the Credit Agreement, the undersigned (the “</w:t>
      </w:r>
      <w:r>
        <w:rPr>
          <w:rFonts w:ascii="Arial" w:cs="Arial" w:eastAsia="Arial" w:hAnsi="Arial"/>
          <w:sz w:val="17"/>
          <w:szCs w:val="17"/>
          <w:u w:val="single" w:color="auto"/>
          <w:color w:val="auto"/>
        </w:rPr>
        <w:t>Participant</w:t>
      </w:r>
      <w:r>
        <w:rPr>
          <w:rFonts w:ascii="Arial" w:cs="Arial" w:eastAsia="Arial" w:hAnsi="Arial"/>
          <w:sz w:val="17"/>
          <w:szCs w:val="17"/>
          <w:color w:val="auto"/>
        </w:rPr>
        <w:t>”) is a prospective purchaser of a participation (or sub-participation) under the Credit Agreement to be sold by the Seller and is required to deliver this Participant Certificate.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hereby confirms that, as of date set forth below (check one):</w:t>
      </w:r>
    </w:p>
    <w:p>
      <w:pPr>
        <w:spacing w:after="0" w:line="225" w:lineRule="exact"/>
        <w:rPr>
          <w:sz w:val="20"/>
          <w:szCs w:val="20"/>
          <w:color w:val="auto"/>
        </w:rPr>
      </w:pPr>
    </w:p>
    <w:p>
      <w:pPr>
        <w:ind w:left="980" w:right="20" w:hanging="324"/>
        <w:spacing w:after="0" w:line="277" w:lineRule="auto"/>
        <w:tabs>
          <w:tab w:leader="none" w:pos="980" w:val="left"/>
        </w:tabs>
        <w:numPr>
          <w:ilvl w:val="0"/>
          <w:numId w:val="1096"/>
        </w:numPr>
        <w:rPr>
          <w:rFonts w:ascii="MS PGothic" w:cs="MS PGothic" w:eastAsia="MS PGothic" w:hAnsi="MS PGothic"/>
          <w:sz w:val="18"/>
          <w:szCs w:val="18"/>
          <w:color w:val="auto"/>
        </w:rPr>
      </w:pPr>
      <w:r>
        <w:rPr>
          <w:rFonts w:ascii="Arial" w:cs="Arial" w:eastAsia="Arial" w:hAnsi="Arial"/>
          <w:sz w:val="18"/>
          <w:szCs w:val="18"/>
          <w:color w:val="auto"/>
        </w:rPr>
        <w:t>Participant is a Swiss Qualifying Lender and has not entered into a participation (including a sub-participation) arrangement with respect to the Credit Agreement with any Person that is a Swiss Non-Qualifying Lender.</w:t>
      </w:r>
    </w:p>
    <w:p>
      <w:pPr>
        <w:spacing w:after="0" w:line="170" w:lineRule="exact"/>
        <w:rPr>
          <w:rFonts w:ascii="MS PGothic" w:cs="MS PGothic" w:eastAsia="MS PGothic" w:hAnsi="MS PGothic"/>
          <w:sz w:val="18"/>
          <w:szCs w:val="18"/>
          <w:color w:val="auto"/>
        </w:rPr>
      </w:pPr>
    </w:p>
    <w:p>
      <w:pPr>
        <w:jc w:val="both"/>
        <w:ind w:left="980" w:hanging="324"/>
        <w:spacing w:after="0" w:line="264" w:lineRule="auto"/>
        <w:tabs>
          <w:tab w:leader="none" w:pos="980" w:val="left"/>
        </w:tabs>
        <w:numPr>
          <w:ilvl w:val="0"/>
          <w:numId w:val="1096"/>
        </w:numPr>
        <w:rPr>
          <w:rFonts w:ascii="MS PGothic" w:cs="MS PGothic" w:eastAsia="MS PGothic" w:hAnsi="MS PGothic"/>
          <w:sz w:val="18"/>
          <w:szCs w:val="18"/>
          <w:color w:val="auto"/>
        </w:rPr>
      </w:pPr>
      <w:r>
        <w:rPr>
          <w:rFonts w:ascii="Arial" w:cs="Arial" w:eastAsia="Arial" w:hAnsi="Arial"/>
          <w:sz w:val="18"/>
          <w:szCs w:val="18"/>
          <w:color w:val="auto"/>
        </w:rPr>
        <w:t>Participant is a Swiss Non-Qualifying Lender, and counts as one single creditor for purposes of the Swiss Non-Bank Rules and has not entered into a participation (including any sub-participation) arrangement with respect to the Agreement with any Person that is a Swiss Non-Qualifying Lender.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000" w:name="page1001"/>
    <w:bookmarkEnd w:id="1000"/>
    <w:p>
      <w:pPr>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w:t>
      </w:r>
      <w:r>
        <w:rPr>
          <w:rFonts w:ascii="Arial" w:cs="Arial" w:eastAsia="Arial" w:hAnsi="Arial"/>
          <w:sz w:val="17"/>
          <w:szCs w:val="17"/>
          <w:i w:val="1"/>
          <w:iCs w:val="1"/>
          <w:color w:val="auto"/>
        </w:rPr>
        <w:t>Merkblatt “Verrechnungssteuer auf</w:t>
      </w:r>
      <w:r>
        <w:rPr>
          <w:rFonts w:ascii="Arial" w:cs="Arial" w:eastAsia="Arial" w:hAnsi="Arial"/>
          <w:sz w:val="17"/>
          <w:szCs w:val="17"/>
          <w:color w:val="auto"/>
        </w:rPr>
        <w:t xml:space="preserve"> </w:t>
      </w:r>
      <w:r>
        <w:rPr>
          <w:rFonts w:ascii="Arial" w:cs="Arial" w:eastAsia="Arial" w:hAnsi="Arial"/>
          <w:sz w:val="17"/>
          <w:szCs w:val="17"/>
          <w:i w:val="1"/>
          <w:iCs w:val="1"/>
          <w:color w:val="auto"/>
        </w:rPr>
        <w:t>Zinsen von Bankguthaben, deren Gläubiger Banken sind (Interbankguthaben)” vom 22. September 1986</w:t>
      </w:r>
      <w:r>
        <w:rPr>
          <w:rFonts w:ascii="Arial" w:cs="Arial" w:eastAsia="Arial" w:hAnsi="Arial"/>
          <w:sz w:val="17"/>
          <w:szCs w:val="17"/>
          <w:color w:val="auto"/>
        </w:rPr>
        <w:t>), circular letter No. 47 in relation to bonds of 25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2019 (1-047-V-2019) (</w:t>
      </w:r>
      <w:r>
        <w:rPr>
          <w:rFonts w:ascii="Arial" w:cs="Arial" w:eastAsia="Arial" w:hAnsi="Arial"/>
          <w:sz w:val="17"/>
          <w:szCs w:val="17"/>
          <w:i w:val="1"/>
          <w:iCs w:val="1"/>
          <w:color w:val="auto"/>
        </w:rPr>
        <w:t>Kreisschreiben Nr. 47 “Obligationen” vom 25. Juli 2019</w:t>
      </w:r>
      <w:r>
        <w:rPr>
          <w:rFonts w:ascii="Arial" w:cs="Arial" w:eastAsia="Arial" w:hAnsi="Arial"/>
          <w:sz w:val="17"/>
          <w:szCs w:val="17"/>
          <w:color w:val="auto"/>
        </w:rPr>
        <w:t>), guideline S-02.130.1 in relation to money market instruments and book claims of April 1999 (</w:t>
      </w:r>
      <w:r>
        <w:rPr>
          <w:rFonts w:ascii="Arial" w:cs="Arial" w:eastAsia="Arial" w:hAnsi="Arial"/>
          <w:sz w:val="17"/>
          <w:szCs w:val="17"/>
          <w:i w:val="1"/>
          <w:iCs w:val="1"/>
          <w:color w:val="auto"/>
        </w:rPr>
        <w:t>Merkblatt vom April 1999 betreffend Geldmarktpapiere und Buchforderungen inländischer Schuldner</w:t>
      </w:r>
      <w:r>
        <w:rPr>
          <w:rFonts w:ascii="Arial" w:cs="Arial" w:eastAsia="Arial" w:hAnsi="Arial"/>
          <w:sz w:val="17"/>
          <w:szCs w:val="17"/>
          <w:color w:val="auto"/>
        </w:rPr>
        <w:t>), circular letter No. 46 of 24 July 2019 (1-046-VS-2019) in relation to syndicated credit facilities (</w:t>
      </w:r>
      <w:r>
        <w:rPr>
          <w:rFonts w:ascii="Arial" w:cs="Arial" w:eastAsia="Arial" w:hAnsi="Arial"/>
          <w:sz w:val="17"/>
          <w:szCs w:val="17"/>
          <w:i w:val="1"/>
          <w:iCs w:val="1"/>
          <w:color w:val="auto"/>
        </w:rPr>
        <w:t>Kreisschreiben Nr. 46 “Steuerliche Behandlung von Konsortialdarlehen,</w:t>
      </w:r>
      <w:r>
        <w:rPr>
          <w:rFonts w:ascii="Arial" w:cs="Arial" w:eastAsia="Arial" w:hAnsi="Arial"/>
          <w:sz w:val="17"/>
          <w:szCs w:val="17"/>
          <w:color w:val="auto"/>
        </w:rPr>
        <w:t xml:space="preserve"> </w:t>
      </w:r>
      <w:r>
        <w:rPr>
          <w:rFonts w:ascii="Arial" w:cs="Arial" w:eastAsia="Arial" w:hAnsi="Arial"/>
          <w:sz w:val="17"/>
          <w:szCs w:val="17"/>
          <w:i w:val="1"/>
          <w:iCs w:val="1"/>
          <w:color w:val="auto"/>
        </w:rPr>
        <w:t>Schuldscheindarlehen, Wechseln und Unterbeteiligungen” vom 24. Juli 2019</w:t>
      </w:r>
      <w:r>
        <w:rPr>
          <w:rFonts w:ascii="Arial" w:cs="Arial" w:eastAsia="Arial" w:hAnsi="Arial"/>
          <w:sz w:val="17"/>
          <w:szCs w:val="17"/>
          <w:color w:val="auto"/>
        </w:rPr>
        <w:t>), circular letter No. 34 of 26 July 2011 (1-034-V-2011) in relation to deposits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Kreisschreiben Nr. 34 “Kundenguthaben” vom 26. Juli 2011</w:t>
      </w:r>
      <w:r>
        <w:rPr>
          <w:rFonts w:ascii="Arial" w:cs="Arial" w:eastAsia="Arial" w:hAnsi="Arial"/>
          <w:sz w:val="17"/>
          <w:szCs w:val="17"/>
          <w:color w:val="auto"/>
        </w:rPr>
        <w:t>); the circular letter No. 15 of 3 October 2017 (1-015-DVS- 2017) in relation to bonds and derivative financial instruments as subject matter of taxation of Swiss federal income tax, Swiss withholding tax and Swiss stamp taxes (</w:t>
      </w:r>
      <w:r>
        <w:rPr>
          <w:rFonts w:ascii="Arial" w:cs="Arial" w:eastAsia="Arial" w:hAnsi="Arial"/>
          <w:sz w:val="17"/>
          <w:szCs w:val="17"/>
          <w:i w:val="1"/>
          <w:iCs w:val="1"/>
          <w:color w:val="auto"/>
        </w:rPr>
        <w:t>Kreisschreiben Nr.</w:t>
      </w:r>
      <w:r>
        <w:rPr>
          <w:rFonts w:ascii="Arial" w:cs="Arial" w:eastAsia="Arial" w:hAnsi="Arial"/>
          <w:sz w:val="17"/>
          <w:szCs w:val="17"/>
          <w:color w:val="auto"/>
        </w:rPr>
        <w:t xml:space="preserve"> </w:t>
      </w:r>
      <w:r>
        <w:rPr>
          <w:rFonts w:ascii="Arial" w:cs="Arial" w:eastAsia="Arial" w:hAnsi="Arial"/>
          <w:sz w:val="17"/>
          <w:szCs w:val="17"/>
          <w:i w:val="1"/>
          <w:iCs w:val="1"/>
          <w:color w:val="auto"/>
        </w:rPr>
        <w:t>15 “Obligationen und derivative Finanzinstrumente als Gegenstand der direkten Bundessteuer, der Verrechnungssteuer und der Stempelabgaben” vom 3. Oktober 2017</w:t>
      </w:r>
      <w:r>
        <w:rPr>
          <w:rFonts w:ascii="Arial" w:cs="Arial" w:eastAsia="Arial" w:hAnsi="Arial"/>
          <w:sz w:val="17"/>
          <w:szCs w:val="17"/>
          <w:color w:val="auto"/>
        </w:rPr>
        <w:t>) and the notification regarding credit balances in groups (Mitteilung 010-DVS-2019 of February 2019 betreffend "Verrechnungssteuer:</w:t>
      </w:r>
      <w:r>
        <w:rPr>
          <w:rFonts w:ascii="Arial" w:cs="Arial" w:eastAsia="Arial" w:hAnsi="Arial"/>
          <w:sz w:val="17"/>
          <w:szCs w:val="17"/>
          <w:i w:val="1"/>
          <w:iCs w:val="1"/>
          <w:color w:val="auto"/>
        </w:rPr>
        <w:t xml:space="preserve"> </w:t>
      </w:r>
      <w:r>
        <w:rPr>
          <w:rFonts w:ascii="Arial" w:cs="Arial" w:eastAsia="Arial" w:hAnsi="Arial"/>
          <w:sz w:val="17"/>
          <w:szCs w:val="17"/>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Person that (i) is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01" w:name="page1002"/>
    <w:bookmarkEnd w:id="1001"/>
    <w:p>
      <w:pPr>
        <w:spacing w:after="0"/>
        <w:tabs>
          <w:tab w:leader="none" w:pos="6940" w:val="left"/>
          <w:tab w:leader="none" w:pos="8500" w:val="left"/>
          <w:tab w:leader="none" w:pos="8960" w:val="left"/>
        </w:tabs>
        <w:rPr>
          <w:sz w:val="20"/>
          <w:szCs w:val="20"/>
          <w:color w:val="auto"/>
        </w:rPr>
      </w:pPr>
      <w:r>
        <w:rPr>
          <w:rFonts w:ascii="Arial" w:cs="Arial" w:eastAsia="Arial" w:hAnsi="Arial"/>
          <w:sz w:val="18"/>
          <w:szCs w:val="18"/>
          <w:color w:val="auto"/>
        </w:rPr>
        <w:t>IN WITNESS WHEREOF, the undersigned has executed this Participant Certificate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-10160</wp:posOffset>
            </wp:positionV>
            <wp:extent cx="1631315"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8">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PARTICIPANT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-130810</wp:posOffset>
            </wp:positionV>
            <wp:extent cx="325882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79"/>
          </w:cols>
          <w:pgMar w:left="980" w:top="909" w:right="1440" w:bottom="1440" w:gutter="0" w:footer="0" w:header="0"/>
        </w:sectPr>
      </w:pPr>
    </w:p>
    <w:bookmarkStart w:id="1002" w:name="page1003"/>
    <w:bookmarkEnd w:id="1002"/>
    <w:p>
      <w:pPr>
        <w:jc w:val="right"/>
        <w:spacing w:after="0"/>
        <w:rPr>
          <w:sz w:val="20"/>
          <w:szCs w:val="20"/>
          <w:color w:val="auto"/>
        </w:rPr>
      </w:pPr>
      <w:r>
        <w:rPr>
          <w:rFonts w:ascii="Arial" w:cs="Arial" w:eastAsia="Arial" w:hAnsi="Arial"/>
          <w:sz w:val="18"/>
          <w:szCs w:val="18"/>
          <w:b w:val="1"/>
          <w:bCs w:val="1"/>
          <w:u w:val="single" w:color="auto"/>
          <w:color w:val="auto"/>
        </w:rPr>
        <w:t>EXHIBIT 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PARTICIPANT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LENDER</w:t>
      </w:r>
      <w:r>
        <w:rPr>
          <w:rFonts w:ascii="Arial" w:cs="Arial" w:eastAsia="Arial" w:hAnsi="Arial"/>
          <w:sz w:val="18"/>
          <w:szCs w:val="18"/>
          <w:color w:val="auto"/>
        </w:rPr>
        <w:t>] (the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LegalWeatherford@weatherford.com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Project Finance Agency Services, Weatherford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Address: Mary.Coseo@db.com</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made to that certain LC Credit Agreement, dated as of December [5], 2019 (as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Parent</w:t>
      </w:r>
      <w:r>
        <w:rPr>
          <w:rFonts w:ascii="Arial" w:cs="Arial" w:eastAsia="Arial" w:hAnsi="Arial"/>
          <w:sz w:val="18"/>
          <w:szCs w:val="18"/>
          <w:color w:val="auto"/>
        </w:rPr>
        <w:t>”), the Lenders from time to time party thereto, Deutsche Bank Trust Company Americas, as administrative agent for the Lenders, and the Issuing Banks from time to time party thereto. Capitalized terms used but not otherwise defined herein shall have the respective meanings specified therefor in the Credit Agreement.</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11.05(c)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11.25(b)</w:t>
      </w:r>
      <w:r>
        <w:rPr>
          <w:rFonts w:ascii="Arial" w:cs="Arial" w:eastAsia="Arial" w:hAnsi="Arial"/>
          <w:sz w:val="17"/>
          <w:szCs w:val="17"/>
          <w:color w:val="auto"/>
        </w:rPr>
        <w:t xml:space="preserve"> of the Credit Agreement, the undersigned (the “</w:t>
      </w:r>
      <w:r>
        <w:rPr>
          <w:rFonts w:ascii="Arial" w:cs="Arial" w:eastAsia="Arial" w:hAnsi="Arial"/>
          <w:sz w:val="17"/>
          <w:szCs w:val="17"/>
          <w:u w:val="single" w:color="auto"/>
          <w:color w:val="auto"/>
        </w:rPr>
        <w:t>Participant</w:t>
      </w:r>
      <w:r>
        <w:rPr>
          <w:rFonts w:ascii="Arial" w:cs="Arial" w:eastAsia="Arial" w:hAnsi="Arial"/>
          <w:sz w:val="17"/>
          <w:szCs w:val="17"/>
          <w:color w:val="auto"/>
        </w:rPr>
        <w:t>”) is a prospective purchaser of a participation (or sub-participation) under the Credit Agreement to be sold by the Seller and is required to deliver this Participant Certificate.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hereby confirms that, as of date set forth below (check one):</w:t>
      </w:r>
    </w:p>
    <w:p>
      <w:pPr>
        <w:spacing w:after="0" w:line="225" w:lineRule="exact"/>
        <w:rPr>
          <w:sz w:val="20"/>
          <w:szCs w:val="20"/>
          <w:color w:val="auto"/>
        </w:rPr>
      </w:pPr>
    </w:p>
    <w:p>
      <w:pPr>
        <w:ind w:left="980" w:right="20" w:hanging="324"/>
        <w:spacing w:after="0" w:line="277" w:lineRule="auto"/>
        <w:tabs>
          <w:tab w:leader="none" w:pos="980" w:val="left"/>
        </w:tabs>
        <w:numPr>
          <w:ilvl w:val="0"/>
          <w:numId w:val="1097"/>
        </w:numPr>
        <w:rPr>
          <w:rFonts w:ascii="MS PGothic" w:cs="MS PGothic" w:eastAsia="MS PGothic" w:hAnsi="MS PGothic"/>
          <w:sz w:val="18"/>
          <w:szCs w:val="18"/>
          <w:color w:val="auto"/>
        </w:rPr>
      </w:pPr>
      <w:r>
        <w:rPr>
          <w:rFonts w:ascii="Arial" w:cs="Arial" w:eastAsia="Arial" w:hAnsi="Arial"/>
          <w:sz w:val="18"/>
          <w:szCs w:val="18"/>
          <w:color w:val="auto"/>
        </w:rPr>
        <w:t>Participant is a Swiss Qualifying Lender and has not entered into a participation (including a sub-participation) arrangement with respect to the Credit Agreement with any Person that is a Swiss Non-Qualifying Lender.</w:t>
      </w:r>
    </w:p>
    <w:p>
      <w:pPr>
        <w:spacing w:after="0" w:line="170" w:lineRule="exact"/>
        <w:rPr>
          <w:rFonts w:ascii="MS PGothic" w:cs="MS PGothic" w:eastAsia="MS PGothic" w:hAnsi="MS PGothic"/>
          <w:sz w:val="18"/>
          <w:szCs w:val="18"/>
          <w:color w:val="auto"/>
        </w:rPr>
      </w:pPr>
    </w:p>
    <w:p>
      <w:pPr>
        <w:ind w:left="980" w:hanging="324"/>
        <w:spacing w:after="0" w:line="277" w:lineRule="auto"/>
        <w:tabs>
          <w:tab w:leader="none" w:pos="980" w:val="left"/>
        </w:tabs>
        <w:numPr>
          <w:ilvl w:val="0"/>
          <w:numId w:val="1097"/>
        </w:numPr>
        <w:rPr>
          <w:rFonts w:ascii="MS PGothic" w:cs="MS PGothic" w:eastAsia="MS PGothic" w:hAnsi="MS PGothic"/>
          <w:sz w:val="18"/>
          <w:szCs w:val="18"/>
          <w:color w:val="auto"/>
        </w:rPr>
      </w:pPr>
      <w:r>
        <w:rPr>
          <w:rFonts w:ascii="Arial" w:cs="Arial" w:eastAsia="Arial" w:hAnsi="Arial"/>
          <w:sz w:val="18"/>
          <w:szCs w:val="18"/>
          <w:color w:val="auto"/>
        </w:rPr>
        <w:t>Participant is a Swiss Non-Qualifying Lender, and counts as one single creditor for purposes of the Swiss Non-Bank Rules and has not entered into a participation</w:t>
      </w:r>
    </w:p>
    <w:p>
      <w:pPr>
        <w:spacing w:after="0" w:line="170"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Arial" w:cs="Arial" w:eastAsia="Arial" w:hAnsi="Arial"/>
          <w:sz w:val="17"/>
          <w:szCs w:val="17"/>
          <w:color w:val="auto"/>
        </w:rPr>
        <w:t>(including any sub-participation) arrangement with respect to the Agreement with any Person that is a Swiss Non-Qualifying Lender.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03" w:name="page1004"/>
    <w:bookmarkEnd w:id="1003"/>
    <w:p>
      <w:pPr>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w:t>
      </w:r>
      <w:r>
        <w:rPr>
          <w:rFonts w:ascii="Arial" w:cs="Arial" w:eastAsia="Arial" w:hAnsi="Arial"/>
          <w:sz w:val="17"/>
          <w:szCs w:val="17"/>
          <w:i w:val="1"/>
          <w:iCs w:val="1"/>
          <w:color w:val="auto"/>
        </w:rPr>
        <w:t>Merkblatt “Verrechnungssteuer auf</w:t>
      </w:r>
      <w:r>
        <w:rPr>
          <w:rFonts w:ascii="Arial" w:cs="Arial" w:eastAsia="Arial" w:hAnsi="Arial"/>
          <w:sz w:val="17"/>
          <w:szCs w:val="17"/>
          <w:color w:val="auto"/>
        </w:rPr>
        <w:t xml:space="preserve"> </w:t>
      </w:r>
      <w:r>
        <w:rPr>
          <w:rFonts w:ascii="Arial" w:cs="Arial" w:eastAsia="Arial" w:hAnsi="Arial"/>
          <w:sz w:val="17"/>
          <w:szCs w:val="17"/>
          <w:i w:val="1"/>
          <w:iCs w:val="1"/>
          <w:color w:val="auto"/>
        </w:rPr>
        <w:t>Zinsen von Bankguthaben, deren Gläubiger Banken sind (Interbankguthaben)” vom 22. September 1986</w:t>
      </w:r>
      <w:r>
        <w:rPr>
          <w:rFonts w:ascii="Arial" w:cs="Arial" w:eastAsia="Arial" w:hAnsi="Arial"/>
          <w:sz w:val="17"/>
          <w:szCs w:val="17"/>
          <w:color w:val="auto"/>
        </w:rPr>
        <w:t>), circular letter No. 47 in relation to bonds of 25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2019 (1-047-V-2019) (</w:t>
      </w:r>
      <w:r>
        <w:rPr>
          <w:rFonts w:ascii="Arial" w:cs="Arial" w:eastAsia="Arial" w:hAnsi="Arial"/>
          <w:sz w:val="17"/>
          <w:szCs w:val="17"/>
          <w:i w:val="1"/>
          <w:iCs w:val="1"/>
          <w:color w:val="auto"/>
        </w:rPr>
        <w:t>Kreisschreiben Nr. 47 “Obligationen” vom 25. Juli 2019</w:t>
      </w:r>
      <w:r>
        <w:rPr>
          <w:rFonts w:ascii="Arial" w:cs="Arial" w:eastAsia="Arial" w:hAnsi="Arial"/>
          <w:sz w:val="17"/>
          <w:szCs w:val="17"/>
          <w:color w:val="auto"/>
        </w:rPr>
        <w:t>), guideline S-02.130.1 in relation to money market instruments and book claims of April 1999 (</w:t>
      </w:r>
      <w:r>
        <w:rPr>
          <w:rFonts w:ascii="Arial" w:cs="Arial" w:eastAsia="Arial" w:hAnsi="Arial"/>
          <w:sz w:val="17"/>
          <w:szCs w:val="17"/>
          <w:i w:val="1"/>
          <w:iCs w:val="1"/>
          <w:color w:val="auto"/>
        </w:rPr>
        <w:t>Merkblatt vom April 1999 betreffend Geldmarktpapiere und Buchforderungen inländischer Schuldner</w:t>
      </w:r>
      <w:r>
        <w:rPr>
          <w:rFonts w:ascii="Arial" w:cs="Arial" w:eastAsia="Arial" w:hAnsi="Arial"/>
          <w:sz w:val="17"/>
          <w:szCs w:val="17"/>
          <w:color w:val="auto"/>
        </w:rPr>
        <w:t>), circular letter No. 46 of 24 July 2019 (1-046-VS-2019) in relation to syndicated credit facilities (</w:t>
      </w:r>
      <w:r>
        <w:rPr>
          <w:rFonts w:ascii="Arial" w:cs="Arial" w:eastAsia="Arial" w:hAnsi="Arial"/>
          <w:sz w:val="17"/>
          <w:szCs w:val="17"/>
          <w:i w:val="1"/>
          <w:iCs w:val="1"/>
          <w:color w:val="auto"/>
        </w:rPr>
        <w:t>Kreisschreiben Nr. 46 “Steuerliche Behandlung von Konsortialdarlehen,</w:t>
      </w:r>
      <w:r>
        <w:rPr>
          <w:rFonts w:ascii="Arial" w:cs="Arial" w:eastAsia="Arial" w:hAnsi="Arial"/>
          <w:sz w:val="17"/>
          <w:szCs w:val="17"/>
          <w:color w:val="auto"/>
        </w:rPr>
        <w:t xml:space="preserve"> </w:t>
      </w:r>
      <w:r>
        <w:rPr>
          <w:rFonts w:ascii="Arial" w:cs="Arial" w:eastAsia="Arial" w:hAnsi="Arial"/>
          <w:sz w:val="17"/>
          <w:szCs w:val="17"/>
          <w:i w:val="1"/>
          <w:iCs w:val="1"/>
          <w:color w:val="auto"/>
        </w:rPr>
        <w:t>Schuldscheindarlehen, Wechseln und Unterbeteiligungen” vom 24. Juli 2019</w:t>
      </w:r>
      <w:r>
        <w:rPr>
          <w:rFonts w:ascii="Arial" w:cs="Arial" w:eastAsia="Arial" w:hAnsi="Arial"/>
          <w:sz w:val="17"/>
          <w:szCs w:val="17"/>
          <w:color w:val="auto"/>
        </w:rPr>
        <w:t>), circular letter No. 34 of 26 July 2011 (1-034-V-2011) in relation to deposits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Kreisschreiben Nr. 34 “Kundenguthaben” vom 26. Juli 2011</w:t>
      </w:r>
      <w:r>
        <w:rPr>
          <w:rFonts w:ascii="Arial" w:cs="Arial" w:eastAsia="Arial" w:hAnsi="Arial"/>
          <w:sz w:val="17"/>
          <w:szCs w:val="17"/>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17"/>
          <w:szCs w:val="17"/>
          <w:i w:val="1"/>
          <w:iCs w:val="1"/>
          <w:color w:val="auto"/>
        </w:rPr>
        <w:t>Kreisschreiben Nr.</w:t>
      </w:r>
      <w:r>
        <w:rPr>
          <w:rFonts w:ascii="Arial" w:cs="Arial" w:eastAsia="Arial" w:hAnsi="Arial"/>
          <w:sz w:val="17"/>
          <w:szCs w:val="17"/>
          <w:color w:val="auto"/>
        </w:rPr>
        <w:t xml:space="preserve"> </w:t>
      </w:r>
      <w:r>
        <w:rPr>
          <w:rFonts w:ascii="Arial" w:cs="Arial" w:eastAsia="Arial" w:hAnsi="Arial"/>
          <w:sz w:val="17"/>
          <w:szCs w:val="17"/>
          <w:i w:val="1"/>
          <w:iCs w:val="1"/>
          <w:color w:val="auto"/>
        </w:rPr>
        <w:t>15 “Obligationen und derivative Finanzinstrumente als Gegenstand der direkten Bundessteuer, der Verrechnungssteuer und der Stempelabgaben” vom 3. Oktober 2017</w:t>
      </w:r>
      <w:r>
        <w:rPr>
          <w:rFonts w:ascii="Arial" w:cs="Arial" w:eastAsia="Arial" w:hAnsi="Arial"/>
          <w:sz w:val="17"/>
          <w:szCs w:val="17"/>
          <w:color w:val="auto"/>
        </w:rPr>
        <w:t>) and the notification regarding credit balances in groups (Mitteilung 010-DVS-2019 of February 2019 betreffend "Verrechnungssteuer:</w:t>
      </w:r>
      <w:r>
        <w:rPr>
          <w:rFonts w:ascii="Arial" w:cs="Arial" w:eastAsia="Arial" w:hAnsi="Arial"/>
          <w:sz w:val="17"/>
          <w:szCs w:val="17"/>
          <w:i w:val="1"/>
          <w:iCs w:val="1"/>
          <w:color w:val="auto"/>
        </w:rPr>
        <w:t xml:space="preserve"> </w:t>
      </w:r>
      <w:r>
        <w:rPr>
          <w:rFonts w:ascii="Arial" w:cs="Arial" w:eastAsia="Arial" w:hAnsi="Arial"/>
          <w:sz w:val="17"/>
          <w:szCs w:val="17"/>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Person that (i) is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(ii)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04" w:name="page1005"/>
    <w:bookmarkEnd w:id="1004"/>
    <w:p>
      <w:pPr>
        <w:spacing w:after="0"/>
        <w:rPr>
          <w:sz w:val="20"/>
          <w:szCs w:val="20"/>
          <w:color w:val="auto"/>
        </w:rPr>
      </w:pPr>
      <w:r>
        <w:rPr>
          <w:rFonts w:ascii="Arial" w:cs="Arial" w:eastAsia="Arial" w:hAnsi="Arial"/>
          <w:sz w:val="16"/>
          <w:szCs w:val="16"/>
          <w:color w:val="auto"/>
        </w:rPr>
        <w:t>IN WITNESS WHEREOF, the undersigned has executed this Participant Certificate this _____ day of _______________, 20___.</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PARTICIPANT</w:t>
      </w:r>
      <w:r>
        <w:rPr>
          <w:rFonts w:ascii="Arial" w:cs="Arial" w:eastAsia="Arial" w:hAnsi="Arial"/>
          <w:sz w:val="18"/>
          <w:szCs w:val="18"/>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1005" w:name="page1006"/>
    <w:bookmarkEnd w:id="1005"/>
    <w:tbl>
      <w:tblPr>
        <w:tblLayout w:type="fixed"/>
        <w:tblInd w:w="1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O</w:t>
            </w:r>
          </w:p>
        </w:tc>
      </w:tr>
      <w:tr>
        <w:trPr>
          <w:trHeight w:val="412"/>
        </w:trPr>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gridSpan w:val="5"/>
          </w:tcPr>
          <w:p>
            <w:pPr>
              <w:spacing w:after="0"/>
              <w:rPr>
                <w:sz w:val="20"/>
                <w:szCs w:val="20"/>
                <w:color w:val="auto"/>
              </w:rPr>
            </w:pPr>
            <w:r>
              <w:rPr>
                <w:rFonts w:ascii="Arial" w:cs="Arial" w:eastAsia="Arial" w:hAnsi="Arial"/>
                <w:sz w:val="18"/>
                <w:szCs w:val="18"/>
                <w:b w:val="1"/>
                <w:bCs w:val="1"/>
                <w:color w:val="auto"/>
              </w:rPr>
              <w:t>FORM OF ACTIVITY REPORT</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142"/>
        </w:trPr>
        <w:tc>
          <w:tcPr>
            <w:tcW w:w="2180" w:type="dxa"/>
            <w:vAlign w:val="bottom"/>
            <w:tcBorders>
              <w:left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Activity for Week Of:</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r>
      <w:tr>
        <w:trPr>
          <w:trHeight w:val="123"/>
        </w:trPr>
        <w:tc>
          <w:tcPr>
            <w:tcW w:w="218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ind w:left="8"/>
              <w:spacing w:after="0" w:line="123" w:lineRule="exact"/>
              <w:rPr>
                <w:sz w:val="20"/>
                <w:szCs w:val="20"/>
                <w:color w:val="auto"/>
              </w:rPr>
            </w:pPr>
            <w:r>
              <w:rPr>
                <w:rFonts w:ascii="Arial" w:cs="Arial" w:eastAsia="Arial" w:hAnsi="Arial"/>
                <w:sz w:val="14"/>
                <w:szCs w:val="14"/>
                <w:color w:val="auto"/>
                <w:w w:val="97"/>
              </w:rPr>
              <w:t>Expiry</w:t>
            </w:r>
          </w:p>
        </w:tc>
        <w:tc>
          <w:tcPr>
            <w:tcW w:w="8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87"/>
              </w:rPr>
              <w:t>Date</w:t>
            </w:r>
          </w:p>
        </w:tc>
        <w:tc>
          <w:tcPr>
            <w:tcW w:w="8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2"/>
              </w:rPr>
              <w:t>New</w:t>
            </w: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Issue</w:t>
            </w:r>
          </w:p>
        </w:tc>
        <w:tc>
          <w:tcPr>
            <w:tcW w:w="62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color w:val="auto"/>
                <w:w w:val="92"/>
              </w:rPr>
              <w:t>New</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(mm/dd/yy)</w:t>
            </w: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gridSpan w:val="2"/>
          </w:tcPr>
          <w:p>
            <w:pPr>
              <w:jc w:val="center"/>
              <w:ind w:left="8"/>
              <w:spacing w:after="0" w:line="149" w:lineRule="exact"/>
              <w:rPr>
                <w:sz w:val="20"/>
                <w:szCs w:val="20"/>
                <w:color w:val="auto"/>
              </w:rPr>
            </w:pPr>
            <w:r>
              <w:rPr>
                <w:rFonts w:ascii="Arial" w:cs="Arial" w:eastAsia="Arial" w:hAnsi="Arial"/>
                <w:sz w:val="14"/>
                <w:szCs w:val="14"/>
                <w:color w:val="auto"/>
                <w:w w:val="94"/>
              </w:rPr>
              <w:t>Extension</w:t>
            </w:r>
          </w:p>
        </w:tc>
        <w:tc>
          <w:tcPr>
            <w:tcW w:w="6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Existing</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New</w:t>
            </w:r>
          </w:p>
        </w:tc>
        <w:tc>
          <w:tcPr>
            <w:tcW w:w="7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7"/>
              </w:rPr>
              <w:t>Notional</w:t>
            </w:r>
          </w:p>
        </w:tc>
        <w:tc>
          <w:tcPr>
            <w:tcW w:w="6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2180" w:type="dxa"/>
            <w:vAlign w:val="bottom"/>
            <w:tcBorders>
              <w:left w:val="single" w:sz="8" w:color="auto"/>
              <w:right w:val="single" w:sz="8" w:color="auto"/>
            </w:tcBorders>
          </w:tcPr>
          <w:p>
            <w:pPr>
              <w:jc w:val="center"/>
              <w:ind w:left="28"/>
              <w:spacing w:after="0" w:line="149" w:lineRule="exact"/>
              <w:rPr>
                <w:sz w:val="20"/>
                <w:szCs w:val="20"/>
                <w:color w:val="auto"/>
              </w:rPr>
            </w:pPr>
            <w:r>
              <w:rPr>
                <w:rFonts w:ascii="Arial" w:cs="Arial" w:eastAsia="Arial" w:hAnsi="Arial"/>
                <w:sz w:val="14"/>
                <w:szCs w:val="14"/>
                <w:color w:val="auto"/>
                <w:w w:val="94"/>
              </w:rPr>
              <w:t>Issuing Bank</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LC</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Beneficiary</w:t>
            </w:r>
          </w:p>
        </w:tc>
        <w:tc>
          <w:tcPr>
            <w:tcW w:w="8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4"/>
              </w:rPr>
              <w:t>Date</w:t>
            </w:r>
          </w:p>
        </w:tc>
        <w:tc>
          <w:tcPr>
            <w:tcW w:w="62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color w:val="auto"/>
                <w:w w:val="89"/>
              </w:rPr>
              <w:t>Issue</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or</w:t>
            </w:r>
          </w:p>
        </w:tc>
        <w:tc>
          <w:tcPr>
            <w:tcW w:w="8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3"/>
              </w:rPr>
              <w:t>Cancellation</w:t>
            </w:r>
          </w:p>
        </w:tc>
        <w:tc>
          <w:tcPr>
            <w:tcW w:w="280" w:type="dxa"/>
            <w:vAlign w:val="bottom"/>
          </w:tcPr>
          <w:p>
            <w:pPr>
              <w:spacing w:after="0"/>
              <w:rPr>
                <w:sz w:val="12"/>
                <w:szCs w:val="12"/>
                <w:color w:val="auto"/>
              </w:rPr>
            </w:pPr>
          </w:p>
        </w:tc>
        <w:tc>
          <w:tcPr>
            <w:tcW w:w="540" w:type="dxa"/>
            <w:vAlign w:val="bottom"/>
            <w:tcBorders>
              <w:right w:val="single" w:sz="8" w:color="auto"/>
            </w:tcBorders>
          </w:tcPr>
          <w:p>
            <w:pPr>
              <w:jc w:val="center"/>
              <w:ind w:right="128"/>
              <w:spacing w:after="0" w:line="149" w:lineRule="exact"/>
              <w:rPr>
                <w:sz w:val="20"/>
                <w:szCs w:val="20"/>
                <w:color w:val="auto"/>
              </w:rPr>
            </w:pPr>
            <w:r>
              <w:rPr>
                <w:rFonts w:ascii="Arial" w:cs="Arial" w:eastAsia="Arial" w:hAnsi="Arial"/>
                <w:sz w:val="14"/>
                <w:szCs w:val="14"/>
                <w:color w:val="auto"/>
                <w:w w:val="87"/>
              </w:rPr>
              <w:t>Date</w:t>
            </w:r>
          </w:p>
        </w:tc>
        <w:tc>
          <w:tcPr>
            <w:tcW w:w="6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7"/>
              </w:rPr>
              <w:t>Notional</w:t>
            </w:r>
          </w:p>
        </w:tc>
        <w:tc>
          <w:tcPr>
            <w:tcW w:w="6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7"/>
              </w:rPr>
              <w:t>Notional</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Increase /</w:t>
            </w:r>
          </w:p>
        </w:tc>
        <w:tc>
          <w:tcPr>
            <w:tcW w:w="6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FX</w:t>
            </w:r>
          </w:p>
        </w:tc>
        <w:tc>
          <w:tcPr>
            <w:tcW w:w="6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rPr>
              <w:t>USD</w:t>
            </w:r>
          </w:p>
        </w:tc>
      </w:tr>
      <w:tr>
        <w:trPr>
          <w:trHeight w:val="181"/>
        </w:trPr>
        <w:tc>
          <w:tcPr>
            <w:tcW w:w="218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color w:val="auto"/>
                <w:w w:val="90"/>
              </w:rPr>
              <w:t>Name</w:t>
            </w:r>
          </w:p>
        </w:tc>
        <w:tc>
          <w:tcPr>
            <w:tcW w:w="6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w:t>
            </w:r>
          </w:p>
        </w:tc>
        <w:tc>
          <w:tcPr>
            <w:tcW w:w="8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7"/>
              </w:rPr>
              <w:t>(mm/dd/yy)</w:t>
            </w:r>
          </w:p>
        </w:tc>
        <w:tc>
          <w:tcPr>
            <w:tcW w:w="62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color w:val="auto"/>
              </w:rPr>
              <w:t>(Y/N)</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“1/1/2999”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(Y/N)</w:t>
            </w:r>
          </w:p>
        </w:tc>
        <w:tc>
          <w:tcPr>
            <w:tcW w:w="820" w:type="dxa"/>
            <w:vAlign w:val="bottom"/>
            <w:tcBorders>
              <w:bottom w:val="single" w:sz="8" w:color="auto"/>
              <w:right w:val="single" w:sz="8" w:color="auto"/>
            </w:tcBorders>
            <w:gridSpan w:val="2"/>
          </w:tcPr>
          <w:p>
            <w:pPr>
              <w:jc w:val="center"/>
              <w:ind w:left="8"/>
              <w:spacing w:after="0"/>
              <w:rPr>
                <w:sz w:val="20"/>
                <w:szCs w:val="20"/>
                <w:color w:val="auto"/>
              </w:rPr>
            </w:pPr>
            <w:r>
              <w:rPr>
                <w:rFonts w:ascii="Arial" w:cs="Arial" w:eastAsia="Arial" w:hAnsi="Arial"/>
                <w:sz w:val="14"/>
                <w:szCs w:val="14"/>
                <w:color w:val="auto"/>
                <w:w w:val="99"/>
              </w:rPr>
              <w:t>(mm/dd/yy)</w:t>
            </w:r>
          </w:p>
        </w:tc>
        <w:tc>
          <w:tcPr>
            <w:tcW w:w="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Amount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Amount</w:t>
            </w:r>
          </w:p>
        </w:tc>
        <w:tc>
          <w:tcPr>
            <w:tcW w:w="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89"/>
              </w:rPr>
              <w:t>(Decrease)</w:t>
            </w:r>
          </w:p>
        </w:tc>
        <w:tc>
          <w:tcPr>
            <w:tcW w:w="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w w:val="94"/>
              </w:rPr>
              <w:t>Currency</w:t>
            </w:r>
          </w:p>
        </w:tc>
        <w:tc>
          <w:tcPr>
            <w:tcW w:w="58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Rate</w:t>
            </w:r>
          </w:p>
        </w:tc>
        <w:tc>
          <w:tcPr>
            <w:tcW w:w="6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w w:val="97"/>
              </w:rPr>
              <w:t>Equiv.</w:t>
            </w: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223"/>
        </w:trPr>
        <w:tc>
          <w:tcPr>
            <w:tcW w:w="218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6"/>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006" w:name="page1007"/>
    <w:bookmarkEnd w:id="1006"/>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INTERCREDITOR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December 13,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 ABL Collateral Agent and Foreign Collateral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LC Collateral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BTA INSTITUTIONAL SERVICES AUSTRALIA LIMITED</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when joined hereto, as LC Australian Collateral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The other Grantors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3" w:right="239" w:bottom="1440" w:gutter="0" w:footer="0" w:header="0"/>
        </w:sectPr>
      </w:pPr>
    </w:p>
    <w:bookmarkStart w:id="1007" w:name="page1008"/>
    <w:bookmarkEnd w:id="1007"/>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740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0"/>
                <w:szCs w:val="20"/>
                <w:color w:val="auto"/>
              </w:rPr>
            </w:pPr>
          </w:p>
        </w:tc>
      </w:tr>
      <w:tr>
        <w:trPr>
          <w:trHeight w:val="432"/>
        </w:trPr>
        <w:tc>
          <w:tcPr>
            <w:tcW w:w="17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w w:val="97"/>
              </w:rPr>
              <w:t>ARTICLE I Definitions</w:t>
            </w:r>
          </w:p>
        </w:tc>
        <w:tc>
          <w:tcPr>
            <w:tcW w:w="7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7400" w:type="dxa"/>
            <w:vAlign w:val="bottom"/>
          </w:tcPr>
          <w:p>
            <w:pPr>
              <w:spacing w:after="0"/>
              <w:rPr>
                <w:sz w:val="20"/>
                <w:szCs w:val="20"/>
                <w:color w:val="auto"/>
              </w:rPr>
            </w:pPr>
            <w:r>
              <w:rPr>
                <w:rFonts w:ascii="Arial" w:cs="Arial" w:eastAsia="Arial" w:hAnsi="Arial"/>
                <w:sz w:val="18"/>
                <w:szCs w:val="18"/>
                <w:color w:val="auto"/>
              </w:rPr>
              <w:t>Construction; Certain Defined Terms</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1.02</w:t>
            </w:r>
          </w:p>
        </w:tc>
        <w:tc>
          <w:tcPr>
            <w:tcW w:w="7400" w:type="dxa"/>
            <w:vAlign w:val="bottom"/>
          </w:tcPr>
          <w:p>
            <w:pPr>
              <w:spacing w:after="0"/>
              <w:rPr>
                <w:sz w:val="20"/>
                <w:szCs w:val="20"/>
                <w:color w:val="auto"/>
              </w:rPr>
            </w:pPr>
            <w:r>
              <w:rPr>
                <w:rFonts w:ascii="Arial" w:cs="Arial" w:eastAsia="Arial" w:hAnsi="Arial"/>
                <w:sz w:val="18"/>
                <w:szCs w:val="18"/>
                <w:color w:val="auto"/>
              </w:rPr>
              <w:t>Luxembourg Terms</w:t>
            </w:r>
          </w:p>
        </w:tc>
        <w:tc>
          <w:tcPr>
            <w:tcW w:w="2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20" w:type="dxa"/>
            <w:vAlign w:val="bottom"/>
          </w:tcPr>
          <w:p>
            <w:pPr>
              <w:ind w:left="180"/>
              <w:spacing w:after="0"/>
              <w:rPr>
                <w:sz w:val="20"/>
                <w:szCs w:val="20"/>
                <w:color w:val="auto"/>
              </w:rPr>
            </w:pPr>
            <w:r>
              <w:rPr>
                <w:rFonts w:ascii="Arial" w:cs="Arial" w:eastAsia="Arial" w:hAnsi="Arial"/>
                <w:sz w:val="18"/>
                <w:szCs w:val="18"/>
                <w:color w:val="auto"/>
              </w:rPr>
              <w:t>SECTION 1.03</w:t>
            </w:r>
          </w:p>
        </w:tc>
        <w:tc>
          <w:tcPr>
            <w:tcW w:w="7400" w:type="dxa"/>
            <w:vAlign w:val="bottom"/>
          </w:tcPr>
          <w:p>
            <w:pPr>
              <w:spacing w:after="0"/>
              <w:rPr>
                <w:sz w:val="20"/>
                <w:szCs w:val="20"/>
                <w:color w:val="auto"/>
              </w:rPr>
            </w:pPr>
            <w:r>
              <w:rPr>
                <w:rFonts w:ascii="Arial" w:cs="Arial" w:eastAsia="Arial" w:hAnsi="Arial"/>
                <w:sz w:val="18"/>
                <w:szCs w:val="18"/>
                <w:color w:val="auto"/>
              </w:rPr>
              <w:t>Designation of Swap and Banking Obligations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9120" w:type="dxa"/>
            <w:vAlign w:val="bottom"/>
            <w:gridSpan w:val="2"/>
          </w:tcPr>
          <w:p>
            <w:pPr>
              <w:spacing w:after="0"/>
              <w:rPr>
                <w:sz w:val="20"/>
                <w:szCs w:val="20"/>
                <w:color w:val="auto"/>
              </w:rPr>
            </w:pPr>
            <w:r>
              <w:rPr>
                <w:rFonts w:ascii="Arial" w:cs="Arial" w:eastAsia="Arial" w:hAnsi="Arial"/>
                <w:sz w:val="18"/>
                <w:szCs w:val="18"/>
                <w:color w:val="auto"/>
              </w:rPr>
              <w:t>ARTICLE II Priorities and Agreements with Respect to Collateral</w:t>
            </w:r>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7400" w:type="dxa"/>
            <w:vAlign w:val="bottom"/>
          </w:tcPr>
          <w:p>
            <w:pPr>
              <w:spacing w:after="0"/>
              <w:rPr>
                <w:sz w:val="20"/>
                <w:szCs w:val="20"/>
                <w:color w:val="auto"/>
              </w:rPr>
            </w:pPr>
            <w:r>
              <w:rPr>
                <w:rFonts w:ascii="Arial" w:cs="Arial" w:eastAsia="Arial" w:hAnsi="Arial"/>
                <w:sz w:val="18"/>
                <w:szCs w:val="18"/>
                <w:color w:val="auto"/>
              </w:rPr>
              <w:t>Priority of Claims</w:t>
            </w:r>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2.02</w:t>
            </w:r>
          </w:p>
        </w:tc>
        <w:tc>
          <w:tcPr>
            <w:tcW w:w="7400" w:type="dxa"/>
            <w:vAlign w:val="bottom"/>
          </w:tcPr>
          <w:p>
            <w:pPr>
              <w:spacing w:after="0"/>
              <w:rPr>
                <w:sz w:val="20"/>
                <w:szCs w:val="20"/>
                <w:color w:val="auto"/>
              </w:rPr>
            </w:pPr>
            <w:r>
              <w:rPr>
                <w:rFonts w:ascii="Arial" w:cs="Arial" w:eastAsia="Arial" w:hAnsi="Arial"/>
                <w:sz w:val="18"/>
                <w:szCs w:val="18"/>
                <w:color w:val="auto"/>
              </w:rPr>
              <w:t>Actions With Respect to Collateral; Prohibition on Contesting Liens</w:t>
            </w:r>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2.03</w:t>
            </w:r>
          </w:p>
        </w:tc>
        <w:tc>
          <w:tcPr>
            <w:tcW w:w="7400" w:type="dxa"/>
            <w:vAlign w:val="bottom"/>
          </w:tcPr>
          <w:p>
            <w:pPr>
              <w:spacing w:after="0"/>
              <w:rPr>
                <w:sz w:val="20"/>
                <w:szCs w:val="20"/>
                <w:color w:val="auto"/>
              </w:rPr>
            </w:pPr>
            <w:r>
              <w:rPr>
                <w:rFonts w:ascii="Arial" w:cs="Arial" w:eastAsia="Arial" w:hAnsi="Arial"/>
                <w:sz w:val="18"/>
                <w:szCs w:val="18"/>
                <w:color w:val="auto"/>
              </w:rPr>
              <w:t>No Duties of Senior Representative; Provision of Notice</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2.04</w:t>
            </w:r>
          </w:p>
        </w:tc>
        <w:tc>
          <w:tcPr>
            <w:tcW w:w="7400" w:type="dxa"/>
            <w:vAlign w:val="bottom"/>
          </w:tcPr>
          <w:p>
            <w:pPr>
              <w:spacing w:after="0"/>
              <w:rPr>
                <w:sz w:val="20"/>
                <w:szCs w:val="20"/>
                <w:color w:val="auto"/>
              </w:rPr>
            </w:pPr>
            <w:r>
              <w:rPr>
                <w:rFonts w:ascii="Arial" w:cs="Arial" w:eastAsia="Arial" w:hAnsi="Arial"/>
                <w:sz w:val="18"/>
                <w:szCs w:val="18"/>
                <w:color w:val="auto"/>
              </w:rPr>
              <w:t>No Interference; Payment Over; Reinstatement</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2.05</w:t>
            </w:r>
          </w:p>
        </w:tc>
        <w:tc>
          <w:tcPr>
            <w:tcW w:w="7400" w:type="dxa"/>
            <w:vAlign w:val="bottom"/>
          </w:tcPr>
          <w:p>
            <w:pPr>
              <w:spacing w:after="0"/>
              <w:rPr>
                <w:sz w:val="20"/>
                <w:szCs w:val="20"/>
                <w:color w:val="auto"/>
              </w:rPr>
            </w:pPr>
            <w:r>
              <w:rPr>
                <w:rFonts w:ascii="Arial" w:cs="Arial" w:eastAsia="Arial" w:hAnsi="Arial"/>
                <w:sz w:val="18"/>
                <w:szCs w:val="18"/>
                <w:color w:val="auto"/>
              </w:rPr>
              <w:t>Automatic Release of Junior Liens</w:t>
            </w:r>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2.06</w:t>
            </w:r>
          </w:p>
        </w:tc>
        <w:tc>
          <w:tcPr>
            <w:tcW w:w="7400" w:type="dxa"/>
            <w:vAlign w:val="bottom"/>
          </w:tcPr>
          <w:p>
            <w:pPr>
              <w:spacing w:after="0"/>
              <w:rPr>
                <w:sz w:val="20"/>
                <w:szCs w:val="20"/>
                <w:color w:val="auto"/>
              </w:rPr>
            </w:pPr>
            <w:r>
              <w:rPr>
                <w:rFonts w:ascii="Arial" w:cs="Arial" w:eastAsia="Arial" w:hAnsi="Arial"/>
                <w:sz w:val="18"/>
                <w:szCs w:val="18"/>
                <w:color w:val="auto"/>
              </w:rPr>
              <w:t>Certain Agreements With Respect to Insolvency or Liquidation Proceedings</w:t>
            </w:r>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2.07</w:t>
            </w:r>
          </w:p>
        </w:tc>
        <w:tc>
          <w:tcPr>
            <w:tcW w:w="7400" w:type="dxa"/>
            <w:vAlign w:val="bottom"/>
          </w:tcPr>
          <w:p>
            <w:pPr>
              <w:spacing w:after="0"/>
              <w:rPr>
                <w:sz w:val="20"/>
                <w:szCs w:val="20"/>
                <w:color w:val="auto"/>
              </w:rPr>
            </w:pPr>
            <w:r>
              <w:rPr>
                <w:rFonts w:ascii="Arial" w:cs="Arial" w:eastAsia="Arial" w:hAnsi="Arial"/>
                <w:sz w:val="18"/>
                <w:szCs w:val="18"/>
                <w:color w:val="auto"/>
              </w:rPr>
              <w:t>Reinstatement</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2.08</w:t>
            </w:r>
          </w:p>
        </w:tc>
        <w:tc>
          <w:tcPr>
            <w:tcW w:w="7400" w:type="dxa"/>
            <w:vAlign w:val="bottom"/>
          </w:tcPr>
          <w:p>
            <w:pPr>
              <w:spacing w:after="0"/>
              <w:rPr>
                <w:sz w:val="20"/>
                <w:szCs w:val="20"/>
                <w:color w:val="auto"/>
              </w:rPr>
            </w:pPr>
            <w:r>
              <w:rPr>
                <w:rFonts w:ascii="Arial" w:cs="Arial" w:eastAsia="Arial" w:hAnsi="Arial"/>
                <w:sz w:val="18"/>
                <w:szCs w:val="18"/>
                <w:color w:val="auto"/>
              </w:rPr>
              <w:t>Entry Upon Premises by the ABL Collateral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2.09</w:t>
            </w:r>
          </w:p>
        </w:tc>
        <w:tc>
          <w:tcPr>
            <w:tcW w:w="7400" w:type="dxa"/>
            <w:vAlign w:val="bottom"/>
          </w:tcPr>
          <w:p>
            <w:pPr>
              <w:spacing w:after="0"/>
              <w:rPr>
                <w:sz w:val="20"/>
                <w:szCs w:val="20"/>
                <w:color w:val="auto"/>
              </w:rPr>
            </w:pPr>
            <w:r>
              <w:rPr>
                <w:rFonts w:ascii="Arial" w:cs="Arial" w:eastAsia="Arial" w:hAnsi="Arial"/>
                <w:sz w:val="18"/>
                <w:szCs w:val="18"/>
                <w:color w:val="auto"/>
              </w:rPr>
              <w:t>Insurance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7400" w:type="dxa"/>
            <w:vAlign w:val="bottom"/>
          </w:tcPr>
          <w:p>
            <w:pPr>
              <w:spacing w:after="0"/>
              <w:rPr>
                <w:sz w:val="20"/>
                <w:szCs w:val="20"/>
                <w:color w:val="auto"/>
              </w:rPr>
            </w:pPr>
            <w:r>
              <w:rPr>
                <w:rFonts w:ascii="Arial" w:cs="Arial" w:eastAsia="Arial" w:hAnsi="Arial"/>
                <w:sz w:val="18"/>
                <w:szCs w:val="18"/>
                <w:color w:val="auto"/>
              </w:rPr>
              <w:t>Refinancings</w:t>
            </w:r>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2.11</w:t>
            </w:r>
          </w:p>
        </w:tc>
        <w:tc>
          <w:tcPr>
            <w:tcW w:w="7400" w:type="dxa"/>
            <w:vAlign w:val="bottom"/>
          </w:tcPr>
          <w:p>
            <w:pPr>
              <w:spacing w:after="0"/>
              <w:rPr>
                <w:sz w:val="20"/>
                <w:szCs w:val="20"/>
                <w:color w:val="auto"/>
              </w:rPr>
            </w:pPr>
            <w:r>
              <w:rPr>
                <w:rFonts w:ascii="Arial" w:cs="Arial" w:eastAsia="Arial" w:hAnsi="Arial"/>
                <w:sz w:val="18"/>
                <w:szCs w:val="18"/>
                <w:color w:val="auto"/>
              </w:rPr>
              <w:t>Amendments to Security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7400" w:type="dxa"/>
            <w:vAlign w:val="bottom"/>
          </w:tcPr>
          <w:p>
            <w:pPr>
              <w:spacing w:after="0"/>
              <w:rPr>
                <w:sz w:val="20"/>
                <w:szCs w:val="20"/>
                <w:color w:val="auto"/>
              </w:rPr>
            </w:pPr>
            <w:r>
              <w:rPr>
                <w:rFonts w:ascii="Arial" w:cs="Arial" w:eastAsia="Arial" w:hAnsi="Arial"/>
                <w:sz w:val="18"/>
                <w:szCs w:val="18"/>
                <w:color w:val="auto"/>
              </w:rPr>
              <w:t>Possessory Collateral Agent as Gratuitous Bailee for Perfection</w:t>
            </w: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2.13</w:t>
            </w:r>
          </w:p>
        </w:tc>
        <w:tc>
          <w:tcPr>
            <w:tcW w:w="7400" w:type="dxa"/>
            <w:vAlign w:val="bottom"/>
          </w:tcPr>
          <w:p>
            <w:pPr>
              <w:spacing w:after="0"/>
              <w:rPr>
                <w:sz w:val="20"/>
                <w:szCs w:val="20"/>
                <w:color w:val="auto"/>
              </w:rPr>
            </w:pPr>
            <w:r>
              <w:rPr>
                <w:rFonts w:ascii="Arial" w:cs="Arial" w:eastAsia="Arial" w:hAnsi="Arial"/>
                <w:sz w:val="18"/>
                <w:szCs w:val="18"/>
                <w:color w:val="auto"/>
              </w:rPr>
              <w:t>Control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20" w:type="dxa"/>
            <w:vAlign w:val="bottom"/>
          </w:tcPr>
          <w:p>
            <w:pPr>
              <w:ind w:left="180"/>
              <w:spacing w:after="0"/>
              <w:rPr>
                <w:sz w:val="20"/>
                <w:szCs w:val="20"/>
                <w:color w:val="auto"/>
              </w:rPr>
            </w:pPr>
            <w:r>
              <w:rPr>
                <w:rFonts w:ascii="Arial" w:cs="Arial" w:eastAsia="Arial" w:hAnsi="Arial"/>
                <w:sz w:val="18"/>
                <w:szCs w:val="18"/>
                <w:color w:val="auto"/>
              </w:rPr>
              <w:t>SECTION 2.14</w:t>
            </w:r>
          </w:p>
        </w:tc>
        <w:tc>
          <w:tcPr>
            <w:tcW w:w="7400" w:type="dxa"/>
            <w:vAlign w:val="bottom"/>
          </w:tcPr>
          <w:p>
            <w:pPr>
              <w:spacing w:after="0"/>
              <w:rPr>
                <w:sz w:val="20"/>
                <w:szCs w:val="20"/>
                <w:color w:val="auto"/>
              </w:rPr>
            </w:pPr>
            <w:r>
              <w:rPr>
                <w:rFonts w:ascii="Arial" w:cs="Arial" w:eastAsia="Arial" w:hAnsi="Arial"/>
                <w:sz w:val="18"/>
                <w:szCs w:val="18"/>
                <w:color w:val="auto"/>
              </w:rPr>
              <w:t>Rights under Permits and Licenses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ARTICLE III Existence and Amounts of Liens and Obligations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rPr>
              <w:t>ARTICLE IV Consent of Grantors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91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5.01</w:t>
            </w:r>
          </w:p>
        </w:tc>
        <w:tc>
          <w:tcPr>
            <w:tcW w:w="7400" w:type="dxa"/>
            <w:vAlign w:val="bottom"/>
          </w:tcPr>
          <w:p>
            <w:pPr>
              <w:spacing w:after="0"/>
              <w:rPr>
                <w:sz w:val="20"/>
                <w:szCs w:val="20"/>
                <w:color w:val="auto"/>
              </w:rPr>
            </w:pPr>
            <w:r>
              <w:rPr>
                <w:rFonts w:ascii="Arial" w:cs="Arial" w:eastAsia="Arial" w:hAnsi="Arial"/>
                <w:sz w:val="18"/>
                <w:szCs w:val="18"/>
                <w:color w:val="auto"/>
              </w:rPr>
              <w:t>Representations and Warranties of Each Party</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720" w:type="dxa"/>
            <w:vAlign w:val="bottom"/>
          </w:tcPr>
          <w:p>
            <w:pPr>
              <w:ind w:left="180"/>
              <w:spacing w:after="0"/>
              <w:rPr>
                <w:sz w:val="20"/>
                <w:szCs w:val="20"/>
                <w:color w:val="auto"/>
              </w:rPr>
            </w:pPr>
            <w:r>
              <w:rPr>
                <w:rFonts w:ascii="Arial" w:cs="Arial" w:eastAsia="Arial" w:hAnsi="Arial"/>
                <w:sz w:val="18"/>
                <w:szCs w:val="18"/>
                <w:color w:val="auto"/>
              </w:rPr>
              <w:t>SECTION 5.02</w:t>
            </w:r>
          </w:p>
        </w:tc>
        <w:tc>
          <w:tcPr>
            <w:tcW w:w="7400" w:type="dxa"/>
            <w:vAlign w:val="bottom"/>
          </w:tcPr>
          <w:p>
            <w:pPr>
              <w:spacing w:after="0"/>
              <w:rPr>
                <w:sz w:val="20"/>
                <w:szCs w:val="20"/>
                <w:color w:val="auto"/>
              </w:rPr>
            </w:pPr>
            <w:r>
              <w:rPr>
                <w:rFonts w:ascii="Arial" w:cs="Arial" w:eastAsia="Arial" w:hAnsi="Arial"/>
                <w:sz w:val="18"/>
                <w:szCs w:val="18"/>
                <w:color w:val="auto"/>
              </w:rPr>
              <w:t>Representations and Warranties of Each Representative</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9120" w:type="dxa"/>
            <w:vAlign w:val="bottom"/>
            <w:gridSpan w:val="2"/>
          </w:tcPr>
          <w:p>
            <w:pPr>
              <w:spacing w:after="0"/>
              <w:rPr>
                <w:sz w:val="20"/>
                <w:szCs w:val="20"/>
                <w:color w:val="auto"/>
              </w:rPr>
            </w:pPr>
            <w:r>
              <w:rPr>
                <w:rFonts w:ascii="Arial" w:cs="Arial" w:eastAsia="Arial" w:hAnsi="Arial"/>
                <w:sz w:val="18"/>
                <w:szCs w:val="18"/>
                <w:color w:val="auto"/>
              </w:rPr>
              <w:t>ARTICLE VI Collateral Agency for Foreign Collateral</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6.01</w:t>
            </w:r>
          </w:p>
        </w:tc>
        <w:tc>
          <w:tcPr>
            <w:tcW w:w="7400" w:type="dxa"/>
            <w:vAlign w:val="bottom"/>
          </w:tcPr>
          <w:p>
            <w:pPr>
              <w:spacing w:after="0"/>
              <w:rPr>
                <w:sz w:val="20"/>
                <w:szCs w:val="20"/>
                <w:color w:val="auto"/>
              </w:rPr>
            </w:pPr>
            <w:r>
              <w:rPr>
                <w:rFonts w:ascii="Arial" w:cs="Arial" w:eastAsia="Arial" w:hAnsi="Arial"/>
                <w:sz w:val="18"/>
                <w:szCs w:val="18"/>
                <w:color w:val="auto"/>
              </w:rPr>
              <w:t>Appointment of Foreign Collateral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6.02</w:t>
            </w:r>
          </w:p>
        </w:tc>
        <w:tc>
          <w:tcPr>
            <w:tcW w:w="7400" w:type="dxa"/>
            <w:vAlign w:val="bottom"/>
          </w:tcPr>
          <w:p>
            <w:pPr>
              <w:spacing w:after="0"/>
              <w:rPr>
                <w:sz w:val="20"/>
                <w:szCs w:val="20"/>
                <w:color w:val="auto"/>
              </w:rPr>
            </w:pPr>
            <w:r>
              <w:rPr>
                <w:rFonts w:ascii="Arial" w:cs="Arial" w:eastAsia="Arial" w:hAnsi="Arial"/>
                <w:sz w:val="18"/>
                <w:szCs w:val="18"/>
                <w:color w:val="auto"/>
              </w:rPr>
              <w:t>Rights as a Secured Party</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6.03</w:t>
            </w:r>
          </w:p>
        </w:tc>
        <w:tc>
          <w:tcPr>
            <w:tcW w:w="7400" w:type="dxa"/>
            <w:vAlign w:val="bottom"/>
          </w:tcPr>
          <w:p>
            <w:pPr>
              <w:spacing w:after="0"/>
              <w:rPr>
                <w:sz w:val="20"/>
                <w:szCs w:val="20"/>
                <w:color w:val="auto"/>
              </w:rPr>
            </w:pPr>
            <w:r>
              <w:rPr>
                <w:rFonts w:ascii="Arial" w:cs="Arial" w:eastAsia="Arial" w:hAnsi="Arial"/>
                <w:sz w:val="18"/>
                <w:szCs w:val="18"/>
                <w:color w:val="auto"/>
              </w:rPr>
              <w:t>Exculpatory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6.04</w:t>
            </w:r>
          </w:p>
        </w:tc>
        <w:tc>
          <w:tcPr>
            <w:tcW w:w="7400" w:type="dxa"/>
            <w:vAlign w:val="bottom"/>
          </w:tcPr>
          <w:p>
            <w:pPr>
              <w:spacing w:after="0"/>
              <w:rPr>
                <w:sz w:val="20"/>
                <w:szCs w:val="20"/>
                <w:color w:val="auto"/>
              </w:rPr>
            </w:pPr>
            <w:r>
              <w:rPr>
                <w:rFonts w:ascii="Arial" w:cs="Arial" w:eastAsia="Arial" w:hAnsi="Arial"/>
                <w:sz w:val="18"/>
                <w:szCs w:val="18"/>
                <w:color w:val="auto"/>
              </w:rPr>
              <w:t>Reliance by the Foreign Collateral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6.05</w:t>
            </w:r>
          </w:p>
        </w:tc>
        <w:tc>
          <w:tcPr>
            <w:tcW w:w="7400" w:type="dxa"/>
            <w:vAlign w:val="bottom"/>
          </w:tcPr>
          <w:p>
            <w:pPr>
              <w:spacing w:after="0"/>
              <w:rPr>
                <w:sz w:val="20"/>
                <w:szCs w:val="20"/>
                <w:color w:val="auto"/>
              </w:rPr>
            </w:pPr>
            <w:r>
              <w:rPr>
                <w:rFonts w:ascii="Arial" w:cs="Arial" w:eastAsia="Arial" w:hAnsi="Arial"/>
                <w:sz w:val="18"/>
                <w:szCs w:val="18"/>
                <w:color w:val="auto"/>
              </w:rPr>
              <w:t>Delegation of Duties</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6.06</w:t>
            </w:r>
          </w:p>
        </w:tc>
        <w:tc>
          <w:tcPr>
            <w:tcW w:w="7400" w:type="dxa"/>
            <w:vAlign w:val="bottom"/>
          </w:tcPr>
          <w:p>
            <w:pPr>
              <w:spacing w:after="0"/>
              <w:rPr>
                <w:sz w:val="20"/>
                <w:szCs w:val="20"/>
                <w:color w:val="auto"/>
              </w:rPr>
            </w:pPr>
            <w:r>
              <w:rPr>
                <w:rFonts w:ascii="Arial" w:cs="Arial" w:eastAsia="Arial" w:hAnsi="Arial"/>
                <w:sz w:val="18"/>
                <w:szCs w:val="18"/>
                <w:color w:val="auto"/>
              </w:rPr>
              <w:t>Resignation of Foreign Collateral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6.07</w:t>
            </w:r>
          </w:p>
        </w:tc>
        <w:tc>
          <w:tcPr>
            <w:tcW w:w="7400" w:type="dxa"/>
            <w:vAlign w:val="bottom"/>
          </w:tcPr>
          <w:p>
            <w:pPr>
              <w:spacing w:after="0"/>
              <w:rPr>
                <w:sz w:val="20"/>
                <w:szCs w:val="20"/>
                <w:color w:val="auto"/>
              </w:rPr>
            </w:pPr>
            <w:r>
              <w:rPr>
                <w:rFonts w:ascii="Arial" w:cs="Arial" w:eastAsia="Arial" w:hAnsi="Arial"/>
                <w:sz w:val="18"/>
                <w:szCs w:val="18"/>
                <w:color w:val="auto"/>
              </w:rPr>
              <w:t>Non-Reliance on Foreign Collateral Agent and Other Secured Parties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6.08</w:t>
            </w:r>
          </w:p>
        </w:tc>
        <w:tc>
          <w:tcPr>
            <w:tcW w:w="7400" w:type="dxa"/>
            <w:vAlign w:val="bottom"/>
          </w:tcPr>
          <w:p>
            <w:pPr>
              <w:spacing w:after="0"/>
              <w:rPr>
                <w:sz w:val="20"/>
                <w:szCs w:val="20"/>
                <w:color w:val="auto"/>
              </w:rPr>
            </w:pPr>
            <w:r>
              <w:rPr>
                <w:rFonts w:ascii="Arial" w:cs="Arial" w:eastAsia="Arial" w:hAnsi="Arial"/>
                <w:sz w:val="18"/>
                <w:szCs w:val="18"/>
                <w:color w:val="auto"/>
              </w:rPr>
              <w:t>Collateral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6.09</w:t>
            </w:r>
          </w:p>
        </w:tc>
        <w:tc>
          <w:tcPr>
            <w:tcW w:w="7400" w:type="dxa"/>
            <w:vAlign w:val="bottom"/>
          </w:tcPr>
          <w:p>
            <w:pPr>
              <w:spacing w:after="0"/>
              <w:rPr>
                <w:sz w:val="20"/>
                <w:szCs w:val="20"/>
                <w:color w:val="auto"/>
              </w:rPr>
            </w:pPr>
            <w:r>
              <w:rPr>
                <w:rFonts w:ascii="Arial" w:cs="Arial" w:eastAsia="Arial" w:hAnsi="Arial"/>
                <w:sz w:val="18"/>
                <w:szCs w:val="18"/>
                <w:color w:val="auto"/>
              </w:rPr>
              <w:t>Discretionary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6.10</w:t>
            </w:r>
          </w:p>
        </w:tc>
        <w:tc>
          <w:tcPr>
            <w:tcW w:w="7400" w:type="dxa"/>
            <w:vAlign w:val="bottom"/>
          </w:tcPr>
          <w:p>
            <w:pPr>
              <w:spacing w:after="0"/>
              <w:rPr>
                <w:sz w:val="20"/>
                <w:szCs w:val="20"/>
                <w:color w:val="auto"/>
              </w:rPr>
            </w:pPr>
            <w:r>
              <w:rPr>
                <w:rFonts w:ascii="Arial" w:cs="Arial" w:eastAsia="Arial" w:hAnsi="Arial"/>
                <w:sz w:val="18"/>
                <w:szCs w:val="18"/>
                <w:color w:val="auto"/>
              </w:rPr>
              <w:t>Indemnification of Foreign Collateral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SECTION 6.11</w:t>
            </w:r>
          </w:p>
        </w:tc>
        <w:tc>
          <w:tcPr>
            <w:tcW w:w="7400" w:type="dxa"/>
            <w:vAlign w:val="bottom"/>
          </w:tcPr>
          <w:p>
            <w:pPr>
              <w:spacing w:after="0"/>
              <w:rPr>
                <w:sz w:val="20"/>
                <w:szCs w:val="20"/>
                <w:color w:val="auto"/>
              </w:rPr>
            </w:pPr>
            <w:r>
              <w:rPr>
                <w:rFonts w:ascii="Arial" w:cs="Arial" w:eastAsia="Arial" w:hAnsi="Arial"/>
                <w:sz w:val="18"/>
                <w:szCs w:val="18"/>
                <w:color w:val="auto"/>
              </w:rPr>
              <w:t>Treatment of Proceeds of Foreign Collateral</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20" w:type="dxa"/>
            <w:vAlign w:val="bottom"/>
          </w:tcPr>
          <w:p>
            <w:pPr>
              <w:ind w:left="180"/>
              <w:spacing w:after="0"/>
              <w:rPr>
                <w:sz w:val="20"/>
                <w:szCs w:val="20"/>
                <w:color w:val="auto"/>
              </w:rPr>
            </w:pPr>
            <w:r>
              <w:rPr>
                <w:rFonts w:ascii="Arial" w:cs="Arial" w:eastAsia="Arial" w:hAnsi="Arial"/>
                <w:sz w:val="18"/>
                <w:szCs w:val="18"/>
                <w:color w:val="auto"/>
              </w:rPr>
              <w:t>SECTION 6.12</w:t>
            </w:r>
          </w:p>
        </w:tc>
        <w:tc>
          <w:tcPr>
            <w:tcW w:w="7400" w:type="dxa"/>
            <w:vAlign w:val="bottom"/>
          </w:tcPr>
          <w:p>
            <w:pPr>
              <w:spacing w:after="0"/>
              <w:rPr>
                <w:sz w:val="20"/>
                <w:szCs w:val="20"/>
                <w:color w:val="auto"/>
              </w:rPr>
            </w:pPr>
            <w:r>
              <w:rPr>
                <w:rFonts w:ascii="Arial" w:cs="Arial" w:eastAsia="Arial" w:hAnsi="Arial"/>
                <w:sz w:val="18"/>
                <w:szCs w:val="18"/>
                <w:color w:val="auto"/>
              </w:rPr>
              <w:t>Currency Conversion</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8" w:name="page1009"/>
    <w:bookmarkEnd w:id="1008"/>
    <w:tbl>
      <w:tblPr>
        <w:tblLayout w:type="fixed"/>
        <w:tblInd w:w="0" w:type="dxa"/>
        <w:tblCellMar>
          <w:top w:w="0" w:type="dxa"/>
          <w:left w:w="0" w:type="dxa"/>
          <w:bottom w:w="0" w:type="dxa"/>
          <w:right w:w="0" w:type="dxa"/>
        </w:tblCellMar>
      </w:tblP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6.13</w:t>
            </w:r>
          </w:p>
        </w:tc>
        <w:tc>
          <w:tcPr>
            <w:tcW w:w="7140" w:type="dxa"/>
            <w:vAlign w:val="bottom"/>
          </w:tcPr>
          <w:p>
            <w:pPr>
              <w:ind w:left="220"/>
              <w:spacing w:after="0"/>
              <w:rPr>
                <w:sz w:val="20"/>
                <w:szCs w:val="20"/>
                <w:color w:val="auto"/>
              </w:rPr>
            </w:pPr>
            <w:r>
              <w:rPr>
                <w:rFonts w:ascii="Arial" w:cs="Arial" w:eastAsia="Arial" w:hAnsi="Arial"/>
                <w:sz w:val="18"/>
                <w:szCs w:val="18"/>
                <w:color w:val="auto"/>
              </w:rPr>
              <w:t>Swiss Collateral</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500" w:type="dxa"/>
            <w:vAlign w:val="bottom"/>
          </w:tcPr>
          <w:p>
            <w:pPr>
              <w:ind w:left="180"/>
              <w:spacing w:after="0"/>
              <w:rPr>
                <w:sz w:val="20"/>
                <w:szCs w:val="20"/>
                <w:color w:val="auto"/>
              </w:rPr>
            </w:pPr>
            <w:r>
              <w:rPr>
                <w:rFonts w:ascii="Arial" w:cs="Arial" w:eastAsia="Arial" w:hAnsi="Arial"/>
                <w:sz w:val="18"/>
                <w:szCs w:val="18"/>
                <w:color w:val="auto"/>
              </w:rPr>
              <w:t>SECTION 6.14</w:t>
            </w:r>
          </w:p>
        </w:tc>
        <w:tc>
          <w:tcPr>
            <w:tcW w:w="7140" w:type="dxa"/>
            <w:vAlign w:val="bottom"/>
          </w:tcPr>
          <w:p>
            <w:pPr>
              <w:ind w:left="220"/>
              <w:spacing w:after="0"/>
              <w:rPr>
                <w:sz w:val="20"/>
                <w:szCs w:val="20"/>
                <w:color w:val="auto"/>
              </w:rPr>
            </w:pPr>
            <w:r>
              <w:rPr>
                <w:rFonts w:ascii="Arial" w:cs="Arial" w:eastAsia="Arial" w:hAnsi="Arial"/>
                <w:sz w:val="18"/>
                <w:szCs w:val="18"/>
                <w:color w:val="auto"/>
              </w:rPr>
              <w:t>Scottish Collateral</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86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7.01</w:t>
            </w:r>
          </w:p>
        </w:tc>
        <w:tc>
          <w:tcPr>
            <w:tcW w:w="7140" w:type="dxa"/>
            <w:vAlign w:val="bottom"/>
          </w:tcPr>
          <w:p>
            <w:pPr>
              <w:ind w:left="220"/>
              <w:spacing w:after="0"/>
              <w:rPr>
                <w:sz w:val="20"/>
                <w:szCs w:val="20"/>
                <w:color w:val="auto"/>
              </w:rPr>
            </w:pPr>
            <w:r>
              <w:rPr>
                <w:rFonts w:ascii="Arial" w:cs="Arial" w:eastAsia="Arial" w:hAnsi="Arial"/>
                <w:sz w:val="18"/>
                <w:szCs w:val="18"/>
                <w:color w:val="auto"/>
              </w:rPr>
              <w:t>Legends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7.02</w:t>
            </w:r>
          </w:p>
        </w:tc>
        <w:tc>
          <w:tcPr>
            <w:tcW w:w="7140" w:type="dxa"/>
            <w:vAlign w:val="bottom"/>
          </w:tcPr>
          <w:p>
            <w:pPr>
              <w:ind w:left="22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7.03</w:t>
            </w:r>
          </w:p>
        </w:tc>
        <w:tc>
          <w:tcPr>
            <w:tcW w:w="7140" w:type="dxa"/>
            <w:vAlign w:val="bottom"/>
          </w:tcPr>
          <w:p>
            <w:pPr>
              <w:ind w:left="220"/>
              <w:spacing w:after="0"/>
              <w:rPr>
                <w:sz w:val="20"/>
                <w:szCs w:val="20"/>
                <w:color w:val="auto"/>
              </w:rPr>
            </w:pPr>
            <w:r>
              <w:rPr>
                <w:rFonts w:ascii="Arial" w:cs="Arial" w:eastAsia="Arial" w:hAnsi="Arial"/>
                <w:sz w:val="18"/>
                <w:szCs w:val="18"/>
                <w:color w:val="auto"/>
              </w:rPr>
              <w:t>Waivers; Amendment</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7.04</w:t>
            </w:r>
          </w:p>
        </w:tc>
        <w:tc>
          <w:tcPr>
            <w:tcW w:w="7140" w:type="dxa"/>
            <w:vAlign w:val="bottom"/>
          </w:tcPr>
          <w:p>
            <w:pPr>
              <w:ind w:left="220"/>
              <w:spacing w:after="0"/>
              <w:rPr>
                <w:sz w:val="20"/>
                <w:szCs w:val="20"/>
                <w:color w:val="auto"/>
              </w:rPr>
            </w:pPr>
            <w:r>
              <w:rPr>
                <w:rFonts w:ascii="Arial" w:cs="Arial" w:eastAsia="Arial" w:hAnsi="Arial"/>
                <w:sz w:val="18"/>
                <w:szCs w:val="18"/>
                <w:color w:val="auto"/>
              </w:rPr>
              <w:t>Parties in Interest</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7.05</w:t>
            </w:r>
          </w:p>
        </w:tc>
        <w:tc>
          <w:tcPr>
            <w:tcW w:w="7140" w:type="dxa"/>
            <w:vAlign w:val="bottom"/>
          </w:tcPr>
          <w:p>
            <w:pPr>
              <w:ind w:left="220"/>
              <w:spacing w:after="0"/>
              <w:rPr>
                <w:sz w:val="20"/>
                <w:szCs w:val="20"/>
                <w:color w:val="auto"/>
              </w:rPr>
            </w:pPr>
            <w:r>
              <w:rPr>
                <w:rFonts w:ascii="Arial" w:cs="Arial" w:eastAsia="Arial" w:hAnsi="Arial"/>
                <w:sz w:val="18"/>
                <w:szCs w:val="18"/>
                <w:color w:val="auto"/>
              </w:rPr>
              <w:t>Survival of Agreement</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7.06</w:t>
            </w:r>
          </w:p>
        </w:tc>
        <w:tc>
          <w:tcPr>
            <w:tcW w:w="71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7.07</w:t>
            </w:r>
          </w:p>
        </w:tc>
        <w:tc>
          <w:tcPr>
            <w:tcW w:w="71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7.08</w:t>
            </w:r>
          </w:p>
        </w:tc>
        <w:tc>
          <w:tcPr>
            <w:tcW w:w="7140" w:type="dxa"/>
            <w:vAlign w:val="bottom"/>
          </w:tcPr>
          <w:p>
            <w:pPr>
              <w:ind w:left="220"/>
              <w:spacing w:after="0"/>
              <w:rPr>
                <w:sz w:val="20"/>
                <w:szCs w:val="20"/>
                <w:color w:val="auto"/>
              </w:rPr>
            </w:pPr>
            <w:r>
              <w:rPr>
                <w:rFonts w:ascii="Arial" w:cs="Arial" w:eastAsia="Arial" w:hAnsi="Arial"/>
                <w:sz w:val="18"/>
                <w:szCs w:val="18"/>
                <w:color w:val="auto"/>
              </w:rPr>
              <w:t>Governing Law; Jurisdiction; Consent to Service of Process</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7.09</w:t>
            </w:r>
          </w:p>
        </w:tc>
        <w:tc>
          <w:tcPr>
            <w:tcW w:w="714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7.10</w:t>
            </w:r>
          </w:p>
        </w:tc>
        <w:tc>
          <w:tcPr>
            <w:tcW w:w="7140" w:type="dxa"/>
            <w:vAlign w:val="bottom"/>
          </w:tcPr>
          <w:p>
            <w:pPr>
              <w:ind w:left="220"/>
              <w:spacing w:after="0"/>
              <w:rPr>
                <w:sz w:val="20"/>
                <w:szCs w:val="20"/>
                <w:color w:val="auto"/>
              </w:rPr>
            </w:pPr>
            <w:r>
              <w:rPr>
                <w:rFonts w:ascii="Arial" w:cs="Arial" w:eastAsia="Arial" w:hAnsi="Arial"/>
                <w:sz w:val="18"/>
                <w:szCs w:val="18"/>
                <w:color w:val="auto"/>
              </w:rPr>
              <w:t>Headings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7.11</w:t>
            </w:r>
          </w:p>
        </w:tc>
        <w:tc>
          <w:tcPr>
            <w:tcW w:w="7140" w:type="dxa"/>
            <w:vAlign w:val="bottom"/>
          </w:tcPr>
          <w:p>
            <w:pPr>
              <w:ind w:left="220"/>
              <w:spacing w:after="0"/>
              <w:rPr>
                <w:sz w:val="20"/>
                <w:szCs w:val="20"/>
                <w:color w:val="auto"/>
              </w:rPr>
            </w:pPr>
            <w:r>
              <w:rPr>
                <w:rFonts w:ascii="Arial" w:cs="Arial" w:eastAsia="Arial" w:hAnsi="Arial"/>
                <w:sz w:val="18"/>
                <w:szCs w:val="18"/>
                <w:color w:val="auto"/>
              </w:rPr>
              <w:t>Conflicts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7.12</w:t>
            </w:r>
          </w:p>
        </w:tc>
        <w:tc>
          <w:tcPr>
            <w:tcW w:w="7140" w:type="dxa"/>
            <w:vAlign w:val="bottom"/>
          </w:tcPr>
          <w:p>
            <w:pPr>
              <w:ind w:left="220"/>
              <w:spacing w:after="0"/>
              <w:rPr>
                <w:sz w:val="20"/>
                <w:szCs w:val="20"/>
                <w:color w:val="auto"/>
              </w:rPr>
            </w:pPr>
            <w:r>
              <w:rPr>
                <w:rFonts w:ascii="Arial" w:cs="Arial" w:eastAsia="Arial" w:hAnsi="Arial"/>
                <w:sz w:val="18"/>
                <w:szCs w:val="18"/>
                <w:color w:val="auto"/>
              </w:rPr>
              <w:t>Provisions Solely to Define Relative Rights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7.13</w:t>
            </w:r>
          </w:p>
        </w:tc>
        <w:tc>
          <w:tcPr>
            <w:tcW w:w="7140" w:type="dxa"/>
            <w:vAlign w:val="bottom"/>
          </w:tcPr>
          <w:p>
            <w:pPr>
              <w:ind w:left="220"/>
              <w:spacing w:after="0"/>
              <w:rPr>
                <w:sz w:val="20"/>
                <w:szCs w:val="20"/>
                <w:color w:val="auto"/>
              </w:rPr>
            </w:pPr>
            <w:r>
              <w:rPr>
                <w:rFonts w:ascii="Arial" w:cs="Arial" w:eastAsia="Arial" w:hAnsi="Arial"/>
                <w:sz w:val="18"/>
                <w:szCs w:val="18"/>
                <w:color w:val="auto"/>
              </w:rPr>
              <w:t>Agent Capacities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7.14</w:t>
            </w:r>
          </w:p>
        </w:tc>
        <w:tc>
          <w:tcPr>
            <w:tcW w:w="7140" w:type="dxa"/>
            <w:vAlign w:val="bottom"/>
          </w:tcPr>
          <w:p>
            <w:pPr>
              <w:ind w:left="220"/>
              <w:spacing w:after="0"/>
              <w:rPr>
                <w:sz w:val="20"/>
                <w:szCs w:val="20"/>
                <w:color w:val="auto"/>
              </w:rPr>
            </w:pPr>
            <w:r>
              <w:rPr>
                <w:rFonts w:ascii="Arial" w:cs="Arial" w:eastAsia="Arial" w:hAnsi="Arial"/>
                <w:sz w:val="18"/>
                <w:szCs w:val="18"/>
                <w:color w:val="auto"/>
              </w:rPr>
              <w:t>Supplements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7.15</w:t>
            </w:r>
          </w:p>
        </w:tc>
        <w:tc>
          <w:tcPr>
            <w:tcW w:w="7140" w:type="dxa"/>
            <w:vAlign w:val="bottom"/>
          </w:tcPr>
          <w:p>
            <w:pPr>
              <w:ind w:left="220"/>
              <w:spacing w:after="0"/>
              <w:rPr>
                <w:sz w:val="20"/>
                <w:szCs w:val="20"/>
                <w:color w:val="auto"/>
              </w:rPr>
            </w:pPr>
            <w:r>
              <w:rPr>
                <w:rFonts w:ascii="Arial" w:cs="Arial" w:eastAsia="Arial" w:hAnsi="Arial"/>
                <w:sz w:val="18"/>
                <w:szCs w:val="18"/>
                <w:color w:val="auto"/>
              </w:rPr>
              <w:t>Collateral Agent Rights, Protections and Immunities</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7.16</w:t>
            </w:r>
          </w:p>
        </w:tc>
        <w:tc>
          <w:tcPr>
            <w:tcW w:w="7140" w:type="dxa"/>
            <w:vAlign w:val="bottom"/>
          </w:tcPr>
          <w:p>
            <w:pPr>
              <w:ind w:left="220"/>
              <w:spacing w:after="0"/>
              <w:rPr>
                <w:sz w:val="20"/>
                <w:szCs w:val="20"/>
                <w:color w:val="auto"/>
              </w:rPr>
            </w:pPr>
            <w:r>
              <w:rPr>
                <w:rFonts w:ascii="Arial" w:cs="Arial" w:eastAsia="Arial" w:hAnsi="Arial"/>
                <w:sz w:val="18"/>
                <w:szCs w:val="18"/>
                <w:color w:val="auto"/>
              </w:rPr>
              <w:t>Other Junior Intercreditor Agreements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180"/>
              <w:spacing w:after="0"/>
              <w:rPr>
                <w:sz w:val="20"/>
                <w:szCs w:val="20"/>
                <w:color w:val="auto"/>
              </w:rPr>
            </w:pPr>
            <w:r>
              <w:rPr>
                <w:rFonts w:ascii="Arial" w:cs="Arial" w:eastAsia="Arial" w:hAnsi="Arial"/>
                <w:sz w:val="18"/>
                <w:szCs w:val="18"/>
                <w:color w:val="auto"/>
              </w:rPr>
              <w:t>SECTION 7.17</w:t>
            </w:r>
          </w:p>
        </w:tc>
        <w:tc>
          <w:tcPr>
            <w:tcW w:w="7140" w:type="dxa"/>
            <w:vAlign w:val="bottom"/>
          </w:tcPr>
          <w:p>
            <w:pPr>
              <w:ind w:left="220"/>
              <w:spacing w:after="0"/>
              <w:rPr>
                <w:sz w:val="20"/>
                <w:szCs w:val="20"/>
                <w:color w:val="auto"/>
              </w:rPr>
            </w:pPr>
            <w:r>
              <w:rPr>
                <w:rFonts w:ascii="Arial" w:cs="Arial" w:eastAsia="Arial" w:hAnsi="Arial"/>
                <w:sz w:val="18"/>
                <w:szCs w:val="18"/>
                <w:color w:val="auto"/>
              </w:rPr>
              <w:t>Additional Grantors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00" w:type="dxa"/>
            <w:vAlign w:val="bottom"/>
          </w:tcPr>
          <w:p>
            <w:pPr>
              <w:ind w:left="180"/>
              <w:spacing w:after="0"/>
              <w:rPr>
                <w:sz w:val="20"/>
                <w:szCs w:val="20"/>
                <w:color w:val="auto"/>
              </w:rPr>
            </w:pPr>
            <w:r>
              <w:rPr>
                <w:rFonts w:ascii="Arial" w:cs="Arial" w:eastAsia="Arial" w:hAnsi="Arial"/>
                <w:sz w:val="18"/>
                <w:szCs w:val="18"/>
                <w:color w:val="auto"/>
              </w:rPr>
              <w:t>SECTION 7.18</w:t>
            </w:r>
          </w:p>
        </w:tc>
        <w:tc>
          <w:tcPr>
            <w:tcW w:w="7140" w:type="dxa"/>
            <w:vAlign w:val="bottom"/>
          </w:tcPr>
          <w:p>
            <w:pPr>
              <w:ind w:left="220"/>
              <w:spacing w:after="0"/>
              <w:rPr>
                <w:sz w:val="20"/>
                <w:szCs w:val="20"/>
                <w:color w:val="auto"/>
              </w:rPr>
            </w:pPr>
            <w:r>
              <w:rPr>
                <w:rFonts w:ascii="Arial" w:cs="Arial" w:eastAsia="Arial" w:hAnsi="Arial"/>
                <w:sz w:val="18"/>
                <w:szCs w:val="18"/>
                <w:color w:val="auto"/>
              </w:rPr>
              <w:t>Joinder of LC Australian Collateral Agent</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09" w:name="page1010"/>
    <w:bookmarkEnd w:id="1009"/>
    <w:p>
      <w:pPr>
        <w:jc w:val="both"/>
        <w:ind w:firstLine="1297"/>
        <w:spacing w:after="0" w:line="270" w:lineRule="auto"/>
        <w:rPr>
          <w:sz w:val="20"/>
          <w:szCs w:val="20"/>
          <w:color w:val="auto"/>
        </w:rPr>
      </w:pPr>
      <w:r>
        <w:rPr>
          <w:rFonts w:ascii="Arial" w:cs="Arial" w:eastAsia="Arial" w:hAnsi="Arial"/>
          <w:sz w:val="17"/>
          <w:szCs w:val="17"/>
          <w:color w:val="auto"/>
        </w:rPr>
        <w:t>This INTERCREDITOR AGREEMENT (as amended, restated, supplemented or otherwise modified from time to time,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December 13, 2019, is among Wells Fargo Bank, National Association (“</w:t>
      </w:r>
      <w:r>
        <w:rPr>
          <w:rFonts w:ascii="Arial" w:cs="Arial" w:eastAsia="Arial" w:hAnsi="Arial"/>
          <w:sz w:val="17"/>
          <w:szCs w:val="17"/>
          <w:b w:val="1"/>
          <w:bCs w:val="1"/>
          <w:i w:val="1"/>
          <w:iCs w:val="1"/>
          <w:color w:val="auto"/>
        </w:rPr>
        <w:t>WF</w:t>
      </w:r>
      <w:r>
        <w:rPr>
          <w:rFonts w:ascii="Arial" w:cs="Arial" w:eastAsia="Arial" w:hAnsi="Arial"/>
          <w:sz w:val="17"/>
          <w:szCs w:val="17"/>
          <w:color w:val="auto"/>
        </w:rPr>
        <w:t>”), as administrative agent and collateral agent for the ABL Secured Parties referred to herein (in such capacity, together with its successors or co-agents in substantially the same capacity as may from time to time be appointed, the “</w:t>
      </w:r>
      <w:r>
        <w:rPr>
          <w:rFonts w:ascii="Arial" w:cs="Arial" w:eastAsia="Arial" w:hAnsi="Arial"/>
          <w:sz w:val="17"/>
          <w:szCs w:val="17"/>
          <w:b w:val="1"/>
          <w:bCs w:val="1"/>
          <w:i w:val="1"/>
          <w:iCs w:val="1"/>
          <w:color w:val="auto"/>
        </w:rPr>
        <w:t>ABL Collateral Agent</w:t>
      </w:r>
      <w:r>
        <w:rPr>
          <w:rFonts w:ascii="Arial" w:cs="Arial" w:eastAsia="Arial" w:hAnsi="Arial"/>
          <w:sz w:val="17"/>
          <w:szCs w:val="17"/>
          <w:color w:val="auto"/>
        </w:rPr>
        <w:t>”) and as the initial Foreign Collateral Agent (as defined below), when joined to this Agreement, BTA Institutional Services Australia Limited (ABN 48 002 916 396), in its capacity as trustee of the LC Australian Security Trust referred to herein (when joined to this Agreement, in such capacity, together with its successors in substantially the same capacity as may from time to time be appointed, the “</w:t>
      </w:r>
      <w:r>
        <w:rPr>
          <w:rFonts w:ascii="Arial" w:cs="Arial" w:eastAsia="Arial" w:hAnsi="Arial"/>
          <w:sz w:val="17"/>
          <w:szCs w:val="17"/>
          <w:b w:val="1"/>
          <w:bCs w:val="1"/>
          <w:i w:val="1"/>
          <w:iCs w:val="1"/>
          <w:color w:val="auto"/>
        </w:rPr>
        <w:t>LC Australian Collateral Agent</w:t>
      </w:r>
      <w:r>
        <w:rPr>
          <w:rFonts w:ascii="Arial" w:cs="Arial" w:eastAsia="Arial" w:hAnsi="Arial"/>
          <w:sz w:val="17"/>
          <w:szCs w:val="17"/>
          <w:color w:val="auto"/>
        </w:rPr>
        <w:t>”), Deutsche Bank Trust Company Americas (“</w:t>
      </w:r>
      <w:r>
        <w:rPr>
          <w:rFonts w:ascii="Arial" w:cs="Arial" w:eastAsia="Arial" w:hAnsi="Arial"/>
          <w:sz w:val="17"/>
          <w:szCs w:val="17"/>
          <w:b w:val="1"/>
          <w:bCs w:val="1"/>
          <w:i w:val="1"/>
          <w:iCs w:val="1"/>
          <w:color w:val="auto"/>
        </w:rPr>
        <w:t>DBTCA</w:t>
      </w:r>
      <w:r>
        <w:rPr>
          <w:rFonts w:ascii="Arial" w:cs="Arial" w:eastAsia="Arial" w:hAnsi="Arial"/>
          <w:sz w:val="17"/>
          <w:szCs w:val="17"/>
          <w:color w:val="auto"/>
        </w:rPr>
        <w:t>”), as administrative agent and collateral agent for the LC Secured Parties referred to herein (in such capacity, together with its successors and co-agents and, as applicable, sub-agents (including with respect to the LC Australian Collateral, the LC Australian Collateral Agent), in substantially the same capacity as may from time to time be appointed, the “</w:t>
      </w:r>
      <w:r>
        <w:rPr>
          <w:rFonts w:ascii="Arial" w:cs="Arial" w:eastAsia="Arial" w:hAnsi="Arial"/>
          <w:sz w:val="17"/>
          <w:szCs w:val="17"/>
          <w:b w:val="1"/>
          <w:bCs w:val="1"/>
          <w:i w:val="1"/>
          <w:iCs w:val="1"/>
          <w:color w:val="auto"/>
        </w:rPr>
        <w:t>LC Collateral Agent</w:t>
      </w:r>
      <w:r>
        <w:rPr>
          <w:rFonts w:ascii="Arial" w:cs="Arial" w:eastAsia="Arial" w:hAnsi="Arial"/>
          <w:sz w:val="17"/>
          <w:szCs w:val="17"/>
          <w:color w:val="auto"/>
        </w:rPr>
        <w:t>”), the Parent (as defined below) and the other Subsidiaries of the Parent from time to time party hereto.</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Weatherford International plc, a public limited company incorporated in the Republic of Ireland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Weatherford International Ltd., a Bermuda exempted company limited by shares (“</w:t>
      </w:r>
      <w:r>
        <w:rPr>
          <w:rFonts w:ascii="Arial" w:cs="Arial" w:eastAsia="Arial" w:hAnsi="Arial"/>
          <w:sz w:val="18"/>
          <w:szCs w:val="18"/>
          <w:b w:val="1"/>
          <w:bCs w:val="1"/>
          <w:i w:val="1"/>
          <w:iCs w:val="1"/>
          <w:color w:val="auto"/>
        </w:rPr>
        <w:t>WIL-Bermuda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b w:val="1"/>
          <w:bCs w:val="1"/>
          <w:i w:val="1"/>
          <w:iCs w:val="1"/>
          <w:color w:val="auto"/>
        </w:rPr>
        <w:t>WIL-Delaware</w:t>
      </w:r>
      <w:r>
        <w:rPr>
          <w:rFonts w:ascii="Arial" w:cs="Arial" w:eastAsia="Arial" w:hAnsi="Arial"/>
          <w:sz w:val="18"/>
          <w:szCs w:val="18"/>
          <w:color w:val="auto"/>
        </w:rPr>
        <w:t>”), Weatherford Oil Tool GmbH, a German private limited company, Weatherford Products GmbH, a Swiss limited liability company (the “</w:t>
      </w:r>
      <w:r>
        <w:rPr>
          <w:rFonts w:ascii="Arial" w:cs="Arial" w:eastAsia="Arial" w:hAnsi="Arial"/>
          <w:sz w:val="18"/>
          <w:szCs w:val="18"/>
          <w:b w:val="1"/>
          <w:bCs w:val="1"/>
          <w:i w:val="1"/>
          <w:iCs w:val="1"/>
          <w:color w:val="auto"/>
        </w:rPr>
        <w:t>ABL Borrowers</w:t>
      </w:r>
      <w:r>
        <w:rPr>
          <w:rFonts w:ascii="Arial" w:cs="Arial" w:eastAsia="Arial" w:hAnsi="Arial"/>
          <w:sz w:val="18"/>
          <w:szCs w:val="18"/>
          <w:color w:val="auto"/>
        </w:rPr>
        <w:t>”), the lenders and other parties party thereto from time to time and the ABL Collateral Agent are party to the Credit Agreement, dated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hereof (“</w:t>
      </w:r>
      <w:r>
        <w:rPr>
          <w:rFonts w:ascii="Arial" w:cs="Arial" w:eastAsia="Arial" w:hAnsi="Arial"/>
          <w:sz w:val="18"/>
          <w:szCs w:val="18"/>
          <w:b w:val="1"/>
          <w:bCs w:val="1"/>
          <w:i w:val="1"/>
          <w:iCs w:val="1"/>
          <w:color w:val="auto"/>
        </w:rPr>
        <w:t>Existing ABL Credit Agreement</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WIL-Bermuda and WIL-Delaware (the “</w:t>
      </w:r>
      <w:r>
        <w:rPr>
          <w:rFonts w:ascii="Arial" w:cs="Arial" w:eastAsia="Arial" w:hAnsi="Arial"/>
          <w:sz w:val="18"/>
          <w:szCs w:val="18"/>
          <w:b w:val="1"/>
          <w:bCs w:val="1"/>
          <w:i w:val="1"/>
          <w:iCs w:val="1"/>
          <w:color w:val="auto"/>
        </w:rPr>
        <w:t>LC Borrowers</w:t>
      </w:r>
      <w:r>
        <w:rPr>
          <w:rFonts w:ascii="Arial" w:cs="Arial" w:eastAsia="Arial" w:hAnsi="Arial"/>
          <w:sz w:val="18"/>
          <w:szCs w:val="18"/>
          <w:color w:val="auto"/>
        </w:rPr>
        <w:t>”), the issuing lenders from time to time party thereto (the “</w:t>
      </w:r>
      <w:r>
        <w:rPr>
          <w:rFonts w:ascii="Arial" w:cs="Arial" w:eastAsia="Arial" w:hAnsi="Arial"/>
          <w:sz w:val="18"/>
          <w:szCs w:val="18"/>
          <w:b w:val="1"/>
          <w:bCs w:val="1"/>
          <w:i w:val="1"/>
          <w:iCs w:val="1"/>
          <w:color w:val="auto"/>
        </w:rPr>
        <w:t>Issuing Lenders</w:t>
      </w:r>
      <w:r>
        <w:rPr>
          <w:rFonts w:ascii="Arial" w:cs="Arial" w:eastAsia="Arial" w:hAnsi="Arial"/>
          <w:sz w:val="18"/>
          <w:szCs w:val="18"/>
          <w:color w:val="auto"/>
        </w:rPr>
        <w:t>”), the lenders from time to time party thereto (the “</w:t>
      </w:r>
      <w:r>
        <w:rPr>
          <w:rFonts w:ascii="Arial" w:cs="Arial" w:eastAsia="Arial" w:hAnsi="Arial"/>
          <w:sz w:val="18"/>
          <w:szCs w:val="18"/>
          <w:b w:val="1"/>
          <w:bCs w:val="1"/>
          <w:i w:val="1"/>
          <w:iCs w:val="1"/>
          <w:color w:val="auto"/>
        </w:rPr>
        <w:t>LC Lenders</w:t>
      </w:r>
      <w:r>
        <w:rPr>
          <w:rFonts w:ascii="Arial" w:cs="Arial" w:eastAsia="Arial" w:hAnsi="Arial"/>
          <w:sz w:val="18"/>
          <w:szCs w:val="18"/>
          <w:color w:val="auto"/>
        </w:rPr>
        <w:t>”) and the LC Collateral Agent are party to the Credit Agreement, dated as of the date hereof, pursuant to which the Issuing Lenders have agreed to issue, and the LC Lenders have agreed to purchase participations in, letters of credit (the “</w:t>
      </w:r>
      <w:r>
        <w:rPr>
          <w:rFonts w:ascii="Arial" w:cs="Arial" w:eastAsia="Arial" w:hAnsi="Arial"/>
          <w:sz w:val="18"/>
          <w:szCs w:val="18"/>
          <w:b w:val="1"/>
          <w:bCs w:val="1"/>
          <w:i w:val="1"/>
          <w:iCs w:val="1"/>
          <w:color w:val="auto"/>
        </w:rPr>
        <w:t>Existing LC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Agreement governs the relationship between the LC Secured Parties as a group, on the one hand, and the ABL Secured Parties, on the other hand, with respect to the Collateral shared by the LC Secured Parties and the ABL Secured Parties.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 under their respective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0" w:name="page1011"/>
    <w:bookmarkEnd w:id="1010"/>
    <w:p>
      <w:pPr>
        <w:ind w:firstLine="1297"/>
        <w:spacing w:after="0" w:line="277" w:lineRule="auto"/>
        <w:rPr>
          <w:sz w:val="20"/>
          <w:szCs w:val="20"/>
          <w:color w:val="auto"/>
        </w:rPr>
      </w:pPr>
      <w:r>
        <w:rPr>
          <w:rFonts w:ascii="Arial" w:cs="Arial" w:eastAsia="Arial" w:hAnsi="Arial"/>
          <w:sz w:val="18"/>
          <w:szCs w:val="18"/>
          <w:color w:val="auto"/>
        </w:rPr>
        <w:t>In consideration of the mutual agreements herein contained and other good and valuable consideration, the receipt and sufficiency of which are hereby acknowledged, the parties hereto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b w:val="1"/>
          <w:bCs w:val="1"/>
          <w:i w:val="1"/>
          <w:iCs w:val="1"/>
          <w:color w:val="auto"/>
        </w:rPr>
        <w:t>Construction; Certain Defined Terms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69" w:lineRule="auto"/>
        <w:tabs>
          <w:tab w:leader="none" w:pos="1838" w:val="left"/>
        </w:tabs>
        <w:numPr>
          <w:ilvl w:val="0"/>
          <w:numId w:val="1098"/>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82" w:lineRule="exact"/>
        <w:rPr>
          <w:rFonts w:ascii="Arial" w:cs="Arial" w:eastAsia="Arial" w:hAnsi="Arial"/>
          <w:sz w:val="17"/>
          <w:szCs w:val="17"/>
          <w:color w:val="auto"/>
        </w:rPr>
      </w:pPr>
    </w:p>
    <w:p>
      <w:pPr>
        <w:ind w:left="1560" w:hanging="255"/>
        <w:spacing w:after="0"/>
        <w:tabs>
          <w:tab w:leader="none" w:pos="1560" w:val="left"/>
        </w:tabs>
        <w:numPr>
          <w:ilvl w:val="0"/>
          <w:numId w:val="1098"/>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meanings specified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Collateral Agent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ABL Credit Agreement</w:t>
      </w:r>
      <w:r>
        <w:rPr>
          <w:rFonts w:ascii="Arial" w:cs="Arial" w:eastAsia="Arial" w:hAnsi="Arial"/>
          <w:sz w:val="16"/>
          <w:szCs w:val="16"/>
          <w:color w:val="auto"/>
        </w:rPr>
        <w:t>” means (a) the Existing ABL Credit Agreement, as amended, restated, supplemented, waived, replaced (whether or not upon termination, and whether with the original lenders or otherwise), restructured, repaid, refunded, Refinanced or otherwise modified from time to time after the date hereof, in accordance with the terms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“ABL Credit Agreement”), and (b) whether or not the facility referred to in clause (a) remains outstanding, if designated by the Parent to be included in the definition of “ABL Credit Agreement,” one or more (i) debt facilities or commercial paper facilities, providing for revolving credit loans, term loans, receivables financing (including through the sale of receivables to lenders or to special purpose entities formed to borrow from lenders against such receivables) or letters of credit, (ii) debt securities, indentures or other forms of debt financing (including convertible or exchangeable debt instruments or bank guarantees or bankers’ acceptances) or</w:t>
      </w:r>
    </w:p>
    <w:p>
      <w:pPr>
        <w:spacing w:after="0" w:line="6" w:lineRule="exact"/>
        <w:rPr>
          <w:sz w:val="20"/>
          <w:szCs w:val="20"/>
          <w:color w:val="auto"/>
        </w:rPr>
      </w:pPr>
    </w:p>
    <w:p>
      <w:pPr>
        <w:ind w:firstLine="8"/>
        <w:spacing w:after="0" w:line="290" w:lineRule="auto"/>
        <w:tabs>
          <w:tab w:leader="none" w:pos="316" w:val="left"/>
        </w:tabs>
        <w:numPr>
          <w:ilvl w:val="0"/>
          <w:numId w:val="1099"/>
        </w:numPr>
        <w:rPr>
          <w:rFonts w:ascii="Arial" w:cs="Arial" w:eastAsia="Arial" w:hAnsi="Arial"/>
          <w:sz w:val="17"/>
          <w:szCs w:val="17"/>
          <w:color w:val="auto"/>
        </w:rPr>
      </w:pPr>
      <w:r>
        <w:rPr>
          <w:rFonts w:ascii="Arial" w:cs="Arial" w:eastAsia="Arial" w:hAnsi="Arial"/>
          <w:sz w:val="17"/>
          <w:szCs w:val="17"/>
          <w:color w:val="auto"/>
        </w:rPr>
        <w:t>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1" w:name="page1012"/>
    <w:bookmarkEnd w:id="1011"/>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Documents</w:t>
      </w:r>
      <w:r>
        <w:rPr>
          <w:rFonts w:ascii="Arial" w:cs="Arial" w:eastAsia="Arial" w:hAnsi="Arial"/>
          <w:sz w:val="18"/>
          <w:szCs w:val="18"/>
          <w:color w:val="auto"/>
        </w:rPr>
        <w:t>” means the ABL Credit Agreement, the ABL Security Documents and the other “Loan Documents” as defined in the ABL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Mortgages</w:t>
      </w:r>
      <w:r>
        <w:rPr>
          <w:rFonts w:ascii="Arial" w:cs="Arial" w:eastAsia="Arial" w:hAnsi="Arial"/>
          <w:sz w:val="18"/>
          <w:szCs w:val="18"/>
          <w:color w:val="auto"/>
        </w:rPr>
        <w:t>” means all “Mortgages” as defined in the ABL Credit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Obligations</w:t>
      </w:r>
      <w:r>
        <w:rPr>
          <w:rFonts w:ascii="Arial" w:cs="Arial" w:eastAsia="Arial" w:hAnsi="Arial"/>
          <w:sz w:val="18"/>
          <w:szCs w:val="18"/>
          <w:color w:val="auto"/>
        </w:rPr>
        <w:t>” means all “Obligations” (as such term is defined in the ABL Credit Agreement) of the ABL Borrowers and all other obligors under the ABL Credit Agreement or any of the other ABL Documents, including obligations to pay principal, premiums, if any, interest, attorneys fees, fees, costs, charges, expenses, Bank Product Obligations (as defined in the ABL Credit Agreement) and Letter of Credit (as defined in the ABL Credit Agreement) commissions, fees and charges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ABL Documents and the performance of all other Obligations of the obligors thereunder to the lenders and agents under the ABL Documents according to the respective terms thereof.</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Priority Collateral</w:t>
      </w:r>
      <w:r>
        <w:rPr>
          <w:rFonts w:ascii="Arial" w:cs="Arial" w:eastAsia="Arial" w:hAnsi="Arial"/>
          <w:sz w:val="18"/>
          <w:szCs w:val="18"/>
          <w:color w:val="auto"/>
        </w:rPr>
        <w:t>” means all Collateral now owned or at any time hereafter acquired (including, for the avoidance of doubt, any such assets that, but for the application of Section 552 of the Bankruptcy Code (or any provision of any other Debtor Relief Law), would constitute ABL Priority Collateral) by the ABL Borrowers or any other Grantor consisting of the following:</w:t>
      </w:r>
    </w:p>
    <w:p>
      <w:pPr>
        <w:spacing w:after="0" w:line="181" w:lineRule="exact"/>
        <w:rPr>
          <w:sz w:val="20"/>
          <w:szCs w:val="20"/>
          <w:color w:val="auto"/>
        </w:rPr>
      </w:pPr>
    </w:p>
    <w:p>
      <w:pPr>
        <w:jc w:val="both"/>
        <w:ind w:firstLine="1305"/>
        <w:spacing w:after="0" w:line="287" w:lineRule="auto"/>
        <w:tabs>
          <w:tab w:leader="none" w:pos="1555" w:val="left"/>
        </w:tabs>
        <w:numPr>
          <w:ilvl w:val="0"/>
          <w:numId w:val="1100"/>
        </w:numPr>
        <w:rPr>
          <w:rFonts w:ascii="Arial" w:cs="Arial" w:eastAsia="Arial" w:hAnsi="Arial"/>
          <w:sz w:val="16"/>
          <w:szCs w:val="16"/>
          <w:color w:val="auto"/>
        </w:rPr>
      </w:pPr>
      <w:r>
        <w:rPr>
          <w:rFonts w:ascii="Arial" w:cs="Arial" w:eastAsia="Arial" w:hAnsi="Arial"/>
          <w:sz w:val="16"/>
          <w:szCs w:val="16"/>
          <w:color w:val="auto"/>
        </w:rPr>
        <w:t xml:space="preserve">all Accounts; (b) all Chattel Paper and rights to payment evidenced thereby; (c) all Inventory; (d) all assets constituting ABL Priority Rental Tool Assets; (e) all cash and cash equivalents, (other than identifiable cash proceeds of the LC Facility Priority Collateral); (f) all deposit accounts and securities accounts (including any funds or other property held in or on deposit therein but specifically excluding identifiable cash proceeds of LC Facility Priority Collateral); (g) all Payment Intangibles in respect of the items referred to in the previous clauses (a)-(f); (h) to the extent related to, substituted or exchanged for, evidencing, supporting or arising from any of the items referred to in the preceding clauses (a)-(g), all Documents, Letter-of-credit rights, Instruments and rights to payment evidenced thereby, Supporting Obligations, all General Intangibles (other than the Capital Stock of each Grantor and its subsidiaries and Intellectual Property) and books and records, including customer lists; (i) to the extent attributed or pertaining to any ABL Priority Collateral, all Commercial Tort Claims; (j) all intercompany payables and other intercompany claims, business interruption insurance proceeds, representation and warranty insurance proceeds, and tax refunds; and (k) all substitutions, replacements, accessions, products, or proceeds of any of the foregoing, in any form, including insurance proceeds and all claims against third parties for loss or damage to, or destruction of, or other involuntary conversion (including claims in respect of condemnation or expropriation) of any kind or nature of any or all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case shall ABL Priority Collateral include any identifiable cash proceeds from a sale, lease, conveyance or disposition of any LC Priority Collateral.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2" w:name="page1013"/>
    <w:bookmarkEnd w:id="1012"/>
    <w:p>
      <w:pPr>
        <w:ind w:left="1300"/>
        <w:spacing w:after="0"/>
        <w:rPr>
          <w:sz w:val="20"/>
          <w:szCs w:val="20"/>
          <w:color w:val="auto"/>
        </w:rPr>
      </w:pPr>
      <w:r>
        <w:rPr>
          <w:rFonts w:ascii="Arial" w:cs="Arial" w:eastAsia="Arial" w:hAnsi="Arial"/>
          <w:sz w:val="16"/>
          <w:szCs w:val="16"/>
          <w:color w:val="auto"/>
        </w:rPr>
        <w:t>All capitalized terms used in this definition and not defined elsewhere in this Agreement have the meanings assigned to them in the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 UCC.</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Priority Possessory Collateral</w:t>
      </w:r>
      <w:r>
        <w:rPr>
          <w:rFonts w:ascii="Arial" w:cs="Arial" w:eastAsia="Arial" w:hAnsi="Arial"/>
          <w:sz w:val="18"/>
          <w:szCs w:val="18"/>
          <w:color w:val="auto"/>
        </w:rPr>
        <w:t>” means ABL Priority Collateral that is Possessory Collateral.</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ABL Priority Rental Tool Assets</w:t>
      </w:r>
      <w:r>
        <w:rPr>
          <w:rFonts w:ascii="Arial" w:cs="Arial" w:eastAsia="Arial" w:hAnsi="Arial"/>
          <w:sz w:val="17"/>
          <w:szCs w:val="17"/>
          <w:color w:val="auto"/>
        </w:rPr>
        <w:t>” means unfinanced drilling, fracking, well maintenance and other similar rental tools, including, without limitation, artificial lift equipment, cementation production, drilling services, drilling tools, intervention services, line hanger, pressure drilling, open and case hole, pressure pumping, production automation, sand control, testing, tubular running services, well services, and wireline, in each case constituting Inventory or Equipment of a Domestic Borrowing Base Loan Party or a Canadian Borrowing Base Loan Party (as each such term is defined in the ABL Credit Agreement), that is held in the ordinary course of business for rental to another Person that is not an affiliate of any Grantor.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Secured Parties</w:t>
      </w:r>
      <w:r>
        <w:rPr>
          <w:rFonts w:ascii="Arial" w:cs="Arial" w:eastAsia="Arial" w:hAnsi="Arial"/>
          <w:sz w:val="18"/>
          <w:szCs w:val="18"/>
          <w:color w:val="auto"/>
        </w:rPr>
        <w:t>” means the “Secured Parties” as defined in the ABL Security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ABL Security Agreement</w:t>
      </w:r>
      <w:r>
        <w:rPr>
          <w:rFonts w:ascii="Arial" w:cs="Arial" w:eastAsia="Arial" w:hAnsi="Arial"/>
          <w:sz w:val="18"/>
          <w:szCs w:val="18"/>
          <w:color w:val="auto"/>
        </w:rPr>
        <w:t>” means the U.S. Security Agreement, dated as of the date hereof, among the Parent, each other pledgor party thereto and the ABL Collateral Agent, as amended, amended and restated, supplemented or modified from time to time.</w:t>
      </w:r>
    </w:p>
    <w:p>
      <w:pPr>
        <w:spacing w:after="0" w:line="170"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ABL Security Documents</w:t>
      </w:r>
      <w:r>
        <w:rPr>
          <w:rFonts w:ascii="Arial" w:cs="Arial" w:eastAsia="Arial" w:hAnsi="Arial"/>
          <w:sz w:val="17"/>
          <w:szCs w:val="17"/>
          <w:color w:val="auto"/>
        </w:rPr>
        <w:t>” means the ABL Security Agreement, the ABL Mortgages and any other documents now existing or entered into after the date hereof that create or purport to create Liens on any assets or properties of any Grantor to secure any ABL Obligations.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Junior Collateral Agent</w:t>
      </w:r>
      <w:r>
        <w:rPr>
          <w:rFonts w:ascii="Arial" w:cs="Arial" w:eastAsia="Arial" w:hAnsi="Arial"/>
          <w:sz w:val="18"/>
          <w:szCs w:val="18"/>
          <w:color w:val="auto"/>
        </w:rPr>
        <w:t>” means (a) with respect to the LC Priority Collateral, the ABL Collateral Agent (b) with respect to the ABL Priority Collateral, the LC Collateral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Possessory Collateral Agent</w:t>
      </w:r>
      <w:r>
        <w:rPr>
          <w:rFonts w:ascii="Arial" w:cs="Arial" w:eastAsia="Arial" w:hAnsi="Arial"/>
          <w:sz w:val="18"/>
          <w:szCs w:val="18"/>
          <w:color w:val="auto"/>
        </w:rPr>
        <w:t>” means (a) with respect to ABL Priority Possessory Collateral, the ABL Collateral Agent (b) with respect to LC Priority Possessory Collateral, the LC Collateral Agent and (c) notwithstanding the foregoing, with respect to Foreign Collateral, the Foreign Collateral Agent.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Senior Collateral Agent</w:t>
      </w:r>
      <w:r>
        <w:rPr>
          <w:rFonts w:ascii="Arial" w:cs="Arial" w:eastAsia="Arial" w:hAnsi="Arial"/>
          <w:sz w:val="18"/>
          <w:szCs w:val="18"/>
          <w:color w:val="auto"/>
        </w:rPr>
        <w:t>” means (a) with respect to the ABL Priority Collateral, the ABL Collateral Agent, and (b) with respect to the LC Priority Collateral, the LC Collateral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Product Obligations</w:t>
      </w:r>
      <w:r>
        <w:rPr>
          <w:rFonts w:ascii="Arial" w:cs="Arial" w:eastAsia="Arial" w:hAnsi="Arial"/>
          <w:sz w:val="18"/>
          <w:szCs w:val="18"/>
          <w:color w:val="auto"/>
        </w:rPr>
        <w:t>” means all “Bank Product Obligations” as defined in the ABL Credit Agreement (other than “Excluded Swap Obligations” as defined in the ABL Credit Agreement) and all “Banking Services Obligations” and all “Swap Obligations” as defined in the LC Credit Agreement (other than “Excluded Swap Obligations” as defined in the LC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3" w:name="page1014"/>
    <w:bookmarkEnd w:id="101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Case</w:t>
      </w:r>
      <w:r>
        <w:rPr>
          <w:rFonts w:ascii="Arial" w:cs="Arial" w:eastAsia="Arial" w:hAnsi="Arial"/>
          <w:sz w:val="18"/>
          <w:szCs w:val="18"/>
          <w:color w:val="auto"/>
        </w:rPr>
        <w:t>” has the meaning set forth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has the meaning set forth in the definition of Senior Secured Obligations.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all assets and properties subject to (or purportedly subject to) Liens in favor of any Secured Party created by any of the Foreign Collateral Documents, ABL Security Documents or the LC Security Documents, as applicable, to secure the ABL Obligations or the LC Obligations, as applicable.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 Agent</w:t>
      </w:r>
      <w:r>
        <w:rPr>
          <w:rFonts w:ascii="Arial" w:cs="Arial" w:eastAsia="Arial" w:hAnsi="Arial"/>
          <w:sz w:val="18"/>
          <w:szCs w:val="18"/>
          <w:color w:val="auto"/>
        </w:rPr>
        <w:t>” means the Foreign Collateral Agent, ABL Collateral Agent, the LC Collateral Agent, or any of the foregoing, as the context may require.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Junior Priority Collateral Document</w:t>
      </w:r>
      <w:r>
        <w:rPr>
          <w:rFonts w:ascii="Arial" w:cs="Arial" w:eastAsia="Arial" w:hAnsi="Arial"/>
          <w:sz w:val="18"/>
          <w:szCs w:val="18"/>
          <w:color w:val="auto"/>
        </w:rPr>
        <w:t>” means, in relation to any Senior Secured Obligations Collateral subject to any Lien created (or purportedly created) under any Senior Secured Obligations Collateral Document, those Junior Secured Obligations Collateral Documents that create (or purport to create) a Lien on the same Collateral, granted by the same Grantor.</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Controlling Party</w:t>
      </w:r>
      <w:r>
        <w:rPr>
          <w:rFonts w:ascii="Arial" w:cs="Arial" w:eastAsia="Arial" w:hAnsi="Arial"/>
          <w:sz w:val="18"/>
          <w:szCs w:val="18"/>
          <w:color w:val="auto"/>
        </w:rPr>
        <w:t>” means (i) for decisions relating to Foreign Collateral that is ABL Priority Collateral (or only incidentally includes LC Priority Collateral), the ABL Collateral Agent and; (ii) for decisions relating to Foreign Collateral that is LC Priority Collateral (or only incidentally includes ABL Priority Collateral), the LC Collateral Agent (and in the case of the LC Australian Collateral Agent, acting for, and with any decisions relating to LC Australian Collateral made by, the LC Administrative Agent).</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Debtor Relief Laws</w:t>
      </w:r>
      <w:r>
        <w:rPr>
          <w:rFonts w:ascii="Arial" w:cs="Arial" w:eastAsia="Arial" w:hAnsi="Arial"/>
          <w:sz w:val="16"/>
          <w:szCs w:val="16"/>
          <w:color w:val="auto"/>
        </w:rPr>
        <w:t>” means the Bankruptcy Code, the United Kingdom’s Insolvency Act 1986, the Council Regulation (EU) No. 2015/848 of 20 May 2015 on insolvency proceedings (recast), as amended, the Bankruptcy and Insolvency Act (Canada), the Companies’ Creditors Arrangement Act (Canada), Dutch Bankruptcy Act (</w:t>
      </w:r>
      <w:r>
        <w:rPr>
          <w:rFonts w:ascii="Arial" w:cs="Arial" w:eastAsia="Arial" w:hAnsi="Arial"/>
          <w:sz w:val="16"/>
          <w:szCs w:val="16"/>
          <w:i w:val="1"/>
          <w:iCs w:val="1"/>
          <w:color w:val="auto"/>
        </w:rPr>
        <w:t>faillissementswet</w:t>
      </w:r>
      <w:r>
        <w:rPr>
          <w:rFonts w:ascii="Arial" w:cs="Arial" w:eastAsia="Arial" w:hAnsi="Arial"/>
          <w:sz w:val="16"/>
          <w:szCs w:val="16"/>
          <w:color w:val="auto"/>
        </w:rPr>
        <w:t>), the Winding-Up and Restructuring Act (Canada), the German Insolvency Code (</w:t>
      </w:r>
      <w:r>
        <w:rPr>
          <w:rFonts w:ascii="Arial" w:cs="Arial" w:eastAsia="Arial" w:hAnsi="Arial"/>
          <w:sz w:val="16"/>
          <w:szCs w:val="16"/>
          <w:i w:val="1"/>
          <w:iCs w:val="1"/>
          <w:color w:val="auto"/>
        </w:rPr>
        <w:t>Insolvenzordnung</w:t>
      </w:r>
      <w:r>
        <w:rPr>
          <w:rFonts w:ascii="Arial" w:cs="Arial" w:eastAsia="Arial" w:hAnsi="Arial"/>
          <w:sz w:val="16"/>
          <w:szCs w:val="16"/>
          <w:color w:val="auto"/>
        </w:rPr>
        <w:t>), Swiss Federal Debt Collection and Bankruptcy Act (</w:t>
      </w:r>
      <w:r>
        <w:rPr>
          <w:rFonts w:ascii="Arial" w:cs="Arial" w:eastAsia="Arial" w:hAnsi="Arial"/>
          <w:sz w:val="16"/>
          <w:szCs w:val="16"/>
          <w:i w:val="1"/>
          <w:iCs w:val="1"/>
          <w:color w:val="auto"/>
        </w:rPr>
        <w:t>Bundesgesetz über Schuldbetreibung und Konkurs</w:t>
      </w:r>
      <w:r>
        <w:rPr>
          <w:rFonts w:ascii="Arial" w:cs="Arial" w:eastAsia="Arial" w:hAnsi="Arial"/>
          <w:sz w:val="16"/>
          <w:szCs w:val="16"/>
          <w:color w:val="auto"/>
        </w:rPr>
        <w:t>), Part XIII of the Bermuda Companies Act 1981, the Luxembourg Commercial Code and the Luxembourg Act dated 10 August 1915 on Commercial Companies, the Insolvency Act 2003 of the British Virgin Islands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in each case as amended, including any corporate law of any jurisdiction which may be used by a debtor to obtain a stay or a compromise, settlement, adjustment or arrangement of the claims of its creditors against it and including any rules and regulations pursuant thereto (but, in each case, shall exclude any part of such laws, rules or regulations which relate solely to any solvent reorganization or solvent restructuring process).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4" w:name="page1015"/>
    <w:bookmarkEnd w:id="1014"/>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Disposition</w:t>
      </w:r>
      <w:r>
        <w:rPr>
          <w:rFonts w:ascii="Arial" w:cs="Arial" w:eastAsia="Arial" w:hAnsi="Arial"/>
          <w:sz w:val="18"/>
          <w:szCs w:val="18"/>
          <w:color w:val="auto"/>
        </w:rPr>
        <w:t>” means any private or public sale or disposition of all or any material portion of the Senior Secured Obligations Collateral (including Foreign Collateral) by one or more Grantors with the consent of Senior Collateral Agent or Foreign Collateral Agent (as instructed by the Controlling Party), as applicable, after the occurrence and during the continuation of an Event of Default under the Senior Secured Obligations Security Documents or the ABL Credit Agreement or LC Credit Agreement, as applicable (and prior to the Discharge of the Senior Secured Obligations), including any disposition contemplated by Section 9-620 of the UCC, which disposition is conducted by such Grantors with the consent of Senior Collateral Agent or Foreign Collateral Agent (as instructed by the Controlling Party) in connection with good faith efforts by Senior Collateral Agent or Foreign Collateral Agent (as instructed by the Controlling Party) to collect the Senior Secured Obligations through the disposition of Senior Secured Obligations Collateral (including any Foreign Collateral).</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DIP Financing</w:t>
      </w:r>
      <w:r>
        <w:rPr>
          <w:rFonts w:ascii="Arial" w:cs="Arial" w:eastAsia="Arial" w:hAnsi="Arial"/>
          <w:sz w:val="18"/>
          <w:szCs w:val="18"/>
          <w:color w:val="auto"/>
        </w:rPr>
        <w:t>” has the meaning set forth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DIP Financing Liens</w:t>
      </w:r>
      <w:r>
        <w:rPr>
          <w:rFonts w:ascii="Arial" w:cs="Arial" w:eastAsia="Arial" w:hAnsi="Arial"/>
          <w:sz w:val="18"/>
          <w:szCs w:val="18"/>
          <w:color w:val="auto"/>
        </w:rPr>
        <w:t>” has the meaning set forth in Section 2.06(b).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DIP Lenders</w:t>
      </w:r>
      <w:r>
        <w:rPr>
          <w:rFonts w:ascii="Arial" w:cs="Arial" w:eastAsia="Arial" w:hAnsi="Arial"/>
          <w:sz w:val="18"/>
          <w:szCs w:val="18"/>
          <w:color w:val="auto"/>
        </w:rPr>
        <w:t>” has the meaning set forth in Section 2.06(b).</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Discharge</w:t>
      </w:r>
      <w:r>
        <w:rPr>
          <w:rFonts w:ascii="Arial" w:cs="Arial" w:eastAsia="Arial" w:hAnsi="Arial"/>
          <w:sz w:val="16"/>
          <w:szCs w:val="16"/>
          <w:color w:val="auto"/>
        </w:rPr>
        <w:t>” means, with respect to any Obligations, except to the extent otherwise provided herein with respect to the reinstatement or continuation of any such Obligations, the payment in full in cash (except for contingent indemnities and cost and reimbursement obligations to the extent no claim has been threatened (in writing) or asserted) of all such Obligations then outstanding, if any, and, with respect to (x) letters of credit or letter of credit guaranties outstanding under the agreements or instruments governing such Obligations (as related to all or any subset of Obligations, the “</w:t>
      </w:r>
      <w:r>
        <w:rPr>
          <w:rFonts w:ascii="Arial" w:cs="Arial" w:eastAsia="Arial" w:hAnsi="Arial"/>
          <w:sz w:val="16"/>
          <w:szCs w:val="16"/>
          <w:b w:val="1"/>
          <w:bCs w:val="1"/>
          <w:i w:val="1"/>
          <w:iCs w:val="1"/>
          <w:color w:val="auto"/>
        </w:rPr>
        <w:t>Relevant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Instruments</w:t>
      </w:r>
      <w:r>
        <w:rPr>
          <w:rFonts w:ascii="Arial" w:cs="Arial" w:eastAsia="Arial" w:hAnsi="Arial"/>
          <w:sz w:val="16"/>
          <w:szCs w:val="16"/>
          <w:color w:val="auto"/>
        </w:rPr>
        <w:t>”); (y) Bank Product Obligations (as defined in the ABL Credit Agreement); and (z) asserted or threatened (in writing) claims, demands, 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suits, investigations, liabilities, fines, costs, or damages for which a party may be entitled to indemnification or reimbursement by any Grantor, delivery of cash collateral or backstop letters of credit in respect thereof in a manner consistent with such Relevant Instruments, in each case after or concurrently with the termination of all commitments to extend credit thereunder, and the termination of all commitments of “secured parties” under the Relevant Instruments (including, in any event, all such interest, fees, costs, expenses and other charges regardless of whether such amounts are allowed, allowable or reasonable in any Insolvency or Liquidation Proceeding, whether under Section 506 of the Bankruptcy Code of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Discharge of ABL Obligations shall not be deemed to have occurred if such payments are made in connection with the establishment of a replacement ABL Credit Agreement and (ii) the Discharge of LC Obligations shall not be deemed to have occurred if such payments are made with the proceeds of LC Obligations that constitute an exchange or replacement for or a refinancing of such Obligations or LC Obligations. In the event any Obligations are modified and such Obligations are paid over time or otherwise modified, in each case, pursuant to Section 1129 of the Bankruptcy Code or similar Debtor Relief Law, such Obligations shall be deemed to be discharged only when the final payment is made, in cash, in respect of such indebtedness and any obligations pursuant to such new or modified indebtedness shall have been satisfied. The term “</w:t>
      </w:r>
      <w:r>
        <w:rPr>
          <w:rFonts w:ascii="Arial" w:cs="Arial" w:eastAsia="Arial" w:hAnsi="Arial"/>
          <w:sz w:val="16"/>
          <w:szCs w:val="16"/>
          <w:b w:val="1"/>
          <w:bCs w:val="1"/>
          <w:i w:val="1"/>
          <w:iCs w:val="1"/>
          <w:color w:val="auto"/>
        </w:rPr>
        <w:t>Discharged</w:t>
      </w:r>
      <w:r>
        <w:rPr>
          <w:rFonts w:ascii="Arial" w:cs="Arial" w:eastAsia="Arial" w:hAnsi="Arial"/>
          <w:sz w:val="16"/>
          <w:szCs w:val="16"/>
          <w:color w:val="auto"/>
        </w:rPr>
        <w:t>” shall have a corresponding meaning.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5" w:name="page1016"/>
    <w:bookmarkEnd w:id="1015"/>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European Insolvency Regulation</w:t>
      </w:r>
      <w:r>
        <w:rPr>
          <w:rFonts w:ascii="Arial" w:cs="Arial" w:eastAsia="Arial" w:hAnsi="Arial"/>
          <w:sz w:val="18"/>
          <w:szCs w:val="18"/>
          <w:color w:val="auto"/>
        </w:rPr>
        <w:t>” means Regulation (EU) 2015/848 of the European Parliament and of the Council of 20 May 2015 on insolvency proceedings (recast)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an “Event of Default” under and as defined in the ABL Credit Agreement or the LC Credit Agreement, as the context may require.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Collateral</w:t>
      </w:r>
      <w:r>
        <w:rPr>
          <w:rFonts w:ascii="Arial" w:cs="Arial" w:eastAsia="Arial" w:hAnsi="Arial"/>
          <w:sz w:val="18"/>
          <w:szCs w:val="18"/>
          <w:color w:val="auto"/>
        </w:rPr>
        <w:t>” has the meaning set forth in Section 2.01(d).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Foreign Collateral Agent</w:t>
      </w:r>
      <w:r>
        <w:rPr>
          <w:rFonts w:ascii="Arial" w:cs="Arial" w:eastAsia="Arial" w:hAnsi="Arial"/>
          <w:sz w:val="16"/>
          <w:szCs w:val="16"/>
          <w:color w:val="auto"/>
        </w:rPr>
        <w:t>” means ABL Collateral Agent and its successors (as appointed in accordance with Article VI hereof) or assigns.</w:t>
      </w:r>
    </w:p>
    <w:p>
      <w:pPr>
        <w:spacing w:after="0" w:line="24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Collateral Documents</w:t>
      </w:r>
      <w:r>
        <w:rPr>
          <w:rFonts w:ascii="Arial" w:cs="Arial" w:eastAsia="Arial" w:hAnsi="Arial"/>
          <w:sz w:val="18"/>
          <w:szCs w:val="18"/>
          <w:color w:val="auto"/>
        </w:rPr>
        <w:t>” means the documents listed on Schedule I attached hereto and any other documents creating (or purporting to create) a Lien on any Foreign Collateral in favor of Foreign Collateral Agent and all documents delivered therewith.</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Grantor</w:t>
      </w:r>
      <w:r>
        <w:rPr>
          <w:rFonts w:ascii="Arial" w:cs="Arial" w:eastAsia="Arial" w:hAnsi="Arial"/>
          <w:sz w:val="18"/>
          <w:szCs w:val="18"/>
          <w:color w:val="auto"/>
        </w:rPr>
        <w:t>” means Parent and each Subsidiary of Parent that shall have granted any Lien in favor of any Collateral Agent on any of its assets or properties to secure any of the Obligations.</w:t>
      </w:r>
    </w:p>
    <w:p>
      <w:pPr>
        <w:spacing w:after="0" w:line="17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Insolvency or Liquidation Proceeding</w:t>
      </w:r>
      <w:r>
        <w:rPr>
          <w:rFonts w:ascii="Arial" w:cs="Arial" w:eastAsia="Arial" w:hAnsi="Arial"/>
          <w:sz w:val="16"/>
          <w:szCs w:val="16"/>
          <w:color w:val="auto"/>
        </w:rPr>
        <w:t>” means (a) any case or proceeding commenced by or against the Parent or any other Grantor under the Bankruptcy Code or other Debtor Relief Laws or any other process or proceeding for the reorganization, recapitalization, restructuring, adjustment, arrangement or marshalling of the assets or liabilities of the Parent or any other Grantor or any receivership or assignment for the benefit of creditors relating to the Parent or any other Grantor or relating to all or a substantial part of the property or assets of the Parent or any other Grantor or any similar case or proceeding relative to the Parent or any other Grantor, or their respective property or their respective creditors, as such, in each case whether or not voluntary;</w:t>
      </w:r>
    </w:p>
    <w:p>
      <w:pPr>
        <w:spacing w:after="0" w:line="2" w:lineRule="exact"/>
        <w:rPr>
          <w:sz w:val="20"/>
          <w:szCs w:val="20"/>
          <w:color w:val="auto"/>
        </w:rPr>
      </w:pPr>
    </w:p>
    <w:p>
      <w:pPr>
        <w:jc w:val="both"/>
        <w:ind w:firstLine="8"/>
        <w:spacing w:after="0" w:line="269" w:lineRule="auto"/>
        <w:tabs>
          <w:tab w:leader="none" w:pos="272" w:val="left"/>
        </w:tabs>
        <w:numPr>
          <w:ilvl w:val="0"/>
          <w:numId w:val="1101"/>
        </w:numPr>
        <w:rPr>
          <w:rFonts w:ascii="Arial" w:cs="Arial" w:eastAsia="Arial" w:hAnsi="Arial"/>
          <w:sz w:val="17"/>
          <w:szCs w:val="17"/>
          <w:color w:val="auto"/>
        </w:rPr>
      </w:pPr>
      <w:r>
        <w:rPr>
          <w:rFonts w:ascii="Arial" w:cs="Arial" w:eastAsia="Arial" w:hAnsi="Arial"/>
          <w:sz w:val="17"/>
          <w:szCs w:val="17"/>
          <w:color w:val="auto"/>
        </w:rPr>
        <w:t>any process or proceeding for the appointment of any trustee in bankruptcy, receiver, receiver and manager, interim receiver, administrator, liquidator, monitor, custodian, sequestrator, conservator or any similar official appointed for or relating to the Parent or any other Grantor or all or a substantial portion of their respective property and assets, in each case whether or not voluntary; (c) any liquidation, dissolution, marshalling of assets or liabilities or other winding up (or similar process) of or relating to the Parent or any other Grantor, in each case whether or not voluntary and whether or not involving bankruptcy or insolvency; or (d) any other proceeding of any type or nature in which substantially all claims of creditors of the Parent or any other Grantor, or of a class of creditors of the Parent or any other Grantor, are stayed, compromised, restructured or determined and any payment, distribution, restructuring or arrangement is or may be made on account of or in relation to such claims.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Claims</w:t>
      </w:r>
      <w:r>
        <w:rPr>
          <w:rFonts w:ascii="Arial" w:cs="Arial" w:eastAsia="Arial" w:hAnsi="Arial"/>
          <w:sz w:val="18"/>
          <w:szCs w:val="18"/>
          <w:color w:val="auto"/>
        </w:rPr>
        <w:t>” means (a) with respect to the ABL Priority Collateral, the LC Obligations secured by such Collateral and (b) with respect to the LC Priority Collateral, the ABL Obligations secured by such Collateral.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6" w:name="page1017"/>
    <w:bookmarkEnd w:id="1016"/>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Collateral Agent</w:t>
      </w:r>
      <w:r>
        <w:rPr>
          <w:rFonts w:ascii="Arial" w:cs="Arial" w:eastAsia="Arial" w:hAnsi="Arial"/>
          <w:sz w:val="18"/>
          <w:szCs w:val="18"/>
          <w:color w:val="auto"/>
        </w:rPr>
        <w:t>” means (a) with respect to the LC Priority Collateral, the ABL Collateral Agent and (b) with respect to the ABL Priority Collateral, the LC Collateral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Representative</w:t>
      </w:r>
      <w:r>
        <w:rPr>
          <w:rFonts w:ascii="Arial" w:cs="Arial" w:eastAsia="Arial" w:hAnsi="Arial"/>
          <w:sz w:val="18"/>
          <w:szCs w:val="18"/>
          <w:color w:val="auto"/>
        </w:rPr>
        <w:t>” means (a) with respect to the LC Priority Collateral, the ABL Collateral Agent and (b) with respect to the ABL Priority Collateral, the LC Collateral Agent.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Secured Obligations</w:t>
      </w:r>
      <w:r>
        <w:rPr>
          <w:rFonts w:ascii="Arial" w:cs="Arial" w:eastAsia="Arial" w:hAnsi="Arial"/>
          <w:sz w:val="18"/>
          <w:szCs w:val="18"/>
          <w:color w:val="auto"/>
        </w:rPr>
        <w:t>” means (a) with respect to the ABL Obligations (to the extent such Obligations are secured by the ABL Priority Collateral), the LC Obligations (to the extent such Obligations are secured by the ABL Priority Collateral) and (b) with respect to the LC Obligations (to the extent such Obligations are secured by the LC Priority Collateral), the ABL Obligations (to the extent such Obligations are secured by the LC Priority Collateral).</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Secured Obligations Collateral</w:t>
      </w:r>
      <w:r>
        <w:rPr>
          <w:rFonts w:ascii="Arial" w:cs="Arial" w:eastAsia="Arial" w:hAnsi="Arial"/>
          <w:sz w:val="18"/>
          <w:szCs w:val="18"/>
          <w:color w:val="auto"/>
        </w:rPr>
        <w:t>” means, with respect to any Obligations, the Collateral in respect of which such Obligations constitute Junior Claims.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Junior Secured Obligations Collateral Documents</w:t>
      </w:r>
      <w:r>
        <w:rPr>
          <w:rFonts w:ascii="Arial" w:cs="Arial" w:eastAsia="Arial" w:hAnsi="Arial"/>
          <w:sz w:val="18"/>
          <w:szCs w:val="18"/>
          <w:color w:val="auto"/>
        </w:rPr>
        <w:t>” means (a) with respect to the LC Obligations, the ABL Security Documents and (b) with respect to the ABL Obligations, the LC Security Documents.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Junior Secured Obligations Secured Parties</w:t>
      </w:r>
      <w:r>
        <w:rPr>
          <w:rFonts w:ascii="Arial" w:cs="Arial" w:eastAsia="Arial" w:hAnsi="Arial"/>
          <w:sz w:val="17"/>
          <w:szCs w:val="17"/>
          <w:color w:val="auto"/>
        </w:rPr>
        <w:t>” means (a) with respect to the LC Priority Collateral, the ABL Secured Parties (to the extent that the Obligations owing to such ABL Secured Parties are secured by the LC Priority Collateral) and (b) with respect to the ABL Priority Collateral, the LC Secured Parties (to the extent that the Obligations owing to such LC Secured Parties are secured by the ABL Priority Collateral).</w:t>
      </w:r>
    </w:p>
    <w:p>
      <w:pPr>
        <w:spacing w:after="0" w:line="16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Administrative Agent</w:t>
      </w:r>
      <w:r>
        <w:rPr>
          <w:rFonts w:ascii="Arial" w:cs="Arial" w:eastAsia="Arial" w:hAnsi="Arial"/>
          <w:sz w:val="18"/>
          <w:szCs w:val="18"/>
          <w:color w:val="auto"/>
        </w:rPr>
        <w:t>” means the Administrative Agent under, and as defined in, the LC Credit Agreement together with its successors and co-agents in substantially the same capacity as may from time to time be appointed.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Australian Collateral Agent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Australian Security Trust</w:t>
      </w:r>
      <w:r>
        <w:rPr>
          <w:rFonts w:ascii="Arial" w:cs="Arial" w:eastAsia="Arial" w:hAnsi="Arial"/>
          <w:sz w:val="18"/>
          <w:szCs w:val="18"/>
          <w:color w:val="auto"/>
        </w:rPr>
        <w:t>” means the “Security Trust” under and as defined in the LC Australian Security Trust Deed.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Australian Security Trust Deed</w:t>
      </w:r>
      <w:r>
        <w:rPr>
          <w:rFonts w:ascii="Arial" w:cs="Arial" w:eastAsia="Arial" w:hAnsi="Arial"/>
          <w:sz w:val="18"/>
          <w:szCs w:val="18"/>
          <w:color w:val="auto"/>
        </w:rPr>
        <w:t>” means the Security Trust Deed to be entered into among the Borrowers, the LC Administrative Agent, the LC Lenders and the LC Australian Collateral Agent.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Australian Security Documents</w:t>
      </w:r>
      <w:r>
        <w:rPr>
          <w:rFonts w:ascii="Arial" w:cs="Arial" w:eastAsia="Arial" w:hAnsi="Arial"/>
          <w:sz w:val="18"/>
          <w:szCs w:val="18"/>
          <w:color w:val="auto"/>
        </w:rPr>
        <w:t>” means the LC Australian Security Trust Deed and each other Australian law governed document now existing or entered into after the date hereof that create Liens on any assets or properties of any Grantor to secure any LC Obligations in favor of the LC Australian Collateral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Collateral Agent</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7" w:name="page1018"/>
    <w:bookmarkEnd w:id="1017"/>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LC Credit Agreement</w:t>
      </w:r>
      <w:r>
        <w:rPr>
          <w:rFonts w:ascii="Arial" w:cs="Arial" w:eastAsia="Arial" w:hAnsi="Arial"/>
          <w:sz w:val="16"/>
          <w:szCs w:val="16"/>
          <w:color w:val="auto"/>
        </w:rPr>
        <w:t>” means (a) the Existing LC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Parent not to be included in the definition of “LC Credit Agreement”) and (b) whether or not the facility referred to in clause</w:t>
      </w:r>
    </w:p>
    <w:p>
      <w:pPr>
        <w:spacing w:after="0" w:line="5" w:lineRule="exact"/>
        <w:rPr>
          <w:sz w:val="20"/>
          <w:szCs w:val="20"/>
          <w:color w:val="auto"/>
        </w:rPr>
      </w:pPr>
    </w:p>
    <w:p>
      <w:pPr>
        <w:jc w:val="both"/>
        <w:ind w:firstLine="8"/>
        <w:spacing w:after="0" w:line="270" w:lineRule="auto"/>
        <w:tabs>
          <w:tab w:leader="none" w:pos="250" w:val="left"/>
        </w:tabs>
        <w:numPr>
          <w:ilvl w:val="0"/>
          <w:numId w:val="1102"/>
        </w:numPr>
        <w:rPr>
          <w:rFonts w:ascii="Arial" w:cs="Arial" w:eastAsia="Arial" w:hAnsi="Arial"/>
          <w:sz w:val="17"/>
          <w:szCs w:val="17"/>
          <w:color w:val="auto"/>
        </w:rPr>
      </w:pPr>
      <w:r>
        <w:rPr>
          <w:rFonts w:ascii="Arial" w:cs="Arial" w:eastAsia="Arial" w:hAnsi="Arial"/>
          <w:sz w:val="17"/>
          <w:szCs w:val="17"/>
          <w:color w:val="auto"/>
        </w:rPr>
        <w:t>remains outstanding, if designated by the Parent to be included in the definition of “LC Credit Agreement,” one or more (i) debt facilities or commercial paper facilities, providing for revolving credit loans, term loans, receivables financing (including through the sale of receivables to lenders or to special purpose entities formed to borrow from lenders against such receivables) or letters of credit, (ii) debt securities, indentures or other forms of debt financing (including convertible or exchangeable debt instruments or bank guarantees or bankers’ acceptances) or (iii)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7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Documents</w:t>
      </w:r>
      <w:r>
        <w:rPr>
          <w:rFonts w:ascii="Arial" w:cs="Arial" w:eastAsia="Arial" w:hAnsi="Arial"/>
          <w:sz w:val="18"/>
          <w:szCs w:val="18"/>
          <w:color w:val="auto"/>
        </w:rPr>
        <w:t>” means the LC Credit Agreement, the LC Security Agreement, the LC Mortgages, the LC Australian Security Documents and the other “Loan Documents” as defined in the LC Credit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Facility Guarantee</w:t>
      </w:r>
      <w:r>
        <w:rPr>
          <w:rFonts w:ascii="Arial" w:cs="Arial" w:eastAsia="Arial" w:hAnsi="Arial"/>
          <w:sz w:val="18"/>
          <w:szCs w:val="18"/>
          <w:color w:val="auto"/>
        </w:rPr>
        <w:t>” means any guarantee of the Obligations of the Parent under the LC Credit Agreement by any Person in accordance with the provisions of the LC Credit Agreement.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Facility Guarantor</w:t>
      </w:r>
      <w:r>
        <w:rPr>
          <w:rFonts w:ascii="Arial" w:cs="Arial" w:eastAsia="Arial" w:hAnsi="Arial"/>
          <w:sz w:val="18"/>
          <w:szCs w:val="18"/>
          <w:color w:val="auto"/>
        </w:rPr>
        <w:t xml:space="preserve">” means any Person that incurs a LC Facility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release or discharge of such Person from its LC Facility Guarantee in accordance with the LC Credit Agreement, such Person ceases to be a LC Facility Guarantor.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Facility Secured Parties</w:t>
      </w:r>
      <w:r>
        <w:rPr>
          <w:rFonts w:ascii="Arial" w:cs="Arial" w:eastAsia="Arial" w:hAnsi="Arial"/>
          <w:sz w:val="18"/>
          <w:szCs w:val="18"/>
          <w:color w:val="auto"/>
        </w:rPr>
        <w:t>” means the “Secured Parties” as defined in the LC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Lenders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Mortgages</w:t>
      </w:r>
      <w:r>
        <w:rPr>
          <w:rFonts w:ascii="Arial" w:cs="Arial" w:eastAsia="Arial" w:hAnsi="Arial"/>
          <w:sz w:val="18"/>
          <w:szCs w:val="18"/>
          <w:color w:val="auto"/>
        </w:rPr>
        <w:t>” means all “Mortgages” as defined in the LC Credit Agreement.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LC Obligations</w:t>
      </w:r>
      <w:r>
        <w:rPr>
          <w:rFonts w:ascii="Arial" w:cs="Arial" w:eastAsia="Arial" w:hAnsi="Arial"/>
          <w:sz w:val="17"/>
          <w:szCs w:val="17"/>
          <w:color w:val="auto"/>
        </w:rPr>
        <w:t>” means all “Secured Obligations” (as such term is defined in the LC Credit Agreement) of the LC Borrowers and other obligors under the LC Credit Agreement or any of the other LC Documents, including obligations to pay principal, premiums, if any, and interest, attorneys fees, fees, costs, charges, expenses, Letters of Credit (as defined in the LC Credit Agreement) and commissions, (and, with regard to all such items, including any interest accruing after the commencement of any Insolvency or Liquidation Proceeding, regardless of whether allowed or allowable in such proceeding) when due and payable, and all other amounts due or to become due under or in connection with the LC Documents and the performance of all other Obligations of the obligors thereunder under the LC Documents, according to the respective terms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8" w:name="page1019"/>
    <w:bookmarkEnd w:id="1018"/>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LC Priority Collateral</w:t>
      </w:r>
      <w:r>
        <w:rPr>
          <w:rFonts w:ascii="Arial" w:cs="Arial" w:eastAsia="Arial" w:hAnsi="Arial"/>
          <w:sz w:val="17"/>
          <w:szCs w:val="17"/>
          <w:color w:val="auto"/>
        </w:rPr>
        <w:t>” means all Collateral (other than ABL Priority Collateral) now owned or at any time hereafter acquired (including, for the avoidance of doubt, any such assets that, but for the application of Section 552 of the Bankruptcy Code (or any provision of any other Debtor Relief Law), would constitute LC Priority Collateral) of any Grantor (including, for the avoidance of doubt, (a) all Real Estate Assets of Grantors; (b) all intellectual property; (c) all Capital Stock in each Grantor’s subsidiaries (as defined in the LC Credit Agreement); (d) all proceeds of insurance policies other than business interruption insurance or representations and warranties insurance policies (excluding any such proceeds that relate to ABL Priority Collateral); and (e) all products and proceeds of any and all of the foregoing (other than any such proceeds that are ABL Priority Collateral)).</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Priority Possessory Collateral</w:t>
      </w:r>
      <w:r>
        <w:rPr>
          <w:rFonts w:ascii="Arial" w:cs="Arial" w:eastAsia="Arial" w:hAnsi="Arial"/>
          <w:sz w:val="18"/>
          <w:szCs w:val="18"/>
          <w:color w:val="auto"/>
        </w:rPr>
        <w:t>” means LC Priority Collateral that is Possessory Collateral.</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Secured Parties</w:t>
      </w:r>
      <w:r>
        <w:rPr>
          <w:rFonts w:ascii="Arial" w:cs="Arial" w:eastAsia="Arial" w:hAnsi="Arial"/>
          <w:sz w:val="18"/>
          <w:szCs w:val="18"/>
          <w:color w:val="auto"/>
        </w:rPr>
        <w:t>” means the (a) the LC Collateral Agent (including for avoidance of doubt the LC Australian Collateral Agent), and (b) the LC Facility Secured Parties.</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LC Security Agreement</w:t>
      </w:r>
      <w:r>
        <w:rPr>
          <w:rFonts w:ascii="Arial" w:cs="Arial" w:eastAsia="Arial" w:hAnsi="Arial"/>
          <w:sz w:val="17"/>
          <w:szCs w:val="17"/>
          <w:color w:val="auto"/>
        </w:rPr>
        <w:t>” means the U.S. Security Agreement, dated as of the date hereof, by and among the Parent, LC Borrowers, each other pledgor party thereto and the LC Collateral Agent, as amended, amended and restated, supplemented or modified from time to time.</w:t>
      </w:r>
    </w:p>
    <w:p>
      <w:pPr>
        <w:spacing w:after="0" w:line="14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LC Security Documents</w:t>
      </w:r>
      <w:r>
        <w:rPr>
          <w:rFonts w:ascii="Arial" w:cs="Arial" w:eastAsia="Arial" w:hAnsi="Arial"/>
          <w:sz w:val="16"/>
          <w:szCs w:val="16"/>
          <w:color w:val="auto"/>
        </w:rPr>
        <w:t>” means the LC Security Agreement, the LC Mortgages, the LC Australian Security Documents and any other documents now existing or entered into after the date hereof that create Liens on any assets or properties of any Grantor to secure any LC Obligations.</w:t>
      </w:r>
    </w:p>
    <w:p>
      <w:pPr>
        <w:spacing w:after="0" w:line="12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Lien</w:t>
      </w:r>
      <w:r>
        <w:rPr>
          <w:rFonts w:ascii="Arial" w:cs="Arial" w:eastAsia="Arial" w:hAnsi="Arial"/>
          <w:sz w:val="17"/>
          <w:szCs w:val="17"/>
          <w:color w:val="auto"/>
        </w:rPr>
        <w:t xml:space="preserve">” means any lien, mortgage, deed of trust, pledge, hypothecation, security interest, charge or encumbrance of any kind, including any conditional sale or other title retention agreement or any lease in the nature thereof or a ‘security interest’ (as defined in section 12 (1) and (2) of the </w:t>
      </w:r>
      <w:r>
        <w:rPr>
          <w:rFonts w:ascii="Arial" w:cs="Arial" w:eastAsia="Arial" w:hAnsi="Arial"/>
          <w:sz w:val="17"/>
          <w:szCs w:val="17"/>
          <w:i w:val="1"/>
          <w:iCs w:val="1"/>
          <w:color w:val="auto"/>
        </w:rPr>
        <w:t>Personal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Property Securities Act 2009 (Cth)) </w:t>
      </w:r>
      <w:r>
        <w:rPr>
          <w:rFonts w:ascii="Arial" w:cs="Arial" w:eastAsia="Arial" w:hAnsi="Arial"/>
          <w:sz w:val="17"/>
          <w:szCs w:val="17"/>
          <w:color w:val="auto"/>
        </w:rPr>
        <w:t>(whether voluntary or involuntary and whether imposed or created by operation of law or otherwise).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Luxembourg Obligors</w:t>
      </w:r>
      <w:r>
        <w:rPr>
          <w:rFonts w:ascii="Arial" w:cs="Arial" w:eastAsia="Arial" w:hAnsi="Arial"/>
          <w:sz w:val="18"/>
          <w:szCs w:val="18"/>
          <w:color w:val="auto"/>
        </w:rPr>
        <w:t>” means any Grantor organized under the laws of the Grand Duchy of Luxembourg.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Memorandum</w:t>
      </w:r>
      <w:r>
        <w:rPr>
          <w:rFonts w:ascii="Arial" w:cs="Arial" w:eastAsia="Arial" w:hAnsi="Arial"/>
          <w:sz w:val="18"/>
          <w:szCs w:val="18"/>
          <w:color w:val="auto"/>
        </w:rPr>
        <w:t>” has the meaning set forth in Section 2.02(c).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Mortgages</w:t>
      </w:r>
      <w:r>
        <w:rPr>
          <w:rFonts w:ascii="Arial" w:cs="Arial" w:eastAsia="Arial" w:hAnsi="Arial"/>
          <w:sz w:val="18"/>
          <w:szCs w:val="18"/>
          <w:color w:val="auto"/>
        </w:rPr>
        <w:t>” means the ABL Mortgages and the LC Mortgages.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York UCC</w:t>
      </w:r>
      <w:r>
        <w:rPr>
          <w:rFonts w:ascii="Arial" w:cs="Arial" w:eastAsia="Arial" w:hAnsi="Arial"/>
          <w:sz w:val="18"/>
          <w:szCs w:val="18"/>
          <w:color w:val="auto"/>
        </w:rPr>
        <w:t>” means the Uniform Commercial Code as from time to time in effect in the State of New York.</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 Controlling Party Situation</w:t>
      </w:r>
      <w:r>
        <w:rPr>
          <w:rFonts w:ascii="Arial" w:cs="Arial" w:eastAsia="Arial" w:hAnsi="Arial"/>
          <w:sz w:val="18"/>
          <w:szCs w:val="18"/>
          <w:color w:val="auto"/>
        </w:rPr>
        <w:t>” means any decision relating to Foreign Collateral whereby (a) due to the mixed nature of the Collateral involved, there is no Controlling Party or (b) the instructions from LC Collateral Agent as Controlling Party and ABL Collateral Agent as Controlling Party are in conflict.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means the ABL Obligations and the LC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19" w:name="page1020"/>
    <w:bookmarkEnd w:id="101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Discretion</w:t>
      </w:r>
      <w:r>
        <w:rPr>
          <w:rFonts w:ascii="Arial" w:cs="Arial" w:eastAsia="Arial" w:hAnsi="Arial"/>
          <w:sz w:val="18"/>
          <w:szCs w:val="18"/>
          <w:color w:val="auto"/>
        </w:rPr>
        <w:t>” means a determination made in the exercise of good faith and reasonable credit judgment (from the perspective of a secured lender giving due regard to the nature of both the ABL Priority Collateral and the LC Priority Collateral and the relative proportion of each such collateral type over which such discretion is being exercised).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Remedies</w:t>
      </w:r>
      <w:r>
        <w:rPr>
          <w:rFonts w:ascii="Arial" w:cs="Arial" w:eastAsia="Arial" w:hAnsi="Arial"/>
          <w:sz w:val="18"/>
          <w:szCs w:val="18"/>
          <w:color w:val="auto"/>
        </w:rPr>
        <w:t>” means, with respect to any Junior Secured Obligations:</w:t>
      </w:r>
    </w:p>
    <w:p>
      <w:pPr>
        <w:spacing w:after="0" w:line="225" w:lineRule="exact"/>
        <w:rPr>
          <w:sz w:val="20"/>
          <w:szCs w:val="20"/>
          <w:color w:val="auto"/>
        </w:rPr>
      </w:pPr>
    </w:p>
    <w:p>
      <w:pPr>
        <w:ind w:right="20" w:firstLine="1305"/>
        <w:spacing w:after="0" w:line="277" w:lineRule="auto"/>
        <w:tabs>
          <w:tab w:leader="none" w:pos="2014"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 xml:space="preserve">filing a proof of claim or statement of interest with respect to such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Insolvency or Liquidation Proceeding has been commenced by or against any Grantor;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56"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taking any action (not adverse to the Liens securing Senior Secured Obligations, the priority status thereof, or the rights of the Applicable Senior Collateral Agent or any of the Senior Secured Obligations Secured Parties to exercise rights, powers and/or remedies in respect thereof) in order to create, perfect, preserve or protect (but not enforce) its Lien on any of the Collateral;</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879" w:val="left"/>
        </w:tabs>
        <w:numPr>
          <w:ilvl w:val="0"/>
          <w:numId w:val="1103"/>
        </w:numPr>
        <w:rPr>
          <w:rFonts w:ascii="Arial" w:cs="Arial" w:eastAsia="Arial" w:hAnsi="Arial"/>
          <w:sz w:val="17"/>
          <w:szCs w:val="17"/>
          <w:color w:val="auto"/>
        </w:rPr>
      </w:pPr>
      <w:r>
        <w:rPr>
          <w:rFonts w:ascii="Arial" w:cs="Arial" w:eastAsia="Arial" w:hAnsi="Arial"/>
          <w:sz w:val="17"/>
          <w:szCs w:val="17"/>
          <w:color w:val="auto"/>
        </w:rPr>
        <w:t>filing any necessary responsive or defensive pleadings in opposition to any motion, claim, adversary proceeding or other pleading made by any person objecting to or otherwise seeking the disallowance of the claims of the Junior Secured Obligations Secured Parties, including any claims secured by the Junior Secured Obligations Collateral, in each case in accordance with the terms of this Agreement;</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983"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filing any pleadings, objections, motions or agreements which assert rights or interests available to unsecured creditors of the Grantors arising under either any Insolvency or Liquidation Proceeding or applicable non-bankruptcy law, in each case in accordance with the terms of this Agreement or applicable law (including the bankruptcy laws of any applicable jurisdiction);</w:t>
      </w:r>
    </w:p>
    <w:p>
      <w:pPr>
        <w:spacing w:after="0" w:line="181" w:lineRule="exact"/>
        <w:rPr>
          <w:rFonts w:ascii="Arial" w:cs="Arial" w:eastAsia="Arial" w:hAnsi="Arial"/>
          <w:sz w:val="18"/>
          <w:szCs w:val="18"/>
          <w:color w:val="auto"/>
        </w:rPr>
      </w:pPr>
    </w:p>
    <w:p>
      <w:pPr>
        <w:jc w:val="both"/>
        <w:ind w:firstLine="1305"/>
        <w:spacing w:after="0" w:line="297" w:lineRule="auto"/>
        <w:tabs>
          <w:tab w:leader="none" w:pos="1852" w:val="left"/>
        </w:tabs>
        <w:numPr>
          <w:ilvl w:val="0"/>
          <w:numId w:val="1103"/>
        </w:numPr>
        <w:rPr>
          <w:rFonts w:ascii="Arial" w:cs="Arial" w:eastAsia="Arial" w:hAnsi="Arial"/>
          <w:sz w:val="16"/>
          <w:szCs w:val="16"/>
          <w:color w:val="auto"/>
        </w:rPr>
      </w:pPr>
      <w:r>
        <w:rPr>
          <w:rFonts w:ascii="Arial" w:cs="Arial" w:eastAsia="Arial" w:hAnsi="Arial"/>
          <w:sz w:val="16"/>
          <w:szCs w:val="16"/>
          <w:color w:val="auto"/>
        </w:rPr>
        <w:t>join (but not exercise any control with respect to) any judicial foreclosure proceeding or other judicial lien enforcement proceeding with respect to the Senior Secured Obligations Collateral of the Senior Collateral Agent initiated by such Senior Collateral Agent to the extent that any such action could not reasonably be expected, in any material respect, to restrain, hinder, limit, delay for any material period or otherwise interfere with an enforcement action by such Senior Collateral Agent (it being understood that neither the Junior Collateral Agent nor any Junior Secured Obligations Secured Parties shall be entitled to receive any proceeds from the Senior Secured Obligations Collateral unless otherwise expressly permitted herein);</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1832"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2.04(a)(iii)</w:t>
      </w:r>
      <w:r>
        <w:rPr>
          <w:rFonts w:ascii="Arial" w:cs="Arial" w:eastAsia="Arial" w:hAnsi="Arial"/>
          <w:sz w:val="18"/>
          <w:szCs w:val="18"/>
          <w:color w:val="auto"/>
        </w:rPr>
        <w:t>, inspect, appraise or value the Collateral (and to engage or retain investment bankers or appraisers for the purposes of appraising or valuing the Collateral) or to receive information or reports concerning the Collateral, in each case pursuant to the terms of the ABL Documents or LC Documents, as applicable, or applicable law;</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902"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2.04(a)(iii)</w:t>
      </w:r>
      <w:r>
        <w:rPr>
          <w:rFonts w:ascii="Arial" w:cs="Arial" w:eastAsia="Arial" w:hAnsi="Arial"/>
          <w:sz w:val="18"/>
          <w:szCs w:val="18"/>
          <w:color w:val="auto"/>
        </w:rPr>
        <w:t xml:space="preserve">, take any action to seek and obtain specific performance or injunctive relief to compel a Grantor to comply with (or not to violate or breach) an obligation under the ABL Documents or LC Documents,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does not include any action by a Junior Secured Obligations Secured Party to seek specific performance or injunctive relief against any Senior Secured Obligations Secured Party or the sale or disposition of any such Senior Secured Obligations Secured Party’s Senior Secured Obligations Collateral in contravention of the other provisions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20" w:name="page1021"/>
    <w:bookmarkEnd w:id="1020"/>
    <w:p>
      <w:pPr>
        <w:jc w:val="both"/>
        <w:ind w:firstLine="1305"/>
        <w:spacing w:after="0" w:line="255" w:lineRule="auto"/>
        <w:tabs>
          <w:tab w:leader="none" w:pos="1848" w:val="left"/>
        </w:tabs>
        <w:numPr>
          <w:ilvl w:val="0"/>
          <w:numId w:val="1104"/>
        </w:numPr>
        <w:rPr>
          <w:rFonts w:ascii="Arial" w:cs="Arial" w:eastAsia="Arial" w:hAnsi="Arial"/>
          <w:sz w:val="18"/>
          <w:szCs w:val="18"/>
          <w:color w:val="auto"/>
        </w:rPr>
      </w:pPr>
      <w:r>
        <w:rPr>
          <w:rFonts w:ascii="Arial" w:cs="Arial" w:eastAsia="Arial" w:hAnsi="Arial"/>
          <w:sz w:val="18"/>
          <w:szCs w:val="18"/>
          <w:color w:val="auto"/>
        </w:rPr>
        <w:t xml:space="preserve">make a cash or, if allowed pursuant to applicable law, credit bid for Collateral at any public or private sale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Secured Party does not challenge the bid of any Senior Secured Obligations Secured Party for its Senior Secured Obligations Collateral other than by the submission of a competing bid, (ii) each Senior Secured Obligations Secured Party may, subject to the terms of its Senior Secured Obligations Collateral Documents, offset its Senior Secured Obligations against the purchase price for the Senior Secured Obligations Collateral and (iii) if such sale includes Junior Secured Obligations Collateral and Senior Secured Obligations Collateral, the Junior Secured Obligations Secured Parties may only bid cash with respect to the Senior Secured Obligations Collateral; and</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95" w:val="left"/>
        </w:tabs>
        <w:numPr>
          <w:ilvl w:val="0"/>
          <w:numId w:val="1104"/>
        </w:numPr>
        <w:rPr>
          <w:rFonts w:ascii="Arial" w:cs="Arial" w:eastAsia="Arial" w:hAnsi="Arial"/>
          <w:sz w:val="18"/>
          <w:szCs w:val="18"/>
          <w:color w:val="auto"/>
        </w:rPr>
      </w:pPr>
      <w:r>
        <w:rPr>
          <w:rFonts w:ascii="Arial" w:cs="Arial" w:eastAsia="Arial" w:hAnsi="Arial"/>
          <w:sz w:val="18"/>
          <w:szCs w:val="18"/>
          <w:color w:val="auto"/>
        </w:rPr>
        <w:t>in any Insolvency or Liquidation Proceeding, (i) voting on any Plan of Reorganization, (ii) filing any proof of claim and (iii) making other filings and motions and making any arguments in connection therewith (including in support of or opposition to, as applicable, the confirmation or approval of any Plan of Reorganization) that comply with the terms of this Agreement.</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business trust, joint venture, association, company, partnership, limited liability partnership, limited liability company or government, individual or family trusts or any agency or political subdivision thereof.</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of Reorganization</w:t>
      </w:r>
      <w:r>
        <w:rPr>
          <w:rFonts w:ascii="Arial" w:cs="Arial" w:eastAsia="Arial" w:hAnsi="Arial"/>
          <w:sz w:val="18"/>
          <w:szCs w:val="18"/>
          <w:color w:val="auto"/>
        </w:rPr>
        <w:t>” means any plan of reorganization, scheme of arrangement, plan of arrangement or compromise, proposal, plan of liquidation, agreement for composition or other type of plan, proposal or arrangement proposed in or in connection with any Insolvency or Liquidation Proceeding.</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Possessory Collateral</w:t>
      </w:r>
      <w:r>
        <w:rPr>
          <w:rFonts w:ascii="Arial" w:cs="Arial" w:eastAsia="Arial" w:hAnsi="Arial"/>
          <w:sz w:val="18"/>
          <w:szCs w:val="18"/>
          <w:color w:val="auto"/>
        </w:rPr>
        <w:t>” means the Collateral in the possession or control of any Collateral Agent (or its agents or bailees), to the extent that possession or control thereof (a) perfects a Lien thereon under the Uniform Commercial Code or (b) provides a substantially similar legal effects as “perfection” under the Uniform Commercial Code under other applicable legislation of any jurisdiction. Possessory Collateral includes, without limitation, any Certificated Securities, Promissory Notes, Instruments and Chattel Paper, in each case, delivered to or in the possession of any Collateral Agent under the terms of the ABL Security Documents or the LC Security Documents. All capitalized terms used in this definition and not defined elsewhere in this Agreement have the meanings assigned to them in the New York UCC.</w:t>
      </w:r>
    </w:p>
    <w:p>
      <w:pPr>
        <w:spacing w:after="0" w:line="19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Possessory Collateral Agent</w:t>
      </w:r>
      <w:r>
        <w:rPr>
          <w:rFonts w:ascii="Arial" w:cs="Arial" w:eastAsia="Arial" w:hAnsi="Arial"/>
          <w:sz w:val="18"/>
          <w:szCs w:val="18"/>
          <w:color w:val="auto"/>
        </w:rPr>
        <w:t>” means, with respect to any Possessory Collateral, the Collateral Agent having possession or control (including through its agents or bailees) of same.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Proceeds</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Real Estate Asset</w:t>
      </w:r>
      <w:r>
        <w:rPr>
          <w:rFonts w:ascii="Arial" w:cs="Arial" w:eastAsia="Arial" w:hAnsi="Arial"/>
          <w:sz w:val="18"/>
          <w:szCs w:val="18"/>
          <w:color w:val="auto"/>
        </w:rPr>
        <w:t>” means, at any time of determination, any interest (fee, leasehold or otherwise) then owned by any Grantor in any real property that does not constitute Excluded Assets (as defined in the LC Credit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021" w:name="page1022"/>
    <w:bookmarkEnd w:id="1021"/>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Refinance</w:t>
      </w:r>
      <w:r>
        <w:rPr>
          <w:rFonts w:ascii="Arial" w:cs="Arial" w:eastAsia="Arial" w:hAnsi="Arial"/>
          <w:sz w:val="18"/>
          <w:szCs w:val="18"/>
          <w:color w:val="auto"/>
        </w:rPr>
        <w:t>” means to amend, restate, supplement, waive, replace (whether or not upon termination, and whether with the original parties or otherwise), restructure, repay, refund, refinance or otherwise modify from time to time (including by means of any agreement or indenture extending the maturity thereof, refinancing, replacing or otherwise restructuring all or any portion of the obligations under such agreement or agreements or indentures or any successor or replacement agreement or agreements or indentures or increasing the amount loaned or issued thereunder or altering the maturity thereof). “</w:t>
      </w:r>
      <w:r>
        <w:rPr>
          <w:rFonts w:ascii="Arial" w:cs="Arial" w:eastAsia="Arial" w:hAnsi="Arial"/>
          <w:sz w:val="18"/>
          <w:szCs w:val="18"/>
          <w:b w:val="1"/>
          <w:bCs w:val="1"/>
          <w:i w:val="1"/>
          <w:iCs w:val="1"/>
          <w:color w:val="auto"/>
        </w:rPr>
        <w:t>Refinanced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 xml:space="preserve">” shall have correlative meanings;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that any of the foregoing that increases the principal amount of Senior Claims with respect to any Collateral shall be effective for purposes hereof only if such increase does not contravene the documents pursuant to which any Junior Claims with respect to such Collateral have been incurred, all as in effect on the date hereof or as may be amended in accordance with the terms hereof.</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(a) in the case of any ABL Obligations, the ABL Collateral Agent and (b) in the case of any LC Obligations, the LC Collateral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Secured Parties</w:t>
      </w:r>
      <w:r>
        <w:rPr>
          <w:rFonts w:ascii="Arial" w:cs="Arial" w:eastAsia="Arial" w:hAnsi="Arial"/>
          <w:sz w:val="18"/>
          <w:szCs w:val="18"/>
          <w:color w:val="auto"/>
        </w:rPr>
        <w:t>” means (a) the ABL Secured Parties and (b) the LC Secured Parties.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Claims</w:t>
      </w:r>
      <w:r>
        <w:rPr>
          <w:rFonts w:ascii="Arial" w:cs="Arial" w:eastAsia="Arial" w:hAnsi="Arial"/>
          <w:sz w:val="18"/>
          <w:szCs w:val="18"/>
          <w:color w:val="auto"/>
        </w:rPr>
        <w:t>” means (a) with respect to the ABL Priority Collateral, the ABL Obligations secured by such Collateral and (b) with respect to the LC Priority Collateral, the LC Obligations secured by such Collateral.</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Collateral Agent</w:t>
      </w:r>
      <w:r>
        <w:rPr>
          <w:rFonts w:ascii="Arial" w:cs="Arial" w:eastAsia="Arial" w:hAnsi="Arial"/>
          <w:sz w:val="18"/>
          <w:szCs w:val="18"/>
          <w:color w:val="auto"/>
        </w:rPr>
        <w:t>” means (a) with respect to the LC Priority Collateral, the LC Collateral Agent and (b) with respect to the ABL Priority Collateral, the ABL Collateral Agent.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Representative</w:t>
      </w:r>
      <w:r>
        <w:rPr>
          <w:rFonts w:ascii="Arial" w:cs="Arial" w:eastAsia="Arial" w:hAnsi="Arial"/>
          <w:sz w:val="18"/>
          <w:szCs w:val="18"/>
          <w:color w:val="auto"/>
        </w:rPr>
        <w:t>” means (a) with respect to the LC Priority Collateral, the LC Collateral Agent and (b) with respect to the ABL Priority Collateral, the ABL Collateral Agent.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Secured Obligations</w:t>
      </w:r>
      <w:r>
        <w:rPr>
          <w:rFonts w:ascii="Arial" w:cs="Arial" w:eastAsia="Arial" w:hAnsi="Arial"/>
          <w:sz w:val="18"/>
          <w:szCs w:val="18"/>
          <w:color w:val="auto"/>
        </w:rPr>
        <w:t>” means (a) with respect to the ABL Obligations (to the extent such Obligations are secured by the LC Priority Collateral), the LC Obligations, and (b) with respect to the LC Obligations (to the extent such Obligations are secured by the ABL Priority Collateral), the ABL Obligations; the LC Obligations shall, collectively, constitute one “</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of Senior Secured Obligations and the ABL Obligations shall constitute a separate “</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of Senior Secured Obligations.</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Secured Obligations Collateral</w:t>
      </w:r>
      <w:r>
        <w:rPr>
          <w:rFonts w:ascii="Arial" w:cs="Arial" w:eastAsia="Arial" w:hAnsi="Arial"/>
          <w:sz w:val="18"/>
          <w:szCs w:val="18"/>
          <w:color w:val="auto"/>
        </w:rPr>
        <w:t>” means, with respect to any Obligations, the Collateral in respect of which such Obligations constitute Senior Claims. For the avoidance of doubt, notwithstanding the Foreign Collateral Agent holding any Liens on Foreign Collateral for the benefit of the Secured Parties, subject to Article VI, Foreign Collateral shall not be treated differently from other Collateral when determining whether such Collateral or its proceeds are Senior Secured Obligations Collateral.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22" w:name="page1023"/>
    <w:bookmarkEnd w:id="1022"/>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Secured Obligations Collateral Documents</w:t>
      </w:r>
      <w:r>
        <w:rPr>
          <w:rFonts w:ascii="Arial" w:cs="Arial" w:eastAsia="Arial" w:hAnsi="Arial"/>
          <w:sz w:val="18"/>
          <w:szCs w:val="18"/>
          <w:color w:val="auto"/>
        </w:rPr>
        <w:t>” means (a) with respect to the LC Obligations, the LC Security Documents and (b) with respect to the ABL Obligations, the ABL Security Documents.</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Senior Secured Obligations Secured Parties</w:t>
      </w:r>
      <w:r>
        <w:rPr>
          <w:rFonts w:ascii="Arial" w:cs="Arial" w:eastAsia="Arial" w:hAnsi="Arial"/>
          <w:sz w:val="17"/>
          <w:szCs w:val="17"/>
          <w:color w:val="auto"/>
        </w:rPr>
        <w:t>” means (a) with respect to the LC Priority Collateral, the LC Secured Parties (to the extent that the Obligations owing to such LC Secured Parties are secured by the LC Priority Collateral) and (b) with respect to the ABL Priority Collateral, the ABL Secured Parties (to the extent that the Obligations owing to such ABL Secured Parties are secured by the ABL Priority Collateral).</w:t>
      </w:r>
    </w:p>
    <w:p>
      <w:pPr>
        <w:spacing w:after="0" w:line="16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i w:val="1"/>
          <w:iCs w:val="1"/>
          <w:color w:val="auto"/>
        </w:rPr>
        <w:t>Luxembourg Terms</w:t>
      </w:r>
      <w:r>
        <w:rPr>
          <w:rFonts w:ascii="Arial" w:cs="Arial" w:eastAsia="Arial" w:hAnsi="Arial"/>
          <w:sz w:val="18"/>
          <w:szCs w:val="18"/>
          <w:color w:val="auto"/>
        </w:rPr>
        <w:t>. In this Agreement, in respect of any Luxembourg Obligor or any other entity which is organized under the laws of the Grand-Duchy of Luxembourg or has its “centre of main interests” (as that term is used in Article 3(1) of the European Insolvency Regulation in Luxembourg, a reference to:</w:t>
      </w:r>
    </w:p>
    <w:p>
      <w:pPr>
        <w:spacing w:after="0" w:line="181" w:lineRule="exact"/>
        <w:rPr>
          <w:sz w:val="20"/>
          <w:szCs w:val="20"/>
          <w:color w:val="auto"/>
        </w:rPr>
      </w:pPr>
    </w:p>
    <w:p>
      <w:pPr>
        <w:ind w:left="1980" w:hanging="675"/>
        <w:spacing w:after="0"/>
        <w:tabs>
          <w:tab w:leader="none" w:pos="1980" w:val="left"/>
        </w:tabs>
        <w:numPr>
          <w:ilvl w:val="0"/>
          <w:numId w:val="1105"/>
        </w:numPr>
        <w:rPr>
          <w:rFonts w:ascii="Arial" w:cs="Arial" w:eastAsia="Arial" w:hAnsi="Arial"/>
          <w:sz w:val="17"/>
          <w:szCs w:val="17"/>
          <w:color w:val="auto"/>
        </w:rPr>
      </w:pPr>
      <w:r>
        <w:rPr>
          <w:rFonts w:ascii="Arial" w:cs="Arial" w:eastAsia="Arial" w:hAnsi="Arial"/>
          <w:sz w:val="17"/>
          <w:szCs w:val="17"/>
          <w:color w:val="auto"/>
        </w:rPr>
        <w:t>a “liquidator”, “trustee”, “custodian”, “compulsory manager”, “receiver”, “administrative receiver”, “administrator” or “similar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officer” includes any:</w:t>
      </w:r>
    </w:p>
    <w:p>
      <w:pPr>
        <w:spacing w:after="0" w:line="210" w:lineRule="exact"/>
        <w:rPr>
          <w:rFonts w:ascii="Arial" w:cs="Arial" w:eastAsia="Arial" w:hAnsi="Arial"/>
          <w:sz w:val="17"/>
          <w:szCs w:val="17"/>
          <w:color w:val="auto"/>
        </w:rPr>
      </w:pPr>
    </w:p>
    <w:p>
      <w:pPr>
        <w:ind w:left="2360" w:hanging="537"/>
        <w:spacing w:after="0"/>
        <w:tabs>
          <w:tab w:leader="none" w:pos="2360" w:val="left"/>
        </w:tabs>
        <w:numPr>
          <w:ilvl w:val="1"/>
          <w:numId w:val="1105"/>
        </w:numPr>
        <w:rPr>
          <w:rFonts w:ascii="Arial" w:cs="Arial" w:eastAsia="Arial" w:hAnsi="Arial"/>
          <w:sz w:val="18"/>
          <w:szCs w:val="18"/>
          <w:color w:val="auto"/>
        </w:rPr>
      </w:pPr>
      <w:r>
        <w:rPr>
          <w:rFonts w:ascii="Arial" w:cs="Arial" w:eastAsia="Arial" w:hAnsi="Arial"/>
          <w:sz w:val="18"/>
          <w:szCs w:val="18"/>
          <w:i w:val="1"/>
          <w:iCs w:val="1"/>
          <w:color w:val="auto"/>
        </w:rPr>
        <w:t xml:space="preserve">juge-commissaire </w:t>
      </w:r>
      <w:r>
        <w:rPr>
          <w:rFonts w:ascii="Arial" w:cs="Arial" w:eastAsia="Arial" w:hAnsi="Arial"/>
          <w:sz w:val="18"/>
          <w:szCs w:val="18"/>
          <w:color w:val="auto"/>
        </w:rPr>
        <w:t>or insolvency receiver (</w:t>
      </w:r>
      <w:r>
        <w:rPr>
          <w:rFonts w:ascii="Arial" w:cs="Arial" w:eastAsia="Arial" w:hAnsi="Arial"/>
          <w:sz w:val="18"/>
          <w:szCs w:val="18"/>
          <w:i w:val="1"/>
          <w:iCs w:val="1"/>
          <w:color w:val="auto"/>
        </w:rPr>
        <w:t>curateur</w:t>
      </w:r>
      <w:r>
        <w:rPr>
          <w:rFonts w:ascii="Arial" w:cs="Arial" w:eastAsia="Arial" w:hAnsi="Arial"/>
          <w:sz w:val="18"/>
          <w:szCs w:val="18"/>
          <w:color w:val="auto"/>
        </w:rPr>
        <w:t>) appointed under the Luxembourg Commercial Code;</w:t>
      </w:r>
    </w:p>
    <w:p>
      <w:pPr>
        <w:spacing w:after="0" w:line="225" w:lineRule="exact"/>
        <w:rPr>
          <w:rFonts w:ascii="Arial" w:cs="Arial" w:eastAsia="Arial" w:hAnsi="Arial"/>
          <w:sz w:val="18"/>
          <w:szCs w:val="18"/>
          <w:color w:val="auto"/>
        </w:rPr>
      </w:pPr>
    </w:p>
    <w:p>
      <w:pPr>
        <w:ind w:firstLine="1823"/>
        <w:spacing w:after="0" w:line="277" w:lineRule="auto"/>
        <w:tabs>
          <w:tab w:leader="none" w:pos="2566" w:val="left"/>
        </w:tabs>
        <w:numPr>
          <w:ilvl w:val="1"/>
          <w:numId w:val="1105"/>
        </w:numPr>
        <w:rPr>
          <w:rFonts w:ascii="Arial" w:cs="Arial" w:eastAsia="Arial" w:hAnsi="Arial"/>
          <w:sz w:val="18"/>
          <w:szCs w:val="18"/>
          <w:color w:val="auto"/>
        </w:rPr>
      </w:pPr>
      <w:r>
        <w:rPr>
          <w:rFonts w:ascii="Arial" w:cs="Arial" w:eastAsia="Arial" w:hAnsi="Arial"/>
          <w:sz w:val="18"/>
          <w:szCs w:val="18"/>
          <w:i w:val="1"/>
          <w:iCs w:val="1"/>
          <w:color w:val="auto"/>
        </w:rPr>
        <w:t xml:space="preserve">liquidateur </w:t>
      </w:r>
      <w:r>
        <w:rPr>
          <w:rFonts w:ascii="Arial" w:cs="Arial" w:eastAsia="Arial" w:hAnsi="Arial"/>
          <w:sz w:val="18"/>
          <w:szCs w:val="18"/>
          <w:color w:val="auto"/>
        </w:rPr>
        <w:t>appointed under Articles 1100-1 to 1100-15 (inclusive) of the Luxembourg act dated 10 August 1915 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companies, as amended;</w:t>
      </w:r>
    </w:p>
    <w:p>
      <w:pPr>
        <w:spacing w:after="0" w:line="170" w:lineRule="exact"/>
        <w:rPr>
          <w:rFonts w:ascii="Arial" w:cs="Arial" w:eastAsia="Arial" w:hAnsi="Arial"/>
          <w:sz w:val="18"/>
          <w:szCs w:val="18"/>
          <w:color w:val="auto"/>
        </w:rPr>
      </w:pPr>
    </w:p>
    <w:p>
      <w:pPr>
        <w:ind w:firstLine="1823"/>
        <w:spacing w:after="0" w:line="277" w:lineRule="auto"/>
        <w:tabs>
          <w:tab w:leader="none" w:pos="2598" w:val="left"/>
        </w:tabs>
        <w:numPr>
          <w:ilvl w:val="1"/>
          <w:numId w:val="1105"/>
        </w:numPr>
        <w:rPr>
          <w:rFonts w:ascii="Arial" w:cs="Arial" w:eastAsia="Arial" w:hAnsi="Arial"/>
          <w:sz w:val="18"/>
          <w:szCs w:val="18"/>
          <w:color w:val="auto"/>
        </w:rPr>
      </w:pPr>
      <w:r>
        <w:rPr>
          <w:rFonts w:ascii="Arial" w:cs="Arial" w:eastAsia="Arial" w:hAnsi="Arial"/>
          <w:sz w:val="18"/>
          <w:szCs w:val="18"/>
          <w:i w:val="1"/>
          <w:iCs w:val="1"/>
          <w:color w:val="auto"/>
        </w:rPr>
        <w:t xml:space="preserve">juge-commissaire </w:t>
      </w:r>
      <w:r>
        <w:rPr>
          <w:rFonts w:ascii="Arial" w:cs="Arial" w:eastAsia="Arial" w:hAnsi="Arial"/>
          <w:sz w:val="18"/>
          <w:szCs w:val="18"/>
          <w:color w:val="auto"/>
        </w:rPr>
        <w:t>or</w:t>
      </w:r>
      <w:r>
        <w:rPr>
          <w:rFonts w:ascii="Arial" w:cs="Arial" w:eastAsia="Arial" w:hAnsi="Arial"/>
          <w:sz w:val="18"/>
          <w:szCs w:val="18"/>
          <w:i w:val="1"/>
          <w:iCs w:val="1"/>
          <w:color w:val="auto"/>
        </w:rPr>
        <w:t xml:space="preserve"> liquidateur </w:t>
      </w:r>
      <w:r>
        <w:rPr>
          <w:rFonts w:ascii="Arial" w:cs="Arial" w:eastAsia="Arial" w:hAnsi="Arial"/>
          <w:sz w:val="18"/>
          <w:szCs w:val="18"/>
          <w:color w:val="auto"/>
        </w:rPr>
        <w:t>appointed under Article 1200-1 of the Luxembourg act dated 10 August 1915 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companies, as amended;</w:t>
      </w:r>
    </w:p>
    <w:p>
      <w:pPr>
        <w:spacing w:after="0" w:line="170" w:lineRule="exact"/>
        <w:rPr>
          <w:rFonts w:ascii="Arial" w:cs="Arial" w:eastAsia="Arial" w:hAnsi="Arial"/>
          <w:sz w:val="18"/>
          <w:szCs w:val="18"/>
          <w:color w:val="auto"/>
        </w:rPr>
      </w:pPr>
    </w:p>
    <w:p>
      <w:pPr>
        <w:ind w:firstLine="1823"/>
        <w:spacing w:after="0" w:line="277" w:lineRule="auto"/>
        <w:tabs>
          <w:tab w:leader="none" w:pos="2435" w:val="left"/>
        </w:tabs>
        <w:numPr>
          <w:ilvl w:val="1"/>
          <w:numId w:val="1105"/>
        </w:numPr>
        <w:rPr>
          <w:rFonts w:ascii="Arial" w:cs="Arial" w:eastAsia="Arial" w:hAnsi="Arial"/>
          <w:sz w:val="18"/>
          <w:szCs w:val="18"/>
          <w:color w:val="auto"/>
        </w:rPr>
      </w:pPr>
      <w:r>
        <w:rPr>
          <w:rFonts w:ascii="Arial" w:cs="Arial" w:eastAsia="Arial" w:hAnsi="Arial"/>
          <w:sz w:val="18"/>
          <w:szCs w:val="18"/>
          <w:i w:val="1"/>
          <w:iCs w:val="1"/>
          <w:color w:val="auto"/>
        </w:rPr>
        <w:t xml:space="preserve">commissaire </w:t>
      </w:r>
      <w:r>
        <w:rPr>
          <w:rFonts w:ascii="Arial" w:cs="Arial" w:eastAsia="Arial" w:hAnsi="Arial"/>
          <w:sz w:val="18"/>
          <w:szCs w:val="18"/>
          <w:color w:val="auto"/>
        </w:rPr>
        <w:t>appointed under the Grand-Ducal decree of 24 May 1935 on the controlled management regime 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593 to 614 (inclusive) of the Luxembourg Commercial Code; and</w:t>
      </w:r>
    </w:p>
    <w:p>
      <w:pPr>
        <w:spacing w:after="0" w:line="170" w:lineRule="exact"/>
        <w:rPr>
          <w:rFonts w:ascii="Arial" w:cs="Arial" w:eastAsia="Arial" w:hAnsi="Arial"/>
          <w:sz w:val="18"/>
          <w:szCs w:val="18"/>
          <w:color w:val="auto"/>
        </w:rPr>
      </w:pPr>
    </w:p>
    <w:p>
      <w:pPr>
        <w:ind w:left="2300" w:hanging="477"/>
        <w:spacing w:after="0"/>
        <w:tabs>
          <w:tab w:leader="none" w:pos="2300" w:val="left"/>
        </w:tabs>
        <w:numPr>
          <w:ilvl w:val="1"/>
          <w:numId w:val="1105"/>
        </w:numPr>
        <w:rPr>
          <w:rFonts w:ascii="Arial" w:cs="Arial" w:eastAsia="Arial" w:hAnsi="Arial"/>
          <w:sz w:val="16"/>
          <w:szCs w:val="16"/>
          <w:color w:val="auto"/>
        </w:rPr>
      </w:pPr>
      <w:r>
        <w:rPr>
          <w:rFonts w:ascii="Arial" w:cs="Arial" w:eastAsia="Arial" w:hAnsi="Arial"/>
          <w:sz w:val="16"/>
          <w:szCs w:val="16"/>
          <w:i w:val="1"/>
          <w:iCs w:val="1"/>
          <w:color w:val="auto"/>
        </w:rPr>
        <w:t xml:space="preserve">juge délégué </w:t>
      </w:r>
      <w:r>
        <w:rPr>
          <w:rFonts w:ascii="Arial" w:cs="Arial" w:eastAsia="Arial" w:hAnsi="Arial"/>
          <w:sz w:val="16"/>
          <w:szCs w:val="16"/>
          <w:color w:val="auto"/>
        </w:rPr>
        <w:t>appointed under the Luxembourg act of 14 April 1886 on the composition to avoid bankruptcy, as amended; and</w:t>
      </w:r>
    </w:p>
    <w:p>
      <w:pPr>
        <w:spacing w:after="0" w:line="248" w:lineRule="exact"/>
        <w:rPr>
          <w:rFonts w:ascii="Arial" w:cs="Arial" w:eastAsia="Arial" w:hAnsi="Arial"/>
          <w:sz w:val="16"/>
          <w:szCs w:val="16"/>
          <w:color w:val="auto"/>
        </w:rPr>
      </w:pPr>
    </w:p>
    <w:p>
      <w:pPr>
        <w:jc w:val="both"/>
        <w:ind w:firstLine="1305"/>
        <w:spacing w:after="0" w:line="264" w:lineRule="auto"/>
        <w:tabs>
          <w:tab w:leader="none" w:pos="1997" w:val="left"/>
        </w:tabs>
        <w:numPr>
          <w:ilvl w:val="0"/>
          <w:numId w:val="110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winding-up</w:t>
      </w:r>
      <w:r>
        <w:rPr>
          <w:rFonts w:ascii="Arial" w:cs="Arial" w:eastAsia="Arial" w:hAnsi="Arial"/>
          <w:sz w:val="18"/>
          <w:szCs w:val="18"/>
          <w:color w:val="auto"/>
        </w:rPr>
        <w:t>”, “</w:t>
      </w:r>
      <w:r>
        <w:rPr>
          <w:rFonts w:ascii="Arial" w:cs="Arial" w:eastAsia="Arial" w:hAnsi="Arial"/>
          <w:sz w:val="18"/>
          <w:szCs w:val="18"/>
          <w:i w:val="1"/>
          <w:iCs w:val="1"/>
          <w:color w:val="auto"/>
        </w:rPr>
        <w:t>administration</w:t>
      </w:r>
      <w:r>
        <w:rPr>
          <w:rFonts w:ascii="Arial" w:cs="Arial" w:eastAsia="Arial" w:hAnsi="Arial"/>
          <w:sz w:val="18"/>
          <w:szCs w:val="18"/>
          <w:color w:val="auto"/>
        </w:rPr>
        <w:t>”, “</w:t>
      </w:r>
      <w:r>
        <w:rPr>
          <w:rFonts w:ascii="Arial" w:cs="Arial" w:eastAsia="Arial" w:hAnsi="Arial"/>
          <w:sz w:val="18"/>
          <w:szCs w:val="18"/>
          <w:i w:val="1"/>
          <w:iCs w:val="1"/>
          <w:color w:val="auto"/>
        </w:rPr>
        <w:t>liquidation</w:t>
      </w:r>
      <w:r>
        <w:rPr>
          <w:rFonts w:ascii="Arial" w:cs="Arial" w:eastAsia="Arial" w:hAnsi="Arial"/>
          <w:sz w:val="18"/>
          <w:szCs w:val="18"/>
          <w:color w:val="auto"/>
        </w:rPr>
        <w:t>” or “</w:t>
      </w:r>
      <w:r>
        <w:rPr>
          <w:rFonts w:ascii="Arial" w:cs="Arial" w:eastAsia="Arial" w:hAnsi="Arial"/>
          <w:sz w:val="18"/>
          <w:szCs w:val="18"/>
          <w:i w:val="1"/>
          <w:iCs w:val="1"/>
          <w:color w:val="auto"/>
        </w:rPr>
        <w:t>dissolution</w:t>
      </w:r>
      <w:r>
        <w:rPr>
          <w:rFonts w:ascii="Arial" w:cs="Arial" w:eastAsia="Arial" w:hAnsi="Arial"/>
          <w:sz w:val="18"/>
          <w:szCs w:val="18"/>
          <w:color w:val="auto"/>
        </w:rPr>
        <w:t>”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liquidation,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moratorium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and controlled management (</w:t>
      </w:r>
      <w:r>
        <w:rPr>
          <w:rFonts w:ascii="Arial" w:cs="Arial" w:eastAsia="Arial" w:hAnsi="Arial"/>
          <w:sz w:val="18"/>
          <w:szCs w:val="18"/>
          <w:i w:val="1"/>
          <w:iCs w:val="1"/>
          <w:color w:val="auto"/>
        </w:rPr>
        <w:t>gestion</w:t>
      </w:r>
      <w:r>
        <w:rPr>
          <w:rFonts w:ascii="Arial" w:cs="Arial" w:eastAsia="Arial" w:hAnsi="Arial"/>
          <w:sz w:val="18"/>
          <w:szCs w:val="18"/>
          <w:color w:val="auto"/>
        </w:rPr>
        <w:t xml:space="preserve"> </w:t>
      </w:r>
      <w:r>
        <w:rPr>
          <w:rFonts w:ascii="Arial" w:cs="Arial" w:eastAsia="Arial" w:hAnsi="Arial"/>
          <w:sz w:val="18"/>
          <w:szCs w:val="18"/>
          <w:i w:val="1"/>
          <w:iCs w:val="1"/>
          <w:color w:val="auto"/>
        </w:rPr>
        <w:t>contrôlée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3" w:name="page1024"/>
    <w:bookmarkEnd w:id="1023"/>
    <w:p>
      <w:pPr>
        <w:ind w:left="1820" w:hanging="515"/>
        <w:spacing w:after="0"/>
        <w:tabs>
          <w:tab w:leader="none" w:pos="1820" w:val="left"/>
        </w:tabs>
        <w:numPr>
          <w:ilvl w:val="0"/>
          <w:numId w:val="1106"/>
        </w:numPr>
        <w:rPr>
          <w:rFonts w:ascii="Arial" w:cs="Arial" w:eastAsia="Arial" w:hAnsi="Arial"/>
          <w:sz w:val="18"/>
          <w:szCs w:val="18"/>
          <w:color w:val="auto"/>
        </w:rPr>
      </w:pPr>
      <w:r>
        <w:rPr>
          <w:rFonts w:ascii="Arial" w:cs="Arial" w:eastAsia="Arial" w:hAnsi="Arial"/>
          <w:sz w:val="18"/>
          <w:szCs w:val="18"/>
          <w:color w:val="auto"/>
        </w:rPr>
        <w:t>an officer, a manager or a director includes a manager (</w:t>
      </w:r>
      <w:r>
        <w:rPr>
          <w:rFonts w:ascii="Arial" w:cs="Arial" w:eastAsia="Arial" w:hAnsi="Arial"/>
          <w:sz w:val="18"/>
          <w:szCs w:val="18"/>
          <w:i w:val="1"/>
          <w:iCs w:val="1"/>
          <w:color w:val="auto"/>
        </w:rPr>
        <w:t>gérant</w:t>
      </w:r>
      <w:r>
        <w:rPr>
          <w:rFonts w:ascii="Arial" w:cs="Arial" w:eastAsia="Arial" w:hAnsi="Arial"/>
          <w:sz w:val="18"/>
          <w:szCs w:val="18"/>
          <w:color w:val="auto"/>
        </w:rPr>
        <w:t>) and a director (</w:t>
      </w:r>
      <w:r>
        <w:rPr>
          <w:rFonts w:ascii="Arial" w:cs="Arial" w:eastAsia="Arial" w:hAnsi="Arial"/>
          <w:sz w:val="18"/>
          <w:szCs w:val="18"/>
          <w:i w:val="1"/>
          <w:iCs w:val="1"/>
          <w:color w:val="auto"/>
        </w:rPr>
        <w:t>administrateur</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b w:val="1"/>
          <w:bCs w:val="1"/>
          <w:i w:val="1"/>
          <w:iCs w:val="1"/>
          <w:color w:val="auto"/>
        </w:rPr>
        <w:t>Designation of Swap and Banking Obligations</w:t>
      </w:r>
      <w:r>
        <w:rPr>
          <w:rFonts w:ascii="Arial" w:cs="Arial" w:eastAsia="Arial" w:hAnsi="Arial"/>
          <w:sz w:val="17"/>
          <w:szCs w:val="17"/>
          <w:color w:val="auto"/>
        </w:rPr>
        <w:t>. With respect to any Bank Product Obligations that would otherwise constitute both ABL Obligations and LC Obligations hereunder, such Bank Product Obligations shall solely constitute ABL Obligations for all purposes of this Agreement unless at the time that Parent or any Subsidiary thereof enters into any agreement giving rise to Bank Product Obligations, or at any time thereafter, the counterparty to such agreement and Parent or such Subsidiary (as applicable) shall designate the related Bank Product Obligations under such agreement as LC Obligations in a writing signed between such parties with a copy to each Representative party hereto, in which case such Bank Product Obligations shall solely constitute LC Obligations for all purposes of this Agreement.</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Priorities and Agreements with Respect to Collateral</w:t>
      </w:r>
    </w:p>
    <w:p>
      <w:pPr>
        <w:spacing w:after="0" w:line="22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b w:val="1"/>
          <w:bCs w:val="1"/>
          <w:i w:val="1"/>
          <w:iCs w:val="1"/>
          <w:color w:val="auto"/>
        </w:rPr>
        <w:t>Priority of Claims</w:t>
      </w:r>
      <w:r>
        <w:rPr>
          <w:rFonts w:ascii="Arial" w:cs="Arial" w:eastAsia="Arial" w:hAnsi="Arial"/>
          <w:sz w:val="16"/>
          <w:szCs w:val="16"/>
          <w:color w:val="auto"/>
        </w:rPr>
        <w:t>. (a) Anything contained herein or in any of the ABL Documents or the LC Documents to 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w:t>
      </w:r>
    </w:p>
    <w:p>
      <w:pPr>
        <w:jc w:val="both"/>
        <w:spacing w:after="0" w:line="255" w:lineRule="auto"/>
        <w:rPr>
          <w:sz w:val="20"/>
          <w:szCs w:val="20"/>
          <w:color w:val="auto"/>
        </w:rPr>
      </w:pPr>
      <w:r>
        <w:rPr>
          <w:rFonts w:ascii="Arial" w:cs="Arial" w:eastAsia="Arial" w:hAnsi="Arial"/>
          <w:sz w:val="18"/>
          <w:szCs w:val="18"/>
          <w:color w:val="auto"/>
        </w:rPr>
        <w:t>Proceeding with respect to any Grantor, the Proceeds (subject, in the case of any such distribution, to Section 2.6 hereof) (all proceeds of any sale, collection or other liquidation of any Collateral and all proceeds of any such distribution, including adequate protection or similar payments under any Debtor Relief Law, being collectively referred to as “</w:t>
      </w:r>
      <w:r>
        <w:rPr>
          <w:rFonts w:ascii="Arial" w:cs="Arial" w:eastAsia="Arial" w:hAnsi="Arial"/>
          <w:sz w:val="18"/>
          <w:szCs w:val="18"/>
          <w:b w:val="1"/>
          <w:bCs w:val="1"/>
          <w:i w:val="1"/>
          <w:iCs w:val="1"/>
          <w:color w:val="auto"/>
        </w:rPr>
        <w:t>Proceeds</w:t>
      </w:r>
      <w:r>
        <w:rPr>
          <w:rFonts w:ascii="Arial" w:cs="Arial" w:eastAsia="Arial" w:hAnsi="Arial"/>
          <w:sz w:val="18"/>
          <w:szCs w:val="18"/>
          <w:color w:val="auto"/>
        </w:rPr>
        <w:t>”) shall be applied as follows:</w:t>
      </w:r>
    </w:p>
    <w:p>
      <w:pPr>
        <w:spacing w:after="0" w:line="190" w:lineRule="exact"/>
        <w:rPr>
          <w:sz w:val="20"/>
          <w:szCs w:val="20"/>
          <w:color w:val="auto"/>
        </w:rPr>
      </w:pPr>
    </w:p>
    <w:p>
      <w:pPr>
        <w:ind w:left="2680" w:hanging="646"/>
        <w:spacing w:after="0"/>
        <w:tabs>
          <w:tab w:leader="none" w:pos="2680" w:val="left"/>
        </w:tabs>
        <w:numPr>
          <w:ilvl w:val="0"/>
          <w:numId w:val="1107"/>
        </w:numPr>
        <w:rPr>
          <w:rFonts w:ascii="Arial" w:cs="Arial" w:eastAsia="Arial" w:hAnsi="Arial"/>
          <w:sz w:val="18"/>
          <w:szCs w:val="18"/>
          <w:color w:val="auto"/>
        </w:rPr>
      </w:pPr>
      <w:r>
        <w:rPr>
          <w:rFonts w:ascii="Arial" w:cs="Arial" w:eastAsia="Arial" w:hAnsi="Arial"/>
          <w:sz w:val="18"/>
          <w:szCs w:val="18"/>
          <w:color w:val="auto"/>
        </w:rPr>
        <w:t>In the case of LC Priority Collateral,</w:t>
      </w:r>
    </w:p>
    <w:p>
      <w:pPr>
        <w:spacing w:after="0" w:line="225" w:lineRule="exact"/>
        <w:rPr>
          <w:rFonts w:ascii="Arial" w:cs="Arial" w:eastAsia="Arial" w:hAnsi="Arial"/>
          <w:sz w:val="18"/>
          <w:szCs w:val="18"/>
          <w:color w:val="auto"/>
        </w:rPr>
      </w:pPr>
    </w:p>
    <w:p>
      <w:pPr>
        <w:ind w:left="2700"/>
        <w:spacing w:after="0" w:line="277" w:lineRule="auto"/>
        <w:rPr>
          <w:rFonts w:ascii="Arial" w:cs="Arial" w:eastAsia="Arial" w:hAnsi="Arial"/>
          <w:sz w:val="18"/>
          <w:szCs w:val="18"/>
          <w:color w:val="auto"/>
        </w:rPr>
      </w:pPr>
      <w:r>
        <w:rPr>
          <w:rFonts w:ascii="Arial" w:cs="Arial" w:eastAsia="Arial" w:hAnsi="Arial"/>
          <w:sz w:val="18"/>
          <w:szCs w:val="18"/>
          <w:color w:val="auto"/>
        </w:rPr>
        <w:t>FIRST, to the payment in full of the LC Obligations in accordance with Section 9.04 of the LC Credit Agreement and the other applicable provisions of the LC Documents, and</w:t>
      </w:r>
    </w:p>
    <w:p>
      <w:pPr>
        <w:spacing w:after="0" w:line="170" w:lineRule="exact"/>
        <w:rPr>
          <w:rFonts w:ascii="Arial" w:cs="Arial" w:eastAsia="Arial" w:hAnsi="Arial"/>
          <w:sz w:val="18"/>
          <w:szCs w:val="18"/>
          <w:color w:val="auto"/>
        </w:rPr>
      </w:pPr>
    </w:p>
    <w:p>
      <w:pPr>
        <w:ind w:left="2700"/>
        <w:spacing w:after="0" w:line="277" w:lineRule="auto"/>
        <w:rPr>
          <w:rFonts w:ascii="Arial" w:cs="Arial" w:eastAsia="Arial" w:hAnsi="Arial"/>
          <w:sz w:val="18"/>
          <w:szCs w:val="18"/>
          <w:color w:val="auto"/>
        </w:rPr>
      </w:pPr>
      <w:r>
        <w:rPr>
          <w:rFonts w:ascii="Arial" w:cs="Arial" w:eastAsia="Arial" w:hAnsi="Arial"/>
          <w:sz w:val="18"/>
          <w:szCs w:val="18"/>
          <w:color w:val="auto"/>
        </w:rPr>
        <w:t>SECOND, to the payment in full of the ABL Obligations in accordance with Section 2.4(b) of the ABL Credit Agreement and the other applicable provisions of the ABL Documents.</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any ABL Obligations remain outstanding after the Discharge of the LC Obligations, all proceeds of the LC Priority Collateral will be applied to the repayment of any outstanding ABL Obligations.</w:t>
      </w:r>
    </w:p>
    <w:p>
      <w:pPr>
        <w:spacing w:after="0" w:line="170" w:lineRule="exact"/>
        <w:rPr>
          <w:sz w:val="20"/>
          <w:szCs w:val="20"/>
          <w:color w:val="auto"/>
        </w:rPr>
      </w:pPr>
    </w:p>
    <w:p>
      <w:pPr>
        <w:ind w:left="2680" w:hanging="646"/>
        <w:spacing w:after="0"/>
        <w:tabs>
          <w:tab w:leader="none" w:pos="2680"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In the case of ABL Priority Collateral,</w:t>
      </w:r>
    </w:p>
    <w:p>
      <w:pPr>
        <w:spacing w:after="0" w:line="225" w:lineRule="exact"/>
        <w:rPr>
          <w:rFonts w:ascii="Arial" w:cs="Arial" w:eastAsia="Arial" w:hAnsi="Arial"/>
          <w:sz w:val="18"/>
          <w:szCs w:val="18"/>
          <w:color w:val="auto"/>
        </w:rPr>
      </w:pPr>
    </w:p>
    <w:p>
      <w:pPr>
        <w:ind w:left="2700"/>
        <w:spacing w:after="0" w:line="277" w:lineRule="auto"/>
        <w:rPr>
          <w:rFonts w:ascii="Arial" w:cs="Arial" w:eastAsia="Arial" w:hAnsi="Arial"/>
          <w:sz w:val="18"/>
          <w:szCs w:val="18"/>
          <w:color w:val="auto"/>
        </w:rPr>
      </w:pPr>
      <w:r>
        <w:rPr>
          <w:rFonts w:ascii="Arial" w:cs="Arial" w:eastAsia="Arial" w:hAnsi="Arial"/>
          <w:sz w:val="18"/>
          <w:szCs w:val="18"/>
          <w:color w:val="auto"/>
        </w:rPr>
        <w:t>FIRST, to the payment in full of the ABL Obligations in accordance with Section 2.4(b) of the ABL Credit Agreement and the other applicable provisions of the ABL Documents, and</w:t>
      </w:r>
    </w:p>
    <w:p>
      <w:pPr>
        <w:spacing w:after="0" w:line="170" w:lineRule="exact"/>
        <w:rPr>
          <w:rFonts w:ascii="Arial" w:cs="Arial" w:eastAsia="Arial" w:hAnsi="Arial"/>
          <w:sz w:val="18"/>
          <w:szCs w:val="18"/>
          <w:color w:val="auto"/>
        </w:rPr>
      </w:pPr>
    </w:p>
    <w:p>
      <w:pPr>
        <w:ind w:left="2700"/>
        <w:spacing w:after="0" w:line="277" w:lineRule="auto"/>
        <w:rPr>
          <w:rFonts w:ascii="Arial" w:cs="Arial" w:eastAsia="Arial" w:hAnsi="Arial"/>
          <w:sz w:val="18"/>
          <w:szCs w:val="18"/>
          <w:color w:val="auto"/>
        </w:rPr>
      </w:pPr>
      <w:r>
        <w:rPr>
          <w:rFonts w:ascii="Arial" w:cs="Arial" w:eastAsia="Arial" w:hAnsi="Arial"/>
          <w:sz w:val="18"/>
          <w:szCs w:val="18"/>
          <w:color w:val="auto"/>
        </w:rPr>
        <w:t>SECOND, to the payment in full of the LC Obligations in accordance with Section 9.04 of the LC Credit Agreement and the other applicable provisions of the LC Documents.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4" w:name="page1025"/>
    <w:bookmarkEnd w:id="1024"/>
    <w:p>
      <w:pPr>
        <w:ind w:firstLine="1297"/>
        <w:spacing w:after="0" w:line="277" w:lineRule="auto"/>
        <w:rPr>
          <w:sz w:val="20"/>
          <w:szCs w:val="20"/>
          <w:color w:val="auto"/>
        </w:rPr>
      </w:pPr>
      <w:r>
        <w:rPr>
          <w:rFonts w:ascii="Arial" w:cs="Arial" w:eastAsia="Arial" w:hAnsi="Arial"/>
          <w:sz w:val="18"/>
          <w:szCs w:val="18"/>
          <w:color w:val="auto"/>
        </w:rPr>
        <w:t>If any LC Obligations remain outstanding after the Discharge of the ABL Obligations, all proceeds of the ABL Priority Collateral will be applied to the repayment of any outstanding LC Obligations.</w:t>
      </w:r>
    </w:p>
    <w:p>
      <w:pPr>
        <w:spacing w:after="0" w:line="170" w:lineRule="exact"/>
        <w:rPr>
          <w:sz w:val="20"/>
          <w:szCs w:val="20"/>
          <w:color w:val="auto"/>
        </w:rPr>
      </w:pPr>
    </w:p>
    <w:p>
      <w:pPr>
        <w:jc w:val="both"/>
        <w:ind w:firstLine="1305"/>
        <w:spacing w:after="0" w:line="271" w:lineRule="auto"/>
        <w:tabs>
          <w:tab w:leader="none" w:pos="1889" w:val="left"/>
        </w:tabs>
        <w:numPr>
          <w:ilvl w:val="0"/>
          <w:numId w:val="1109"/>
        </w:numPr>
        <w:rPr>
          <w:rFonts w:ascii="Arial" w:cs="Arial" w:eastAsia="Arial" w:hAnsi="Arial"/>
          <w:sz w:val="17"/>
          <w:szCs w:val="17"/>
          <w:color w:val="auto"/>
        </w:rPr>
      </w:pPr>
      <w:r>
        <w:rPr>
          <w:rFonts w:ascii="Arial" w:cs="Arial" w:eastAsia="Arial" w:hAnsi="Arial"/>
          <w:sz w:val="17"/>
          <w:szCs w:val="17"/>
          <w:color w:val="auto"/>
        </w:rPr>
        <w:t>It is acknowledged that (i) the aggregate amount of any Senior Secured Obligations may, subject to the limitations set forth in the ABL Credit Agreement and the LC Credit Agreement, both as in effect on the date hereof, may be Refinanced from time to time, all without affecting the priorities set forth in Section 2.01(a) or the provisions of this Agreement defining the relative rights of the ABL Secured Parties and the LC Secured Parties and (ii) the Senior Secured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Secured Obligations (or any part thereof) or the Senior Secured Obligations (or any part thereof), by the release of any Collateral or of any guarantees for any Junior Secured Obligations or Senior Secured Obligations or by any action that any Representative or Secured Party may take or fail to take in respect of any Collateral.</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1811" w:val="left"/>
        </w:tabs>
        <w:numPr>
          <w:ilvl w:val="0"/>
          <w:numId w:val="1109"/>
        </w:numPr>
        <w:rPr>
          <w:rFonts w:ascii="Arial" w:cs="Arial" w:eastAsia="Arial" w:hAnsi="Arial"/>
          <w:sz w:val="17"/>
          <w:szCs w:val="17"/>
          <w:color w:val="auto"/>
        </w:rPr>
      </w:pPr>
      <w:r>
        <w:rPr>
          <w:rFonts w:ascii="Arial" w:cs="Arial" w:eastAsia="Arial" w:hAnsi="Arial"/>
          <w:sz w:val="17"/>
          <w:szCs w:val="17"/>
          <w:color w:val="auto"/>
        </w:rPr>
        <w:t>Notwithstanding the date, time, method, manner or order of grant, attachment or perfection of any Liens securing the LC Obligations granted on the Collateral or of any Liens securing the ABL Obligations granted on the Collateral and notwithstanding any provision of the Uniform Commercial Code or other applicable legislation of any jurisdiction, or any other applicable law or the ABL Documents or the LC Documents, or any defect or deficiencies in or failure to perfect any such Liens or any other circumstance whatsoever (1) the Liens on the LC Priority Collateral securing the LC Obligations will rank senior to any Liens on the LC Priority Collateral securing the ABL Obligations and (2) the Liens on the ABL Priority Collateral securing the ABL Obligations will rank senior to any Liens on the ABL Priority Collateral securing the LC Obligations.</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1970" w:val="left"/>
        </w:tabs>
        <w:numPr>
          <w:ilvl w:val="0"/>
          <w:numId w:val="1109"/>
        </w:numPr>
        <w:rPr>
          <w:rFonts w:ascii="Arial" w:cs="Arial" w:eastAsia="Arial" w:hAnsi="Arial"/>
          <w:sz w:val="17"/>
          <w:szCs w:val="17"/>
          <w:color w:val="auto"/>
        </w:rPr>
      </w:pPr>
      <w:r>
        <w:rPr>
          <w:rFonts w:ascii="Arial" w:cs="Arial" w:eastAsia="Arial" w:hAnsi="Arial"/>
          <w:sz w:val="17"/>
          <w:szCs w:val="17"/>
          <w:color w:val="auto"/>
        </w:rPr>
        <w:t>For the avoidance of doubt, notwithstanding that Liens granted to the Foreign Collateral Agent, LC Collateral Agent, or ABL Collateral Agent on the Collateral governed by the laws of a jurisdiction located outside of the United States of America (the “</w:t>
      </w:r>
      <w:r>
        <w:rPr>
          <w:rFonts w:ascii="Arial" w:cs="Arial" w:eastAsia="Arial" w:hAnsi="Arial"/>
          <w:sz w:val="17"/>
          <w:szCs w:val="17"/>
          <w:u w:val="single" w:color="auto"/>
          <w:color w:val="auto"/>
        </w:rPr>
        <w:t>Foreign Collateral</w:t>
      </w:r>
      <w:r>
        <w:rPr>
          <w:rFonts w:ascii="Arial" w:cs="Arial" w:eastAsia="Arial" w:hAnsi="Arial"/>
          <w:sz w:val="17"/>
          <w:szCs w:val="17"/>
          <w:color w:val="auto"/>
        </w:rPr>
        <w:t xml:space="preserve">”) may (A) have legally the same or different ranking due to mandatory legal provisions governing such Foreign Collateral; (B) have been granted or perfected in an order contrary to the contemplated ranking as set forth in this Agreement or (C) not have been granted to ABL Collateral Agent or LC Collateral Agent, the contractual ranking of the Liens on such Foreign Collateral shall be consistent with the ranking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Article VI</w:t>
      </w:r>
      <w:r>
        <w:rPr>
          <w:rFonts w:ascii="Arial" w:cs="Arial" w:eastAsia="Arial" w:hAnsi="Arial"/>
          <w:sz w:val="17"/>
          <w:szCs w:val="17"/>
          <w:color w:val="auto"/>
        </w:rPr>
        <w:t>, all other terms and provisions of this Agreement with respect to Collateral shall be applicable to such Foreign Collateral.</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b w:val="1"/>
          <w:bCs w:val="1"/>
          <w:i w:val="1"/>
          <w:iCs w:val="1"/>
          <w:color w:val="auto"/>
        </w:rPr>
        <w:t>Actions With Respect to Collateral; Prohibition on Contesting Liens.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5" w:name="page1026"/>
    <w:bookmarkEnd w:id="1025"/>
    <w:p>
      <w:pPr>
        <w:jc w:val="both"/>
        <w:ind w:firstLine="1305"/>
        <w:spacing w:after="0" w:line="268" w:lineRule="auto"/>
        <w:tabs>
          <w:tab w:leader="none" w:pos="1892" w:val="left"/>
        </w:tabs>
        <w:numPr>
          <w:ilvl w:val="0"/>
          <w:numId w:val="1110"/>
        </w:numPr>
        <w:rPr>
          <w:rFonts w:ascii="Arial" w:cs="Arial" w:eastAsia="Arial" w:hAnsi="Arial"/>
          <w:sz w:val="17"/>
          <w:szCs w:val="17"/>
          <w:color w:val="auto"/>
        </w:rPr>
      </w:pPr>
      <w:r>
        <w:rPr>
          <w:rFonts w:ascii="Arial" w:cs="Arial" w:eastAsia="Arial" w:hAnsi="Arial"/>
          <w:sz w:val="17"/>
          <w:szCs w:val="17"/>
          <w:color w:val="auto"/>
        </w:rPr>
        <w:t>Until the Discharge of all of the Senior Secured Obligations of a particular Class, (i) only the Applicable Senior Collateral Agent shall act or refrain from acting with respect to the Senior Secured Obligations Collateral of such Class, (ii) no Collateral Agent shall follow any instructions with respect to such Senior Secured Obligations Collateral from any Junior Representative or from any Junior Secured Obligations Secured Parties and (iii) each Junior Representative and the Junior Secured Obligations Secured Parties shall not, and shall not instruct any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Junior Secured Obligations Collateral, whether under any ABL Security Document or any LC Security Document, as applicable, applicable law or otherwise, it being agreed that (A) only the Applicable Senior Collateral Agent, acting in accordance with the ABL Security Documents or the LC Security Documents, as applicable, shall be entitled to take any such actions or exercise any such remedies, or to cause any Collateral Agent to do so and (B) notwithstanding the foregoing, each Junior Representative may take Permitted Remedies. Each Senior Collateral Agent may deal with the Senior Secured Obligations Collateral as if they had a senior Lien on such Collateral. No Junior Collateral Agent, Junior Representative or Junior Secured Obligations Secured Party will contest, protest or object to any foreclosure proceeding or action brought by any Senior Collateral Agent, Senior Representative or Senior Secured Obligations Secured Party or any other exercise by such Senior Collateral Agent, Senior Representative or Senior Secured Obligations Secured Party of any rights and remedies relating to the Senior Secured Obligations Collateral.</w:t>
      </w:r>
    </w:p>
    <w:p>
      <w:pPr>
        <w:spacing w:after="0" w:line="183" w:lineRule="exact"/>
        <w:rPr>
          <w:rFonts w:ascii="Arial" w:cs="Arial" w:eastAsia="Arial" w:hAnsi="Arial"/>
          <w:sz w:val="17"/>
          <w:szCs w:val="17"/>
          <w:color w:val="auto"/>
        </w:rPr>
      </w:pPr>
    </w:p>
    <w:p>
      <w:pPr>
        <w:jc w:val="both"/>
        <w:ind w:firstLine="1305"/>
        <w:spacing w:after="0" w:line="276" w:lineRule="auto"/>
        <w:tabs>
          <w:tab w:leader="none" w:pos="1889" w:val="left"/>
        </w:tabs>
        <w:numPr>
          <w:ilvl w:val="0"/>
          <w:numId w:val="1110"/>
        </w:numPr>
        <w:rPr>
          <w:rFonts w:ascii="Arial" w:cs="Arial" w:eastAsia="Arial" w:hAnsi="Arial"/>
          <w:sz w:val="17"/>
          <w:szCs w:val="17"/>
          <w:color w:val="auto"/>
        </w:rPr>
      </w:pPr>
      <w:r>
        <w:rPr>
          <w:rFonts w:ascii="Arial" w:cs="Arial" w:eastAsia="Arial" w:hAnsi="Arial"/>
          <w:sz w:val="17"/>
          <w:szCs w:val="17"/>
          <w:color w:val="auto"/>
        </w:rPr>
        <w:t xml:space="preserve">Each of the Junior Collateral Agent and the Junior Secured Obligations Secured Parties agrees that it will not (and hereby waives any right to) directly or indirectly contest or support any other Person in contesting, in any proceeding (including any Insolvency or Liquidation Proceeding), the creation, extent, attachment, perfection, priority, validity or enforceability of a Lien or Senior Secured Obligations held by or on behalf of any of the Senior Secured Obligations Secured Parties in all or any part of the Collateral or the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shall be construed to prevent or impair the rights of any of the Collateral Agents or the Secured Parties to enforce this Agreement.</w:t>
      </w:r>
    </w:p>
    <w:p>
      <w:pPr>
        <w:spacing w:after="0" w:line="172" w:lineRule="exact"/>
        <w:rPr>
          <w:rFonts w:ascii="Arial" w:cs="Arial" w:eastAsia="Arial" w:hAnsi="Arial"/>
          <w:sz w:val="17"/>
          <w:szCs w:val="17"/>
          <w:color w:val="auto"/>
        </w:rPr>
      </w:pPr>
    </w:p>
    <w:p>
      <w:pPr>
        <w:jc w:val="both"/>
        <w:ind w:firstLine="1305"/>
        <w:spacing w:after="0" w:line="269" w:lineRule="auto"/>
        <w:tabs>
          <w:tab w:leader="none" w:pos="1879" w:val="left"/>
        </w:tabs>
        <w:numPr>
          <w:ilvl w:val="0"/>
          <w:numId w:val="1110"/>
        </w:numPr>
        <w:rPr>
          <w:rFonts w:ascii="Arial" w:cs="Arial" w:eastAsia="Arial" w:hAnsi="Arial"/>
          <w:sz w:val="17"/>
          <w:szCs w:val="17"/>
          <w:color w:val="auto"/>
        </w:rPr>
      </w:pPr>
      <w:r>
        <w:rPr>
          <w:rFonts w:ascii="Arial" w:cs="Arial" w:eastAsia="Arial" w:hAnsi="Arial"/>
          <w:sz w:val="17"/>
          <w:szCs w:val="17"/>
          <w:color w:val="auto"/>
        </w:rPr>
        <w:t>(i) Only the Foreign Collateral Agent shall act or refrain from acting with respect to the Foreign Collateral, (ii) Foreign Collateral Agent shall not follow any instructions with respect to Foreign Collateral except from the Controlling Party (in accordance with Article VI) and (iii) other than the Controlling Parties, no Secured Party will, or will instruct Foreign Collateral Agent to, commence any judicial or nonjudicial foreclosure proceedings with respect to, seek to have a trustee, receiver, receiver and manager, interim receiver, agent, liquidator, administrator, custodian or similar official, person or agent appointed for or over, attempt any action to take possession of, exercise any right, remedy or power with respect to, or otherwise take any action to enforce its interest in or realize upon, or take any other action available to it in respect of, any Foreign Collateral, whether under any ABL Security Document or any LC Security Document, applicable law or otherwise, it being agreed that (A) only the Foreign Collateral Agent, acting in accordance with the Foreign Collateral Documents and the terms of Article VI, shall be entitled to take any such actions or exercise any such remedies and (B) notwithstanding the foregoing, each Representative may take Permitted Remedies with regard to the Foreign Collateral. No Secured Party will contest, protest or object to any foreclosure or other proceeding or action brought by Foreign Collateral Agent acting upon instructions of a Controlling Party, and the Controlling Parties may make such instructions as if they had a senior Lien on such Foreign Collateral.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6" w:name="page1027"/>
    <w:bookmarkEnd w:id="1026"/>
    <w:p>
      <w:pPr>
        <w:jc w:val="both"/>
        <w:ind w:firstLine="1305"/>
        <w:spacing w:after="0" w:line="271" w:lineRule="auto"/>
        <w:tabs>
          <w:tab w:leader="none" w:pos="1848" w:val="left"/>
        </w:tabs>
        <w:numPr>
          <w:ilvl w:val="0"/>
          <w:numId w:val="1111"/>
        </w:numPr>
        <w:rPr>
          <w:rFonts w:ascii="Arial" w:cs="Arial" w:eastAsia="Arial" w:hAnsi="Arial"/>
          <w:sz w:val="17"/>
          <w:szCs w:val="17"/>
          <w:color w:val="auto"/>
        </w:rPr>
      </w:pPr>
      <w:r>
        <w:rPr>
          <w:rFonts w:ascii="Arial" w:cs="Arial" w:eastAsia="Arial" w:hAnsi="Arial"/>
          <w:sz w:val="17"/>
          <w:szCs w:val="17"/>
          <w:color w:val="auto"/>
        </w:rPr>
        <w:t xml:space="preserve">(i) With respect to any payments or distributions in cash, property or other assets that any Junior Secured Obligations Secured Party pays over to any Senior Secured Obligations Secured Party under the terms of this Agreement, such Junior Secured Obligations Secured Party shall be subrogated to the rights of the Senior Secured Party Obligations Secured Party and (ii) any Secured Party may assert its rights of subrogation under applicable law resulting from any draw or other payment under any letter of credit issued under or secured by the ABL Documents or LC Documents,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that (x) the LC Facility Secured Parties shall not assert or enforce any such rights of subrogation they may acquire as described in clauses (i) or (ii) above with respect to the ABL Documents or ABL Priority Collateral until the Discharge of all ABL Obligations has occurred and (y) the ABL Secured Parties shall not assert or enforce any such rights of subrogation they may acquire as described in clauses (i) or (ii) above with respect to the LC Documents or LC Priority Collateral until the Discharge of all LC Obligations has occurred.</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2000" w:val="left"/>
        </w:tabs>
        <w:numPr>
          <w:ilvl w:val="0"/>
          <w:numId w:val="1111"/>
        </w:numPr>
        <w:rPr>
          <w:rFonts w:ascii="Arial" w:cs="Arial" w:eastAsia="Arial" w:hAnsi="Arial"/>
          <w:sz w:val="16"/>
          <w:szCs w:val="16"/>
          <w:color w:val="auto"/>
        </w:rPr>
      </w:pPr>
      <w:r>
        <w:rPr>
          <w:rFonts w:ascii="Arial" w:cs="Arial" w:eastAsia="Arial" w:hAnsi="Arial"/>
          <w:sz w:val="16"/>
          <w:szCs w:val="16"/>
          <w:color w:val="auto"/>
        </w:rPr>
        <w:t>The parties hereto agree to execute, acknowledge and deliver a Memorandum of Intercreditor Agreement (“</w:t>
      </w:r>
      <w:r>
        <w:rPr>
          <w:rFonts w:ascii="Arial" w:cs="Arial" w:eastAsia="Arial" w:hAnsi="Arial"/>
          <w:sz w:val="16"/>
          <w:szCs w:val="16"/>
          <w:b w:val="1"/>
          <w:bCs w:val="1"/>
          <w:i w:val="1"/>
          <w:iCs w:val="1"/>
          <w:color w:val="auto"/>
        </w:rPr>
        <w:t>Memorandum</w:t>
      </w:r>
      <w:r>
        <w:rPr>
          <w:rFonts w:ascii="Arial" w:cs="Arial" w:eastAsia="Arial" w:hAnsi="Arial"/>
          <w:sz w:val="16"/>
          <w:szCs w:val="16"/>
          <w:color w:val="auto"/>
        </w:rPr>
        <w:t>”), together with such other documents in furtherance hereof or thereof, in each case, in proper form for recording in connection with any Mortgages and in form and substance reasonably satisfactory to the Collateral Agents, in those jurisdictions where such recording is reasonably recommended or requested by local real estate counsel and/or the title insurance company, or as otherwise deemed reasonably necessary or proper by the parties hereto.</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b w:val="1"/>
          <w:bCs w:val="1"/>
          <w:i w:val="1"/>
          <w:iCs w:val="1"/>
          <w:color w:val="auto"/>
        </w:rPr>
        <w:t>No Duties of Senior Representative; Provision of Notice</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83" w:lineRule="auto"/>
        <w:tabs>
          <w:tab w:leader="none" w:pos="1953" w:val="left"/>
        </w:tabs>
        <w:numPr>
          <w:ilvl w:val="0"/>
          <w:numId w:val="1112"/>
        </w:numPr>
        <w:rPr>
          <w:rFonts w:ascii="Arial" w:cs="Arial" w:eastAsia="Arial" w:hAnsi="Arial"/>
          <w:sz w:val="16"/>
          <w:szCs w:val="16"/>
          <w:color w:val="auto"/>
        </w:rPr>
      </w:pPr>
      <w:r>
        <w:rPr>
          <w:rFonts w:ascii="Arial" w:cs="Arial" w:eastAsia="Arial" w:hAnsi="Arial"/>
          <w:sz w:val="16"/>
          <w:szCs w:val="16"/>
          <w:color w:val="auto"/>
        </w:rPr>
        <w:t>Each Junior Secured Obligations Secured Party acknowledges and agrees that none of the Senior Collateral Agents, the Senior Representative nor any other Senior Secured Obligations Secured Party shall have any duties or other obligations to such Junior Secured Obligations Secured Party with respect to any Senior Secured Obligations Collateral, other than to transfer to the Applicable Junior Collateral Agent any proceeds of any such Senior Secured Obligations Collateral remaining in its possession or under its control following any sale, transfer or other disposition of such Collateral (in each case, unless the Junior Secured Obligations have been Discharged prior to or concurrently with such sale, transfer, disposition, payment or satisfaction) and the Discharge of the Senior Secured Obligations secured thereby, or if a Senior Collateral Agent shall be in possession or control of all or any part of such Collateral after such payment and satisfaction in full and termination, such Collateral or any part thereof remaining, in each case without representation or warranty on the part of any Senior Collateral Agent, any Senior Representative or any Senior Secured Obligations Secured Party. In furtherance of the foregoing, each Junior Secured Obligations Secured Party acknowledges and agrees that, until the Senior Secured Obligations secured by any Collateral shall have been Discharged, the Applicable Senior Collateral Agent shall be entitled, for the benefit of the holders of such Senior Secured Obligations, to sell, transfer or otherwise dispose of, or cause the sale, transfer or other disposition of, such Senior Secured Obligations Collateral as provided herein and in the ABL Documents and the LC Documents, as applicable, without regard to any Junior Claims or any rights to which the holders of the Junior Secured Obligations would otherwise be entitled as a result of such Junior Claims. Without limiting the foregoing, each Junior Secured Obligations Secured Party agrees that none of the Senior Collateral Agents, the Senior Representatives nor any other Senior Secured Obligations Secured Party shall have any duty or obligation first to marshal or realize upon any type of Senior Secured Obligations Collateral (or any other collateral securing the Senior Secured Obligations), or to sell, dispose of, realize on or liquidate all or any portion of such Senior Secured Obligations Collateral (or any other collateral securing the Senior Secured Obligations), in any manner that would maximize the return to the Junior Secured Obligations Secured Parties, notwithstanding that the order and timing of any such realization, sale, disposition or liquidation may affect the amount of proceeds actually received by the Junior Secured Obligations Secured Parties from such realization, sale, disposition or liquidation. Each of the Junior Secured Obligations Secured Parties waives any claim such Junior Secured Obligations Secured Party may now or hereafter have against any Senior Collateral Agent, any Senior Representative or any other Senior Secured Obligations Secured Party (or their representatives, including any receiver, receiver and manager, interim receiver, administrator, delegate or agent they may appoint) arising out of (i) any actions which any Senior Collateral Agent, any Senior Representative or the Senior Secured Obligations Secured Parties (or their representatives, including any receiver, receiver and manager, interim receiver, administrator, delegate or agent they may appoint) take or omit to take (including, actions with respect to the creation, attachment, perfection or continuation of Liens on any Senior Secured Obligations Collateral, actions with respect to the preservation, foreclosure upon, realization, sale, release or depreciation of, or failure to realize upon, any of the Senior Secured Obligations Collateral and actions with respect to the collection of any claim for all or any part of the Senior Secured Obligations from any account debtor, guarantor or any other party) in accordance with the ABL Documents and the LC Documents or any other agreement related thereto or to the collection of the Senior Secured Obligations or the valuation, use, protection or release of any security for the Senior Secured Obligations, (ii) any election by any Applicable Senior Collateral Agent, any Senior Representative or any Senior Secured Obligations Secured Parties, in any proceeding instituted under the Bankruptcy Code, of the application of Section 1111(b) of the Bankruptcy Code (or any equivalent proceeding under any other Debtor Relief Law) or (iii) subject to Section 2.06, any borrowing by, or grant of a security interest or administrative expense priority under Section 364 of the Bankruptcy Code by, the Parent or any of its Subsidiaries, as debtor-in-possession (or any equivalent action under any other Debtor Relief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7" w:name="page1028"/>
    <w:bookmarkEnd w:id="1027"/>
    <w:p>
      <w:pPr>
        <w:ind w:left="1300"/>
        <w:spacing w:after="0"/>
        <w:tabs>
          <w:tab w:leader="none" w:pos="25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b w:val="1"/>
          <w:bCs w:val="1"/>
          <w:i w:val="1"/>
          <w:iCs w:val="1"/>
          <w:color w:val="auto"/>
        </w:rPr>
        <w:t>No Interference; Payment Over; Reinstatement</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84" w:lineRule="auto"/>
        <w:tabs>
          <w:tab w:leader="none" w:pos="1879" w:val="left"/>
        </w:tabs>
        <w:numPr>
          <w:ilvl w:val="0"/>
          <w:numId w:val="1113"/>
        </w:numPr>
        <w:rPr>
          <w:rFonts w:ascii="Arial" w:cs="Arial" w:eastAsia="Arial" w:hAnsi="Arial"/>
          <w:sz w:val="16"/>
          <w:szCs w:val="16"/>
          <w:color w:val="auto"/>
        </w:rPr>
      </w:pPr>
      <w:r>
        <w:rPr>
          <w:rFonts w:ascii="Arial" w:cs="Arial" w:eastAsia="Arial" w:hAnsi="Arial"/>
          <w:sz w:val="16"/>
          <w:szCs w:val="16"/>
          <w:color w:val="auto"/>
        </w:rPr>
        <w:t xml:space="preserve">Each Junior Secured Obligations Secured Party, each Junior Representative and each Junior Collateral Agent agrees that (i) it will not take or cause to be taken any action the purpose or effect of which is, or could be, to make any Junior Claim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to give such Junior Secured Obligations Secured Party any preference or priority relative to, any Senior Claim with respect to the Senior Secured Obligations Collateral or any part thereof, (ii) it will not challenge or question in any proceeding the validity or enforceability of any Foreign Collateral Document, ABL Security Document, or LC Security Document or the extent, validity, attachment, perfection, priority, or enforceability of any Lien under the Foreign Collateral Documents, ABL Security Documents or the LC Security Documents,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the Senior Secured Obligations Collateral by the Applicable Senior Collateral Agent or any Senior Secured Obligations Secured Parties or any Senior Representative acting on their behalf (or their respective representatives, including any receiver, receiver and manager, interim receiver, administrator, delegate or agent they may appoint), including with respect to the Foreign Collateral by the Foreign Collateral Agent following the instructions of a Controlling Party, (iv) it shall have no right to (A) direct the Applicable Senior Collateral Agent, any Senior Representative or any holder of Senior Secured Obligations (or their respective representatives, including any receiver, receiver and manager, interim receiver, administrator, delegate or agent they may appoint) to exercise any right, remedy or power with respect to any Senior Secured Obligations Collateral or (B) consent to the exercise by the Applicable Senior Collateral Agent, any Senior Representative or any other Senior Secured Obligations Secured Party (or their respective representatives, including any receiver, receiver and manager, interim receiver, administrator, delegate or agent they may appoint) of any right, remedy or power with respect to any Senior Secured Obligations Collateral, (v) it will not institute any suit or assert in any Insolvency or Liquidation Proceeding any claim against the Applicable Senior Collateral Agent, any Senior Representative or other Senior Secured Obligations Secured Party seeking damages from or other relief by way of specific performance, injunction, directions, instructions or otherwise with respect to, and none of the Applicable Senior Collateral Agent, any Senior Representative or any other Senior Secured Obligations Secured Party shall be liable for, any action taken or omitted to be taken by such Senior Collateral Agent, such Senior Representative or other Senior Secured Obligations Secured Party with respect to any Senior Secured Obligations Collateral, (vi) it will not seek, and hereby waives any right, to have any Senior Secured Obligations Collateral, Foreign Collateral or any part thereof marshaled upon any foreclosure or other disposition of such Senior Secured Obligations Collateral or Foreign Collateral and (vii) it will not attempt, directly or indirectly, whether by judicial proceedings or otherwise, to challenge the enforceability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construed to prevent or impair the rights of any of the Collateral Agents, or the Secured Parties to enforce this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8" w:name="page1029"/>
    <w:bookmarkEnd w:id="1028"/>
    <w:p>
      <w:pPr>
        <w:jc w:val="both"/>
        <w:ind w:firstLine="1305"/>
        <w:spacing w:after="0" w:line="286" w:lineRule="auto"/>
        <w:tabs>
          <w:tab w:leader="none" w:pos="1821" w:val="left"/>
        </w:tabs>
        <w:numPr>
          <w:ilvl w:val="0"/>
          <w:numId w:val="1114"/>
        </w:numPr>
        <w:rPr>
          <w:rFonts w:ascii="Arial" w:cs="Arial" w:eastAsia="Arial" w:hAnsi="Arial"/>
          <w:sz w:val="16"/>
          <w:szCs w:val="16"/>
          <w:color w:val="auto"/>
        </w:rPr>
      </w:pPr>
      <w:r>
        <w:rPr>
          <w:rFonts w:ascii="Arial" w:cs="Arial" w:eastAsia="Arial" w:hAnsi="Arial"/>
          <w:sz w:val="16"/>
          <w:szCs w:val="16"/>
          <w:color w:val="auto"/>
        </w:rPr>
        <w:t>Each Junior Collateral Agent, each Junior Representative and each Junior Secured Obligations Secured Party hereby agrees that, if it shall obtain possession or control of any Senior Secured Obligations Collateral, or shall receive any Proceeds or payment in respect of any Senior Secured Obligations Collateral, pursuant to any ABL Security Document or LC Security Document or by the exercise of any rights available to it under any applicable law or in any Insolvency or Liquidation Proceeding or through any other exercise of rights or remedies, at any time prior to the Discharge of the Senior Secured Obligations, then it shall hold such Senior Secured Obligations Collateral proceeds or payment in trust for the Senior Secured Obligations Secured Parties and transfer such Senior Secured Obligations Collateral, proceeds or payment, as the case may be, to the Applicable Senior Collateral Agent reasonably promptly after obtaining actual knowledge, or notice from the Applicable Senior Collateral Agent, that it is in possession or control of such Senior Secured Obligations Collateral, proceeds or payment. Each Junior Secured Obligations Secured Party agrees that if, at any time, it receives notice or obtains actual knowledge that all or part of any payment with respect to any Senior Secured Obligations previously made shall be rescinded for any reason whatsoever, such Junior Secured Obligations Secured Party shall promptly pay over to the Applicable Senior Collateral Agent any payment received by it and then in its possession or under its control in respect of any Senior Secured Obligations Collateral and shall promptly turn over any Senior Secured Obligations Collateral then held by it over to the Applicable Senior Collateral Agent, and the provisions set forth in this Agreement shall be reinstated as if such payment had not been made, until the payment and satisfaction in full of the Senior Secured Obligations.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9" w:name="page1030"/>
    <w:bookmarkEnd w:id="1029"/>
    <w:p>
      <w:pPr>
        <w:jc w:val="both"/>
        <w:ind w:firstLine="1305"/>
        <w:spacing w:after="0" w:line="255" w:lineRule="auto"/>
        <w:tabs>
          <w:tab w:leader="none" w:pos="1838" w:val="left"/>
        </w:tabs>
        <w:numPr>
          <w:ilvl w:val="0"/>
          <w:numId w:val="1115"/>
        </w:numPr>
        <w:rPr>
          <w:rFonts w:ascii="Arial" w:cs="Arial" w:eastAsia="Arial" w:hAnsi="Arial"/>
          <w:sz w:val="18"/>
          <w:szCs w:val="18"/>
          <w:color w:val="auto"/>
        </w:rPr>
      </w:pPr>
      <w:r>
        <w:rPr>
          <w:rFonts w:ascii="Arial" w:cs="Arial" w:eastAsia="Arial" w:hAnsi="Arial"/>
          <w:sz w:val="18"/>
          <w:szCs w:val="18"/>
          <w:color w:val="auto"/>
        </w:rPr>
        <w:t>Prior to the Discharge of Senior Secured Obligations, if any Junior Secured Obligations Secured Party holds any Lien on any assets of the Parent or any other Grantor securing any Junior Claims that are intended to secure the Senior Claims pursuant to the Senior Secured Obligations Collateral Documents but are not already subject to a senior Lien in favor of the Senior Secured Obligations Secured Parties, such Junior Secured Obligations Secured Party, upon demand by any Senior Secured Obligations Secured Party, will assign such Lien to the applicable Senior Representative, as security for such Senior Secured Obligations (in which case the Junior Secured Obligations Secured Parties may retain a junior Lien on such assets subject to the terms hereof).</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5"/>
          <w:szCs w:val="15"/>
          <w:b w:val="1"/>
          <w:bCs w:val="1"/>
          <w:i w:val="1"/>
          <w:iCs w:val="1"/>
          <w:color w:val="auto"/>
        </w:rPr>
        <w:t>Automatic Release of Junior Liens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73" w:lineRule="auto"/>
        <w:tabs>
          <w:tab w:leader="none" w:pos="1811" w:val="left"/>
        </w:tabs>
        <w:numPr>
          <w:ilvl w:val="0"/>
          <w:numId w:val="1116"/>
        </w:numPr>
        <w:rPr>
          <w:rFonts w:ascii="Arial" w:cs="Arial" w:eastAsia="Arial" w:hAnsi="Arial"/>
          <w:sz w:val="17"/>
          <w:szCs w:val="17"/>
          <w:color w:val="auto"/>
        </w:rPr>
      </w:pPr>
      <w:r>
        <w:rPr>
          <w:rFonts w:ascii="Arial" w:cs="Arial" w:eastAsia="Arial" w:hAnsi="Arial"/>
          <w:sz w:val="17"/>
          <w:szCs w:val="17"/>
          <w:color w:val="auto"/>
        </w:rPr>
        <w:t xml:space="preserve">The LC Collateral Agent and each other LC Secured Party agrees that, in the event of a sale, transfer or other disposition of any ABL Priority Collateral in connection with the foreclosure upon or other exercise of rights and remedies with respect to such ABL Priority Collateral that results in the release by the ABL Collateral Agent of the Lien held by the ABL Collateral Agent on such ABL Priority Collateral, the Lien held by the LC Collateral Agent on such ABL Priority Collateral shall be automatically released;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all holders of the LC Obligations shall be entitled to any proceeds of a sale, transfer or other disposition under this clause (a) that remain after Discharge of the ABL Obligations, and the Liens on such remaining proceeds securing the LC Obligations shall not be automatically released pursuant to this Section 2.05(a).</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1848" w:val="left"/>
        </w:tabs>
        <w:numPr>
          <w:ilvl w:val="0"/>
          <w:numId w:val="1116"/>
        </w:numPr>
        <w:rPr>
          <w:rFonts w:ascii="Arial" w:cs="Arial" w:eastAsia="Arial" w:hAnsi="Arial"/>
          <w:sz w:val="16"/>
          <w:szCs w:val="16"/>
          <w:color w:val="auto"/>
        </w:rPr>
      </w:pPr>
      <w:r>
        <w:rPr>
          <w:rFonts w:ascii="Arial" w:cs="Arial" w:eastAsia="Arial" w:hAnsi="Arial"/>
          <w:sz w:val="16"/>
          <w:szCs w:val="16"/>
          <w:color w:val="auto"/>
        </w:rPr>
        <w:t xml:space="preserve">The ABL Collateral Agent and each other ABL Secured Party agrees that, in the event of a sale, transfer or other disposition of any LC Priority Collateral in connection with the foreclosure upon or other exercise of rights and remedies with respect to such LC Priority Collateral that results in the release by the LC Collateral Agent of the Lien held by the LC Collateral Agent on such LC Priority Collateral, the Lien held by the ABL Collateral Agent on such LC Priority Collateral shall be automatically released;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all holders of the ABL Obligations shall be entitled to any proceeds of a sale, transfer or other disposition under this clause (a) that remain after Discharge of all LC Obligations, and the Liens on such remaining proceeds securing the ABL Obligations shall not be automatically released pursuant to this Section 2.05(b).</w:t>
      </w:r>
    </w:p>
    <w:p>
      <w:pPr>
        <w:spacing w:after="0" w:line="164" w:lineRule="exact"/>
        <w:rPr>
          <w:rFonts w:ascii="Arial" w:cs="Arial" w:eastAsia="Arial" w:hAnsi="Arial"/>
          <w:sz w:val="16"/>
          <w:szCs w:val="16"/>
          <w:color w:val="auto"/>
        </w:rPr>
      </w:pPr>
    </w:p>
    <w:p>
      <w:pPr>
        <w:jc w:val="both"/>
        <w:ind w:firstLine="1305"/>
        <w:spacing w:after="0" w:line="276" w:lineRule="auto"/>
        <w:tabs>
          <w:tab w:leader="none" w:pos="1825" w:val="left"/>
        </w:tabs>
        <w:numPr>
          <w:ilvl w:val="0"/>
          <w:numId w:val="1116"/>
        </w:numPr>
        <w:rPr>
          <w:rFonts w:ascii="Arial" w:cs="Arial" w:eastAsia="Arial" w:hAnsi="Arial"/>
          <w:sz w:val="17"/>
          <w:szCs w:val="17"/>
          <w:color w:val="auto"/>
        </w:rPr>
      </w:pPr>
      <w:r>
        <w:rPr>
          <w:rFonts w:ascii="Arial" w:cs="Arial" w:eastAsia="Arial" w:hAnsi="Arial"/>
          <w:sz w:val="17"/>
          <w:szCs w:val="17"/>
          <w:color w:val="auto"/>
        </w:rPr>
        <w:t xml:space="preserve">In the event of a Default Disposition, the Liens of Junior Collateral Agent shall be automatically released so long as (i) such Default Disposition is conducted by the applicable Grantor(s) in a commercially reasonable manner (as if such Default Disposition were a disposition of collateral by a secured party in accordance with the UCC or similar law under the applicable jurisdiction) and in accordance with applicable law, (ii) Senior Collateral Agent also releases its Liens on such Senior Secured Obligations Collateral and (iii) the net cash proceeds of any such Default Disposition are applied in accordance with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hereof (as if they were proceeds received in connection with an enforcement action).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0" w:name="page1031"/>
    <w:bookmarkEnd w:id="1030"/>
    <w:p>
      <w:pPr>
        <w:jc w:val="both"/>
        <w:ind w:firstLine="1305"/>
        <w:spacing w:after="0" w:line="286" w:lineRule="auto"/>
        <w:tabs>
          <w:tab w:leader="none" w:pos="1943" w:val="left"/>
        </w:tabs>
        <w:numPr>
          <w:ilvl w:val="0"/>
          <w:numId w:val="1117"/>
        </w:numPr>
        <w:rPr>
          <w:rFonts w:ascii="Arial" w:cs="Arial" w:eastAsia="Arial" w:hAnsi="Arial"/>
          <w:sz w:val="17"/>
          <w:szCs w:val="17"/>
          <w:color w:val="auto"/>
        </w:rPr>
      </w:pPr>
      <w:r>
        <w:rPr>
          <w:rFonts w:ascii="Arial" w:cs="Arial" w:eastAsia="Arial" w:hAnsi="Arial"/>
          <w:sz w:val="17"/>
          <w:szCs w:val="17"/>
          <w:color w:val="auto"/>
        </w:rPr>
        <w:t>Each Junior Representative and each Junior Collateral Agent agrees to execute and deliver (at the sole cost and expense of the applicable Grantors) all such authorizations and other instruments as shall reasonably be requested by the applicable Senior Representative or the Applicable Senior Collateral Agent to evidence and confirm any release of Junior Secured Obligations Collateral provided for in this Section.</w:t>
      </w:r>
    </w:p>
    <w:p>
      <w:pPr>
        <w:spacing w:after="0" w:line="165" w:lineRule="exact"/>
        <w:rPr>
          <w:rFonts w:ascii="Arial" w:cs="Arial" w:eastAsia="Arial" w:hAnsi="Arial"/>
          <w:sz w:val="17"/>
          <w:szCs w:val="17"/>
          <w:color w:val="auto"/>
        </w:rPr>
      </w:pPr>
    </w:p>
    <w:p>
      <w:pPr>
        <w:jc w:val="both"/>
        <w:ind w:firstLine="1305"/>
        <w:spacing w:after="0" w:line="269" w:lineRule="auto"/>
        <w:tabs>
          <w:tab w:leader="none" w:pos="1865" w:val="left"/>
        </w:tabs>
        <w:numPr>
          <w:ilvl w:val="0"/>
          <w:numId w:val="1117"/>
        </w:numPr>
        <w:rPr>
          <w:rFonts w:ascii="Arial" w:cs="Arial" w:eastAsia="Arial" w:hAnsi="Arial"/>
          <w:sz w:val="17"/>
          <w:szCs w:val="17"/>
          <w:color w:val="auto"/>
        </w:rPr>
      </w:pPr>
      <w:r>
        <w:rPr>
          <w:rFonts w:ascii="Arial" w:cs="Arial" w:eastAsia="Arial" w:hAnsi="Arial"/>
          <w:sz w:val="17"/>
          <w:szCs w:val="17"/>
          <w:color w:val="auto"/>
        </w:rPr>
        <w:t xml:space="preserve">If at any time any Grantor or the holder of any Senior Secured Obligations delivers notice to each Junior Collateral Agent that any specified Senior Secured Obligations Collateral (including all or substantially all of the Capital Stock of a Grantor or any of its Subsidiaries) is sold, transferred or otherwise disposed of (i) by the owner of such Collateral in a transaction permitted under the LC Documents and the ABL Documents, or (ii) during the existence of any Event of Default under the ABL Documents or the LC Documents, in each case in connection with the foreclosure upon (or exercise of rights and remedies with respect to) such Collateral, to the extent that the Applicable Senior Collateral Agent has consented to such sale, transfer or disposition, then the Liens in favor of the Junior Secured Obligations Secured Parties upon such Collateral will automatically be released and discharged as and when, but only to the extent, such Liens on such Senior Secured Obligations Collateral are released and discharged;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proceeds of such sale, transfer or disposition shall be applied in accordance with </w:t>
      </w:r>
      <w:r>
        <w:rPr>
          <w:rFonts w:ascii="Arial" w:cs="Arial" w:eastAsia="Arial" w:hAnsi="Arial"/>
          <w:sz w:val="17"/>
          <w:szCs w:val="17"/>
          <w:u w:val="single" w:color="auto"/>
          <w:color w:val="auto"/>
        </w:rPr>
        <w:t>Section 2.01(a)</w:t>
      </w:r>
      <w:r>
        <w:rPr>
          <w:rFonts w:ascii="Arial" w:cs="Arial" w:eastAsia="Arial" w:hAnsi="Arial"/>
          <w:sz w:val="17"/>
          <w:szCs w:val="17"/>
          <w:color w:val="auto"/>
        </w:rPr>
        <w:t>. Upon delivery to each Junior Collateral Agent of a notice from the Applicable Senior Collateral Agent stating that any release of Liens securing or supporting the Senior Secured Obligations has become effective (or shall become effective upon each Junior Collateral Agent’s release), each Junior Collateral Agent will promptly execute and deliver such instruments, releases, terminations statements or other documents confirming such release on customary terms.</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b w:val="1"/>
          <w:bCs w:val="1"/>
          <w:i w:val="1"/>
          <w:iCs w:val="1"/>
          <w:color w:val="auto"/>
        </w:rPr>
        <w:t>Certain Agreements With Respect to Insolvency or Liquidation Proceedings.</w:t>
      </w:r>
    </w:p>
    <w:p>
      <w:pPr>
        <w:spacing w:after="0" w:line="225" w:lineRule="exact"/>
        <w:rPr>
          <w:sz w:val="20"/>
          <w:szCs w:val="20"/>
          <w:color w:val="auto"/>
        </w:rPr>
      </w:pPr>
    </w:p>
    <w:p>
      <w:pPr>
        <w:jc w:val="both"/>
        <w:ind w:firstLine="1305"/>
        <w:spacing w:after="0" w:line="297" w:lineRule="auto"/>
        <w:tabs>
          <w:tab w:leader="none" w:pos="1852" w:val="left"/>
        </w:tabs>
        <w:numPr>
          <w:ilvl w:val="0"/>
          <w:numId w:val="1118"/>
        </w:numPr>
        <w:rPr>
          <w:rFonts w:ascii="Arial" w:cs="Arial" w:eastAsia="Arial" w:hAnsi="Arial"/>
          <w:sz w:val="16"/>
          <w:szCs w:val="16"/>
          <w:color w:val="auto"/>
        </w:rPr>
      </w:pPr>
      <w:r>
        <w:rPr>
          <w:rFonts w:ascii="Arial" w:cs="Arial" w:eastAsia="Arial" w:hAnsi="Arial"/>
          <w:sz w:val="16"/>
          <w:szCs w:val="16"/>
          <w:color w:val="auto"/>
        </w:rPr>
        <w:t>This Agreement shall continue in full force and effect notwithstanding the commencement of any proceeding under the Bankruptcy Code or any other Debtor Relief Law by or against the Parent or any of its Subsidiaries. Without limiting the generality of the foregoing, the provisions of this Agreement are intended to be and shall be enforceable as a “Subordination Agreement” under Section 510(a) of the Bankruptcy Code. All references to the Parent or any other Grantor shall include such Parent or Grantor as a debtor-in-possession and any receiver, trustee, liquidator (whether provisional or permanent, as the case may be) or court-appointed officer for such person in any Insolvency or Liquidation Proceeding.</w:t>
      </w:r>
    </w:p>
    <w:p>
      <w:pPr>
        <w:spacing w:after="0" w:line="158" w:lineRule="exact"/>
        <w:rPr>
          <w:rFonts w:ascii="Arial" w:cs="Arial" w:eastAsia="Arial" w:hAnsi="Arial"/>
          <w:sz w:val="16"/>
          <w:szCs w:val="16"/>
          <w:color w:val="auto"/>
        </w:rPr>
      </w:pPr>
    </w:p>
    <w:p>
      <w:pPr>
        <w:ind w:left="1820" w:hanging="515"/>
        <w:spacing w:after="0"/>
        <w:tabs>
          <w:tab w:leader="none" w:pos="1820" w:val="left"/>
        </w:tabs>
        <w:numPr>
          <w:ilvl w:val="0"/>
          <w:numId w:val="1118"/>
        </w:numPr>
        <w:rPr>
          <w:rFonts w:ascii="Arial" w:cs="Arial" w:eastAsia="Arial" w:hAnsi="Arial"/>
          <w:sz w:val="17"/>
          <w:szCs w:val="17"/>
          <w:color w:val="auto"/>
        </w:rPr>
      </w:pPr>
      <w:r>
        <w:rPr>
          <w:rFonts w:ascii="Arial" w:cs="Arial" w:eastAsia="Arial" w:hAnsi="Arial"/>
          <w:sz w:val="17"/>
          <w:szCs w:val="17"/>
          <w:color w:val="auto"/>
        </w:rPr>
        <w:t>If the Parent or any of its Subsidiaries shall become subject to a case (a “</w:t>
      </w:r>
      <w:r>
        <w:rPr>
          <w:rFonts w:ascii="Arial" w:cs="Arial" w:eastAsia="Arial" w:hAnsi="Arial"/>
          <w:sz w:val="17"/>
          <w:szCs w:val="17"/>
          <w:b w:val="1"/>
          <w:bCs w:val="1"/>
          <w:i w:val="1"/>
          <w:iCs w:val="1"/>
          <w:color w:val="auto"/>
        </w:rPr>
        <w:t>Bankruptcy Case</w:t>
      </w:r>
      <w:r>
        <w:rPr>
          <w:rFonts w:ascii="Arial" w:cs="Arial" w:eastAsia="Arial" w:hAnsi="Arial"/>
          <w:sz w:val="17"/>
          <w:szCs w:val="17"/>
          <w:color w:val="auto"/>
        </w:rPr>
        <w:t>”) under any Debtor Relief Law:</w:t>
      </w:r>
    </w:p>
    <w:p>
      <w:pPr>
        <w:spacing w:after="0" w:line="236" w:lineRule="exact"/>
        <w:rPr>
          <w:rFonts w:ascii="Arial" w:cs="Arial" w:eastAsia="Arial" w:hAnsi="Arial"/>
          <w:sz w:val="17"/>
          <w:szCs w:val="17"/>
          <w:color w:val="auto"/>
        </w:rPr>
      </w:pPr>
    </w:p>
    <w:p>
      <w:pPr>
        <w:jc w:val="both"/>
        <w:ind w:left="1300" w:firstLine="445"/>
        <w:spacing w:after="0" w:line="267" w:lineRule="auto"/>
        <w:tabs>
          <w:tab w:leader="none" w:pos="2333" w:val="left"/>
        </w:tabs>
        <w:numPr>
          <w:ilvl w:val="1"/>
          <w:numId w:val="1118"/>
        </w:numPr>
        <w:rPr>
          <w:rFonts w:ascii="Arial" w:cs="Arial" w:eastAsia="Arial" w:hAnsi="Arial"/>
          <w:sz w:val="17"/>
          <w:szCs w:val="17"/>
          <w:color w:val="auto"/>
        </w:rPr>
      </w:pPr>
      <w:r>
        <w:rPr>
          <w:rFonts w:ascii="Arial" w:cs="Arial" w:eastAsia="Arial" w:hAnsi="Arial"/>
          <w:sz w:val="17"/>
          <w:szCs w:val="17"/>
          <w:color w:val="auto"/>
        </w:rPr>
        <w:t>if the ABL Collateral Agent desires to permit debtor-in-possession financing (“</w:t>
      </w:r>
      <w:r>
        <w:rPr>
          <w:rFonts w:ascii="Arial" w:cs="Arial" w:eastAsia="Arial" w:hAnsi="Arial"/>
          <w:sz w:val="17"/>
          <w:szCs w:val="17"/>
          <w:b w:val="1"/>
          <w:bCs w:val="1"/>
          <w:i w:val="1"/>
          <w:iCs w:val="1"/>
          <w:color w:val="auto"/>
        </w:rPr>
        <w:t>DIP Financing</w:t>
      </w:r>
      <w:r>
        <w:rPr>
          <w:rFonts w:ascii="Arial" w:cs="Arial" w:eastAsia="Arial" w:hAnsi="Arial"/>
          <w:sz w:val="17"/>
          <w:szCs w:val="17"/>
          <w:color w:val="auto"/>
        </w:rPr>
        <w:t>”) secured by a Lien on the ABL Priority Collateral, to be provided by one or more lenders (the “</w:t>
      </w:r>
      <w:r>
        <w:rPr>
          <w:rFonts w:ascii="Arial" w:cs="Arial" w:eastAsia="Arial" w:hAnsi="Arial"/>
          <w:sz w:val="17"/>
          <w:szCs w:val="17"/>
          <w:b w:val="1"/>
          <w:bCs w:val="1"/>
          <w:i w:val="1"/>
          <w:iCs w:val="1"/>
          <w:color w:val="auto"/>
        </w:rPr>
        <w:t>DIP Lenders</w:t>
      </w:r>
      <w:r>
        <w:rPr>
          <w:rFonts w:ascii="Arial" w:cs="Arial" w:eastAsia="Arial" w:hAnsi="Arial"/>
          <w:sz w:val="17"/>
          <w:szCs w:val="17"/>
          <w:color w:val="auto"/>
        </w:rPr>
        <w:t>”) under Section 364 of the Bankruptcy Code (or any similar provision of any other Debtor Relief Laws) or the use of cash collateral under Section 363 of the Bankruptcy Code (or any similar provision of any other Debtor Relief Laws), then the LC Collateral Agent and the LC Secured Parties hereby agree to consent to and not to object to any such financing or to the Liens on the ABL Priority Collateral securing the same (“</w:t>
      </w:r>
      <w:r>
        <w:rPr>
          <w:rFonts w:ascii="Arial" w:cs="Arial" w:eastAsia="Arial" w:hAnsi="Arial"/>
          <w:sz w:val="17"/>
          <w:szCs w:val="17"/>
          <w:b w:val="1"/>
          <w:bCs w:val="1"/>
          <w:i w:val="1"/>
          <w:iCs w:val="1"/>
          <w:color w:val="auto"/>
        </w:rPr>
        <w:t>DIP Financing Liens</w:t>
      </w:r>
      <w:r>
        <w:rPr>
          <w:rFonts w:ascii="Arial" w:cs="Arial" w:eastAsia="Arial" w:hAnsi="Arial"/>
          <w:sz w:val="17"/>
          <w:szCs w:val="17"/>
          <w:color w:val="auto"/>
        </w:rPr>
        <w:t xml:space="preserve">”) or to any use of cash collateral that constitutes ABL Priority Collateral, unless the ABL Collateral Agent shall then oppose or object to such DIP Financing or such DIP Financing Liens or use of cash collateral that constitutes ABL Priority Collateral (and (i) to the extent that such DIP Financing Liens are senior to the Liens on any such ABL Priority Collateral for the benefit of the ABL Secured Parties, each LC Secured Party will subordinate its Liens with respect to such ABL Priority Collateral on the same terms as the Liens of the ABL Secured Parties (other than any Liens of any ABL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any such ABL Priority Collateral granted to secure the ABL Obligations of the ABL Secured Parties, each LC Secured Party will confirm the priorities with respect to such ABL Priority Collateral as set forth herein, in each case so long as (A) the LC Secured Parties retain the benefit of their Liens on all such ABL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LC Secured Parties are granted junior Liens on any additional collateral pledged to any ABL Secured Party as adequate protection or otherwise in connection with such DIP Financing or use of cash collateral, (C) if any amount of such DIP Financing or cash collateral is applied to repay any of the ABL Obligations, such amount is applied pursuant to Section 2.01(a) of this Agreement, and (D) if any ABL Secured Parties are granted adequate protection, including in the form of periodic payments, in connection with such DIP Financing or use of cash collateral, the proceeds of such adequate protection are applied pursuant to Section 2.01(a)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LC Secured Parties shall have a right to object to the grant of a Lien (i) to secure the DIP Financing over any Collateral that shall not constitute ABL Priority Collateral and (ii) in respect of any additional Collateral that would not constitute ABL Priority Collateral hereunder were it pledged for the benefit of the ABL Secured Parties pursuant to the ABL Security Documents to any ABL Secured Party as adequate protection, for use of cash collateral, or otherwise, as set forth in clause (B) above;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1" w:name="page1032"/>
    <w:bookmarkEnd w:id="1031"/>
    <w:p>
      <w:pPr>
        <w:jc w:val="both"/>
        <w:ind w:left="100" w:firstLine="445"/>
        <w:spacing w:after="0" w:line="267" w:lineRule="auto"/>
        <w:tabs>
          <w:tab w:leader="none" w:pos="1129" w:val="left"/>
        </w:tabs>
        <w:numPr>
          <w:ilvl w:val="0"/>
          <w:numId w:val="1119"/>
        </w:numPr>
        <w:rPr>
          <w:rFonts w:ascii="Arial" w:cs="Arial" w:eastAsia="Arial" w:hAnsi="Arial"/>
          <w:sz w:val="17"/>
          <w:szCs w:val="17"/>
          <w:color w:val="auto"/>
        </w:rPr>
      </w:pPr>
      <w:r>
        <w:rPr>
          <w:rFonts w:ascii="Arial" w:cs="Arial" w:eastAsia="Arial" w:hAnsi="Arial"/>
          <w:sz w:val="17"/>
          <w:szCs w:val="17"/>
          <w:color w:val="auto"/>
        </w:rPr>
        <w:t xml:space="preserve">if the LC Collateral Agent desires to permit a DIP Financing secured by a Lien on LC Priority Collateral, to be provided by DIP Lenders under Section 364 of the Bankruptcy Code (or any similar provision of any other Debtor Relief Laws) or the use of cash collateral under Section 363 of the Bankruptcy Code (or any similar provision of any other Debtor Relief Laws), then the ABL Collateral Agent and the ABL Secured Parties hereby agree not to object to any such financing or to the DIP Financing Liens or to any use of cash collateral that constitutes LC Priority Collateral, unless the LC Collateral Agent shall then oppose or object to such DIP Financing or such DIP Financing Liens or use of cash collateral that constitutes LC Priority Collateral (and (i) to the extent that such DIP Financing Liens are senior to the Liens on any such LC Priority Collateral for the benefit of the LC Secured Parties, each ABL Secured Party will subordinate its Liens with respect to such LC Priority Collateral on the same terms as the Liens of the LC Secured Parties (other than any Liens of any ABL Secured Party constituting DIP Financing Liens) are subordinated thereto and to any “carve out” for the payment of professional fees, clerk fees, and United States trustee fees (or any other administration charge, directors’ and officers’ charge or similar court-ordered priority charge under applicable Debtor Relief Laws), and (ii) to the extent that such DIP Financing Liens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any such LC Priority Collateral granted to secure the LC Obligations of the LC Secured Parties, each ABL Secured Party will confirm the priorities with respect to such LC Priority Collateral as set forth herein), in each case so long as (A) the ABL Secured Parties retain the benefit of their Liens on all such LC Priority Collateral pledged to the DIP Lenders, including proceeds thereof arising after the commencement of such proceeding (other than any Liens constituting DIP Financing Liens) as existed prior to the commencement of the Bankruptcy Case and/or Insolvency or Liquidation Proceeding, (B) the ABL Secured Parties are granted Liens on any additional collateral pledged to any LC Secured Party as adequate protection or otherwise in connection with such DIP Financing or use of cash collateral, (C) if any amount of such DIP Financing or cash collateral is applied to repay any of the LC Obligations, such amount is applied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of this Agreement and (D) if any LC Secured Parties are granted adequate protection, including in the form of periodic payments, in connection with such DIP Financing or use of cash collateral, the proceeds of such adequate protection is applied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ABL Secured Parties shall have a right to object to the grant of a Lien (i) to secure the DIP Financing over any Collateral that shall not constitute LC Priority Collateral and (ii) in respect of any additional Collateral that would not constitute LC Priority Collateral hereunder were it pledged for the benefit of the LC Secured Parties pursuant to the First Lien Security Documents to any LC Facility Secured Party as adequate protection, for use of cash collateral, or otherwise, as set forth in clause (B) above).</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032" w:name="page1033"/>
    <w:bookmarkEnd w:id="1032"/>
    <w:p>
      <w:pPr>
        <w:ind w:left="1300" w:firstLine="445"/>
        <w:spacing w:after="0" w:line="308" w:lineRule="auto"/>
        <w:tabs>
          <w:tab w:leader="none" w:pos="2379" w:val="left"/>
        </w:tabs>
        <w:numPr>
          <w:ilvl w:val="1"/>
          <w:numId w:val="1120"/>
        </w:numPr>
        <w:rPr>
          <w:rFonts w:ascii="Arial" w:cs="Arial" w:eastAsia="Arial" w:hAnsi="Arial"/>
          <w:sz w:val="17"/>
          <w:szCs w:val="17"/>
          <w:color w:val="auto"/>
        </w:rPr>
      </w:pPr>
      <w:r>
        <w:rPr>
          <w:rFonts w:ascii="Arial" w:cs="Arial" w:eastAsia="Arial" w:hAnsi="Arial"/>
          <w:sz w:val="17"/>
          <w:szCs w:val="17"/>
          <w:color w:val="auto"/>
        </w:rPr>
        <w:t>No Junior Secured Obligations Secured Party will directly or indirectly propose or support any DIP Financing secured by a Lien senior or prior to the Liens of the Senior Secured Obligations Secured Parties on the Senior Secured Obligations Collateral.</w:t>
      </w:r>
    </w:p>
    <w:p>
      <w:pPr>
        <w:spacing w:after="0" w:line="146" w:lineRule="exact"/>
        <w:rPr>
          <w:rFonts w:ascii="Arial" w:cs="Arial" w:eastAsia="Arial" w:hAnsi="Arial"/>
          <w:sz w:val="17"/>
          <w:szCs w:val="17"/>
          <w:color w:val="auto"/>
        </w:rPr>
      </w:pPr>
    </w:p>
    <w:p>
      <w:pPr>
        <w:jc w:val="both"/>
        <w:ind w:firstLine="1305"/>
        <w:spacing w:after="0" w:line="268" w:lineRule="auto"/>
        <w:tabs>
          <w:tab w:leader="none" w:pos="1852" w:val="left"/>
        </w:tabs>
        <w:numPr>
          <w:ilvl w:val="0"/>
          <w:numId w:val="1121"/>
        </w:numPr>
        <w:rPr>
          <w:rFonts w:ascii="Arial" w:cs="Arial" w:eastAsia="Arial" w:hAnsi="Arial"/>
          <w:sz w:val="17"/>
          <w:szCs w:val="17"/>
          <w:color w:val="auto"/>
        </w:rPr>
      </w:pPr>
      <w:r>
        <w:rPr>
          <w:rFonts w:ascii="Arial" w:cs="Arial" w:eastAsia="Arial" w:hAnsi="Arial"/>
          <w:sz w:val="17"/>
          <w:szCs w:val="17"/>
          <w:color w:val="auto"/>
        </w:rPr>
        <w:t>The Applicable Junior Collateral Agent and each Junior Secured Obligations Secured Party agrees that it will not object to and will not otherwise contest: (i) any motion for relief from the automatic stay or any other stay in any Insolvency or Liquidation Proceeding (including by way of moratorium) or from any injunction against foreclosure or enforcement in respect of the Senior Secured Obligations made by the Applicable Senior Collateral Agent or any Senior Secured Obligations Secured Party; (ii) any lawful exercise by any holder of Senior Claims of the right to credit bid Senior Claims in any sale of Collateral that is Senior Secured Obligations Collateral with respect to such Senior Claims; (iii) any other request for judicial relief made in any court by the Applicable Senior Collateral Agent or any Senior Secured Obligations Secured Party relating to the lawful enforcement of any Lien on the Senior Secured Obligations Collateral; (iv) and will consent to any sale or other disposition (or related order) of any Senior Secured Obligations Collateral (or any portion thereof) under Section 363 of the Bankruptcy Code or any other provision of the Bankruptcy Code (or any equivalent action under any other Debtor Relief Law) if the Senior Secured Obligations Secured Parties shall have consented to such sale or disposition (or related order) of such Senior Secured Obligations Collateral if such sale or other disposition is not free and clear of the Liens securing the Junior Secured Obligations or (v) any sale or other disposition (or related order) of any Senior Secured Obligations Collateral (or any portion thereof) under Section 363 of the Bankruptcy Code or any other equivalent provision of the Bankruptcy Code (or any other provision under any other Debtor Relief Law) if the Senior Secured Obligations Secured Parties shall have consented, and the related court order provides that, to the extent the sale is to be free and clear of Liens, the Liens securing the Senior Secured Obligations and the Junior Secured Obligations will attach to the proceeds of the sale on the same basis of priority as the Liens securing such Obligations on the assets being sold, in accordance with this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33" w:name="page1034"/>
    <w:bookmarkEnd w:id="1033"/>
    <w:p>
      <w:pPr>
        <w:jc w:val="both"/>
        <w:ind w:firstLine="1305"/>
        <w:spacing w:after="0" w:line="257" w:lineRule="auto"/>
        <w:tabs>
          <w:tab w:leader="none" w:pos="1821"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The Applicable Junior Collateral Agent and each Junior Secured Obligations Secured Party agrees that it will not seek relief from the automatic stay or any other stay in any Insolvency or Liquidation Proceeding (including by way of moratorium) with respect to Senior Secured Obligations Collateral without the prior consent of the Applicable Senior Collateral Agent, unless, and solely to the extent that, the Applicable Senior Collateral Agent or Senior Secured Obligations Secured Party shall obtain relief from the automatic stay (or any other stay in any Insolvency or Liquidation Proceeding) with respect to such collateral to commence a lien enforcement action.</w:t>
      </w:r>
    </w:p>
    <w:p>
      <w:pPr>
        <w:spacing w:after="0" w:line="188" w:lineRule="exact"/>
        <w:rPr>
          <w:rFonts w:ascii="Arial" w:cs="Arial" w:eastAsia="Arial" w:hAnsi="Arial"/>
          <w:sz w:val="18"/>
          <w:szCs w:val="18"/>
          <w:color w:val="auto"/>
        </w:rPr>
      </w:pPr>
    </w:p>
    <w:p>
      <w:pPr>
        <w:jc w:val="both"/>
        <w:ind w:firstLine="1305"/>
        <w:spacing w:after="0" w:line="283" w:lineRule="auto"/>
        <w:tabs>
          <w:tab w:leader="none" w:pos="1838" w:val="left"/>
        </w:tabs>
        <w:numPr>
          <w:ilvl w:val="1"/>
          <w:numId w:val="1122"/>
        </w:numPr>
        <w:rPr>
          <w:rFonts w:ascii="Arial" w:cs="Arial" w:eastAsia="Arial" w:hAnsi="Arial"/>
          <w:sz w:val="16"/>
          <w:szCs w:val="16"/>
          <w:color w:val="auto"/>
        </w:rPr>
      </w:pPr>
      <w:r>
        <w:rPr>
          <w:rFonts w:ascii="Arial" w:cs="Arial" w:eastAsia="Arial" w:hAnsi="Arial"/>
          <w:sz w:val="16"/>
          <w:szCs w:val="16"/>
          <w:color w:val="auto"/>
        </w:rPr>
        <w:t xml:space="preserve">The Applicable Junior Collateral Agent and each Junior Secured Obligations Secured Party hereby agrees that it will not, other than as set forth in </w:t>
      </w:r>
      <w:r>
        <w:rPr>
          <w:rFonts w:ascii="Arial" w:cs="Arial" w:eastAsia="Arial" w:hAnsi="Arial"/>
          <w:sz w:val="16"/>
          <w:szCs w:val="16"/>
          <w:u w:val="single" w:color="auto"/>
          <w:color w:val="auto"/>
        </w:rPr>
        <w:t>Section 2.06(b)</w:t>
      </w:r>
      <w:r>
        <w:rPr>
          <w:rFonts w:ascii="Arial" w:cs="Arial" w:eastAsia="Arial" w:hAnsi="Arial"/>
          <w:sz w:val="16"/>
          <w:szCs w:val="16"/>
          <w:color w:val="auto"/>
        </w:rPr>
        <w:t xml:space="preserve">, object to and will not otherwise contest (or support any other Person contesting): (i) any request by the Applicable Senior Collateral Agent or any Senior Secured Obligations Secured Party for adequate protection;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any ABL Secured Party, solely in its capacity as a Senior Secured Obligations Secured Party, may object to adequate protection in the form of cash payments to the extent such payment is sought to be paid from ABL Priority Collateral, any DIP Financing under </w:t>
      </w:r>
      <w:r>
        <w:rPr>
          <w:rFonts w:ascii="Arial" w:cs="Arial" w:eastAsia="Arial" w:hAnsi="Arial"/>
          <w:sz w:val="16"/>
          <w:szCs w:val="16"/>
          <w:u w:val="single" w:color="auto"/>
          <w:color w:val="auto"/>
        </w:rPr>
        <w:t>Section 2.06(b)(i)</w:t>
      </w:r>
      <w:r>
        <w:rPr>
          <w:rFonts w:ascii="Arial" w:cs="Arial" w:eastAsia="Arial" w:hAnsi="Arial"/>
          <w:sz w:val="16"/>
          <w:szCs w:val="16"/>
          <w:color w:val="auto"/>
        </w:rPr>
        <w:t xml:space="preserve"> or the proceeds thereof and (2) any LC Secured Party, solely in its capacity as a Senior Secured Obligations Secured Party, may object to adequate protection in the form of cash payments to the extent such payment is sought to be paid from LC Priority Collateral, any DIP Financing under </w:t>
      </w:r>
      <w:r>
        <w:rPr>
          <w:rFonts w:ascii="Arial" w:cs="Arial" w:eastAsia="Arial" w:hAnsi="Arial"/>
          <w:sz w:val="16"/>
          <w:szCs w:val="16"/>
          <w:u w:val="single" w:color="auto"/>
          <w:color w:val="auto"/>
        </w:rPr>
        <w:t>Section 2.06(b)(ii)</w:t>
      </w:r>
      <w:r>
        <w:rPr>
          <w:rFonts w:ascii="Arial" w:cs="Arial" w:eastAsia="Arial" w:hAnsi="Arial"/>
          <w:sz w:val="16"/>
          <w:szCs w:val="16"/>
          <w:color w:val="auto"/>
        </w:rPr>
        <w:t xml:space="preserve"> or the proceeds thereof or (ii) any objection by the Applicable Senior Collateral Agent or any Senior Secured Obligations Secured Party to any motion, relief, action or proceeding based on the Applicable Senior Collateral Agent or any Senior Secured Obligations Secured Party claiming a lack of adequate protection. Notwithstanding the foregoing, in any Insolvency or Liquidation Proceeding, (x) if the Senior Secured Obligations Secured Parties (or any subset thereof) are granted adequate protection in the form of a replacement lien or additional collateral in connection with any DIP Financing or use of cash collateral under Section 363 or Section 364 of the Bankruptcy Code or any similar law, then the Applicable Junior Collateral Agent may seek or request adequate protection in the form of a replacement Lien on such additional collateral, so long as, with respect to the Senior Secured Obligations Collateral, such Lien is subordinated to the Liens securing the Senior Secured Obligations and such DIP Financing (and all obligations relating thereto), on the same basis as the other Liens securing Junior Secured Obligations on the Senior Secured Obligations Collateral are subordinated to the Liens on Senior Secured Obligations Collateral securing the Senior Secured Obligations under this Agreement;</w:t>
      </w:r>
    </w:p>
    <w:p>
      <w:pPr>
        <w:spacing w:after="0" w:line="1" w:lineRule="exact"/>
        <w:rPr>
          <w:rFonts w:ascii="Arial" w:cs="Arial" w:eastAsia="Arial" w:hAnsi="Arial"/>
          <w:sz w:val="16"/>
          <w:szCs w:val="16"/>
          <w:color w:val="auto"/>
        </w:rPr>
      </w:pPr>
    </w:p>
    <w:p>
      <w:pPr>
        <w:jc w:val="both"/>
        <w:ind w:firstLine="8"/>
        <w:spacing w:after="0" w:line="284" w:lineRule="auto"/>
        <w:tabs>
          <w:tab w:leader="none" w:pos="284" w:val="left"/>
        </w:tabs>
        <w:numPr>
          <w:ilvl w:val="0"/>
          <w:numId w:val="1123"/>
        </w:numPr>
        <w:rPr>
          <w:rFonts w:ascii="Arial" w:cs="Arial" w:eastAsia="Arial" w:hAnsi="Arial"/>
          <w:sz w:val="16"/>
          <w:szCs w:val="16"/>
          <w:color w:val="auto"/>
        </w:rPr>
      </w:pPr>
      <w:r>
        <w:rPr>
          <w:rFonts w:ascii="Arial" w:cs="Arial" w:eastAsia="Arial" w:hAnsi="Arial"/>
          <w:sz w:val="16"/>
          <w:szCs w:val="16"/>
          <w:color w:val="auto"/>
        </w:rPr>
        <w:t>in the event the Applicable Junior Collateral Agent seeks or requests adequate protection and such adequate protection is granted in the form of a replacement lien or additional collateral, then the Applicable Junior Collateral Agent and the Junior Secured Obligations Secured Parties hereby agree that the Senior Secured Obligations Secured Parties shall also be granted a Lien on such additional collateral as security for the Senior Secured Obligations and any such DIP Financing and that any Lien on such additional collateral that constitutes Senior Secured Obligations Collateral securing the Junior Secured Obligations shall be subordinated to the Liens on such collateral securing the Senior Secured Obligations and any such DIP Financing (and all obligations relating thereto) and any other Liens on Senior Secured Obligations Collateral granted to the holders of Senior Secured Obligations as adequate protection on the same basis as the Liens securing Junior Secured Obligations are so subordinated to the Liens securing the Senior Secured Obligations under this Agreement; (z) any adequate protection granted in favor of any Senior Secured Obligations Secured Party in the form of a superpriority or other administrative expense claim and any claim in favor of any Senior Secured Obligations Secured Party arising under Section 507(b) of the Bankruptcy Code (or similar Debtor Relief Laws) (collectively, “</w:t>
      </w:r>
      <w:r>
        <w:rPr>
          <w:rFonts w:ascii="Arial" w:cs="Arial" w:eastAsia="Arial" w:hAnsi="Arial"/>
          <w:sz w:val="16"/>
          <w:szCs w:val="16"/>
          <w:u w:val="single" w:color="auto"/>
          <w:color w:val="auto"/>
        </w:rPr>
        <w:t>Senior 507(b) Claims</w:t>
      </w:r>
      <w:r>
        <w:rPr>
          <w:rFonts w:ascii="Arial" w:cs="Arial" w:eastAsia="Arial" w:hAnsi="Arial"/>
          <w:sz w:val="16"/>
          <w:szCs w:val="16"/>
          <w:color w:val="auto"/>
        </w:rPr>
        <w:t>”) shall be senior to and have priority of payment over any superpriority or other administrative expense claim and any claim arising under Section 507(b) of the Bankruptcy Code (or similar Debtor Relief Laws) in favor of any Junior Secured Obligations Secured Party (collectively, “</w:t>
      </w:r>
      <w:r>
        <w:rPr>
          <w:rFonts w:ascii="Arial" w:cs="Arial" w:eastAsia="Arial" w:hAnsi="Arial"/>
          <w:sz w:val="16"/>
          <w:szCs w:val="16"/>
          <w:u w:val="single" w:color="auto"/>
          <w:color w:val="auto"/>
        </w:rPr>
        <w:t>Junior 507(b) Claims</w:t>
      </w:r>
      <w:r>
        <w:rPr>
          <w:rFonts w:ascii="Arial" w:cs="Arial" w:eastAsia="Arial" w:hAnsi="Arial"/>
          <w:sz w:val="16"/>
          <w:szCs w:val="16"/>
          <w:color w:val="auto"/>
        </w:rPr>
        <w:t xml:space="preserve">”). The holders of the Junior 507(b) Claims agree that, in connection with any Plan of Reorganization in any Insolvency or Liquidation Proceeding, such Junior 507(b) Claims may be paid in any combination of cash, securities, or other property having a present value equal to the amount of such Junior 507(b) Claims as of the effective date of such plan. For the avoidance of doubt, as between the ABL Secured Parties and LC Secured Parties, all Senior 507(b) Claims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Senior 507(b) Claims held by the other Class, and all Junior 507(b) Claims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Junior 507(b) Claims held by the other Class.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4" w:name="page1035"/>
    <w:bookmarkEnd w:id="1034"/>
    <w:p>
      <w:pPr>
        <w:jc w:val="both"/>
        <w:ind w:firstLine="1305"/>
        <w:spacing w:after="0" w:line="291" w:lineRule="auto"/>
        <w:tabs>
          <w:tab w:leader="none" w:pos="1832" w:val="left"/>
        </w:tabs>
        <w:numPr>
          <w:ilvl w:val="0"/>
          <w:numId w:val="1124"/>
        </w:numPr>
        <w:rPr>
          <w:rFonts w:ascii="Arial" w:cs="Arial" w:eastAsia="Arial" w:hAnsi="Arial"/>
          <w:sz w:val="16"/>
          <w:szCs w:val="16"/>
          <w:color w:val="auto"/>
        </w:rPr>
      </w:pPr>
      <w:r>
        <w:rPr>
          <w:rFonts w:ascii="Arial" w:cs="Arial" w:eastAsia="Arial" w:hAnsi="Arial"/>
          <w:sz w:val="16"/>
          <w:szCs w:val="16"/>
          <w:color w:val="auto"/>
        </w:rPr>
        <w:t xml:space="preserve">The Applicable Junior Collateral Agent and each Junior Secured Obligations Secured Party hereby agrees that (i) it will not oppose or seek to challenge any claim by the Applicable Senior Collateral Agent or any Senior Secured Obligations Secured Party for allowance of Senior Secured Obligations consisting of post-petition interest, costs, fees, charges, or expenses and (ii) until the Discharge of Senior Secured Obligations has occurred, the Applicable Junior Collateral Agent, on behalf of itself and the Junior Secured Obligations Secured Parties, will not assert or enforce any claim under Section 506(c) of the Bankruptcy Code (or any similar provision of any other Debtor Relief Laws) senior to or on a parity with the Liens on Senior Secured Obligations Collateral securing the Senior Secured Obligations for costs or expenses of preserving or disposing of any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any amounts received by the Applicable Senior Collateral Agent pursuant to such a claim shall in all cases be subject to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5" w:name="page1036"/>
    <w:bookmarkEnd w:id="1035"/>
    <w:p>
      <w:pPr>
        <w:jc w:val="both"/>
        <w:ind w:firstLine="1305"/>
        <w:spacing w:after="0" w:line="286" w:lineRule="auto"/>
        <w:tabs>
          <w:tab w:leader="none" w:pos="1821" w:val="left"/>
        </w:tabs>
        <w:numPr>
          <w:ilvl w:val="0"/>
          <w:numId w:val="1125"/>
        </w:numPr>
        <w:rPr>
          <w:rFonts w:ascii="Arial" w:cs="Arial" w:eastAsia="Arial" w:hAnsi="Arial"/>
          <w:sz w:val="16"/>
          <w:szCs w:val="16"/>
          <w:color w:val="auto"/>
        </w:rPr>
      </w:pPr>
      <w:r>
        <w:rPr>
          <w:rFonts w:ascii="Arial" w:cs="Arial" w:eastAsia="Arial" w:hAnsi="Arial"/>
          <w:sz w:val="16"/>
          <w:szCs w:val="16"/>
          <w:color w:val="auto"/>
        </w:rPr>
        <w:t>The LC Collateral Agent, on behalf of the LC Secured Parties, and the ABL Collateral Agent, on behalf of the ABL Secured Parties, acknowledge and intend that the grants of Liens pursuant to the LC Security Documents, on the one hand, and the ABL Security Documents, on the other hand, constitute separate and distinct grants of Liens, and because of, among other things, their differing rights in the Collateral, the LC Obligations are fundamentally different from the ABL Obligations and must be separately classified in any Plan of Reorganization proposed or confirmed (or approved) in an Insolvency or Liquidation Proceeding. To further effectuate the intent of the parties as provided in the immediately preceding sentence, if it is held that the claims of the ABL Secured Parties and the LC Secured Parties in respect of any Collateral constitute claims in the same class (rather than separate classes of senior and junior secured claims), then the ABL Secured Parties and the LC Secured Parties hereby acknowledge and agree that all distributions shall be made as if there were separate classes of ABL Obligations and LC Obligations against the Grantors (with the effect being that, to the extent that the aggregate value of the ABL Priority Collateral or the LC Priority Collateral is sufficient (for this purpose ignoring all claims held by the other Secured Parties for whom such Collateral is Junior Secured Obligations Collateral), the ABL Secured Parties or the LC Secured Parties, respectively, shall be entitled to receive, in addition to amounts distributed to them in respect of principal, pre-petition interest and other claims, all amounts owing in respect of post-petition interest, costs, fees, charges, or expenses that are available from the Senior Secured Obligations Collateral for each of the ABL Secured Parties and the LC Secured Parties, respectively, before any distribution is made in respect of the Junior Claims with respect to such Collateral, with the holder of such Junior Claims hereby acknowledging and agreeing to turn over to the Junior Secured Obligations Secured Parties amounts otherwise received or receivable by them to the extent necessary to effectuate the intent of this sentence, even if such turnover has the effect of reducing the aggregate recoveries).</w:t>
      </w:r>
    </w:p>
    <w:p>
      <w:pPr>
        <w:spacing w:after="0" w:line="168" w:lineRule="exact"/>
        <w:rPr>
          <w:rFonts w:ascii="Arial" w:cs="Arial" w:eastAsia="Arial" w:hAnsi="Arial"/>
          <w:sz w:val="16"/>
          <w:szCs w:val="16"/>
          <w:color w:val="auto"/>
        </w:rPr>
      </w:pPr>
    </w:p>
    <w:p>
      <w:pPr>
        <w:jc w:val="both"/>
        <w:ind w:firstLine="1305"/>
        <w:spacing w:after="0" w:line="271" w:lineRule="auto"/>
        <w:tabs>
          <w:tab w:leader="none" w:pos="1875" w:val="left"/>
        </w:tabs>
        <w:numPr>
          <w:ilvl w:val="0"/>
          <w:numId w:val="1125"/>
        </w:numPr>
        <w:rPr>
          <w:rFonts w:ascii="Arial" w:cs="Arial" w:eastAsia="Arial" w:hAnsi="Arial"/>
          <w:sz w:val="17"/>
          <w:szCs w:val="17"/>
          <w:color w:val="auto"/>
        </w:rPr>
      </w:pPr>
      <w:r>
        <w:rPr>
          <w:rFonts w:ascii="Arial" w:cs="Arial" w:eastAsia="Arial" w:hAnsi="Arial"/>
          <w:sz w:val="17"/>
          <w:szCs w:val="17"/>
          <w:color w:val="auto"/>
        </w:rPr>
        <w:t>If, in any Insolvency or Liquidation Proceeding, debt obligations of the reorganized debtor secured by Liens upon any property of the reorganized debtor are distributed pursuant to a Plan of Reorganization (or any form of Court-sanctioned restructuring permitted under any applicable law), both on account of the ABL Obligations and on account of the LC Obligations, then, to the extent the debt obligations distributed on account of the ABL Obligations and on account of the LC Obligations are secured by Liens upon the Collateral, the provisions of this Agreement will survive the distribution of such debt obligations pursuant to such plan and will apply with like effect to the debt obligations so distributed, to the Liens securing such debt obligations and the distribution of proceeds thereof. The provisions of section 1129(b)(1) of the Bankruptcy Code notwithstanding, Junior Secured Obligations Secured Parties shall not propose, support or vote in favor of any Plan of Reorganization that would result in a modification of or otherwise be inconsistent with Sections 2.01, 2.02, and 2.06(h) of this Agreement.</w:t>
      </w:r>
    </w:p>
    <w:p>
      <w:pPr>
        <w:spacing w:after="0" w:line="178" w:lineRule="exact"/>
        <w:rPr>
          <w:rFonts w:ascii="Arial" w:cs="Arial" w:eastAsia="Arial" w:hAnsi="Arial"/>
          <w:sz w:val="17"/>
          <w:szCs w:val="17"/>
          <w:color w:val="auto"/>
        </w:rPr>
      </w:pPr>
    </w:p>
    <w:p>
      <w:pPr>
        <w:jc w:val="both"/>
        <w:ind w:firstLine="1305"/>
        <w:spacing w:after="0" w:line="289" w:lineRule="auto"/>
        <w:tabs>
          <w:tab w:leader="none" w:pos="1876" w:val="left"/>
        </w:tabs>
        <w:numPr>
          <w:ilvl w:val="0"/>
          <w:numId w:val="1125"/>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Sections 2.02(a) and 2.02(b), 2.04(a) and 2.06(b), (c) (e) and (f) or otherwise, both before and during an Insolvency or Liquidation Proceeding, any of the Junior Secured Obligations Secured Parties may take any actions and exercise any and all rights that would be available to a holder of unsecured claims, including, without limitation, the commencement of an Insolvency or Liquidation Proceeding against any Grantor in accordance with applicable law (including the Debtor Relief Laws of any applicable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Junior Secured Obligations Secured Parties may not take any of the actions that is inconsistent with the terms of this Agreement, including without limitation, such actions prohibited by Sections 2.02(a) and 2.02(b), Section 2.04(a) or Section 2.06(b), (c), (e) and (f);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event that any of the Junior Secured Obligations Secured Parties becomes a judgment lien creditor in respect of any Collateral as a result of its enforcement of its rights as an unsecured creditor with respect to the Junior Secured Obligations, such judgment lien shall be subject to the terms of this Agreement for all purposes (including in relation to the Senior Secured Obligations) as the other Liens securing the Junior Secured Obligations are subject to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6" w:name="page1037"/>
    <w:bookmarkEnd w:id="1036"/>
    <w:p>
      <w:pPr>
        <w:jc w:val="both"/>
        <w:ind w:firstLine="1297"/>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b w:val="1"/>
          <w:bCs w:val="1"/>
          <w:i w:val="1"/>
          <w:iCs w:val="1"/>
          <w:color w:val="auto"/>
        </w:rPr>
        <w:t>Reinstatement</w:t>
      </w:r>
      <w:r>
        <w:rPr>
          <w:rFonts w:ascii="Arial" w:cs="Arial" w:eastAsia="Arial" w:hAnsi="Arial"/>
          <w:sz w:val="18"/>
          <w:szCs w:val="18"/>
          <w:color w:val="auto"/>
        </w:rPr>
        <w:t>. In the event that any of the Senior Secured Obligations shall be paid in full and such payment or any part thereof shall subsequently, for whatever reason (including an order or judgment for disgorgement of a preference under any Debtor Relief Law, or the settlement of any claim in respect thereof), be required to be returned or repaid, the terms and conditions of this Article II shall be fully applicable thereto until all such Senior Secured Obligations shall again have been irrevocably paid in full in cash.</w:t>
      </w:r>
    </w:p>
    <w:p>
      <w:pPr>
        <w:spacing w:after="0" w:line="18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b w:val="1"/>
          <w:bCs w:val="1"/>
          <w:i w:val="1"/>
          <w:iCs w:val="1"/>
          <w:color w:val="auto"/>
        </w:rPr>
        <w:t>Entry Upon Premises by the ABL Collateral Agent</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86" w:lineRule="auto"/>
        <w:tabs>
          <w:tab w:leader="none" w:pos="1847" w:val="left"/>
        </w:tabs>
        <w:numPr>
          <w:ilvl w:val="1"/>
          <w:numId w:val="1126"/>
        </w:numPr>
        <w:rPr>
          <w:rFonts w:ascii="Arial" w:cs="Arial" w:eastAsia="Arial" w:hAnsi="Arial"/>
          <w:sz w:val="16"/>
          <w:szCs w:val="16"/>
          <w:color w:val="auto"/>
        </w:rPr>
      </w:pPr>
      <w:r>
        <w:rPr>
          <w:rFonts w:ascii="Arial" w:cs="Arial" w:eastAsia="Arial" w:hAnsi="Arial"/>
          <w:sz w:val="16"/>
          <w:szCs w:val="16"/>
          <w:color w:val="auto"/>
        </w:rPr>
        <w:t>If the ABL Collateral Agent takes any enforcement action with respect to the ABL Priority Collateral, the LC Secured Parties (i) shall cooperate with the ABL Collateral Agent (subject to the condition that the LC Secured Parties shall have no obligation or duty to take any action or refrain from taking any action that could reasonably be expected to result in the incurrence of any unreimbursed liability or damage to the LC Secured Parties) in its efforts to enforce its security interest in the ABL Priority Collateral, including to finish any work-in-process and assemble the ABL Priority Collateral,</w:t>
      </w:r>
    </w:p>
    <w:p>
      <w:pPr>
        <w:spacing w:after="0" w:line="1" w:lineRule="exact"/>
        <w:rPr>
          <w:rFonts w:ascii="Arial" w:cs="Arial" w:eastAsia="Arial" w:hAnsi="Arial"/>
          <w:sz w:val="16"/>
          <w:szCs w:val="16"/>
          <w:color w:val="auto"/>
        </w:rPr>
      </w:pPr>
    </w:p>
    <w:p>
      <w:pPr>
        <w:jc w:val="both"/>
        <w:ind w:firstLine="8"/>
        <w:spacing w:after="0" w:line="266" w:lineRule="auto"/>
        <w:tabs>
          <w:tab w:leader="none" w:pos="267" w:val="left"/>
        </w:tabs>
        <w:numPr>
          <w:ilvl w:val="0"/>
          <w:numId w:val="1127"/>
        </w:numPr>
        <w:rPr>
          <w:rFonts w:ascii="Arial" w:cs="Arial" w:eastAsia="Arial" w:hAnsi="Arial"/>
          <w:sz w:val="17"/>
          <w:szCs w:val="17"/>
          <w:color w:val="auto"/>
        </w:rPr>
      </w:pPr>
      <w:r>
        <w:rPr>
          <w:rFonts w:ascii="Arial" w:cs="Arial" w:eastAsia="Arial" w:hAnsi="Arial"/>
          <w:sz w:val="17"/>
          <w:szCs w:val="17"/>
          <w:color w:val="auto"/>
        </w:rPr>
        <w:t xml:space="preserve">shall not take or direct the LC Collateral Agent (including any receiver, receiver and manager, interim receiver or agent appointed by it) to take any action designed or intended to hinder or restrict in any respect the ABL Collateral Agent (including any receiver, receiver and manager, interim receiver or agent appointed by it) from enforcing its security interest in the ABL Priority Collateral, including finishing any work-in- process or assembling the ABL Priority Collateral, and (iii) shall permit and direct the LC Collateral Agent, and each other LC Collateral Agent (including any receiver, receiver and manager, interim receiver delegate or agent they may appoint) to permit the ABL Collateral Agent, and their respective employees, advisers and representatives (and including any receiver, receiver and manager, interim receiver delegate or agent they may appoint), upon reasonable advance notice, to enter upon and use the LC Priority Collateral (including (x) equipment, processors, computers and other machinery related to the storage or processing of records, documents or files and (y) intellectual property) for a period not to exceed 180 days (except with respect to intellectual property, which use shall be permitted in accordance by Section 2.08(c)) after the taking of such enforcement action, for purposes (to the extent permitted under applicable law) of (A) assembling and storing the ABL Priority Collateral and completing the processing of and turning into finished goods of any ABL Priority Collateral consisting of work-in-process, (B) selling any or all of the ABL Priority Collateral located on such LC Priority Collateral, whether in bulk, in lots or to customers in the ordinary course of business or otherwise, (C) removing any or all of the ABL Priority Collateral located on such LC Priority Collateral, or (D) taking reasonable actions to protect, secure, and otherwise enforce the rights and remedies of the ABL Secured Parties and the ABL Collateral Agent in and to and relating to the ABL Priority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in this Agreement shall restrict the rights of a LC Collateral Agent (acting on the instructions of the applicable LC Secured Parties) from selling, assigning or otherwise transferring any LC Priority Collateral prior to the expiration of such 180-day period if the purchaser, assignee or transferee thereof agrees to be bound by the provisions of this Section. If any stay or other order prohibiting the exercise of remedies with respect to the ABL Priority Collateral has been entered by a court of competent jurisdiction, such 180-day period shall be tolled during the pendency of any such stay or other order. If the ABL Collateral Agent (including any receiver, receiver and manager, interim receiver or agent appointed by it) conducts a public auction or private sale of the ABL Priority Collateral at any of the real property included within the LC Priority Collateral, the ABL Collateral Agent shall use reasonable efforts to hold such auction or sale in a manner which would not unduly disrupt any LC Collateral Agent’s use of such real property for the benefit of the LC Secured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7" w:name="page1038"/>
    <w:bookmarkEnd w:id="1037"/>
    <w:p>
      <w:pPr>
        <w:jc w:val="both"/>
        <w:ind w:firstLine="1305"/>
        <w:spacing w:after="0" w:line="286" w:lineRule="auto"/>
        <w:tabs>
          <w:tab w:leader="none" w:pos="1875" w:val="left"/>
        </w:tabs>
        <w:numPr>
          <w:ilvl w:val="0"/>
          <w:numId w:val="1128"/>
        </w:numPr>
        <w:rPr>
          <w:rFonts w:ascii="Arial" w:cs="Arial" w:eastAsia="Arial" w:hAnsi="Arial"/>
          <w:sz w:val="16"/>
          <w:szCs w:val="16"/>
          <w:color w:val="auto"/>
        </w:rPr>
      </w:pPr>
      <w:r>
        <w:rPr>
          <w:rFonts w:ascii="Arial" w:cs="Arial" w:eastAsia="Arial" w:hAnsi="Arial"/>
          <w:sz w:val="16"/>
          <w:szCs w:val="16"/>
          <w:color w:val="auto"/>
        </w:rPr>
        <w:t>During the period of actual occupation, use or control by the ABL Secured Parties or their agents or representatives (including the ABL Collateral Agent to the extent acting on behalf of such parties and including any receiver, receiver and manager, interim receiver, delegate or agent they may appoint) of any LC Priority Collateral, the ABL Secured Parties shall be obligated to (i) pay any rent, utilities or other costs and expenses necessary for LC Collateral Agent to access such LC Priority Collateral and (ii) repair at their expense any physical damage to such LC Priority Collateral or other assets or property resulting from such occupancy, use or control, and to leave such LC Priority Collateral or other assets or property in substantially the same condition as it was at the commencement of such occupancy, use or control, ordinary wear and tear excepted. Notwithstanding the foregoing, in no event shall the ABL Secured Parties have any liability to the LC Secured Parties pursuant to this Section as a result of any condition (including any environmental condition, claim or liability) on or with respect to the LC Priority Collateral existing prior to the date of the exercise by the ABL Secured Parties of their rights under this Section, and the ABL Secured Parties shall have no duty or liability to maintain the LC Priority Collateral in a condition or manner better than that in which it was maintained prior to the use thereof by the ABL Secured Parties, or for any diminution in the value of the LC Priority Collateral that results solely from ordinary wear and tear resulting from the use of the LC Priority Collateral by the ABL Secured Parties in the manner and for the time periods specified under this Section 2.08 or the absence of the ABL Priority Collateral therefrom. Without limiting the rights granted in this paragraph, the ABL Secured Parties shall cooperate with the LC Collateral Agent (subject to the condition that the ABL Secured Parties shall have no obligation or duty to take any action or refrain from taking any action that could reasonably be expected to result in the incurrence of any unreimbursed liability or damage to the ABL Secured Parties) in connection with any efforts made by it to cause the LC Priority Collateral to be sold.</w:t>
      </w:r>
    </w:p>
    <w:p>
      <w:pPr>
        <w:spacing w:after="0" w:line="168" w:lineRule="exact"/>
        <w:rPr>
          <w:rFonts w:ascii="Arial" w:cs="Arial" w:eastAsia="Arial" w:hAnsi="Arial"/>
          <w:sz w:val="16"/>
          <w:szCs w:val="16"/>
          <w:color w:val="auto"/>
        </w:rPr>
      </w:pPr>
    </w:p>
    <w:p>
      <w:pPr>
        <w:jc w:val="both"/>
        <w:ind w:firstLine="1305"/>
        <w:spacing w:after="0" w:line="269" w:lineRule="auto"/>
        <w:tabs>
          <w:tab w:leader="none" w:pos="1892" w:val="left"/>
        </w:tabs>
        <w:numPr>
          <w:ilvl w:val="0"/>
          <w:numId w:val="1128"/>
        </w:numPr>
        <w:rPr>
          <w:rFonts w:ascii="Arial" w:cs="Arial" w:eastAsia="Arial" w:hAnsi="Arial"/>
          <w:sz w:val="17"/>
          <w:szCs w:val="17"/>
          <w:color w:val="auto"/>
        </w:rPr>
      </w:pPr>
      <w:r>
        <w:rPr>
          <w:rFonts w:ascii="Arial" w:cs="Arial" w:eastAsia="Arial" w:hAnsi="Arial"/>
          <w:sz w:val="17"/>
          <w:szCs w:val="17"/>
          <w:color w:val="auto"/>
        </w:rPr>
        <w:t xml:space="preserve">In addition, the LC Secured Parties and their respective Senior Representatives hereby grant to the ABL Collateral Agent and the ABL Secured Parties a non- exclusive worldwide license or right to use, to the maximum extent permitted by applicable law and to the extent of their interest therein, exercisable without payment of royalty or other compensation, any of the LC Priority Collateral consisting of intellectual property in connection with the liquidation, collection, disposition or other realization upon the ABL Priority Collateral pursuant to any enforcement action by the ABL Collateral Agent and the ABL Secured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such non-exclusive license shall immediately expire upon the sale, lease, transfer or other disposition of all such ABL Priority Collateral or upon the Discharge of the ABL Obligations and shall not extend or transfer to the purchaser of such ABL Priority Collateral (other than any rights to use such intellectual property as may exist in favor of any bona fide purchaser under applicable law). The ABL Collateral Agent’s use of such intellectual property shall be lawful, and any such license is granted on an “AS IS” basis, without any representation or warranty whatsoever. Furthermore, each LC Collateral Agent agrees that, in connection with any exercise of remedies available to any LC Collateral Agent in respect of LC Priority Collateral, such LC Collateral Agent shall provide written notice to any purchaser, assignee or transferee of intellectual property pursuant to such exercise of remedies, that the applicable intellectual property is subject to such license.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8" w:name="page1039"/>
    <w:bookmarkEnd w:id="1038"/>
    <w:p>
      <w:pPr>
        <w:jc w:val="both"/>
        <w:ind w:firstLine="1297"/>
        <w:spacing w:after="0" w:line="270"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i w:val="1"/>
          <w:iCs w:val="1"/>
          <w:color w:val="auto"/>
        </w:rPr>
        <w:t>Insurance</w:t>
      </w:r>
      <w:r>
        <w:rPr>
          <w:rFonts w:ascii="Arial" w:cs="Arial" w:eastAsia="Arial" w:hAnsi="Arial"/>
          <w:sz w:val="17"/>
          <w:szCs w:val="17"/>
          <w:color w:val="auto"/>
        </w:rPr>
        <w:t>. Unless and until the ABL Obligations have been Discharged, as between the ABL Collateral Agent, on the one hand, and the LC Collateral Agent, on the other hand, only the ABL Collateral Agent will have the right (subject to the rights of the Grantors under the ABL Documents and the LC Documents) to adjust or settle any insurance policy or claim covering or constituting ABL Priority Collateral in the event of any loss thereunder and to approve any award granted in any condemnation or similar proceeding affecting the ABL Priority Collateral. Unless and until the LC Obligations have been Discharged, as between the ABL Collateral Agent, on the one hand, and the LC Collateral Agent, on the other hand, only the LC Collateral Agent will have the right (subject to the rights of the Grantors under the ABL Documents and the LC Documents) to adjust or settle any insurance policy covering or constituting LC Priority Collateral in the event of any loss thereunder and to approve any award granted in any condemnation or similar proceeding solely affecting the LC Priority Collateral. To the extent that an insured loss covers or constitutes ABL Priority Collateral and LC Priority Collateral, then the ABL Collateral Agent and the LC Collateral Agent will work jointly and in good faith to collect, adjust or settle (subject to the rights of the Grantors under the ABL Documents and the LC Obligations Documents) under the relevant insurance policy.</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i w:val="1"/>
          <w:iCs w:val="1"/>
          <w:color w:val="auto"/>
        </w:rPr>
        <w:t>Refinancings</w:t>
      </w:r>
      <w:r>
        <w:rPr>
          <w:rFonts w:ascii="Arial" w:cs="Arial" w:eastAsia="Arial" w:hAnsi="Arial"/>
          <w:sz w:val="17"/>
          <w:szCs w:val="17"/>
          <w:color w:val="auto"/>
        </w:rPr>
        <w:t xml:space="preserve">. Each of the ABL Obligations and the LC Obligations and the agreements governing them may be Refinanced, in each case without notice to, or the consent (except to the extent a consent is otherwise required to permit the Refinancing transaction under any ABL Document or any LC Obligations Document, as in effect on the date hereof or as may be amended in accordance with the terms hereof) of, any ABL Secured Party or any LC Secured Party, all without affecting the priorities provided for herein or the other provisions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holders of any such Refinancing indebtedness (or an authorized agent or trustee on their behalf) bind themselves in writing (to the extent they are not already so bound) to the terms of this Agreement pursuant to a joinder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such other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at the request and sole expense of the Parent, and without the consent (except to the extent a consent is otherwise required to permit such Refinancing transaction under any ABL Document or any LC Obligations Document, and other than the consent of each Applicable Senior Collateral Agent, whose consent shall still be required to the extent set forth in the proviso of the immediately preceding sentence) of any Representative, (a) to add parties (or any authorized agent or trustee therefor) providing any such Refinancing, (b) to confirm that such Refinancing indebtedness in respect of any LC Obligations shall have the same rights and priorities in respect of any LC Priority Collateral as the indebtedness being Refinanced and (c) to confirm that such Refinancing indebtedness in respect of any ABL Obligations shall have the same rights and priorities in respect of any ABL Priority Collateral as the indebtedness being Refinanced, all on the terms provided for herein immediately prior to such Refinancing. Any such additional party and each Applicable Senior Collateral Agent shall be entitled to rely on the determination of officers of the Parent that such modifications do not violate the ABL Documents or the LC Documents if such determination is set forth in an officers’ certificate delivered to such party and each Applicable Senior Collateral Agent;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such determination will not affect whether or not the Parent and the Grantors have complied with their undertakings in any such document or this Agreement. In connection with the delivery of a joinder as set forth above, the Parent shall deliver an officer’s certificate to each Collateral Agent certifying that the Refinancing, including the incurrence of indebtedness and the incurrence of liens in respect thereof, qualifies as a Refinancing as defined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39" w:name="page1040"/>
    <w:bookmarkEnd w:id="1039"/>
    <w:p>
      <w:pPr>
        <w:ind w:left="1300"/>
        <w:spacing w:after="0"/>
        <w:tabs>
          <w:tab w:leader="none" w:pos="27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b w:val="1"/>
          <w:bCs w:val="1"/>
          <w:i w:val="1"/>
          <w:iCs w:val="1"/>
          <w:color w:val="auto"/>
        </w:rPr>
        <w:t>Amendments to Security Documents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9" w:lineRule="auto"/>
        <w:tabs>
          <w:tab w:leader="none" w:pos="1852" w:val="left"/>
        </w:tabs>
        <w:numPr>
          <w:ilvl w:val="0"/>
          <w:numId w:val="1129"/>
        </w:numPr>
        <w:rPr>
          <w:rFonts w:ascii="Arial" w:cs="Arial" w:eastAsia="Arial" w:hAnsi="Arial"/>
          <w:sz w:val="18"/>
          <w:szCs w:val="18"/>
          <w:color w:val="auto"/>
        </w:rPr>
      </w:pPr>
      <w:r>
        <w:rPr>
          <w:rFonts w:ascii="Arial" w:cs="Arial" w:eastAsia="Arial" w:hAnsi="Arial"/>
          <w:sz w:val="18"/>
          <w:szCs w:val="18"/>
          <w:color w:val="auto"/>
        </w:rPr>
        <w:t>Subject to paragraph (c) below, each of the LC Collateral Agent and other LC Secured Parties agrees that, without the prior written consent of the ABL Collateral Agent, no LC Security Document to which such LC Collateral Agent or LC Secured Party is party may be amended, supplemented or otherwise modified or entered into to the extent such amendment, supplement or modification or the terms of any new LC Security Document would be prohibited by or inconsistent with any of the terms of this Agreement.</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929" w:val="left"/>
        </w:tabs>
        <w:numPr>
          <w:ilvl w:val="0"/>
          <w:numId w:val="1129"/>
        </w:numPr>
        <w:rPr>
          <w:rFonts w:ascii="Arial" w:cs="Arial" w:eastAsia="Arial" w:hAnsi="Arial"/>
          <w:sz w:val="17"/>
          <w:szCs w:val="17"/>
          <w:color w:val="auto"/>
        </w:rPr>
      </w:pPr>
      <w:r>
        <w:rPr>
          <w:rFonts w:ascii="Arial" w:cs="Arial" w:eastAsia="Arial" w:hAnsi="Arial"/>
          <w:sz w:val="17"/>
          <w:szCs w:val="17"/>
          <w:color w:val="auto"/>
        </w:rPr>
        <w:t>Subject to paragraph (c) below, each of the ABL Collateral Agent and other ABL Secured Parties agrees that, without the prior written consent of the LC Collateral Agent and each LC Collateral Agent, no ABL Security Document to which the ABL Collateral Agent or ABL Secured Parties are party may be amended, supplemented or otherwise modified or entered into to the extent such amendment, supplement or modification or the terms of any new ABL Security Document would be prohibited by or inconsistent with any of the terms of this Agreement.</w:t>
      </w:r>
    </w:p>
    <w:p>
      <w:pPr>
        <w:spacing w:after="0" w:line="171" w:lineRule="exact"/>
        <w:rPr>
          <w:rFonts w:ascii="Arial" w:cs="Arial" w:eastAsia="Arial" w:hAnsi="Arial"/>
          <w:sz w:val="17"/>
          <w:szCs w:val="17"/>
          <w:color w:val="auto"/>
        </w:rPr>
      </w:pPr>
    </w:p>
    <w:p>
      <w:pPr>
        <w:jc w:val="both"/>
        <w:ind w:firstLine="1305"/>
        <w:spacing w:after="0" w:line="287" w:lineRule="auto"/>
        <w:tabs>
          <w:tab w:leader="none" w:pos="1892" w:val="left"/>
        </w:tabs>
        <w:numPr>
          <w:ilvl w:val="0"/>
          <w:numId w:val="1129"/>
        </w:numPr>
        <w:rPr>
          <w:rFonts w:ascii="Arial" w:cs="Arial" w:eastAsia="Arial" w:hAnsi="Arial"/>
          <w:sz w:val="16"/>
          <w:szCs w:val="16"/>
          <w:color w:val="auto"/>
        </w:rPr>
      </w:pPr>
      <w:r>
        <w:rPr>
          <w:rFonts w:ascii="Arial" w:cs="Arial" w:eastAsia="Arial" w:hAnsi="Arial"/>
          <w:sz w:val="16"/>
          <w:szCs w:val="16"/>
          <w:color w:val="auto"/>
        </w:rPr>
        <w:t xml:space="preserve">In the event that any Senior Collateral Agent or Senior Secured Obligations Secured Parties enter into any amendment, waiver or consent in respect of or replace any of the Senior Secured Obligations Collateral Documents for the purpose of adding to, or deleting from, or waiving or consenting to any departures from any provisions of, such Senior Secured Obligations Collateral Document or changing in any manner the rights of such Senior Collateral Agent, such Senior Secured Obligations Secured Parties, the Grantors thereunder (including the release of any Liens in the applicable Senior Secured Obligations Collateral), then such amendment, waiver or consent shall apply automatically to any comparable provision of each Comparable Junior Priority Collateral Document without the consent of any Junior Collateral Agent or any Junior Secured Obligations Secured Party and without any action by any Junior Collateral Agent, any Junior Secured Obligations Secured Party, the Parent or any other Grantor;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such amendment, waiver or consent does not materially adversely affect the rights of the applicable Junior Secured Obligations Secured Parties or the interests of the applicable Junior Secured Obligations Secured Parties in the applicable Junior Secured Obligations Collateral and not the Senior Collateral Agent or the Senior Secured Obligations Secured Parties, as the case may be, that have a security interest in the affected collateral in a like or similar manner, and (B) written notice of such amendment, waiver or consent shall have been given by the Parent to the Applicable Junior Collateral Agent.</w:t>
      </w:r>
    </w:p>
    <w:p>
      <w:pPr>
        <w:spacing w:after="0" w:line="172" w:lineRule="exact"/>
        <w:rPr>
          <w:rFonts w:ascii="Arial" w:cs="Arial" w:eastAsia="Arial" w:hAnsi="Arial"/>
          <w:sz w:val="16"/>
          <w:szCs w:val="16"/>
          <w:color w:val="auto"/>
        </w:rPr>
      </w:pPr>
    </w:p>
    <w:p>
      <w:pPr>
        <w:jc w:val="both"/>
        <w:ind w:firstLine="1305"/>
        <w:spacing w:after="0" w:line="255" w:lineRule="auto"/>
        <w:tabs>
          <w:tab w:leader="none" w:pos="1929" w:val="left"/>
        </w:tabs>
        <w:numPr>
          <w:ilvl w:val="0"/>
          <w:numId w:val="112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LC Collateral Agent and other LC Secured Parties and the ABL Collateral Agent and other ABL Secured Parties hereby agree that they will not amend or otherwise modify the provisions of the LC Documents or the ABL Documents related to the Refinancing or payment of any Obligations (including ordinary course payments) in a manner that makes them more restrictive to Grantors or otherwise prohibits or restricts a Refinancing or payment permitted under the LC Documents or ABL Documents as in effect on the date hereof. The LC Collateral Agent and other LC Secured Parties hereby agree that they will not amend or otherwise modify Section 8.09 of the LC Credit Agreement, the definition of “Liquidity,” any of the terms or definitions used to calculate compliance with Section 8.09 of the LC Credit Agreement, or the effect of any breach of Section 8.9 of the LC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40" w:name="page1041"/>
    <w:bookmarkEnd w:id="1040"/>
    <w:p>
      <w:pPr>
        <w:ind w:left="1300"/>
        <w:spacing w:after="0"/>
        <w:tabs>
          <w:tab w:leader="none" w:pos="2720" w:val="left"/>
          <w:tab w:leader="none" w:pos="3700" w:val="left"/>
          <w:tab w:leader="none" w:pos="4620" w:val="left"/>
          <w:tab w:leader="none" w:pos="5240" w:val="left"/>
          <w:tab w:leader="none" w:pos="5580" w:val="left"/>
          <w:tab w:leader="none" w:pos="6560" w:val="left"/>
          <w:tab w:leader="none" w:pos="72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8"/>
          <w:szCs w:val="18"/>
          <w:b w:val="1"/>
          <w:bCs w:val="1"/>
          <w:i w:val="1"/>
          <w:iCs w:val="1"/>
          <w:color w:val="auto"/>
        </w:rPr>
        <w:t>Possessory</w:t>
        <w:tab/>
        <w:t>Collateral</w:t>
        <w:tab/>
        <w:t>Agent</w:t>
        <w:tab/>
        <w:t>as</w:t>
        <w:tab/>
        <w:t>Gratuitous</w:t>
        <w:tab/>
        <w:t>Bailee</w:t>
      </w:r>
      <w:r>
        <w:rPr>
          <w:sz w:val="20"/>
          <w:szCs w:val="20"/>
          <w:color w:val="auto"/>
        </w:rPr>
        <w:tab/>
      </w:r>
      <w:r>
        <w:rPr>
          <w:rFonts w:ascii="Arial" w:cs="Arial" w:eastAsia="Arial" w:hAnsi="Arial"/>
          <w:sz w:val="15"/>
          <w:szCs w:val="15"/>
          <w:b w:val="1"/>
          <w:bCs w:val="1"/>
          <w:i w:val="1"/>
          <w:iCs w:val="1"/>
          <w:color w:val="auto"/>
        </w:rPr>
        <w:t>for Perfection</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69" w:lineRule="auto"/>
        <w:tabs>
          <w:tab w:leader="none" w:pos="1825" w:val="left"/>
        </w:tabs>
        <w:numPr>
          <w:ilvl w:val="0"/>
          <w:numId w:val="1130"/>
        </w:numPr>
        <w:rPr>
          <w:rFonts w:ascii="Arial" w:cs="Arial" w:eastAsia="Arial" w:hAnsi="Arial"/>
          <w:sz w:val="17"/>
          <w:szCs w:val="17"/>
          <w:color w:val="auto"/>
        </w:rPr>
      </w:pPr>
      <w:r>
        <w:rPr>
          <w:rFonts w:ascii="Arial" w:cs="Arial" w:eastAsia="Arial" w:hAnsi="Arial"/>
          <w:sz w:val="17"/>
          <w:szCs w:val="17"/>
          <w:color w:val="auto"/>
        </w:rPr>
        <w:t>Each Possessory Collateral Agent agrees to hold the Possessory Collateral that is in its possession or control (or in the possession or control of its agents or bailees) as gratuitous bailee for, or, as applicable, on trust for, the benefit of each Secured Party and any assignee solely for the purpose of perfecting the security interest granted in such Possessory Collateral pursuant to the ABL Security Documents or the LC Security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same. Pending such delivery to the Applicable Possessory Collateral Agent, each other Collateral Agent agrees to hold any Possessory Collateral as gratuitous bailee, or, as applicable, on trust for, for the benefit of each other Secured Party and any assignee, solely for the purpose of perfecting the security interest granted in such Possessory Collateral, if any, pursuant to the applicable ABL Security Documents or LC Security Documents, in each case subject to the terms and conditions of this Section 2.12.</w:t>
      </w:r>
    </w:p>
    <w:p>
      <w:pPr>
        <w:spacing w:after="0" w:line="182" w:lineRule="exact"/>
        <w:rPr>
          <w:rFonts w:ascii="Arial" w:cs="Arial" w:eastAsia="Arial" w:hAnsi="Arial"/>
          <w:sz w:val="17"/>
          <w:szCs w:val="17"/>
          <w:color w:val="auto"/>
        </w:rPr>
      </w:pPr>
    </w:p>
    <w:p>
      <w:pPr>
        <w:jc w:val="both"/>
        <w:ind w:firstLine="1305"/>
        <w:spacing w:after="0" w:line="264" w:lineRule="auto"/>
        <w:tabs>
          <w:tab w:leader="none" w:pos="1875" w:val="left"/>
        </w:tabs>
        <w:numPr>
          <w:ilvl w:val="0"/>
          <w:numId w:val="1130"/>
        </w:numPr>
        <w:rPr>
          <w:rFonts w:ascii="Arial" w:cs="Arial" w:eastAsia="Arial" w:hAnsi="Arial"/>
          <w:sz w:val="18"/>
          <w:szCs w:val="18"/>
          <w:color w:val="auto"/>
        </w:rPr>
      </w:pPr>
      <w:r>
        <w:rPr>
          <w:rFonts w:ascii="Arial" w:cs="Arial" w:eastAsia="Arial" w:hAnsi="Arial"/>
          <w:sz w:val="18"/>
          <w:szCs w:val="18"/>
          <w:color w:val="auto"/>
        </w:rPr>
        <w:t>The duties or responsibilities of each Possessory Collateral Agent and each other Collateral Agent under this Section 2.12 shall be limited solely to holding the Possessory Collateral as gratuitous bailee, or, as applicable, on trust for, for the benefit of each Secured Party for purposes of perfecting the security interest held by the Secured Parties therein.</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838" w:val="left"/>
        </w:tabs>
        <w:numPr>
          <w:ilvl w:val="0"/>
          <w:numId w:val="1130"/>
        </w:numPr>
        <w:rPr>
          <w:rFonts w:ascii="Arial" w:cs="Arial" w:eastAsia="Arial" w:hAnsi="Arial"/>
          <w:sz w:val="18"/>
          <w:szCs w:val="18"/>
          <w:color w:val="auto"/>
        </w:rPr>
      </w:pPr>
      <w:r>
        <w:rPr>
          <w:rFonts w:ascii="Arial" w:cs="Arial" w:eastAsia="Arial" w:hAnsi="Arial"/>
          <w:sz w:val="18"/>
          <w:szCs w:val="18"/>
          <w:color w:val="auto"/>
        </w:rPr>
        <w:t>Upon the Discharge of all LC Obligations, the LC Collateral Agent shall deliver to the ABL Collateral Agent, to the extent that it is legally permitted to do so, the remaining Possessory Collateral (if any) held by it, together with any necessary endorsements (or otherwise allow the ABL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gross negligence or bad faith. No LC Collateral Agent shall be obligated to follow instructions from the ABL Collateral Agent in contravention of this Agreement.</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1848" w:val="left"/>
        </w:tabs>
        <w:numPr>
          <w:ilvl w:val="0"/>
          <w:numId w:val="1130"/>
        </w:numPr>
        <w:rPr>
          <w:rFonts w:ascii="Arial" w:cs="Arial" w:eastAsia="Arial" w:hAnsi="Arial"/>
          <w:sz w:val="18"/>
          <w:szCs w:val="18"/>
          <w:color w:val="auto"/>
        </w:rPr>
      </w:pPr>
      <w:r>
        <w:rPr>
          <w:rFonts w:ascii="Arial" w:cs="Arial" w:eastAsia="Arial" w:hAnsi="Arial"/>
          <w:sz w:val="18"/>
          <w:szCs w:val="18"/>
          <w:color w:val="auto"/>
        </w:rPr>
        <w:t>Upon the Discharge of all ABL Obligations, the ABL Collateral Agent shall deliver to the LC Collateral Agent, to the extent that it is legally permitted to do so, the remaining Possessory Collateral (if any) held by it, together with any necessary endorsements (or otherwise allow the LC Collateral Agent to obtain control of such Possessory Collateral) or as a court of competent jurisdiction may otherwise direct. The Grantors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gross negligence or bad faith. The ABL Collateral Agent shall not be obligated to follow instructions from any LC Collateral Agent in contravention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1" w:name="page1042"/>
    <w:bookmarkEnd w:id="1041"/>
    <w:p>
      <w:pPr>
        <w:jc w:val="both"/>
        <w:ind w:firstLine="1297"/>
        <w:spacing w:after="0" w:line="29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b w:val="1"/>
          <w:bCs w:val="1"/>
          <w:i w:val="1"/>
          <w:iCs w:val="1"/>
          <w:color w:val="auto"/>
        </w:rPr>
        <w:t>Control Agreements</w:t>
      </w:r>
      <w:r>
        <w:rPr>
          <w:rFonts w:ascii="Arial" w:cs="Arial" w:eastAsia="Arial" w:hAnsi="Arial"/>
          <w:sz w:val="16"/>
          <w:szCs w:val="16"/>
          <w:color w:val="auto"/>
        </w:rPr>
        <w:t>. The ABL Collateral Agent hereby agrees to act as collateral agent of the LC Secured Parties under each control agreement solely for the purpose of perfecting the Lien of the LC Secured Parties in the deposit accounts and securities accounts subject to such control agreements by control. The LC Collateral Agent, on behalf of the LC Secured Parties, hereby appoints the ABL Collateral Agent to act as its collateral agent under each such control agreement, as applicable. The duties or responsibilities of the ABL Collateral Agent under this Section 2.13 shall be limited solely to acting as agent for the benefit of each LC Secured Party for purposes of perfecting the security interest held by the Secured Parties in the deposit accounts and securities accounts subject to such control agreements by control, in each case prior to the Discharge of all ABL Obligations</w:t>
      </w:r>
    </w:p>
    <w:p>
      <w:pPr>
        <w:spacing w:after="0" w:line="16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b w:val="1"/>
          <w:bCs w:val="1"/>
          <w:i w:val="1"/>
          <w:iCs w:val="1"/>
          <w:color w:val="auto"/>
        </w:rPr>
        <w:t>Rights under Permits and Licenses</w:t>
      </w:r>
      <w:r>
        <w:rPr>
          <w:rFonts w:ascii="Arial" w:cs="Arial" w:eastAsia="Arial" w:hAnsi="Arial"/>
          <w:sz w:val="16"/>
          <w:szCs w:val="16"/>
          <w:color w:val="auto"/>
        </w:rPr>
        <w:t>. The LC Collateral Agent agrees that if the ABL Collateral Agent shall require rights available under any permit or license controlled by the LC Collateral Agent (as certified to the LC Collateral Agent by the ABL Collateral Agent, upon which the LC Collateral Agent may rely) in order to realize on any ABL Priority Collateral, the LC Collateral Agent shall (subject to the terms of the LC Documents, including the LC Collateral Agent’s rights to indemnification thereunder) take all such actions as shall be available to it (at the sole expense of the Grantors), consistent with applicable law and reasonably requested by the ABL Collateral Agent in writing, to make such rights available to the ABL Collateral Agent, subject to the Liens held by the LC Collateral Agent for the benefit of the LC Secured Parties. The ABL Collateral Agent agrees that if the LC Collateral Agent shall require rights available under any permit or license controlled by the ABL Collateral Agent (as certified to the ABL Collateral Agent by the LC Collateral Agent, upon which the ABL Collateral Agent may rely) in order to realize on any LC Priority Collateral, the ABL Collateral Agent shall (subject to the terms of the ABL Documents, including such ABL Collateral Agent’s rights to indemnification thereunder) take all such actions as shall be available to it (at the sole expense of the Grantors), consistent with applicable law and reasonably requested by the LC Collateral Agent in writing, to make such rights available to the LC Collateral Agent, subject to the Liens held by the ABL Collateral Agent for the benefit of the ABL Secured Parties.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Existence and Amounts of Liens and Obligations</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Whenever a Representative shall be required, in connection with the exercise of its rights or the performance of its obligations hereunder, to determine the existence or amount of any Senior Secured Obligations (or the existence of any commitment to extend credit that would constitute Senior Secured Obligations) or Junior Secured Obligations, or the Collateral subject to any such Lien, it may, acting reasonably, request that such information be furnished to it in writing by the other Representatives and shall be entitled to make such determination on the basis of the information so furnished;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Parent. Each Representative may rely conclusively, and shall be fully protected in so relying, on any determination made by it in accordance with the provisions of the preceding sentence (or as otherwise directed by a court of competent jurisdiction) and shall have no liability to the Parent or any of its subsidiaries, any Secured Party or any other Person as a result of such determination.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2" w:name="page1043"/>
    <w:bookmarkEnd w:id="1042"/>
    <w:p>
      <w:pPr>
        <w:jc w:val="center"/>
        <w:ind w:right="-19"/>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Grantors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Grantor hereby consents to the provisions of this Agreement and the intercreditor arrangements provided for herein and agrees that the obligations of the Grantors under the ABL Security Documents, the LC Security Documents or the Foreign Collateral Documents will in no way be diminished or otherwise affected by such provisions or arrangements.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b w:val="1"/>
          <w:bCs w:val="1"/>
          <w:i w:val="1"/>
          <w:iCs w:val="1"/>
          <w:color w:val="auto"/>
        </w:rPr>
        <w:t>Representations and Warranties of Each Party</w:t>
      </w:r>
      <w:r>
        <w:rPr>
          <w:rFonts w:ascii="Arial" w:cs="Arial" w:eastAsia="Arial" w:hAnsi="Arial"/>
          <w:sz w:val="15"/>
          <w:szCs w:val="15"/>
          <w:color w:val="auto"/>
        </w:rPr>
        <w:t>. Each party hereto represents and warrants to the other parties hereto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1305"/>
        <w:spacing w:after="0" w:line="264" w:lineRule="auto"/>
        <w:tabs>
          <w:tab w:leader="none" w:pos="1946" w:val="left"/>
        </w:tabs>
        <w:numPr>
          <w:ilvl w:val="0"/>
          <w:numId w:val="1131"/>
        </w:numPr>
        <w:rPr>
          <w:rFonts w:ascii="Arial" w:cs="Arial" w:eastAsia="Arial" w:hAnsi="Arial"/>
          <w:sz w:val="18"/>
          <w:szCs w:val="18"/>
          <w:color w:val="auto"/>
        </w:rPr>
      </w:pPr>
      <w:r>
        <w:rPr>
          <w:rFonts w:ascii="Arial" w:cs="Arial" w:eastAsia="Arial" w:hAnsi="Arial"/>
          <w:sz w:val="18"/>
          <w:szCs w:val="18"/>
          <w:color w:val="auto"/>
        </w:rPr>
        <w:t>Such party is duly organized or incorporated (as the case may be), validly existing and, if applicable, in good standing (or the equivalent status under the laws of any foreign jurisdiction) under the laws of the jurisdiction of its organization or incorporation (as the case may be) and has all requisite power and authority to enter into and perform its obligations under this Agreement.</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1131"/>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such party.</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29" w:val="left"/>
        </w:tabs>
        <w:numPr>
          <w:ilvl w:val="0"/>
          <w:numId w:val="1131"/>
        </w:numPr>
        <w:rPr>
          <w:rFonts w:ascii="Arial" w:cs="Arial" w:eastAsia="Arial" w:hAnsi="Arial"/>
          <w:sz w:val="18"/>
          <w:szCs w:val="18"/>
          <w:color w:val="auto"/>
        </w:rPr>
      </w:pPr>
      <w:r>
        <w:rPr>
          <w:rFonts w:ascii="Arial" w:cs="Arial" w:eastAsia="Arial" w:hAnsi="Arial"/>
          <w:sz w:val="18"/>
          <w:szCs w:val="18"/>
          <w:color w:val="auto"/>
        </w:rPr>
        <w:t>The execution, delivery and performance by such party of this Agreement (i) do not require any consent or approval of, registration or filing with or any other action by any governmental authority, (ii) will not violate any applicable law or regulation or any order of any governmental authority and (iii) will not violate the charter, by-laws or other organizational documents of such party.</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b w:val="1"/>
          <w:bCs w:val="1"/>
          <w:i w:val="1"/>
          <w:iCs w:val="1"/>
          <w:color w:val="auto"/>
        </w:rPr>
        <w:t>Representations and Warranties of Each Representative</w:t>
      </w:r>
      <w:r>
        <w:rPr>
          <w:rFonts w:ascii="Arial" w:cs="Arial" w:eastAsia="Arial" w:hAnsi="Arial"/>
          <w:sz w:val="18"/>
          <w:szCs w:val="18"/>
          <w:color w:val="auto"/>
        </w:rPr>
        <w:t>. Each Collateral Agent and Representative represents and warrants to the other parties hereto that it is authorized under the ABL Credit Agreement or the LC Obligations Credit Agreement, as applicable, to enter into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43" w:name="page1044"/>
    <w:bookmarkEnd w:id="1043"/>
    <w:p>
      <w:pPr>
        <w:jc w:val="center"/>
        <w:spacing w:after="0"/>
        <w:rPr>
          <w:sz w:val="20"/>
          <w:szCs w:val="20"/>
          <w:color w:val="auto"/>
        </w:rPr>
      </w:pPr>
      <w:r>
        <w:rPr>
          <w:rFonts w:ascii="Arial" w:cs="Arial" w:eastAsia="Arial" w:hAnsi="Arial"/>
          <w:sz w:val="18"/>
          <w:szCs w:val="18"/>
          <w:color w:val="auto"/>
        </w:rPr>
        <w:t>ARTICLE VI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Agency for Foreign Collateral</w:t>
      </w:r>
    </w:p>
    <w:p>
      <w:pPr>
        <w:spacing w:after="0" w:line="229"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b w:val="1"/>
          <w:bCs w:val="1"/>
          <w:i w:val="1"/>
          <w:iCs w:val="1"/>
          <w:color w:val="auto"/>
        </w:rPr>
        <w:t>Appointment of Foreign Collateral Agent</w:t>
      </w:r>
      <w:r>
        <w:rPr>
          <w:rFonts w:ascii="Arial" w:cs="Arial" w:eastAsia="Arial" w:hAnsi="Arial"/>
          <w:sz w:val="17"/>
          <w:szCs w:val="17"/>
          <w:color w:val="auto"/>
        </w:rPr>
        <w:t xml:space="preserve">. It is acknowledged that, in certain jurisdictions outside of the United State of America, applicable law prevents both the ABL Collateral Agent and the LC Collateral Agent from obtaining liens on the Collateral. In such circumstances, solely for Foreign Collateral, the parties hereto agree that (i) WF is hereby appointed as Foreign Collateral Agent and sub-agent for the Collateral Agents and (ii) notwithstanding anything to the contrary contained herein, Foreign Collateral Agent is permitted to hold Liens on such Foreign Collateral on trust for the Secured Parties notwithstanding the inability of any other Collateral Agent to hold similar Liens. In recognition of the foregoing, each other Collateral Agent hereby irrevocably appoints WF to act as the “collateral agent” under any Foreign Collateral Documents, and each other Collateral Agent hereby irrevocably appoints and authorizes WF to act as the agent of such Secured Party for purposes of acquiring, holding and enforcing any and all Liens on Foreign Collateral granted by any of the Grantors to secure any of the ABL Obligations or LC Obligations, together with such powers and discretion as are reasonably incidental thereto (including, without limitation, to enter into additional Foreign Collateral Documents or supplements to existing Foreign Collateral Documents on behalf of the Secured Parties). In this connection, the Foreign Collateral Agent, as “collateral agent” and any co-agents, sub-agents and attorneys-in-fact appointed by the Foreign Collateral Agent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for purposes of holding or enforcing any Lien on the Foreign Collateral (or any portion thereof) granted under the Foreign Collateral Documents, or for exercising any rights and remedies thereunder at the direction of the Foreign Collateral Agent, shall be entitled to the benefits of all provisions of this Agreement, as though such co-agents, sub-agents and attorneys-in-fact were the “collateral agent” under this agreement and the Foreign Collateral Documents as if set forth in full herein with respect thereto. It is understood and agreed that the use of the term “agent” herein or in any other Foreign Collateral Documents (or any other similar term) with reference to the Foreign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b w:val="1"/>
          <w:bCs w:val="1"/>
          <w:i w:val="1"/>
          <w:iCs w:val="1"/>
          <w:color w:val="auto"/>
        </w:rPr>
        <w:t>Rights as a Secured Party</w:t>
      </w:r>
      <w:r>
        <w:rPr>
          <w:rFonts w:ascii="Arial" w:cs="Arial" w:eastAsia="Arial" w:hAnsi="Arial"/>
          <w:sz w:val="17"/>
          <w:szCs w:val="17"/>
          <w:color w:val="auto"/>
        </w:rPr>
        <w:t>. The Person serving as the Foreign Collateral Agent hereunder shall have the same rights and powers in its capacity as a Secured Party as any other Secured Party and may exercise the same as though it were not the Foreign Collateral Agent and the term “Secured Party” or “Secured Parties” (or, as applicable, ABL Secured Party or LC Secured Party) shall, unless otherwise expressly indicated or unless the context otherwise requires, include the Person serving as the Foreign Collateral Agent hereunder in its individual capacity. Such Person and its affiliates may accept deposits from, lend money to, own securities of, act as the financial advisor or in any other advisory capacity for and generally engage in any kind of business with any Grantor or any Grantor’s Subsidiary or other affiliate thereof as if such Person were not the Foreign Collateral Agent hereunder and without any duty to account therefor to the Secured Parties.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4" w:name="page1045"/>
    <w:bookmarkEnd w:id="1044"/>
    <w:p>
      <w:pPr>
        <w:ind w:left="1300"/>
        <w:spacing w:after="0"/>
        <w:tabs>
          <w:tab w:leader="none" w:pos="27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b w:val="1"/>
          <w:bCs w:val="1"/>
          <w:i w:val="1"/>
          <w:iCs w:val="1"/>
          <w:color w:val="auto"/>
        </w:rPr>
        <w:t>Exculpatory Provisions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64" w:lineRule="auto"/>
        <w:tabs>
          <w:tab w:leader="none" w:pos="1811" w:val="left"/>
        </w:tabs>
        <w:numPr>
          <w:ilvl w:val="0"/>
          <w:numId w:val="1132"/>
        </w:numPr>
        <w:rPr>
          <w:rFonts w:ascii="Arial" w:cs="Arial" w:eastAsia="Arial" w:hAnsi="Arial"/>
          <w:sz w:val="18"/>
          <w:szCs w:val="18"/>
          <w:color w:val="auto"/>
        </w:rPr>
      </w:pPr>
      <w:r>
        <w:rPr>
          <w:rFonts w:ascii="Arial" w:cs="Arial" w:eastAsia="Arial" w:hAnsi="Arial"/>
          <w:sz w:val="18"/>
          <w:szCs w:val="18"/>
          <w:color w:val="auto"/>
        </w:rPr>
        <w:t>The Foreign Collateral Agent shall not have any duties or obligations except those expressly set forth herein and in the other Foreign Collateral Documents to which Foreign Collateral Agent is a party, and its duties hereunder and thereunder shall be administrative in nature. Without limiting the generality of the foregoing, the Foreign Collateral Agent:</w:t>
      </w:r>
    </w:p>
    <w:p>
      <w:pPr>
        <w:spacing w:after="0" w:line="181" w:lineRule="exact"/>
        <w:rPr>
          <w:rFonts w:ascii="Arial" w:cs="Arial" w:eastAsia="Arial" w:hAnsi="Arial"/>
          <w:sz w:val="18"/>
          <w:szCs w:val="18"/>
          <w:color w:val="auto"/>
        </w:rPr>
      </w:pPr>
    </w:p>
    <w:p>
      <w:pPr>
        <w:ind w:left="1400" w:firstLine="643"/>
        <w:spacing w:after="0" w:line="277" w:lineRule="auto"/>
        <w:tabs>
          <w:tab w:leader="none" w:pos="2574" w:val="left"/>
        </w:tabs>
        <w:numPr>
          <w:ilvl w:val="1"/>
          <w:numId w:val="1132"/>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or Event of Default under the ABL Documents or LC Documents has occurred and is continuing;</w:t>
      </w:r>
    </w:p>
    <w:p>
      <w:pPr>
        <w:spacing w:after="0" w:line="170" w:lineRule="exact"/>
        <w:rPr>
          <w:rFonts w:ascii="Arial" w:cs="Arial" w:eastAsia="Arial" w:hAnsi="Arial"/>
          <w:sz w:val="18"/>
          <w:szCs w:val="18"/>
          <w:color w:val="auto"/>
        </w:rPr>
      </w:pPr>
    </w:p>
    <w:p>
      <w:pPr>
        <w:jc w:val="both"/>
        <w:ind w:left="1400" w:firstLine="643"/>
        <w:spacing w:after="0" w:line="291" w:lineRule="auto"/>
        <w:tabs>
          <w:tab w:leader="none" w:pos="2727" w:val="left"/>
        </w:tabs>
        <w:numPr>
          <w:ilvl w:val="1"/>
          <w:numId w:val="1132"/>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(though it hereby is authorized to take such actions in its Permitted Discretion), except discretionary rights and powers expressly contemplated hereby or by the Foreign Collateral Documents that the Foreign Collateral Agent is required to exercise as directed in writing by the Controlling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Foreign Collateral Agent shall not be required to take any action that, in its good faith, based upon the advice of counsel or upon the written opinion of its counsel, may expose the Foreign Collateral Agent to liability or that is contrary to any Foreign Collateral Document or applicable law, including, for the avoidance of doubt, any action that may be in violation of the automatic stay under any Debtor Relief Law or that may effect a forfeiture, modification or termination of property in violation of any Debtor Relief Law; and</w:t>
      </w:r>
    </w:p>
    <w:p>
      <w:pPr>
        <w:spacing w:after="0" w:line="167" w:lineRule="exact"/>
        <w:rPr>
          <w:rFonts w:ascii="Arial" w:cs="Arial" w:eastAsia="Arial" w:hAnsi="Arial"/>
          <w:sz w:val="16"/>
          <w:szCs w:val="16"/>
          <w:color w:val="auto"/>
        </w:rPr>
      </w:pPr>
    </w:p>
    <w:p>
      <w:pPr>
        <w:jc w:val="both"/>
        <w:ind w:left="1400" w:firstLine="643"/>
        <w:spacing w:after="0" w:line="286" w:lineRule="auto"/>
        <w:tabs>
          <w:tab w:leader="none" w:pos="2714" w:val="left"/>
        </w:tabs>
        <w:numPr>
          <w:ilvl w:val="1"/>
          <w:numId w:val="1132"/>
        </w:numPr>
        <w:rPr>
          <w:rFonts w:ascii="Arial" w:cs="Arial" w:eastAsia="Arial" w:hAnsi="Arial"/>
          <w:sz w:val="17"/>
          <w:szCs w:val="17"/>
          <w:color w:val="auto"/>
        </w:rPr>
      </w:pPr>
      <w:r>
        <w:rPr>
          <w:rFonts w:ascii="Arial" w:cs="Arial" w:eastAsia="Arial" w:hAnsi="Arial"/>
          <w:sz w:val="17"/>
          <w:szCs w:val="17"/>
          <w:color w:val="auto"/>
        </w:rPr>
        <w:t>shall not, except as expressly set forth herein and in the Foreign Collateral Documents, have any duty to disclose, and shall not be liable for the failure to disclose, any information relating to the Grantors or any of their Subsidiaries or affiliates that is communicated to or obtained by the Person serving as the Foreign Collateral Agent or any of its affiliates in any capacity.</w:t>
      </w:r>
    </w:p>
    <w:p>
      <w:pPr>
        <w:spacing w:after="0" w:line="165" w:lineRule="exact"/>
        <w:rPr>
          <w:rFonts w:ascii="Arial" w:cs="Arial" w:eastAsia="Arial" w:hAnsi="Arial"/>
          <w:sz w:val="17"/>
          <w:szCs w:val="17"/>
          <w:color w:val="auto"/>
        </w:rPr>
      </w:pPr>
    </w:p>
    <w:p>
      <w:pPr>
        <w:jc w:val="both"/>
        <w:ind w:firstLine="1305"/>
        <w:spacing w:after="0" w:line="257" w:lineRule="auto"/>
        <w:tabs>
          <w:tab w:leader="none" w:pos="1875" w:val="left"/>
        </w:tabs>
        <w:numPr>
          <w:ilvl w:val="0"/>
          <w:numId w:val="1132"/>
        </w:numPr>
        <w:rPr>
          <w:rFonts w:ascii="Arial" w:cs="Arial" w:eastAsia="Arial" w:hAnsi="Arial"/>
          <w:sz w:val="18"/>
          <w:szCs w:val="18"/>
          <w:color w:val="auto"/>
        </w:rPr>
      </w:pPr>
      <w:r>
        <w:rPr>
          <w:rFonts w:ascii="Arial" w:cs="Arial" w:eastAsia="Arial" w:hAnsi="Arial"/>
          <w:sz w:val="18"/>
          <w:szCs w:val="18"/>
          <w:color w:val="auto"/>
        </w:rPr>
        <w:t>The Foreign Collateral Agent shall not be liable for any action taken or not taken by it (i) with the consent or at the request of the Controlling Parties or (ii) in the absence of its own willful misconduct, gross negligence or bad faith as determined by a court of competent jurisdiction by final nonappealable judgment. The Foreign Collateral Agent shall be deemed not to have knowledge of any default or Event of Default under the ABL Documents or LC Documents unless and until notice describing such default or Event of Default is given to the Foreign Collateral Agent by the Grantors, LC Collateral Agent, or ABL Collateral Agent.</w:t>
      </w:r>
    </w:p>
    <w:p>
      <w:pPr>
        <w:spacing w:after="0" w:line="188" w:lineRule="exact"/>
        <w:rPr>
          <w:rFonts w:ascii="Arial" w:cs="Arial" w:eastAsia="Arial" w:hAnsi="Arial"/>
          <w:sz w:val="18"/>
          <w:szCs w:val="18"/>
          <w:color w:val="auto"/>
        </w:rPr>
      </w:pPr>
    </w:p>
    <w:p>
      <w:pPr>
        <w:jc w:val="both"/>
        <w:ind w:firstLine="1305"/>
        <w:spacing w:after="0" w:line="291" w:lineRule="auto"/>
        <w:tabs>
          <w:tab w:leader="none" w:pos="1825" w:val="left"/>
        </w:tabs>
        <w:numPr>
          <w:ilvl w:val="0"/>
          <w:numId w:val="1132"/>
        </w:numPr>
        <w:rPr>
          <w:rFonts w:ascii="Arial" w:cs="Arial" w:eastAsia="Arial" w:hAnsi="Arial"/>
          <w:sz w:val="16"/>
          <w:szCs w:val="16"/>
          <w:color w:val="auto"/>
        </w:rPr>
      </w:pPr>
      <w:r>
        <w:rPr>
          <w:rFonts w:ascii="Arial" w:cs="Arial" w:eastAsia="Arial" w:hAnsi="Arial"/>
          <w:sz w:val="16"/>
          <w:szCs w:val="16"/>
          <w:color w:val="auto"/>
        </w:rPr>
        <w:t>The Foreign Collateral Agent shall not be responsible for or have any duty to ascertain or inquire into (i) any statement, warranty or representation made in or in connection with this Agreement or any other Foreign Collateral Document, (ii) the contents of any certificate, report or other</w:t>
      </w:r>
    </w:p>
    <w:p>
      <w:pPr>
        <w:jc w:val="both"/>
        <w:spacing w:after="0" w:line="277" w:lineRule="auto"/>
        <w:rPr>
          <w:sz w:val="20"/>
          <w:szCs w:val="20"/>
          <w:color w:val="auto"/>
        </w:rPr>
      </w:pPr>
      <w:r>
        <w:rPr>
          <w:rFonts w:ascii="Arial" w:cs="Arial" w:eastAsia="Arial" w:hAnsi="Arial"/>
          <w:sz w:val="17"/>
          <w:szCs w:val="17"/>
          <w:color w:val="auto"/>
        </w:rPr>
        <w:t>document delivered hereunder or thereunder or in connection herewith or therewith, (iii) the performance or observance of any of the covenants, agreements or other terms or conditions set forth herein or therein or the occurrence of any default or Event of Default or (iv) the validity, enforceability, effectiveness or genuineness of this Agreement, any other Foreign Collateral Document or any other agreement, instrument or document.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45" w:name="page1046"/>
    <w:bookmarkEnd w:id="1045"/>
    <w:p>
      <w:pPr>
        <w:jc w:val="both"/>
        <w:ind w:firstLine="1297"/>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b w:val="1"/>
          <w:bCs w:val="1"/>
          <w:i w:val="1"/>
          <w:iCs w:val="1"/>
          <w:color w:val="auto"/>
        </w:rPr>
        <w:t>Reliance by the Foreign Collateral Agent</w:t>
      </w:r>
      <w:r>
        <w:rPr>
          <w:rFonts w:ascii="Arial" w:cs="Arial" w:eastAsia="Arial" w:hAnsi="Arial"/>
          <w:sz w:val="18"/>
          <w:szCs w:val="18"/>
          <w:color w:val="auto"/>
        </w:rPr>
        <w:t>. The Foreign Collateral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Foreign Collateral Agent also may rely upon any statement made to it orally or by telephone and reasonably believed by it to have been made by the proper Person, and shall not incur any liability for relying thereon. The Foreign Collateral Agent may consult with legal counsel, independent accountants and other experts selected by it, and shall not be liable for any action taken or not taken by it in accordance with the written advice of any such counsel, accountants or experts.</w:t>
      </w:r>
    </w:p>
    <w:p>
      <w:pPr>
        <w:spacing w:after="0" w:line="18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5"/>
          <w:szCs w:val="15"/>
          <w:b w:val="1"/>
          <w:bCs w:val="1"/>
          <w:i w:val="1"/>
          <w:iCs w:val="1"/>
          <w:color w:val="auto"/>
        </w:rPr>
        <w:t>Delegation of Duties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72" w:lineRule="auto"/>
        <w:tabs>
          <w:tab w:leader="none" w:pos="1946" w:val="left"/>
        </w:tabs>
        <w:numPr>
          <w:ilvl w:val="0"/>
          <w:numId w:val="1133"/>
        </w:numPr>
        <w:rPr>
          <w:rFonts w:ascii="Arial" w:cs="Arial" w:eastAsia="Arial" w:hAnsi="Arial"/>
          <w:sz w:val="17"/>
          <w:szCs w:val="17"/>
          <w:color w:val="auto"/>
        </w:rPr>
      </w:pPr>
      <w:r>
        <w:rPr>
          <w:rFonts w:ascii="Arial" w:cs="Arial" w:eastAsia="Arial" w:hAnsi="Arial"/>
          <w:sz w:val="17"/>
          <w:szCs w:val="17"/>
          <w:color w:val="auto"/>
        </w:rPr>
        <w:t>The Foreign Collateral Agent may perform any and all of its duties and exercise its rights and powers hereunder or under any Foreign Collateral Document by or through any one or more sub-agents appointed by the Foreign Collateral Agent. The Foreign Collateral Agent and any such sub-agent may perform any and all of its duties and exercise its rights and powers by or through their respective Related Parties. The exculpatory provisions of this Article VI shall apply to any such sub-agent and to the Related Parties of the Foreign Collateral Agent and any such sub-agent, and shall apply to their respective activities in connection with the Foreign Collateral. The Foreign Collateral Agent shall not be responsible for the negligence or misconduct of any sub-agents except to the extent that a court of competent jurisdiction determines in a final and nonappealable judgment that the Foreign Collateral Agent acted with willful misconduct, gross negligence or bad faith in the selection of such sub agents.</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1828" w:val="left"/>
        </w:tabs>
        <w:numPr>
          <w:ilvl w:val="0"/>
          <w:numId w:val="1133"/>
        </w:numPr>
        <w:rPr>
          <w:rFonts w:ascii="Arial" w:cs="Arial" w:eastAsia="Arial" w:hAnsi="Arial"/>
          <w:sz w:val="18"/>
          <w:szCs w:val="18"/>
          <w:color w:val="auto"/>
        </w:rPr>
      </w:pPr>
      <w:r>
        <w:rPr>
          <w:rFonts w:ascii="Arial" w:cs="Arial" w:eastAsia="Arial" w:hAnsi="Arial"/>
          <w:sz w:val="18"/>
          <w:szCs w:val="18"/>
          <w:color w:val="auto"/>
        </w:rPr>
        <w:t>Should any instrument in writing from any Grantor be required by any sub- agent appointed by the Foreign Collateral Agent to more fully or certainly vest in and confirm to such sub-agent such rights, powers, privileges and duties, such Grantor shall execute, acknowledge and deliver any and all such instruments promptly upon request by the Foreign Collateral Agent. If any such sub-agent, or successor thereto, shall resign or be removed, all rights, powers, privileges and duties of such sub-agent, to the extent permitted by law, shall automatically vest in and be exercised by the Foreign Collateral Agent until the appointment of a new sub-agent. All references in this Agreement or in any other Foreign Collateral Document to any Lien or Foreign Collateral Document granted or delivered in favour of the Foreign Collateral Agent shall include any Lien or Foreign Collateral Document granted to any sub-agent of the Foreign Collateral Agent</w:t>
      </w:r>
    </w:p>
    <w:p>
      <w:pPr>
        <w:spacing w:after="0" w:line="18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5"/>
          <w:szCs w:val="15"/>
          <w:b w:val="1"/>
          <w:bCs w:val="1"/>
          <w:i w:val="1"/>
          <w:iCs w:val="1"/>
          <w:color w:val="auto"/>
        </w:rPr>
        <w:t>Resignation of Foreign Collateral Agent</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3" w:lineRule="auto"/>
        <w:tabs>
          <w:tab w:leader="none" w:pos="1825" w:val="left"/>
        </w:tabs>
        <w:numPr>
          <w:ilvl w:val="0"/>
          <w:numId w:val="1134"/>
        </w:numPr>
        <w:rPr>
          <w:rFonts w:ascii="Arial" w:cs="Arial" w:eastAsia="Arial" w:hAnsi="Arial"/>
          <w:sz w:val="18"/>
          <w:szCs w:val="18"/>
          <w:color w:val="auto"/>
        </w:rPr>
      </w:pPr>
      <w:r>
        <w:rPr>
          <w:rFonts w:ascii="Arial" w:cs="Arial" w:eastAsia="Arial" w:hAnsi="Arial"/>
          <w:sz w:val="18"/>
          <w:szCs w:val="18"/>
          <w:color w:val="auto"/>
        </w:rPr>
        <w:t>The Foreign Collateral Agent may at any time give notice of its resignation to the Representatives and the Grantors. Upon receipt of any such notice of resignation, the Secured Parties, acting through their Collateral Agents, shall have the right (provided no Event of Default has occurred and is continuing under any LC Document or ABL Document at the time of such resignation) to appoint a successor, which shall be the ABL Collateral Agent (unless the ABL Collateral Agent is also WF) or as jointly designated by ABL Collateral Agent and LC Collateral Agent. If no such successor shall have been so appointed in accordance with the preceding sentence and shall have accepted such appointment within 30 days after the retiring Foreign Collateral Agent gives notice of its resignation (or such earlier day as shall be agreed by the Representatives)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Foreign Collateral Agent may (but shall not be obligated to), on behalf of the Secured Parties, appoint a successor Foreign Collateral Agent meeting the qualifications set forth above. Whether or not a successor has been appointed, such resignation shall become effective in accordance with such notice on the Resignation Effective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46" w:name="page1047"/>
    <w:bookmarkEnd w:id="1046"/>
    <w:p>
      <w:pPr>
        <w:jc w:val="both"/>
        <w:ind w:firstLine="1305"/>
        <w:spacing w:after="0" w:line="286" w:lineRule="auto"/>
        <w:tabs>
          <w:tab w:leader="none" w:pos="1902" w:val="left"/>
        </w:tabs>
        <w:numPr>
          <w:ilvl w:val="0"/>
          <w:numId w:val="1135"/>
        </w:numPr>
        <w:rPr>
          <w:rFonts w:ascii="Arial" w:cs="Arial" w:eastAsia="Arial" w:hAnsi="Arial"/>
          <w:sz w:val="16"/>
          <w:szCs w:val="16"/>
          <w:color w:val="auto"/>
        </w:rPr>
      </w:pPr>
      <w:r>
        <w:rPr>
          <w:rFonts w:ascii="Arial" w:cs="Arial" w:eastAsia="Arial" w:hAnsi="Arial"/>
          <w:sz w:val="16"/>
          <w:szCs w:val="16"/>
          <w:color w:val="auto"/>
        </w:rPr>
        <w:t>With effect from the Resignation Effective Date, (1) the retiring Foreign Collateral Agent shall be discharged from its duties and obligations hereunder and under the other Foreign Collateral Documents (except that in the case of any collateral security held by the Foreign Collateral Agent on behalf of the Secured Parties under any of the Foreign Collateral Documents, the retiring Foreign Collateral Agent shall continue to hold such collateral security until such time as a successor Foreign Collateral Agent is appointed but in any event, no more than sixty (60) days following the Resignation Effective Date) and (2) except for any indemnity payments owed to the retiring Foreign Collateral Agent, all payments, communications and determinations provided to be made by, to or through the Foreign Collateral Agent shall instead be made by or to each Representative directly, until such time, if any, the relevant Collateral Agents appoint a successor Foreign Collateral Agent as provided for above. Upon the acceptance of a successor’s appointment as Foreign Collateral Agent hereunder, such successor shall succeed to and become vested with all of the rights, powers, privileges and duties of the retiring Foreign Collateral Agent (other than any rights to indemnity payments owed to the retiring Foreign Collateral Agent), and the retiring Foreign Collateral Agent shall be discharged from all of its duties and obligations hereunder or under the other Foreign Collateral Documents. After the retiring Foreign Collateral Agent’s resignation or removal hereunder and under the other Foreign Collateral Documents, the provisions of this Article shall continue in effect for the benefit of such retiring Foreign Collateral Agent, its sub-agents and their respective Related Parties in respect of any actions taken or omitted to be taken by any of them while the retiring Foreign Collateral Agent was acting as Foreign Collateral Agent.</w:t>
      </w:r>
    </w:p>
    <w:p>
      <w:pPr>
        <w:spacing w:after="0" w:line="17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b w:val="1"/>
          <w:bCs w:val="1"/>
          <w:i w:val="1"/>
          <w:iCs w:val="1"/>
          <w:color w:val="auto"/>
        </w:rPr>
        <w:t>Non-Reliance on Foreign Collateral Agent and Other Secured Parties</w:t>
      </w:r>
      <w:r>
        <w:rPr>
          <w:rFonts w:ascii="Arial" w:cs="Arial" w:eastAsia="Arial" w:hAnsi="Arial"/>
          <w:sz w:val="16"/>
          <w:szCs w:val="16"/>
          <w:color w:val="auto"/>
        </w:rPr>
        <w:t>. Each Collateral Agent acknowledges that it has, independently and without reliance upon the Foreign Collateral Agent or any of its related parties and based on such documents and information as it has deemed appropriate, made its own credit analysis and decision to enter into this Agreement, the LC Documents, and the ABL Documents, as applicable. Each Collateral Agent also acknowledges that it will, independently and without reliance upon the Foreign Collateral Agent or its related parties and based on such documents and information as it shall from time to time deem appropriate, continue to make its own decisions in taking or not taking action under or based upon this Agreement, any Foreign Collateral Document or any related agreement or any document furnished hereunder or thereunder.</w:t>
      </w:r>
    </w:p>
    <w:p>
      <w:pPr>
        <w:spacing w:after="0" w:line="16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b w:val="1"/>
          <w:bCs w:val="1"/>
          <w:i w:val="1"/>
          <w:iCs w:val="1"/>
          <w:color w:val="auto"/>
        </w:rPr>
        <w:t>Collateral Matters</w:t>
      </w:r>
      <w:r>
        <w:rPr>
          <w:rFonts w:ascii="Arial" w:cs="Arial" w:eastAsia="Arial" w:hAnsi="Arial"/>
          <w:sz w:val="16"/>
          <w:szCs w:val="16"/>
          <w:color w:val="auto"/>
        </w:rPr>
        <w:t>.</w:t>
      </w:r>
    </w:p>
    <w:p>
      <w:pPr>
        <w:spacing w:after="0" w:line="225" w:lineRule="exact"/>
        <w:rPr>
          <w:sz w:val="20"/>
          <w:szCs w:val="20"/>
          <w:color w:val="auto"/>
        </w:rPr>
      </w:pPr>
    </w:p>
    <w:p>
      <w:pPr>
        <w:ind w:left="1820" w:hanging="515"/>
        <w:spacing w:after="0"/>
        <w:tabs>
          <w:tab w:leader="none" w:pos="1820" w:val="left"/>
        </w:tabs>
        <w:numPr>
          <w:ilvl w:val="0"/>
          <w:numId w:val="1136"/>
        </w:numPr>
        <w:rPr>
          <w:rFonts w:ascii="Arial" w:cs="Arial" w:eastAsia="Arial" w:hAnsi="Arial"/>
          <w:sz w:val="17"/>
          <w:szCs w:val="17"/>
          <w:color w:val="auto"/>
        </w:rPr>
      </w:pPr>
      <w:r>
        <w:rPr>
          <w:rFonts w:ascii="Arial" w:cs="Arial" w:eastAsia="Arial" w:hAnsi="Arial"/>
          <w:sz w:val="17"/>
          <w:szCs w:val="17"/>
          <w:color w:val="auto"/>
        </w:rPr>
        <w:t>Each of the Collateral Agents irrevocably authorize the Foreign Collateral Agent, at its option and in its Permitted Discretion:</w:t>
      </w:r>
    </w:p>
    <w:p>
      <w:pPr>
        <w:spacing w:after="0" w:line="236" w:lineRule="exact"/>
        <w:rPr>
          <w:rFonts w:ascii="Arial" w:cs="Arial" w:eastAsia="Arial" w:hAnsi="Arial"/>
          <w:sz w:val="17"/>
          <w:szCs w:val="17"/>
          <w:color w:val="auto"/>
        </w:rPr>
      </w:pPr>
    </w:p>
    <w:p>
      <w:pPr>
        <w:jc w:val="both"/>
        <w:ind w:left="1400" w:firstLine="643"/>
        <w:spacing w:after="0" w:line="255" w:lineRule="auto"/>
        <w:tabs>
          <w:tab w:leader="none" w:pos="2547" w:val="left"/>
        </w:tabs>
        <w:numPr>
          <w:ilvl w:val="1"/>
          <w:numId w:val="1136"/>
        </w:numPr>
        <w:rPr>
          <w:rFonts w:ascii="Arial" w:cs="Arial" w:eastAsia="Arial" w:hAnsi="Arial"/>
          <w:sz w:val="18"/>
          <w:szCs w:val="18"/>
          <w:color w:val="auto"/>
        </w:rPr>
      </w:pPr>
      <w:r>
        <w:rPr>
          <w:rFonts w:ascii="Arial" w:cs="Arial" w:eastAsia="Arial" w:hAnsi="Arial"/>
          <w:sz w:val="18"/>
          <w:szCs w:val="18"/>
          <w:color w:val="auto"/>
        </w:rPr>
        <w:t xml:space="preserve">to release any Lien or any other claim on any Foreign Collateral granted to or held by the Foreign Collateral Agent, for the benefit of the Secured Parties, under any Foreign Collateral Document (A) upon the Discharge of the ABL Obligations and the Discharge of the LC Obligations, as applicable, in which case such Lien shall only be released with respect to the Obligations so Discharged; (B) that is sold or otherwise disposed of or to be sold or otherwise disposed of as part of or in connection with any sale or other disposition permitted hereunder or under the Foreign Collateral Documents, ABL Documents and LC Documents or (C) if approved, authorized or ratified in writing in accordance with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47" w:name="page1048"/>
    <w:bookmarkEnd w:id="1047"/>
    <w:p>
      <w:pPr>
        <w:jc w:val="both"/>
        <w:ind w:firstLine="1305"/>
        <w:spacing w:after="0" w:line="293" w:lineRule="auto"/>
        <w:tabs>
          <w:tab w:leader="none" w:pos="1929" w:val="left"/>
        </w:tabs>
        <w:numPr>
          <w:ilvl w:val="0"/>
          <w:numId w:val="1137"/>
        </w:numPr>
        <w:rPr>
          <w:rFonts w:ascii="Arial" w:cs="Arial" w:eastAsia="Arial" w:hAnsi="Arial"/>
          <w:sz w:val="16"/>
          <w:szCs w:val="16"/>
          <w:color w:val="auto"/>
        </w:rPr>
      </w:pPr>
      <w:r>
        <w:rPr>
          <w:rFonts w:ascii="Arial" w:cs="Arial" w:eastAsia="Arial" w:hAnsi="Arial"/>
          <w:sz w:val="16"/>
          <w:szCs w:val="16"/>
          <w:color w:val="auto"/>
        </w:rPr>
        <w:t xml:space="preserve">Upon request by the Foreign Collateral Agent at any time, the Controlling Parties will confirm in writing the Foreign Collateral Agent’s authority to release or subordinate its interest in particular types or items of property or take any other action necessary to administer the Foreign Collateral. In each case, as specified in this </w:t>
      </w:r>
      <w:r>
        <w:rPr>
          <w:rFonts w:ascii="Arial" w:cs="Arial" w:eastAsia="Arial" w:hAnsi="Arial"/>
          <w:sz w:val="16"/>
          <w:szCs w:val="16"/>
          <w:u w:val="single" w:color="auto"/>
          <w:color w:val="auto"/>
        </w:rPr>
        <w:t>Section 6.08</w:t>
      </w:r>
      <w:r>
        <w:rPr>
          <w:rFonts w:ascii="Arial" w:cs="Arial" w:eastAsia="Arial" w:hAnsi="Arial"/>
          <w:sz w:val="16"/>
          <w:szCs w:val="16"/>
          <w:color w:val="auto"/>
        </w:rPr>
        <w:t>, the Foreign Collateral Agent will, at the Grantors’ joint and several expense, execute and deliver to the applicable Grantor such documents as such Grantor may reasonably request to evidence the release of such item of Foreign Collateral from the assignment and security interest granted under the Foreign Collateral Documents or to subordinate its interest in such item, or to release such Grantor from its obligations under the Foreign Collateral Documents, in each case in accordance with the terms hereof and the terms of the Foreign Collateral Documents.</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865" w:val="left"/>
        </w:tabs>
        <w:numPr>
          <w:ilvl w:val="0"/>
          <w:numId w:val="1137"/>
        </w:numPr>
        <w:rPr>
          <w:rFonts w:ascii="Arial" w:cs="Arial" w:eastAsia="Arial" w:hAnsi="Arial"/>
          <w:sz w:val="18"/>
          <w:szCs w:val="18"/>
          <w:color w:val="auto"/>
        </w:rPr>
      </w:pPr>
      <w:r>
        <w:rPr>
          <w:rFonts w:ascii="Arial" w:cs="Arial" w:eastAsia="Arial" w:hAnsi="Arial"/>
          <w:sz w:val="18"/>
          <w:szCs w:val="18"/>
          <w:color w:val="auto"/>
        </w:rPr>
        <w:t>The Foreign Collateral Agent shall not be responsible for or have a duty to ascertain or inquire into any representation or warranty regarding the existence, value or collectability of the Foreign Collateral, the existence, priority or perfection of the Foreign Collateral Agent’s Lien thereon, or any certificate prepared by any Grantor in connection therewith, nor shall the Foreign Collateral Agent be responsible or liable to the Secured Parties for any failure to monitor or maintain any portion of the Foreign Collateral.</w:t>
      </w:r>
    </w:p>
    <w:p>
      <w:pPr>
        <w:spacing w:after="0" w:line="18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b w:val="1"/>
          <w:bCs w:val="1"/>
          <w:i w:val="1"/>
          <w:iCs w:val="1"/>
          <w:color w:val="auto"/>
        </w:rPr>
        <w:t>Discretionary Rights</w:t>
      </w:r>
      <w:r>
        <w:rPr>
          <w:rFonts w:ascii="Arial" w:cs="Arial" w:eastAsia="Arial" w:hAnsi="Arial"/>
          <w:sz w:val="16"/>
          <w:szCs w:val="16"/>
          <w:color w:val="auto"/>
        </w:rPr>
        <w:t>. The Foreign Collateral Agent may:</w:t>
      </w:r>
    </w:p>
    <w:p>
      <w:pPr>
        <w:spacing w:after="0" w:line="225" w:lineRule="exact"/>
        <w:rPr>
          <w:sz w:val="20"/>
          <w:szCs w:val="20"/>
          <w:color w:val="auto"/>
        </w:rPr>
      </w:pPr>
    </w:p>
    <w:p>
      <w:pPr>
        <w:jc w:val="both"/>
        <w:ind w:firstLine="1305"/>
        <w:spacing w:after="0" w:line="259" w:lineRule="auto"/>
        <w:tabs>
          <w:tab w:leader="none" w:pos="1886" w:val="left"/>
        </w:tabs>
        <w:numPr>
          <w:ilvl w:val="0"/>
          <w:numId w:val="1138"/>
        </w:numPr>
        <w:rPr>
          <w:rFonts w:ascii="Arial" w:cs="Arial" w:eastAsia="Arial" w:hAnsi="Arial"/>
          <w:sz w:val="18"/>
          <w:szCs w:val="18"/>
          <w:color w:val="auto"/>
        </w:rPr>
      </w:pPr>
      <w:r>
        <w:rPr>
          <w:rFonts w:ascii="Arial" w:cs="Arial" w:eastAsia="Arial" w:hAnsi="Arial"/>
          <w:sz w:val="18"/>
          <w:szCs w:val="18"/>
          <w:color w:val="auto"/>
        </w:rPr>
        <w:t>assume (unless it has received actual notice to the contrary from the Collateral Agents) that (i) no default or Event of Default has occurred and no Grantor is in breach of or default under its obligations under any of the Foreign Collateral Documents, ABL Documents, or LC Documents, and (ii) any right, power, authority or discretion vested by any Foreign Collateral Documents, ABL Documents, or LC Documents in any person has not been exercised;</w:t>
      </w:r>
    </w:p>
    <w:p>
      <w:pPr>
        <w:spacing w:after="0" w:line="186" w:lineRule="exact"/>
        <w:rPr>
          <w:rFonts w:ascii="Arial" w:cs="Arial" w:eastAsia="Arial" w:hAnsi="Arial"/>
          <w:sz w:val="18"/>
          <w:szCs w:val="18"/>
          <w:color w:val="auto"/>
        </w:rPr>
      </w:pPr>
    </w:p>
    <w:p>
      <w:pPr>
        <w:ind w:firstLine="1305"/>
        <w:spacing w:after="0" w:line="277" w:lineRule="auto"/>
        <w:tabs>
          <w:tab w:leader="none" w:pos="2003" w:val="left"/>
        </w:tabs>
        <w:numPr>
          <w:ilvl w:val="0"/>
          <w:numId w:val="1138"/>
        </w:numPr>
        <w:rPr>
          <w:rFonts w:ascii="Arial" w:cs="Arial" w:eastAsia="Arial" w:hAnsi="Arial"/>
          <w:sz w:val="18"/>
          <w:szCs w:val="18"/>
          <w:color w:val="auto"/>
        </w:rPr>
      </w:pPr>
      <w:r>
        <w:rPr>
          <w:rFonts w:ascii="Arial" w:cs="Arial" w:eastAsia="Arial" w:hAnsi="Arial"/>
          <w:sz w:val="18"/>
          <w:szCs w:val="18"/>
          <w:color w:val="auto"/>
        </w:rPr>
        <w:t>if it receives any instructions or directions to take any action in relation to the Foreign Collateral, assume that all applicable conditions under this Agreement, LC Documents and ABL Documents for taking that action have been satisfied;</w:t>
      </w:r>
    </w:p>
    <w:p>
      <w:pPr>
        <w:spacing w:after="0" w:line="170" w:lineRule="exact"/>
        <w:rPr>
          <w:rFonts w:ascii="Arial" w:cs="Arial" w:eastAsia="Arial" w:hAnsi="Arial"/>
          <w:sz w:val="18"/>
          <w:szCs w:val="18"/>
          <w:color w:val="auto"/>
        </w:rPr>
      </w:pPr>
    </w:p>
    <w:p>
      <w:pPr>
        <w:ind w:right="20" w:firstLine="1305"/>
        <w:spacing w:after="0" w:line="277" w:lineRule="auto"/>
        <w:tabs>
          <w:tab w:leader="none" w:pos="1923" w:val="left"/>
        </w:tabs>
        <w:numPr>
          <w:ilvl w:val="0"/>
          <w:numId w:val="1138"/>
        </w:numPr>
        <w:rPr>
          <w:rFonts w:ascii="Arial" w:cs="Arial" w:eastAsia="Arial" w:hAnsi="Arial"/>
          <w:sz w:val="18"/>
          <w:szCs w:val="18"/>
          <w:color w:val="auto"/>
        </w:rPr>
      </w:pPr>
      <w:r>
        <w:rPr>
          <w:rFonts w:ascii="Arial" w:cs="Arial" w:eastAsia="Arial" w:hAnsi="Arial"/>
          <w:sz w:val="18"/>
          <w:szCs w:val="18"/>
          <w:color w:val="auto"/>
        </w:rPr>
        <w:t>engage and pay for the advice or services of accountants, tax advisers, surveyors or other professional advisers or experts and a single legal counsel in each applicable jurisdiction (in addition to the Foreign Collateral Agent’s general outside counsel);</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821" w:val="left"/>
        </w:tabs>
        <w:numPr>
          <w:ilvl w:val="0"/>
          <w:numId w:val="1138"/>
        </w:numPr>
        <w:rPr>
          <w:rFonts w:ascii="Arial" w:cs="Arial" w:eastAsia="Arial" w:hAnsi="Arial"/>
          <w:sz w:val="17"/>
          <w:szCs w:val="17"/>
          <w:color w:val="auto"/>
        </w:rPr>
      </w:pPr>
      <w:r>
        <w:rPr>
          <w:rFonts w:ascii="Arial" w:cs="Arial" w:eastAsia="Arial" w:hAnsi="Arial"/>
          <w:sz w:val="17"/>
          <w:szCs w:val="17"/>
          <w:color w:val="auto"/>
        </w:rPr>
        <w:t>without prejudice for the generality of paragraph (c) above, at any time engage and pay for the services of a single additional counsel in each applicable jurisdiction to act as independent counsel to the Foreign Collateral Agent (in addition to the Foreign Collateral Agent’s general outside counsel) (and so separate from any lawyers instructed by the other Secured Parties) if the Foreign Collateral Agent in its reasonable opinion deems this to be desirable and the Collateral Agent shall not be liable for any damages, costs or losses to any person, any diminution in value or any liability whatsoever arising as a result of its so relying on the advice or services of any professional engaged under this Section 6.09;</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48" w:name="page1049"/>
    <w:bookmarkEnd w:id="1048"/>
    <w:p>
      <w:pPr>
        <w:ind w:left="1820" w:hanging="515"/>
        <w:spacing w:after="0"/>
        <w:tabs>
          <w:tab w:leader="none" w:pos="1820"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799"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refrain from acting in accordance with the instructions of any Secured Party or Controlling Party (including bringing any legal action or proceeding arising out of or in connection with the Foreign Collateral Documents) until it has received any indemnification and/or security that it may in its reasonable discretion require which may be greater in extent than that contained for the benefit of any Representative in the ABL Documents or LC Documents. Notwithstanding any provision of any ABL Documents or LC Documents to the contrary, the Foreign Collateral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and</w:t>
      </w:r>
    </w:p>
    <w:p>
      <w:pPr>
        <w:spacing w:after="0" w:line="189" w:lineRule="exact"/>
        <w:rPr>
          <w:rFonts w:ascii="Arial" w:cs="Arial" w:eastAsia="Arial" w:hAnsi="Arial"/>
          <w:sz w:val="18"/>
          <w:szCs w:val="18"/>
          <w:color w:val="auto"/>
        </w:rPr>
      </w:pPr>
    </w:p>
    <w:p>
      <w:pPr>
        <w:ind w:right="20" w:firstLine="1305"/>
        <w:spacing w:after="0" w:line="277" w:lineRule="auto"/>
        <w:tabs>
          <w:tab w:leader="none" w:pos="1869"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during a No Controlling Party Situation, make decisions in its Permitted Discretion, and any actions taken based on such decisions shall be deemed to have been taken at the instruction of all Controlling Parties.</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b w:val="1"/>
          <w:bCs w:val="1"/>
          <w:i w:val="1"/>
          <w:iCs w:val="1"/>
          <w:color w:val="auto"/>
        </w:rPr>
        <w:t>Indemnification of Foreign Collateral Agent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922" w:val="left"/>
        </w:tabs>
        <w:numPr>
          <w:ilvl w:val="0"/>
          <w:numId w:val="1140"/>
        </w:numPr>
        <w:rPr>
          <w:rFonts w:ascii="Arial" w:cs="Arial" w:eastAsia="Arial" w:hAnsi="Arial"/>
          <w:sz w:val="17"/>
          <w:szCs w:val="17"/>
          <w:color w:val="auto"/>
        </w:rPr>
      </w:pPr>
      <w:r>
        <w:rPr>
          <w:rFonts w:ascii="Arial" w:cs="Arial" w:eastAsia="Arial" w:hAnsi="Arial"/>
          <w:sz w:val="17"/>
          <w:szCs w:val="17"/>
          <w:color w:val="auto"/>
        </w:rPr>
        <w:t>The Secured Parties (other than the LC Australian Collateral Agent) shall jointly and severally indemnify the Foreign Collateral Agent within three Business Days of demand, and keep the Foreign Collateral Agent indemnified against any demands, damages, expenses, costs, losses or liabilities made against or incurred by it in acting as Foreign Collateral Agent on behalf of the Secured Parties under this Agreement, the Foreign Collateral Documents, the LC Documents, or the ABL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indemnification obligations arising solely due to the instructions of a Controlling Party shall be borne solely by the Class represented by such Controlling Party), unless the Foreign Collateral Agent (i) has been reimbursed by a Grantor pursuant to any of the Foreign Collateral Documents or (ii) such liabilities, losses, demands, damages, expenses or costs are incurred by or made against the Foreign Collateral Agent as a result of willful misconduct, gross negligence or bad faith. The Grantors hereby jointly and severally indemnify the Secured Parties against any payment made by them under this Section 6.10(a) and agree that any payments made by or costs attributable to any ABL Secured Party on account of the Foreign Collateral Agent shall be added to the ABL Obligations and any payments made by or costs attributable to any LC Secured Party on account of the Foreign Collateral Agent shall be added to the LC Obligations.</w:t>
      </w:r>
    </w:p>
    <w:p>
      <w:pPr>
        <w:spacing w:after="0" w:line="177" w:lineRule="exact"/>
        <w:rPr>
          <w:rFonts w:ascii="Arial" w:cs="Arial" w:eastAsia="Arial" w:hAnsi="Arial"/>
          <w:sz w:val="17"/>
          <w:szCs w:val="17"/>
          <w:color w:val="auto"/>
        </w:rPr>
      </w:pPr>
    </w:p>
    <w:p>
      <w:pPr>
        <w:jc w:val="both"/>
        <w:ind w:firstLine="1305"/>
        <w:spacing w:after="0" w:line="270" w:lineRule="auto"/>
        <w:tabs>
          <w:tab w:leader="none" w:pos="1875" w:val="left"/>
        </w:tabs>
        <w:numPr>
          <w:ilvl w:val="0"/>
          <w:numId w:val="1140"/>
        </w:numPr>
        <w:rPr>
          <w:rFonts w:ascii="Arial" w:cs="Arial" w:eastAsia="Arial" w:hAnsi="Arial"/>
          <w:sz w:val="17"/>
          <w:szCs w:val="17"/>
          <w:color w:val="auto"/>
        </w:rPr>
      </w:pPr>
      <w:r>
        <w:rPr>
          <w:rFonts w:ascii="Arial" w:cs="Arial" w:eastAsia="Arial" w:hAnsi="Arial"/>
          <w:sz w:val="17"/>
          <w:szCs w:val="17"/>
          <w:color w:val="auto"/>
        </w:rPr>
        <w:t>The Grantors covenant and agree that they shall defend and be jointly and severally liable to reimburse and indemnify the Foreign Collateral Agent (and its Affiliates, officers, directors, employees, attorneys and agents (“</w:t>
      </w:r>
      <w:r>
        <w:rPr>
          <w:rFonts w:ascii="Arial" w:cs="Arial" w:eastAsia="Arial" w:hAnsi="Arial"/>
          <w:sz w:val="17"/>
          <w:szCs w:val="17"/>
          <w:u w:val="single" w:color="auto"/>
          <w:color w:val="auto"/>
        </w:rPr>
        <w:t>Foreign Collateral Agent Related Persons</w:t>
      </w:r>
      <w:r>
        <w:rPr>
          <w:rFonts w:ascii="Arial" w:cs="Arial" w:eastAsia="Arial" w:hAnsi="Arial"/>
          <w:sz w:val="17"/>
          <w:szCs w:val="17"/>
          <w:color w:val="auto"/>
        </w:rPr>
        <w:t>”)) for any and all reasonable expenses and other charges actually incurred by the Foreign Collateral Agent on behalf of the Secured Parties in connection with the execution, delivery, administration and enforcement of this Agreement and the Foreign Collateral Documents (or any of them) and from and against any and all liabilities, obligations, losses, damages, penalties, actions, judgments, suits, costs, actual reasonable expenses or disbursements of any kind and nature whatsoever that may be imposed on, incurred by or asserted against the Foreign Collateral Agent, in any way relating to or arising out of this Agreement, any Foreign Collateral Document, or any other document delivered in connection herewith or therewith or the transactions contemplated hereby or thereby, or the enforcement of any of the terms hereof or thereof, in each case, except to the extent caused by the Foreign Collateral Agent’s or the Foreign Collateral Agent Related Person’s willful misconduct, gross negligence or bad faith.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49" w:name="page1050"/>
    <w:bookmarkEnd w:id="1049"/>
    <w:p>
      <w:pPr>
        <w:ind w:firstLine="1305"/>
        <w:spacing w:after="0" w:line="277" w:lineRule="auto"/>
        <w:tabs>
          <w:tab w:leader="none" w:pos="1812"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The obligations under this Section 6.10 shall survive the Discharge of the ABL Obligations, the Discharge of the LC Obligations, the resignation of any Foreign Collateral Agent, and termination of this Agreement and all of the Foreign Collateral Documents.</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5"/>
          <w:szCs w:val="15"/>
          <w:b w:val="1"/>
          <w:bCs w:val="1"/>
          <w:i w:val="1"/>
          <w:iCs w:val="1"/>
          <w:color w:val="auto"/>
        </w:rPr>
        <w:t>Treatment of Proceeds of Foreign Collateral</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64" w:lineRule="auto"/>
        <w:tabs>
          <w:tab w:leader="none" w:pos="1555" w:val="left"/>
        </w:tabs>
        <w:numPr>
          <w:ilvl w:val="0"/>
          <w:numId w:val="1142"/>
        </w:numPr>
        <w:rPr>
          <w:rFonts w:ascii="Arial" w:cs="Arial" w:eastAsia="Arial" w:hAnsi="Arial"/>
          <w:sz w:val="18"/>
          <w:szCs w:val="18"/>
          <w:color w:val="auto"/>
        </w:rPr>
      </w:pPr>
      <w:r>
        <w:rPr>
          <w:rFonts w:ascii="Arial" w:cs="Arial" w:eastAsia="Arial" w:hAnsi="Arial"/>
          <w:sz w:val="18"/>
          <w:szCs w:val="18"/>
          <w:color w:val="auto"/>
        </w:rPr>
        <w:t>All amounts from time to time received or recovered by the Foreign Collateral Agent pursuant to the terms of any Foreign Collateral Document or in connection with the realization or enforcement of all or any part of the Foreign Collateral (the “</w:t>
      </w:r>
      <w:r>
        <w:rPr>
          <w:rFonts w:ascii="Arial" w:cs="Arial" w:eastAsia="Arial" w:hAnsi="Arial"/>
          <w:sz w:val="18"/>
          <w:szCs w:val="18"/>
          <w:u w:val="single" w:color="auto"/>
          <w:color w:val="auto"/>
        </w:rPr>
        <w:t>Foreign Recoveries</w:t>
      </w:r>
      <w:r>
        <w:rPr>
          <w:rFonts w:ascii="Arial" w:cs="Arial" w:eastAsia="Arial" w:hAnsi="Arial"/>
          <w:sz w:val="18"/>
          <w:szCs w:val="18"/>
          <w:color w:val="auto"/>
        </w:rPr>
        <w:t>”) shall be held by the Foreign Collateral Agent in trust and applied, to the extent permitted by applicable law, in the following order:</w:t>
      </w:r>
    </w:p>
    <w:p>
      <w:pPr>
        <w:spacing w:after="0" w:line="181"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in discharging any sums owing to the Foreign Collateral Agent (in its capacity as such), including (i) amounts owing to Foreign Collateral Agent to indemnify Foreign Collateral Agent for claims against it or claims that, in the reasonable discretion of Foreign Collateral Agent, may be asserted against Foreign Collateral Agent and are subject to the indemnification provisions of this Agreement and</w:t>
      </w:r>
    </w:p>
    <w:p>
      <w:pPr>
        <w:jc w:val="both"/>
        <w:ind w:left="1300" w:firstLine="5"/>
        <w:spacing w:after="0" w:line="268" w:lineRule="auto"/>
        <w:tabs>
          <w:tab w:leader="none" w:pos="1591" w:val="left"/>
        </w:tabs>
        <w:numPr>
          <w:ilvl w:val="0"/>
          <w:numId w:val="1143"/>
        </w:numPr>
        <w:rPr>
          <w:rFonts w:ascii="Arial" w:cs="Arial" w:eastAsia="Arial" w:hAnsi="Arial"/>
          <w:sz w:val="17"/>
          <w:szCs w:val="17"/>
          <w:color w:val="auto"/>
        </w:rPr>
      </w:pPr>
      <w:r>
        <w:rPr>
          <w:rFonts w:ascii="Arial" w:cs="Arial" w:eastAsia="Arial" w:hAnsi="Arial"/>
          <w:sz w:val="17"/>
          <w:szCs w:val="17"/>
          <w:color w:val="auto"/>
        </w:rPr>
        <w:t xml:space="preserve">any deductions and withholdings (on account of taxes or otherwise) which Foreign Collateral Agent is or may be required by any applicable law to make from any distribution or payment made by it under this Agreement and to pay all taxes which may be assessed against it in respect of any of the Foreign Collateral Documents, or as a consequence of performing its duties, or by virtue of its capacity as Foreign Collateral Agent (other than in connection with its remuneration for performing its duties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Foreign Collateral or proceeds thereof that is LC Priority Collateral may only be applied or retained by Foreign Collateral Agent to secure indemnification obligations or other amounts owing (or potentially owing) by the LC Secured Parties and Foreign Collateral or proceeds thereof that is ABL Priority Collateral may only be applied or retained by Foreign Collateral Agent to secure indemnification obligations or other amounts owing (or potentially owing) by the ABL Secured Parties;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Representatives to be applied in accordance with Section 2.01(a) hereof.</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avoidance of doubt, following acceleration of any of the ABL Obligations or the LC Obligations, Foreign Collateral Agent may, in its Permitted Discretion, hold any amount of the Foreign Recoveries (subject to the proviso set forth in subclause “first” above) in a non-interest bearing account(s) in the name of the Foreign Collateral Agent with such financial institution as it may select (including itself) and for so long as the Foreign Collateral Agent shall think appropriate in its Permitted Discretion for later application as set forth herein in respect of any sum owing to the Foreign Collateral Agent that the Foreign Collateral Agent reasonably considers might become due or owing at any time in the future.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50" w:name="page1051"/>
    <w:bookmarkEnd w:id="1050"/>
    <w:p>
      <w:pPr>
        <w:jc w:val="both"/>
        <w:ind w:firstLine="1297"/>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b w:val="1"/>
          <w:bCs w:val="1"/>
          <w:i w:val="1"/>
          <w:iCs w:val="1"/>
          <w:color w:val="auto"/>
        </w:rPr>
        <w:t>Currency Conversion</w:t>
      </w:r>
      <w:r>
        <w:rPr>
          <w:rFonts w:ascii="Arial" w:cs="Arial" w:eastAsia="Arial" w:hAnsi="Arial"/>
          <w:sz w:val="18"/>
          <w:szCs w:val="18"/>
          <w:color w:val="auto"/>
        </w:rPr>
        <w:t>. The Foreign Collateral Agent is under no obligation to make the payments to the Secured Parties above in the same currency as that in which the obligations and liabilities owing to the Secured Parties are denominated. To the extent any payment from Foreign Collateral Agent to a Representative causes a currency conversion, the provisions of the ABL Documents or the LC Documents (as applicable, based on the Representative receiving payment) relating to currency conversions shall apply.</w:t>
      </w:r>
    </w:p>
    <w:p>
      <w:pPr>
        <w:spacing w:after="0" w:line="18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5"/>
          <w:szCs w:val="15"/>
          <w:b w:val="1"/>
          <w:bCs w:val="1"/>
          <w:i w:val="1"/>
          <w:iCs w:val="1"/>
          <w:color w:val="auto"/>
        </w:rPr>
        <w:t>Swiss Collateral</w:t>
      </w:r>
      <w:r>
        <w:rPr>
          <w:rFonts w:ascii="Arial" w:cs="Arial" w:eastAsia="Arial" w:hAnsi="Arial"/>
          <w:sz w:val="15"/>
          <w:szCs w:val="15"/>
          <w:color w:val="auto"/>
        </w:rPr>
        <w:t>.</w:t>
      </w:r>
    </w:p>
    <w:p>
      <w:pPr>
        <w:spacing w:after="0" w:line="225" w:lineRule="exact"/>
        <w:rPr>
          <w:sz w:val="20"/>
          <w:szCs w:val="20"/>
          <w:color w:val="auto"/>
        </w:rPr>
      </w:pPr>
    </w:p>
    <w:p>
      <w:pPr>
        <w:ind w:left="1780" w:hanging="475"/>
        <w:spacing w:after="0"/>
        <w:tabs>
          <w:tab w:leader="none" w:pos="1780" w:val="left"/>
        </w:tabs>
        <w:numPr>
          <w:ilvl w:val="0"/>
          <w:numId w:val="1144"/>
        </w:numPr>
        <w:rPr>
          <w:rFonts w:ascii="Arial" w:cs="Arial" w:eastAsia="Arial" w:hAnsi="Arial"/>
          <w:sz w:val="16"/>
          <w:szCs w:val="16"/>
          <w:color w:val="auto"/>
        </w:rPr>
      </w:pPr>
      <w:r>
        <w:rPr>
          <w:rFonts w:ascii="Arial" w:cs="Arial" w:eastAsia="Arial" w:hAnsi="Arial"/>
          <w:sz w:val="16"/>
          <w:szCs w:val="16"/>
          <w:color w:val="auto"/>
        </w:rPr>
        <w:t>In relation to Foreign Collateral which is subject to a security document governed by Swiss law, the Foreign Collateral Agent shall:</w:t>
      </w:r>
    </w:p>
    <w:p>
      <w:pPr>
        <w:spacing w:after="0" w:line="248" w:lineRule="exact"/>
        <w:rPr>
          <w:rFonts w:ascii="Arial" w:cs="Arial" w:eastAsia="Arial" w:hAnsi="Arial"/>
          <w:sz w:val="16"/>
          <w:szCs w:val="16"/>
          <w:color w:val="auto"/>
        </w:rPr>
      </w:pPr>
    </w:p>
    <w:p>
      <w:pPr>
        <w:ind w:left="1400" w:firstLine="383"/>
        <w:spacing w:after="0" w:line="277" w:lineRule="auto"/>
        <w:tabs>
          <w:tab w:leader="none" w:pos="2463"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hold and administer any non-accessory Collateral (</w:t>
      </w:r>
      <w:r>
        <w:rPr>
          <w:rFonts w:ascii="Arial" w:cs="Arial" w:eastAsia="Arial" w:hAnsi="Arial"/>
          <w:sz w:val="18"/>
          <w:szCs w:val="18"/>
          <w:i w:val="1"/>
          <w:iCs w:val="1"/>
          <w:color w:val="auto"/>
        </w:rPr>
        <w:t>nicht- akzessorische Sicherheit</w:t>
      </w:r>
      <w:r>
        <w:rPr>
          <w:rFonts w:ascii="Arial" w:cs="Arial" w:eastAsia="Arial" w:hAnsi="Arial"/>
          <w:sz w:val="18"/>
          <w:szCs w:val="18"/>
          <w:color w:val="auto"/>
        </w:rPr>
        <w:t>) governed by Swiss law 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benefit of the Secured Parties; and</w:t>
      </w:r>
    </w:p>
    <w:p>
      <w:pPr>
        <w:spacing w:after="0" w:line="170" w:lineRule="exact"/>
        <w:rPr>
          <w:rFonts w:ascii="Arial" w:cs="Arial" w:eastAsia="Arial" w:hAnsi="Arial"/>
          <w:sz w:val="18"/>
          <w:szCs w:val="18"/>
          <w:color w:val="auto"/>
        </w:rPr>
      </w:pPr>
    </w:p>
    <w:p>
      <w:pPr>
        <w:ind w:left="1400" w:firstLine="383"/>
        <w:spacing w:after="0" w:line="277" w:lineRule="auto"/>
        <w:tabs>
          <w:tab w:leader="none" w:pos="2441"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hold and administer any accessory Collateral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governed by Swiss law as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in the name and on behalf of the Secured Parties.</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1144"/>
        </w:numPr>
        <w:rPr>
          <w:rFonts w:ascii="Arial" w:cs="Arial" w:eastAsia="Arial" w:hAnsi="Arial"/>
          <w:sz w:val="18"/>
          <w:szCs w:val="18"/>
          <w:color w:val="auto"/>
        </w:rPr>
      </w:pPr>
      <w:r>
        <w:rPr>
          <w:rFonts w:ascii="Arial" w:cs="Arial" w:eastAsia="Arial" w:hAnsi="Arial"/>
          <w:sz w:val="18"/>
          <w:szCs w:val="18"/>
          <w:color w:val="auto"/>
        </w:rPr>
        <w:t>The Foreign Collateral Agent shall be empowered to:</w:t>
      </w:r>
    </w:p>
    <w:p>
      <w:pPr>
        <w:spacing w:after="0" w:line="225" w:lineRule="exact"/>
        <w:rPr>
          <w:rFonts w:ascii="Arial" w:cs="Arial" w:eastAsia="Arial" w:hAnsi="Arial"/>
          <w:sz w:val="18"/>
          <w:szCs w:val="18"/>
          <w:color w:val="auto"/>
        </w:rPr>
      </w:pPr>
    </w:p>
    <w:p>
      <w:pPr>
        <w:jc w:val="both"/>
        <w:ind w:left="1400" w:firstLine="383"/>
        <w:spacing w:after="0" w:line="264" w:lineRule="auto"/>
        <w:tabs>
          <w:tab w:leader="none" w:pos="2274"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exercise such rights, remedies, powers and discretions as are specifically delegated to or conferred upon the Foreign Collateral Agent under the relevant security documents governed by Swiss law together with such powers and discretions as are reasonably incidental thereto;</w:t>
      </w:r>
    </w:p>
    <w:p>
      <w:pPr>
        <w:spacing w:after="0" w:line="181" w:lineRule="exact"/>
        <w:rPr>
          <w:rFonts w:ascii="Arial" w:cs="Arial" w:eastAsia="Arial" w:hAnsi="Arial"/>
          <w:sz w:val="18"/>
          <w:szCs w:val="18"/>
          <w:color w:val="auto"/>
        </w:rPr>
      </w:pPr>
    </w:p>
    <w:p>
      <w:pPr>
        <w:ind w:left="1400" w:firstLine="383"/>
        <w:spacing w:after="0" w:line="277" w:lineRule="auto"/>
        <w:tabs>
          <w:tab w:leader="none" w:pos="2414"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take such action on its behalf as may from time to time be authorized under or in accordance with the relevant Foreign Collateral Documents governed by Swiss law; and</w:t>
      </w:r>
    </w:p>
    <w:p>
      <w:pPr>
        <w:spacing w:after="0" w:line="170" w:lineRule="exact"/>
        <w:rPr>
          <w:rFonts w:ascii="Arial" w:cs="Arial" w:eastAsia="Arial" w:hAnsi="Arial"/>
          <w:sz w:val="18"/>
          <w:szCs w:val="18"/>
          <w:color w:val="auto"/>
        </w:rPr>
      </w:pPr>
    </w:p>
    <w:p>
      <w:pPr>
        <w:jc w:val="both"/>
        <w:ind w:left="1400" w:firstLine="383"/>
        <w:spacing w:after="0" w:line="255" w:lineRule="auto"/>
        <w:tabs>
          <w:tab w:leader="none" w:pos="2284"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accept, enter into and execute,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any pledge or other creation of any accessory security right granted in favor of any Secured Party under Swiss law in connection with the ABL Documents and/or the LC Documents and to agree to and execute in its name and on its behalf as its direct representative (</w:t>
      </w:r>
      <w:r>
        <w:rPr>
          <w:rFonts w:ascii="Arial" w:cs="Arial" w:eastAsia="Arial" w:hAnsi="Arial"/>
          <w:sz w:val="18"/>
          <w:szCs w:val="18"/>
          <w:i w:val="1"/>
          <w:iCs w:val="1"/>
          <w:color w:val="auto"/>
        </w:rPr>
        <w:t>direkter Stellvertreter</w:t>
      </w:r>
      <w:r>
        <w:rPr>
          <w:rFonts w:ascii="Arial" w:cs="Arial" w:eastAsia="Arial" w:hAnsi="Arial"/>
          <w:sz w:val="18"/>
          <w:szCs w:val="18"/>
          <w:color w:val="auto"/>
        </w:rPr>
        <w:t>) any amendments, confirmations and/or alterations to any security document governed by Swiss law which creates a pledge or any other accessory security right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including the release or confirmation of release of such Collateral, all subject to the provisions of this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1" w:name="page1052"/>
    <w:bookmarkEnd w:id="1051"/>
    <w:p>
      <w:pPr>
        <w:ind w:left="1300"/>
        <w:spacing w:after="0"/>
        <w:tabs>
          <w:tab w:leader="none" w:pos="270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5"/>
          <w:szCs w:val="15"/>
          <w:b w:val="1"/>
          <w:bCs w:val="1"/>
          <w:i w:val="1"/>
          <w:iCs w:val="1"/>
          <w:color w:val="auto"/>
        </w:rPr>
        <w:t>Scottish Collateral</w:t>
      </w:r>
      <w:r>
        <w:rPr>
          <w:rFonts w:ascii="Arial" w:cs="Arial" w:eastAsia="Arial" w:hAnsi="Arial"/>
          <w:sz w:val="15"/>
          <w:szCs w:val="15"/>
          <w:color w:val="auto"/>
        </w:rPr>
        <w:t>.</w:t>
      </w:r>
    </w:p>
    <w:p>
      <w:pPr>
        <w:spacing w:after="0" w:line="225" w:lineRule="exact"/>
        <w:rPr>
          <w:sz w:val="20"/>
          <w:szCs w:val="20"/>
          <w:color w:val="auto"/>
        </w:rPr>
      </w:pPr>
    </w:p>
    <w:p>
      <w:pPr>
        <w:jc w:val="both"/>
        <w:ind w:firstLine="1294"/>
        <w:spacing w:after="0" w:line="271" w:lineRule="auto"/>
        <w:tabs>
          <w:tab w:leader="none" w:pos="1824" w:val="left"/>
        </w:tabs>
        <w:numPr>
          <w:ilvl w:val="0"/>
          <w:numId w:val="1145"/>
        </w:numPr>
        <w:rPr>
          <w:rFonts w:ascii="Arial" w:cs="Arial" w:eastAsia="Arial" w:hAnsi="Arial"/>
          <w:sz w:val="17"/>
          <w:szCs w:val="17"/>
          <w:color w:val="auto"/>
        </w:rPr>
      </w:pPr>
      <w:r>
        <w:rPr>
          <w:rFonts w:ascii="Arial" w:cs="Arial" w:eastAsia="Arial" w:hAnsi="Arial"/>
          <w:sz w:val="17"/>
          <w:szCs w:val="17"/>
          <w:color w:val="auto"/>
        </w:rPr>
        <w:t xml:space="preserve">The Foreign Collateral Agent declares that it holds on trust for the Secured Parties, on the terms contained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(i) the Foreign Collateral expressed to be subject to the Liens created in favor of the Foreign Collateral Agent as trustee for the Secured Parties by or pursuant to each Foreign Collateral Document which is governed by or subject to the laws of Scotland, and all proceeds of that Foreign Collateral; (ii) all obligations expressed to be undertaken by any Grantor to pay amounts in respect of the Obligations to the Foreign Collateral Agent as trustee for the Secured Parties and secured by any Foreign Collateral Document which is governed by or subject to the laws of Scotland together with all representations and warranties expressed to be given by any Grantor or any other person in favour of the Foreign Collateral Agent as trustee for the Secured Parties; and (iii) any other amounts or property, whether rights, entitlements, choses in action or otherwise, actual or contingent, which the Foreign Collateral Agent is required by the terms of the ABL Documents or the LC Documents to hold as trustee on trust for the Secured Parties.</w:t>
      </w:r>
    </w:p>
    <w:p>
      <w:pPr>
        <w:spacing w:after="0" w:line="178" w:lineRule="exact"/>
        <w:rPr>
          <w:rFonts w:ascii="Arial" w:cs="Arial" w:eastAsia="Arial" w:hAnsi="Arial"/>
          <w:sz w:val="17"/>
          <w:szCs w:val="17"/>
          <w:color w:val="auto"/>
        </w:rPr>
      </w:pPr>
    </w:p>
    <w:p>
      <w:pPr>
        <w:jc w:val="both"/>
        <w:ind w:firstLine="1294"/>
        <w:spacing w:after="0" w:line="255" w:lineRule="auto"/>
        <w:tabs>
          <w:tab w:leader="none" w:pos="1848"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 xml:space="preserve">Without prejudice to the other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each other Collateral Agent hereby irrevocably authorizes the Foreign Collateral Agent to perform the duties, obligations and responsibilities and to exercise the rights, powers, authorities and discretions specifically given to the Foreign Collateral Agent as trustee for the Secured Parties under or in connection with the ABL Documents and the LC Documents together with any other incidental rights, powers, authorities and discretions. For the avoidance of doubt, the Foreign Collateral Agent in its capacity as trustee for the Secured Parties shall have the same rights, powers, immunities, indemnities and exclusions from liability as are prescribed in favor of the Foreign Collateral Agent in this Agreement,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b w:val="1"/>
          <w:bCs w:val="1"/>
          <w:i w:val="1"/>
          <w:iCs w:val="1"/>
          <w:color w:val="auto"/>
        </w:rPr>
        <w:t>Legends</w:t>
      </w:r>
      <w:r>
        <w:rPr>
          <w:rFonts w:ascii="Arial" w:cs="Arial" w:eastAsia="Arial" w:hAnsi="Arial"/>
          <w:sz w:val="18"/>
          <w:szCs w:val="18"/>
          <w:i w:val="1"/>
          <w:iCs w:val="1"/>
          <w:color w:val="auto"/>
        </w:rPr>
        <w:t>.</w:t>
      </w:r>
      <w:r>
        <w:rPr>
          <w:rFonts w:ascii="Arial" w:cs="Arial" w:eastAsia="Arial" w:hAnsi="Arial"/>
          <w:sz w:val="18"/>
          <w:szCs w:val="18"/>
          <w:color w:val="auto"/>
        </w:rPr>
        <w:t xml:space="preserve"> Each Security Document shall (and, to the extent already in existence, shall be amended to) include a legend, substantially similar to the form provided below, describing this Agreement (except in the case of any foreign jurisdiction, where such legend is not customary or where otherwise prohibited by applicable law):</w:t>
      </w:r>
    </w:p>
    <w:p>
      <w:pPr>
        <w:spacing w:after="0" w:line="177" w:lineRule="exact"/>
        <w:rPr>
          <w:sz w:val="20"/>
          <w:szCs w:val="20"/>
          <w:color w:val="auto"/>
        </w:rPr>
      </w:pPr>
    </w:p>
    <w:p>
      <w:pPr>
        <w:jc w:val="both"/>
        <w:ind w:left="1300"/>
        <w:spacing w:after="0" w:line="284" w:lineRule="auto"/>
        <w:rPr>
          <w:sz w:val="20"/>
          <w:szCs w:val="20"/>
          <w:color w:val="auto"/>
        </w:rPr>
      </w:pPr>
      <w:r>
        <w:rPr>
          <w:rFonts w:ascii="Arial" w:cs="Arial" w:eastAsia="Arial" w:hAnsi="Arial"/>
          <w:sz w:val="16"/>
          <w:szCs w:val="16"/>
          <w:b w:val="1"/>
          <w:bCs w:val="1"/>
          <w:color w:val="auto"/>
        </w:rPr>
        <w:t>Reference is made to the Intercreditor Agreement (the “Intercreditor Agreement”), dated as of December 13, 2019, among Wells Fargo Bank, National Association, as ABL Collateral Agent (as defined in the Intercreditor Agreement) for the ABL Secured Parties referred to therein; Deutsche Bank Trust Company Americas, as LC Collateral Agent (as defined in the Intercreditor Agreement) for the LC Facility Secured Parties referred to therein; Weatherford International plc, a public limited company incorporated in the Republic of Ireland, Weatherford International Ltd., a Bermuda exempted company limited by shares, Weatherford International LLC, a Delaware limited liability company and the other Grantors of Weatherford International plc named therein (the “Intercreditor Agreement”). Each [ABL Secured Party] [LC Secured Party], through its Collateral Agent, by obtaining the benefits of this Agreement, (a) consents to the subordination of Liens provided for in the Intercreditor Agreement,</w:t>
      </w:r>
    </w:p>
    <w:p>
      <w:pPr>
        <w:spacing w:after="0" w:line="5" w:lineRule="exact"/>
        <w:rPr>
          <w:sz w:val="20"/>
          <w:szCs w:val="20"/>
          <w:color w:val="auto"/>
        </w:rPr>
      </w:pPr>
    </w:p>
    <w:p>
      <w:pPr>
        <w:jc w:val="both"/>
        <w:ind w:left="1300" w:hanging="6"/>
        <w:spacing w:after="0" w:line="290" w:lineRule="auto"/>
        <w:tabs>
          <w:tab w:leader="none" w:pos="1578" w:val="left"/>
        </w:tabs>
        <w:numPr>
          <w:ilvl w:val="0"/>
          <w:numId w:val="1146"/>
        </w:numPr>
        <w:rPr>
          <w:rFonts w:ascii="Arial" w:cs="Arial" w:eastAsia="Arial" w:hAnsi="Arial"/>
          <w:sz w:val="16"/>
          <w:szCs w:val="16"/>
          <w:b w:val="1"/>
          <w:bCs w:val="1"/>
          <w:color w:val="auto"/>
        </w:rPr>
      </w:pPr>
      <w:r>
        <w:rPr>
          <w:rFonts w:ascii="Arial" w:cs="Arial" w:eastAsia="Arial" w:hAnsi="Arial"/>
          <w:sz w:val="16"/>
          <w:szCs w:val="16"/>
          <w:b w:val="1"/>
          <w:bCs w:val="1"/>
          <w:color w:val="auto"/>
        </w:rPr>
        <w:t>agrees that it will be bound by, and will take no actions contrary to, the provisions of the Intercreditor Agreement and (c) authorizes and instructs the [ABL Collateral Agent] [LC Collateral Agent] to enter into the Intercreditor Agreement as [ABL Collateral Agent ] [LC Collateral Agent] on behalf of such Secured Party. The foregoing provisions are intended as an inducement to the [ABL Secured Parties] [LC Secured Parties] to extend credit to [LC Borrowers] [ABL Borrowers] or to acquire any notes or other evidence of any debt obligation owing from the [LC Borrowers] [ABL Borrowers] and such [ABL Secured Parties] [LC Secured Parties] are intended third party beneficiaries of such provisions and the provisions of the Intercreditor Agreement.</w:t>
      </w:r>
    </w:p>
    <w:p>
      <w:pPr>
        <w:spacing w:after="0" w:line="38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124" w:right="239" w:bottom="1440" w:gutter="0" w:footer="0" w:header="0"/>
        </w:sectPr>
      </w:pPr>
    </w:p>
    <w:bookmarkStart w:id="1052" w:name="page1053"/>
    <w:bookmarkEnd w:id="1052"/>
    <w:p>
      <w:pPr>
        <w:jc w:val="both"/>
        <w:ind w:left="1300"/>
        <w:spacing w:after="0" w:line="258" w:lineRule="auto"/>
        <w:rPr>
          <w:sz w:val="20"/>
          <w:szCs w:val="20"/>
          <w:color w:val="auto"/>
        </w:rPr>
      </w:pPr>
      <w:r>
        <w:rPr>
          <w:rFonts w:ascii="Arial" w:cs="Arial" w:eastAsia="Arial" w:hAnsi="Arial"/>
          <w:sz w:val="18"/>
          <w:szCs w:val="18"/>
          <w:b w:val="1"/>
          <w:bCs w:val="1"/>
          <w:color w:val="auto"/>
        </w:rPr>
        <w:t>Notwithstanding any other provision contained herein, this Agreement, the Liens created hereby and the rights, remedies, duties and obligations provided for herein are subject in all respects to the provisions of the Intercreditor Agreement and, to the extent provided therein, the applicable ABL Security Documents and LC Security Documents (as defined in the ABL Intercreditor Agreement). In the event of any conflict or inconsistency between the provisions of this Agreement and the Intercreditor Agreement, the provisions of the Intercreditor Agreement shall control.</w:t>
      </w:r>
    </w:p>
    <w:p>
      <w:pPr>
        <w:spacing w:after="0" w:line="188"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other communications provided for herein shall be in writing and shall be delivered by hand or overnight courier service, mailed by certified or registered mail or sent by telecopy, as follows:</w:t>
      </w:r>
    </w:p>
    <w:p>
      <w:pPr>
        <w:spacing w:after="0" w:line="170" w:lineRule="exact"/>
        <w:rPr>
          <w:sz w:val="20"/>
          <w:szCs w:val="20"/>
          <w:color w:val="auto"/>
        </w:rPr>
      </w:pPr>
    </w:p>
    <w:p>
      <w:pPr>
        <w:ind w:left="1940" w:hanging="654"/>
        <w:spacing w:after="0"/>
        <w:tabs>
          <w:tab w:leader="none" w:pos="1940" w:val="left"/>
        </w:tabs>
        <w:numPr>
          <w:ilvl w:val="0"/>
          <w:numId w:val="1147"/>
        </w:numPr>
        <w:rPr>
          <w:rFonts w:ascii="Arial" w:cs="Arial" w:eastAsia="Arial" w:hAnsi="Arial"/>
          <w:sz w:val="18"/>
          <w:szCs w:val="18"/>
          <w:color w:val="auto"/>
        </w:rPr>
      </w:pPr>
      <w:r>
        <w:rPr>
          <w:rFonts w:ascii="Arial" w:cs="Arial" w:eastAsia="Arial" w:hAnsi="Arial"/>
          <w:sz w:val="18"/>
          <w:szCs w:val="18"/>
          <w:color w:val="auto"/>
        </w:rPr>
        <w:t>if to the ABL Collateral Agent, to it at:</w:t>
      </w:r>
    </w:p>
    <w:p>
      <w:pPr>
        <w:spacing w:after="0" w:line="225" w:lineRule="exact"/>
        <w:rPr>
          <w:rFonts w:ascii="Arial" w:cs="Arial" w:eastAsia="Arial" w:hAnsi="Arial"/>
          <w:sz w:val="18"/>
          <w:szCs w:val="18"/>
          <w:color w:val="auto"/>
        </w:rPr>
      </w:pPr>
    </w:p>
    <w:p>
      <w:pPr>
        <w:ind w:left="1940" w:right="6480"/>
        <w:spacing w:after="0" w:line="256" w:lineRule="auto"/>
        <w:rPr>
          <w:rFonts w:ascii="Arial" w:cs="Arial" w:eastAsia="Arial" w:hAnsi="Arial"/>
          <w:sz w:val="18"/>
          <w:szCs w:val="18"/>
          <w:color w:val="auto"/>
        </w:rPr>
      </w:pPr>
      <w:r>
        <w:rPr>
          <w:rFonts w:ascii="Arial" w:cs="Arial" w:eastAsia="Arial" w:hAnsi="Arial"/>
          <w:sz w:val="18"/>
          <w:szCs w:val="18"/>
          <w:color w:val="auto"/>
        </w:rPr>
        <w:t>Wells Fargo Bank, National Association 14241 Dallas Parkway, Suite 1300 Dallas, TX 75254</w:t>
      </w:r>
    </w:p>
    <w:p>
      <w:pPr>
        <w:ind w:left="194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Attention: Loan Portfolio Manager</w:t>
      </w:r>
    </w:p>
    <w:p>
      <w:pPr>
        <w:spacing w:after="0" w:line="9" w:lineRule="exact"/>
        <w:rPr>
          <w:rFonts w:ascii="Arial" w:cs="Arial" w:eastAsia="Arial" w:hAnsi="Arial"/>
          <w:sz w:val="18"/>
          <w:szCs w:val="18"/>
          <w:color w:val="auto"/>
        </w:rPr>
      </w:pPr>
    </w:p>
    <w:p>
      <w:pPr>
        <w:ind w:left="1940" w:right="7880"/>
        <w:spacing w:after="0" w:line="554" w:lineRule="auto"/>
        <w:rPr>
          <w:rFonts w:ascii="Arial" w:cs="Arial" w:eastAsia="Arial" w:hAnsi="Arial"/>
          <w:sz w:val="18"/>
          <w:szCs w:val="18"/>
          <w:color w:val="auto"/>
        </w:rPr>
      </w:pPr>
      <w:r>
        <w:rPr>
          <w:rFonts w:ascii="Arial" w:cs="Arial" w:eastAsia="Arial" w:hAnsi="Arial"/>
          <w:sz w:val="16"/>
          <w:szCs w:val="16"/>
          <w:color w:val="auto"/>
        </w:rPr>
        <w:t>Fax: (866) 551-0750 with a copy to:</w:t>
      </w:r>
    </w:p>
    <w:p>
      <w:pPr>
        <w:ind w:left="1940"/>
        <w:spacing w:after="0"/>
        <w:rPr>
          <w:rFonts w:ascii="Arial" w:cs="Arial" w:eastAsia="Arial" w:hAnsi="Arial"/>
          <w:sz w:val="18"/>
          <w:szCs w:val="18"/>
          <w:color w:val="auto"/>
        </w:rPr>
      </w:pPr>
      <w:r>
        <w:rPr>
          <w:rFonts w:ascii="Arial" w:cs="Arial" w:eastAsia="Arial" w:hAnsi="Arial"/>
          <w:sz w:val="18"/>
          <w:szCs w:val="18"/>
          <w:color w:val="auto"/>
        </w:rPr>
        <w:t>Goldberg Kohn Ltd.</w:t>
      </w:r>
    </w:p>
    <w:p>
      <w:pPr>
        <w:spacing w:after="0" w:line="23" w:lineRule="exact"/>
        <w:rPr>
          <w:rFonts w:ascii="Arial" w:cs="Arial" w:eastAsia="Arial" w:hAnsi="Arial"/>
          <w:sz w:val="18"/>
          <w:szCs w:val="18"/>
          <w:color w:val="auto"/>
        </w:rPr>
      </w:pPr>
    </w:p>
    <w:p>
      <w:pPr>
        <w:ind w:left="1940" w:right="6900"/>
        <w:spacing w:after="0" w:line="250" w:lineRule="auto"/>
        <w:rPr>
          <w:rFonts w:ascii="Arial" w:cs="Arial" w:eastAsia="Arial" w:hAnsi="Arial"/>
          <w:sz w:val="18"/>
          <w:szCs w:val="18"/>
          <w:color w:val="auto"/>
        </w:rPr>
      </w:pPr>
      <w:r>
        <w:rPr>
          <w:rFonts w:ascii="Arial" w:cs="Arial" w:eastAsia="Arial" w:hAnsi="Arial"/>
          <w:sz w:val="18"/>
          <w:szCs w:val="18"/>
          <w:color w:val="auto"/>
        </w:rPr>
        <w:t>55 East Monroe Street, Suite 3300 Chicago, Illinois 60603</w:t>
      </w:r>
    </w:p>
    <w:p>
      <w:pPr>
        <w:ind w:left="194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Attention: Jessica L. DeBruin, Esq.</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Fax: (312) 863-7857</w:t>
      </w: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6" w:right="239" w:bottom="1440" w:gutter="0" w:footer="0" w:header="0"/>
        </w:sectPr>
      </w:pPr>
    </w:p>
    <w:bookmarkStart w:id="1053" w:name="page1054"/>
    <w:bookmarkEnd w:id="1053"/>
    <w:p>
      <w:pPr>
        <w:ind w:left="840" w:hanging="654"/>
        <w:spacing w:after="0"/>
        <w:tabs>
          <w:tab w:leader="none" w:pos="840"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if to the Foreign Collateral Agent, to it at:</w:t>
      </w:r>
    </w:p>
    <w:p>
      <w:pPr>
        <w:spacing w:after="0" w:line="225" w:lineRule="exact"/>
        <w:rPr>
          <w:rFonts w:ascii="Arial" w:cs="Arial" w:eastAsia="Arial" w:hAnsi="Arial"/>
          <w:sz w:val="18"/>
          <w:szCs w:val="18"/>
          <w:color w:val="auto"/>
        </w:rPr>
      </w:pPr>
    </w:p>
    <w:p>
      <w:pPr>
        <w:ind w:left="840" w:right="5279"/>
        <w:spacing w:after="0" w:line="256" w:lineRule="auto"/>
        <w:rPr>
          <w:rFonts w:ascii="Arial" w:cs="Arial" w:eastAsia="Arial" w:hAnsi="Arial"/>
          <w:sz w:val="18"/>
          <w:szCs w:val="18"/>
          <w:color w:val="auto"/>
        </w:rPr>
      </w:pPr>
      <w:r>
        <w:rPr>
          <w:rFonts w:ascii="Arial" w:cs="Arial" w:eastAsia="Arial" w:hAnsi="Arial"/>
          <w:sz w:val="18"/>
          <w:szCs w:val="18"/>
          <w:color w:val="auto"/>
        </w:rPr>
        <w:t>Wells Fargo Bank, National Association 14241 Dallas Parkway, Suite 1300 Dallas, TX 75254</w:t>
      </w:r>
    </w:p>
    <w:p>
      <w:pPr>
        <w:ind w:left="84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Attention: Loan Portfolio Manager</w:t>
      </w:r>
    </w:p>
    <w:p>
      <w:pPr>
        <w:spacing w:after="0" w:line="9" w:lineRule="exact"/>
        <w:rPr>
          <w:rFonts w:ascii="Arial" w:cs="Arial" w:eastAsia="Arial" w:hAnsi="Arial"/>
          <w:sz w:val="18"/>
          <w:szCs w:val="18"/>
          <w:color w:val="auto"/>
        </w:rPr>
      </w:pPr>
    </w:p>
    <w:p>
      <w:pPr>
        <w:ind w:left="840" w:right="6679"/>
        <w:spacing w:after="0" w:line="554" w:lineRule="auto"/>
        <w:rPr>
          <w:rFonts w:ascii="Arial" w:cs="Arial" w:eastAsia="Arial" w:hAnsi="Arial"/>
          <w:sz w:val="18"/>
          <w:szCs w:val="18"/>
          <w:color w:val="auto"/>
        </w:rPr>
      </w:pPr>
      <w:r>
        <w:rPr>
          <w:rFonts w:ascii="Arial" w:cs="Arial" w:eastAsia="Arial" w:hAnsi="Arial"/>
          <w:sz w:val="16"/>
          <w:szCs w:val="16"/>
          <w:color w:val="auto"/>
        </w:rPr>
        <w:t>Fax: (866) 551-0750 with a copy to:</w:t>
      </w:r>
    </w:p>
    <w:p>
      <w:pPr>
        <w:ind w:left="840"/>
        <w:spacing w:after="0"/>
        <w:rPr>
          <w:rFonts w:ascii="Arial" w:cs="Arial" w:eastAsia="Arial" w:hAnsi="Arial"/>
          <w:sz w:val="18"/>
          <w:szCs w:val="18"/>
          <w:color w:val="auto"/>
        </w:rPr>
      </w:pPr>
      <w:r>
        <w:rPr>
          <w:rFonts w:ascii="Arial" w:cs="Arial" w:eastAsia="Arial" w:hAnsi="Arial"/>
          <w:sz w:val="18"/>
          <w:szCs w:val="18"/>
          <w:color w:val="auto"/>
        </w:rPr>
        <w:t>Goldberg Kohn Ltd.</w:t>
      </w:r>
    </w:p>
    <w:p>
      <w:pPr>
        <w:spacing w:after="0" w:line="23" w:lineRule="exact"/>
        <w:rPr>
          <w:rFonts w:ascii="Arial" w:cs="Arial" w:eastAsia="Arial" w:hAnsi="Arial"/>
          <w:sz w:val="18"/>
          <w:szCs w:val="18"/>
          <w:color w:val="auto"/>
        </w:rPr>
      </w:pPr>
    </w:p>
    <w:p>
      <w:pPr>
        <w:ind w:left="840" w:right="5699"/>
        <w:spacing w:after="0" w:line="250" w:lineRule="auto"/>
        <w:rPr>
          <w:rFonts w:ascii="Arial" w:cs="Arial" w:eastAsia="Arial" w:hAnsi="Arial"/>
          <w:sz w:val="18"/>
          <w:szCs w:val="18"/>
          <w:color w:val="auto"/>
        </w:rPr>
      </w:pPr>
      <w:r>
        <w:rPr>
          <w:rFonts w:ascii="Arial" w:cs="Arial" w:eastAsia="Arial" w:hAnsi="Arial"/>
          <w:sz w:val="18"/>
          <w:szCs w:val="18"/>
          <w:color w:val="auto"/>
        </w:rPr>
        <w:t>55 East Monroe Street, Suite 3300 Chicago, Illinois 60603</w:t>
      </w:r>
    </w:p>
    <w:p>
      <w:pPr>
        <w:ind w:left="84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Attention: Jessica L. DeBruin, Esq.</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Fax: (312) 863-7857</w:t>
      </w:r>
    </w:p>
    <w:p>
      <w:pPr>
        <w:spacing w:after="0" w:line="210" w:lineRule="exact"/>
        <w:rPr>
          <w:rFonts w:ascii="Arial" w:cs="Arial" w:eastAsia="Arial" w:hAnsi="Arial"/>
          <w:sz w:val="18"/>
          <w:szCs w:val="18"/>
          <w:color w:val="auto"/>
        </w:rPr>
      </w:pPr>
    </w:p>
    <w:p>
      <w:pPr>
        <w:ind w:left="840" w:hanging="654"/>
        <w:spacing w:after="0"/>
        <w:tabs>
          <w:tab w:leader="none" w:pos="840"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if to the LC Collateral Agent, to it at:</w:t>
      </w:r>
    </w:p>
    <w:p>
      <w:pPr>
        <w:spacing w:after="0" w:line="225" w:lineRule="exact"/>
        <w:rPr>
          <w:rFonts w:ascii="Arial" w:cs="Arial" w:eastAsia="Arial" w:hAnsi="Arial"/>
          <w:sz w:val="18"/>
          <w:szCs w:val="18"/>
          <w:color w:val="auto"/>
        </w:rPr>
      </w:pPr>
    </w:p>
    <w:p>
      <w:pPr>
        <w:ind w:left="840" w:right="5179"/>
        <w:spacing w:after="0" w:line="258" w:lineRule="auto"/>
        <w:rPr>
          <w:rFonts w:ascii="Arial" w:cs="Arial" w:eastAsia="Arial" w:hAnsi="Arial"/>
          <w:sz w:val="18"/>
          <w:szCs w:val="18"/>
          <w:color w:val="auto"/>
        </w:rPr>
      </w:pPr>
      <w:r>
        <w:rPr>
          <w:rFonts w:ascii="Arial" w:cs="Arial" w:eastAsia="Arial" w:hAnsi="Arial"/>
          <w:sz w:val="18"/>
          <w:szCs w:val="18"/>
          <w:color w:val="auto"/>
        </w:rPr>
        <w:t>Deutsche Bank Trust Company Americas Trust and Agency Services</w:t>
      </w:r>
    </w:p>
    <w:p>
      <w:pPr>
        <w:spacing w:after="0" w:line="1" w:lineRule="exact"/>
        <w:rPr>
          <w:rFonts w:ascii="Arial" w:cs="Arial" w:eastAsia="Arial" w:hAnsi="Arial"/>
          <w:sz w:val="18"/>
          <w:szCs w:val="18"/>
          <w:color w:val="auto"/>
        </w:rPr>
      </w:pPr>
    </w:p>
    <w:p>
      <w:pPr>
        <w:ind w:left="840" w:right="6299"/>
        <w:spacing w:after="0" w:line="250" w:lineRule="auto"/>
        <w:rPr>
          <w:rFonts w:ascii="Arial" w:cs="Arial" w:eastAsia="Arial" w:hAnsi="Arial"/>
          <w:sz w:val="18"/>
          <w:szCs w:val="18"/>
          <w:color w:val="auto"/>
        </w:rPr>
      </w:pPr>
      <w:r>
        <w:rPr>
          <w:rFonts w:ascii="Arial" w:cs="Arial" w:eastAsia="Arial" w:hAnsi="Arial"/>
          <w:sz w:val="18"/>
          <w:szCs w:val="18"/>
          <w:color w:val="auto"/>
        </w:rPr>
        <w:t>60 Wall Street, 24th Floor Mail Stop: NYC60 - 2410 New York, NY 10005 USA</w:t>
      </w:r>
    </w:p>
    <w:p>
      <w:pPr>
        <w:spacing w:after="0" w:line="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6"/>
          <w:szCs w:val="16"/>
          <w:color w:val="auto"/>
        </w:rPr>
        <w:t>Attention: Project Finance Agency Services, Weatherford, SF0580</w:t>
      </w:r>
    </w:p>
    <w:p>
      <w:pPr>
        <w:spacing w:after="0" w:line="3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Fax: (646) 961-3317</w:t>
      </w:r>
    </w:p>
    <w:p>
      <w:pPr>
        <w:spacing w:after="0" w:line="210" w:lineRule="exact"/>
        <w:rPr>
          <w:rFonts w:ascii="Arial" w:cs="Arial" w:eastAsia="Arial" w:hAnsi="Arial"/>
          <w:sz w:val="18"/>
          <w:szCs w:val="18"/>
          <w:color w:val="auto"/>
        </w:rPr>
      </w:pPr>
    </w:p>
    <w:p>
      <w:pPr>
        <w:ind w:left="840" w:hanging="654"/>
        <w:spacing w:after="0"/>
        <w:tabs>
          <w:tab w:leader="none" w:pos="840"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if to the LC Australian Collateral Agent, to it at:</w:t>
      </w:r>
    </w:p>
    <w:p>
      <w:pPr>
        <w:spacing w:after="0" w:line="225" w:lineRule="exact"/>
        <w:rPr>
          <w:rFonts w:ascii="Arial" w:cs="Arial" w:eastAsia="Arial" w:hAnsi="Arial"/>
          <w:sz w:val="18"/>
          <w:szCs w:val="18"/>
          <w:color w:val="auto"/>
        </w:rPr>
      </w:pPr>
    </w:p>
    <w:p>
      <w:pPr>
        <w:ind w:left="840" w:right="4939"/>
        <w:spacing w:after="0" w:line="258" w:lineRule="auto"/>
        <w:rPr>
          <w:rFonts w:ascii="Arial" w:cs="Arial" w:eastAsia="Arial" w:hAnsi="Arial"/>
          <w:sz w:val="18"/>
          <w:szCs w:val="18"/>
          <w:color w:val="auto"/>
        </w:rPr>
      </w:pPr>
      <w:r>
        <w:rPr>
          <w:rFonts w:ascii="Arial" w:cs="Arial" w:eastAsia="Arial" w:hAnsi="Arial"/>
          <w:sz w:val="18"/>
          <w:szCs w:val="18"/>
          <w:color w:val="auto"/>
        </w:rPr>
        <w:t>BTA Institutional Services Australia Limited Level 2, 1 Bligh Street</w:t>
      </w:r>
    </w:p>
    <w:p>
      <w:pPr>
        <w:spacing w:after="0" w:line="1" w:lineRule="exact"/>
        <w:rPr>
          <w:rFonts w:ascii="Arial" w:cs="Arial" w:eastAsia="Arial" w:hAnsi="Arial"/>
          <w:sz w:val="18"/>
          <w:szCs w:val="18"/>
          <w:color w:val="auto"/>
        </w:rPr>
      </w:pPr>
    </w:p>
    <w:p>
      <w:pPr>
        <w:ind w:left="840" w:right="6779"/>
        <w:spacing w:after="0" w:line="250" w:lineRule="auto"/>
        <w:rPr>
          <w:rFonts w:ascii="Arial" w:cs="Arial" w:eastAsia="Arial" w:hAnsi="Arial"/>
          <w:sz w:val="18"/>
          <w:szCs w:val="18"/>
          <w:color w:val="auto"/>
        </w:rPr>
      </w:pPr>
      <w:r>
        <w:rPr>
          <w:rFonts w:ascii="Arial" w:cs="Arial" w:eastAsia="Arial" w:hAnsi="Arial"/>
          <w:sz w:val="18"/>
          <w:szCs w:val="18"/>
          <w:color w:val="auto"/>
        </w:rPr>
        <w:t>Sydney NSW 2000 Australia</w:t>
      </w:r>
    </w:p>
    <w:p>
      <w:pPr>
        <w:ind w:left="840"/>
        <w:spacing w:after="0"/>
        <w:rPr>
          <w:rFonts w:ascii="Arial" w:cs="Arial" w:eastAsia="Arial" w:hAnsi="Arial"/>
          <w:sz w:val="18"/>
          <w:szCs w:val="18"/>
          <w:color w:val="auto"/>
        </w:rPr>
      </w:pPr>
      <w:r>
        <w:rPr>
          <w:rFonts w:ascii="Arial" w:cs="Arial" w:eastAsia="Arial" w:hAnsi="Arial"/>
          <w:sz w:val="18"/>
          <w:szCs w:val="18"/>
          <w:color w:val="auto"/>
        </w:rPr>
        <w:t>Attention: Global Client Services</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Fax: +61 2 9260 6009</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Email: BNYM_CT_Aus_RMG@bnymellon.com</w:t>
      </w:r>
    </w:p>
    <w:p>
      <w:pPr>
        <w:spacing w:after="0" w:line="210" w:lineRule="exact"/>
        <w:rPr>
          <w:rFonts w:ascii="Arial" w:cs="Arial" w:eastAsia="Arial" w:hAnsi="Arial"/>
          <w:sz w:val="18"/>
          <w:szCs w:val="18"/>
          <w:color w:val="auto"/>
        </w:rPr>
      </w:pPr>
    </w:p>
    <w:p>
      <w:pPr>
        <w:ind w:left="840" w:hanging="654"/>
        <w:spacing w:after="0"/>
        <w:tabs>
          <w:tab w:leader="none" w:pos="840" w:val="left"/>
        </w:tabs>
        <w:numPr>
          <w:ilvl w:val="0"/>
          <w:numId w:val="1148"/>
        </w:numPr>
        <w:rPr>
          <w:rFonts w:ascii="Arial" w:cs="Arial" w:eastAsia="Arial" w:hAnsi="Arial"/>
          <w:sz w:val="18"/>
          <w:szCs w:val="18"/>
          <w:color w:val="auto"/>
        </w:rPr>
      </w:pPr>
      <w:r>
        <w:rPr>
          <w:rFonts w:ascii="Arial" w:cs="Arial" w:eastAsia="Arial" w:hAnsi="Arial"/>
          <w:sz w:val="18"/>
          <w:szCs w:val="18"/>
          <w:color w:val="auto"/>
        </w:rPr>
        <w:t>if to the Grantors, to them at:</w:t>
      </w:r>
    </w:p>
    <w:p>
      <w:pPr>
        <w:spacing w:after="0" w:line="225" w:lineRule="exact"/>
        <w:rPr>
          <w:rFonts w:ascii="Arial" w:cs="Arial" w:eastAsia="Arial" w:hAnsi="Arial"/>
          <w:sz w:val="18"/>
          <w:szCs w:val="18"/>
          <w:color w:val="auto"/>
        </w:rPr>
      </w:pPr>
    </w:p>
    <w:p>
      <w:pPr>
        <w:ind w:left="840" w:right="5619"/>
        <w:spacing w:after="0" w:line="258" w:lineRule="auto"/>
        <w:rPr>
          <w:rFonts w:ascii="Arial" w:cs="Arial" w:eastAsia="Arial" w:hAnsi="Arial"/>
          <w:sz w:val="18"/>
          <w:szCs w:val="18"/>
          <w:color w:val="auto"/>
        </w:rPr>
      </w:pPr>
      <w:r>
        <w:rPr>
          <w:rFonts w:ascii="Arial" w:cs="Arial" w:eastAsia="Arial" w:hAnsi="Arial"/>
          <w:sz w:val="18"/>
          <w:szCs w:val="18"/>
          <w:color w:val="auto"/>
        </w:rPr>
        <w:t>c/o Weatherford International, LLC 2000 St. James Place</w:t>
      </w:r>
    </w:p>
    <w:p>
      <w:pPr>
        <w:spacing w:after="0" w:line="1" w:lineRule="exact"/>
        <w:rPr>
          <w:rFonts w:ascii="Arial" w:cs="Arial" w:eastAsia="Arial" w:hAnsi="Arial"/>
          <w:sz w:val="18"/>
          <w:szCs w:val="18"/>
          <w:color w:val="auto"/>
        </w:rPr>
      </w:pPr>
    </w:p>
    <w:p>
      <w:pPr>
        <w:ind w:left="840" w:right="6739"/>
        <w:spacing w:after="0" w:line="250" w:lineRule="auto"/>
        <w:rPr>
          <w:rFonts w:ascii="Arial" w:cs="Arial" w:eastAsia="Arial" w:hAnsi="Arial"/>
          <w:sz w:val="18"/>
          <w:szCs w:val="18"/>
          <w:color w:val="auto"/>
        </w:rPr>
      </w:pPr>
      <w:r>
        <w:rPr>
          <w:rFonts w:ascii="Arial" w:cs="Arial" w:eastAsia="Arial" w:hAnsi="Arial"/>
          <w:sz w:val="18"/>
          <w:szCs w:val="18"/>
          <w:color w:val="auto"/>
        </w:rPr>
        <w:t>Houston, TX 77056 USA</w:t>
      </w:r>
    </w:p>
    <w:p>
      <w:pPr>
        <w:ind w:left="84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Telephone: (713) 836-4000</w:t>
      </w:r>
    </w:p>
    <w:p>
      <w:pPr>
        <w:spacing w:after="0" w:line="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Email: LegalWeatherford@weatherford.com</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54" w:name="page1055"/>
    <w:bookmarkEnd w:id="1054"/>
    <w:p>
      <w:pPr>
        <w:ind w:left="19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(713) 836-7460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Mark.Rothleitner@weatherford.com;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Josh.Silverman@weatherford.com</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party hereto may change its address or telecopy number for notices and other communications hereunder by notice to the other parties hereto (and for this purpose a notice to the Parent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 to such party as provided in this Section 7.02 or in accordance with the latest unrevoked direction from such party given in accordance with this Section 7.02. As agreed to in writing among the Parent, the ABL Collateral Agent, the LC Collateral Agent, notices and other communications may also be delivered by e-mail to the e-mail address of a representative of the applicable Person provided from time to time by such Person.</w:t>
      </w:r>
    </w:p>
    <w:p>
      <w:pPr>
        <w:spacing w:after="0" w:line="17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b w:val="1"/>
          <w:bCs w:val="1"/>
          <w:i w:val="1"/>
          <w:iCs w:val="1"/>
          <w:color w:val="auto"/>
        </w:rPr>
        <w:t>Waivers; Amendment</w:t>
      </w:r>
      <w:r>
        <w:rPr>
          <w:rFonts w:ascii="Arial" w:cs="Arial" w:eastAsia="Arial" w:hAnsi="Arial"/>
          <w:sz w:val="15"/>
          <w:szCs w:val="15"/>
          <w:color w:val="auto"/>
        </w:rPr>
        <w:t>.</w:t>
      </w:r>
    </w:p>
    <w:p>
      <w:pPr>
        <w:spacing w:after="0" w:line="225" w:lineRule="exact"/>
        <w:rPr>
          <w:sz w:val="20"/>
          <w:szCs w:val="20"/>
          <w:color w:val="auto"/>
        </w:rPr>
      </w:pPr>
    </w:p>
    <w:p>
      <w:pPr>
        <w:jc w:val="both"/>
        <w:ind w:firstLine="1294"/>
        <w:spacing w:after="0" w:line="272" w:lineRule="auto"/>
        <w:tabs>
          <w:tab w:leader="none" w:pos="1824" w:val="left"/>
        </w:tabs>
        <w:numPr>
          <w:ilvl w:val="0"/>
          <w:numId w:val="1149"/>
        </w:numPr>
        <w:rPr>
          <w:rFonts w:ascii="Arial" w:cs="Arial" w:eastAsia="Arial" w:hAnsi="Arial"/>
          <w:sz w:val="17"/>
          <w:szCs w:val="17"/>
          <w:color w:val="auto"/>
        </w:rPr>
      </w:pPr>
      <w:r>
        <w:rPr>
          <w:rFonts w:ascii="Arial" w:cs="Arial" w:eastAsia="Arial" w:hAnsi="Arial"/>
          <w:sz w:val="17"/>
          <w:szCs w:val="17"/>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7.03,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77" w:lineRule="exact"/>
        <w:rPr>
          <w:rFonts w:ascii="Arial" w:cs="Arial" w:eastAsia="Arial" w:hAnsi="Arial"/>
          <w:sz w:val="17"/>
          <w:szCs w:val="17"/>
          <w:color w:val="auto"/>
        </w:rPr>
      </w:pPr>
    </w:p>
    <w:p>
      <w:pPr>
        <w:jc w:val="both"/>
        <w:ind w:firstLine="1294"/>
        <w:spacing w:after="0" w:line="264" w:lineRule="auto"/>
        <w:tabs>
          <w:tab w:leader="none" w:pos="1862" w:val="left"/>
        </w:tabs>
        <w:numPr>
          <w:ilvl w:val="0"/>
          <w:numId w:val="1149"/>
        </w:numPr>
        <w:rPr>
          <w:rFonts w:ascii="Arial" w:cs="Arial" w:eastAsia="Arial" w:hAnsi="Arial"/>
          <w:sz w:val="18"/>
          <w:szCs w:val="18"/>
          <w:color w:val="auto"/>
        </w:rPr>
      </w:pPr>
      <w:r>
        <w:rPr>
          <w:rFonts w:ascii="Arial" w:cs="Arial" w:eastAsia="Arial" w:hAnsi="Arial"/>
          <w:sz w:val="18"/>
          <w:szCs w:val="18"/>
          <w:color w:val="auto"/>
        </w:rPr>
        <w:t>Subject to Sections 2.03, 2.10, 2.11, Article 6 and 7.15 hereof, and except as set forth in Section 7.18, neither this Agreement nor any provision hereof may be terminated, waived, amended or modified except pursuant to an agreement or agreements in writing entered into by each Representative, each Collateral Agent and the Parent (for and on behalf of each of the other Grantors).</w:t>
      </w:r>
    </w:p>
    <w:p>
      <w:pPr>
        <w:spacing w:after="0" w:line="18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b w:val="1"/>
          <w:bCs w:val="1"/>
          <w:i w:val="1"/>
          <w:iCs w:val="1"/>
          <w:color w:val="auto"/>
        </w:rPr>
        <w:t>Parties in Interest</w:t>
      </w:r>
      <w:r>
        <w:rPr>
          <w:rFonts w:ascii="Arial" w:cs="Arial" w:eastAsia="Arial" w:hAnsi="Arial"/>
          <w:sz w:val="18"/>
          <w:szCs w:val="18"/>
          <w:color w:val="auto"/>
        </w:rPr>
        <w:t>. This Agreement shall be binding upon and inure to the benefit of the parties hereto and their respective successors and assigns, all of whom are intended to be bound by this Agreement.</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8" w:right="239" w:bottom="1440" w:gutter="0" w:footer="0" w:header="0"/>
        </w:sectPr>
      </w:pPr>
    </w:p>
    <w:bookmarkStart w:id="1055" w:name="page1056"/>
    <w:bookmarkEnd w:id="1055"/>
    <w:p>
      <w:pPr>
        <w:jc w:val="both"/>
        <w:ind w:firstLine="1296"/>
        <w:spacing w:after="0" w:line="308"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b w:val="1"/>
          <w:bCs w:val="1"/>
          <w:i w:val="1"/>
          <w:iCs w:val="1"/>
          <w:color w:val="auto"/>
        </w:rPr>
        <w:t>Survival of Agreement</w:t>
      </w:r>
      <w:r>
        <w:rPr>
          <w:rFonts w:ascii="Arial" w:cs="Arial" w:eastAsia="Arial" w:hAnsi="Arial"/>
          <w:sz w:val="17"/>
          <w:szCs w:val="17"/>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47"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8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3"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b w:val="1"/>
          <w:bCs w:val="1"/>
          <w:i w:val="1"/>
          <w:iCs w:val="1"/>
          <w:color w:val="auto"/>
        </w:rPr>
        <w:t>Governing Law; Jurisdiction; Consent to Service of Process</w:t>
      </w:r>
      <w:r>
        <w:rPr>
          <w:rFonts w:ascii="Arial" w:cs="Arial" w:eastAsia="Arial" w:hAnsi="Arial"/>
          <w:sz w:val="15"/>
          <w:szCs w:val="15"/>
          <w:color w:val="auto"/>
        </w:rPr>
        <w:t>.</w:t>
      </w:r>
    </w:p>
    <w:p>
      <w:pPr>
        <w:spacing w:after="0" w:line="225" w:lineRule="exact"/>
        <w:rPr>
          <w:sz w:val="20"/>
          <w:szCs w:val="20"/>
          <w:color w:val="auto"/>
        </w:rPr>
      </w:pPr>
    </w:p>
    <w:p>
      <w:pPr>
        <w:jc w:val="both"/>
        <w:ind w:firstLine="1294"/>
        <w:spacing w:after="0" w:line="264" w:lineRule="auto"/>
        <w:tabs>
          <w:tab w:leader="none" w:pos="1959"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This Agreement and any claim, controversy or dispute arising under or related to such Agreement shall be governed by, and construed in accordance with, the law of the State of New York, without giving effect to conflict of law provisions, other than 5-1401 and 5-1402 of the New York General Obligations Law.</w:t>
      </w:r>
    </w:p>
    <w:p>
      <w:pPr>
        <w:spacing w:after="0" w:line="181" w:lineRule="exact"/>
        <w:rPr>
          <w:rFonts w:ascii="Arial" w:cs="Arial" w:eastAsia="Arial" w:hAnsi="Arial"/>
          <w:sz w:val="18"/>
          <w:szCs w:val="18"/>
          <w:color w:val="auto"/>
        </w:rPr>
      </w:pPr>
    </w:p>
    <w:p>
      <w:pPr>
        <w:jc w:val="both"/>
        <w:ind w:firstLine="1294"/>
        <w:spacing w:after="0" w:line="254" w:lineRule="auto"/>
        <w:tabs>
          <w:tab w:leader="none" w:pos="1835"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92" w:lineRule="exact"/>
        <w:rPr>
          <w:rFonts w:ascii="Arial" w:cs="Arial" w:eastAsia="Arial" w:hAnsi="Arial"/>
          <w:sz w:val="18"/>
          <w:szCs w:val="18"/>
          <w:color w:val="auto"/>
        </w:rPr>
      </w:pPr>
    </w:p>
    <w:p>
      <w:pPr>
        <w:jc w:val="both"/>
        <w:ind w:firstLine="1294"/>
        <w:spacing w:after="0" w:line="259" w:lineRule="auto"/>
        <w:tabs>
          <w:tab w:leader="none" w:pos="1919"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7.08.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9" w:right="239" w:bottom="1440" w:gutter="0" w:footer="0" w:header="0"/>
        </w:sectPr>
      </w:pPr>
    </w:p>
    <w:bookmarkStart w:id="1056" w:name="page1057"/>
    <w:bookmarkEnd w:id="1056"/>
    <w:p>
      <w:pPr>
        <w:ind w:left="2" w:firstLine="1294"/>
        <w:spacing w:after="0" w:line="277" w:lineRule="auto"/>
        <w:tabs>
          <w:tab w:leader="none" w:pos="1823" w:val="left"/>
        </w:tabs>
        <w:numPr>
          <w:ilvl w:val="0"/>
          <w:numId w:val="1151"/>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7.02. Nothing in this Agreement will affect the right of any party to this Agreement to serve process in any other manner permitted by law.</w:t>
      </w:r>
    </w:p>
    <w:p>
      <w:pPr>
        <w:spacing w:after="0" w:line="170" w:lineRule="exact"/>
        <w:rPr>
          <w:sz w:val="20"/>
          <w:szCs w:val="20"/>
          <w:color w:val="auto"/>
        </w:rPr>
      </w:pPr>
    </w:p>
    <w:p>
      <w:pPr>
        <w:jc w:val="both"/>
        <w:ind w:left="2" w:firstLine="1296"/>
        <w:spacing w:after="0" w:line="255"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9" w:lineRule="exact"/>
        <w:rPr>
          <w:sz w:val="20"/>
          <w:szCs w:val="20"/>
          <w:color w:val="auto"/>
        </w:rPr>
      </w:pPr>
    </w:p>
    <w:p>
      <w:pPr>
        <w:jc w:val="both"/>
        <w:ind w:left="2" w:firstLine="1296"/>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b w:val="1"/>
          <w:bCs w:val="1"/>
          <w:i w:val="1"/>
          <w:iCs w:val="1"/>
          <w:color w:val="auto"/>
        </w:rPr>
        <w:t>Headings</w:t>
      </w:r>
      <w:r>
        <w:rPr>
          <w:rFonts w:ascii="Arial" w:cs="Arial" w:eastAsia="Arial" w:hAnsi="Arial"/>
          <w:sz w:val="18"/>
          <w:szCs w:val="18"/>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70" w:lineRule="exact"/>
        <w:rPr>
          <w:sz w:val="20"/>
          <w:szCs w:val="20"/>
          <w:color w:val="auto"/>
        </w:rPr>
      </w:pPr>
    </w:p>
    <w:p>
      <w:pPr>
        <w:jc w:val="both"/>
        <w:ind w:left="2" w:firstLine="1296"/>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b w:val="1"/>
          <w:bCs w:val="1"/>
          <w:i w:val="1"/>
          <w:iCs w:val="1"/>
          <w:color w:val="auto"/>
        </w:rPr>
        <w:t>Conflicts</w:t>
      </w:r>
      <w:r>
        <w:rPr>
          <w:rFonts w:ascii="Arial" w:cs="Arial" w:eastAsia="Arial" w:hAnsi="Arial"/>
          <w:sz w:val="18"/>
          <w:szCs w:val="18"/>
          <w:color w:val="auto"/>
        </w:rPr>
        <w:t>. In the event of any conflict or inconsistency between the provisions of this Agreement and the provisions of any of the ABL Documents and/or any of the LC Documents, the provisions of this Agreement shall control.</w:t>
      </w:r>
    </w:p>
    <w:p>
      <w:pPr>
        <w:spacing w:after="0" w:line="170" w:lineRule="exact"/>
        <w:rPr>
          <w:sz w:val="20"/>
          <w:szCs w:val="20"/>
          <w:color w:val="auto"/>
        </w:rPr>
      </w:pPr>
    </w:p>
    <w:p>
      <w:pPr>
        <w:jc w:val="both"/>
        <w:ind w:left="2" w:firstLine="1296"/>
        <w:spacing w:after="0" w:line="284"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b w:val="1"/>
          <w:bCs w:val="1"/>
          <w:i w:val="1"/>
          <w:iCs w:val="1"/>
          <w:color w:val="auto"/>
        </w:rPr>
        <w:t>Provisions Solely to Define Relative Rights</w:t>
      </w:r>
      <w:r>
        <w:rPr>
          <w:rFonts w:ascii="Arial" w:cs="Arial" w:eastAsia="Arial" w:hAnsi="Arial"/>
          <w:sz w:val="16"/>
          <w:szCs w:val="16"/>
          <w:color w:val="auto"/>
        </w:rPr>
        <w:t>. The provisions of this Agreement are and are intended solely for the purpose of defining the relative rights of the ABL Secured Parties and the LC Secured Parties in relation to one another. None of the Grantors shall have any rights or obligations hereunder, except as expressly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(other than Sections 2.05, 2.06, 2.10, 2.11, Article V and Article VI) is intended to or will amend, waive or otherwise modify the provisions of the ABL Documents or any LC Documents), and none of the Grantors may rely on the terms hereof. Nothing in this Agreement is intended to or shall impair or relieve the obligations of the Grantors, which are absolute and unconditional, to pay the Obligations as and when the same shall become due and payable in accordance with their terms. Notwithstanding anything to the contrary herein or in any ABL Document or any LC Obligations Document, the Grantors shall not be required to act or refrain from acting</w:t>
      </w:r>
    </w:p>
    <w:p>
      <w:pPr>
        <w:spacing w:after="0" w:line="3" w:lineRule="exact"/>
        <w:rPr>
          <w:sz w:val="20"/>
          <w:szCs w:val="20"/>
          <w:color w:val="auto"/>
        </w:rPr>
      </w:pPr>
    </w:p>
    <w:p>
      <w:pPr>
        <w:jc w:val="both"/>
        <w:ind w:left="2" w:hanging="2"/>
        <w:spacing w:after="0" w:line="255" w:lineRule="auto"/>
        <w:tabs>
          <w:tab w:leader="none" w:pos="248" w:val="left"/>
        </w:tabs>
        <w:numPr>
          <w:ilvl w:val="0"/>
          <w:numId w:val="1152"/>
        </w:numPr>
        <w:rPr>
          <w:rFonts w:ascii="Arial" w:cs="Arial" w:eastAsia="Arial" w:hAnsi="Arial"/>
          <w:sz w:val="18"/>
          <w:szCs w:val="18"/>
          <w:color w:val="auto"/>
        </w:rPr>
      </w:pPr>
      <w:r>
        <w:rPr>
          <w:rFonts w:ascii="Arial" w:cs="Arial" w:eastAsia="Arial" w:hAnsi="Arial"/>
          <w:sz w:val="18"/>
          <w:szCs w:val="18"/>
          <w:color w:val="auto"/>
        </w:rPr>
        <w:t>pursuant to this Agreement or any LC Obligations Document with respect to any ABL Priority Collateral in any manner that would cause a default under any ABL Document, or (b) pursuant to this Agreement or any ABL Document with respect to any LC Priority Collateral in any manner that would cause a default under any LC Obligations Document.</w:t>
      </w:r>
    </w:p>
    <w:p>
      <w:pPr>
        <w:spacing w:after="0" w:line="190" w:lineRule="exact"/>
        <w:rPr>
          <w:sz w:val="20"/>
          <w:szCs w:val="20"/>
          <w:color w:val="auto"/>
        </w:rPr>
      </w:pPr>
    </w:p>
    <w:p>
      <w:pPr>
        <w:jc w:val="both"/>
        <w:ind w:left="2" w:firstLine="1296"/>
        <w:spacing w:after="0" w:line="290"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b w:val="1"/>
          <w:bCs w:val="1"/>
          <w:i w:val="1"/>
          <w:iCs w:val="1"/>
          <w:color w:val="auto"/>
        </w:rPr>
        <w:t>Agent Capacities</w:t>
      </w:r>
      <w:r>
        <w:rPr>
          <w:rFonts w:ascii="Arial" w:cs="Arial" w:eastAsia="Arial" w:hAnsi="Arial"/>
          <w:sz w:val="16"/>
          <w:szCs w:val="16"/>
          <w:color w:val="auto"/>
        </w:rPr>
        <w:t>. Except as expressly set forth herein, neither the ABL Collateral Agent, nor the LC Collateral Agent (including the LC Australian Collateral Agent), shall have (i) any duties or obligations in respect of any of the Collateral, all of such duties and obligations, if any, being subject to and governed by the ABL Documents and the LC Documents, as the case may be, or (ii) any liability or responsibility for the actions or omissions of any other Secured Party or for any other Secured Party’s compliance with (or failure to comply with) the terms of this Agreement. Neither the ABL Collateral Agent, nor the LC Collateral Agent (including the LC Australian Collateral Agent) shall have individual liability to any Person if it shall mistakenly pay over or distribute to any Secured Party (or Grantor) any amounts in violation of the terms of this Agreement, so long as such Person is acting in good faith and without willful misconduct or bad faith. Furthermore, and notwithstanding anything to the contrary contained herein, the LC Australian Collateral Agent shall act or refrain from acting with respect to the LC Australian Collateral only at the direction of the LC Administrative Agent.</w:t>
      </w:r>
    </w:p>
    <w:p>
      <w:pPr>
        <w:spacing w:after="0" w:line="382"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24662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2"/>
          </w:cols>
          <w:pgMar w:left="338" w:top="909" w:right="239" w:bottom="1440" w:gutter="0" w:footer="0" w:header="0"/>
        </w:sectPr>
      </w:pPr>
    </w:p>
    <w:bookmarkStart w:id="1057" w:name="page1058"/>
    <w:bookmarkEnd w:id="1057"/>
    <w:p>
      <w:pPr>
        <w:jc w:val="both"/>
        <w:ind w:right="20" w:firstLine="1296"/>
        <w:spacing w:after="0" w:line="286"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b w:val="1"/>
          <w:bCs w:val="1"/>
          <w:i w:val="1"/>
          <w:iCs w:val="1"/>
          <w:color w:val="auto"/>
        </w:rPr>
        <w:t>Supplements</w:t>
      </w:r>
      <w:r>
        <w:rPr>
          <w:rFonts w:ascii="Arial" w:cs="Arial" w:eastAsia="Arial" w:hAnsi="Arial"/>
          <w:sz w:val="17"/>
          <w:szCs w:val="17"/>
          <w:color w:val="auto"/>
        </w:rPr>
        <w:t>. Upon the execution by any Subsidiary of Parent of a supplement hereto in form and substance satisfactory to the Collateral Agents, such subsidiary shall be a party to this Agreement and shall be bound by the provisions hereof to the same extent as each Grantor are so bound. The Parent shall cause any Subsidiary that becomes a Grantor to execute and deliver such supplement.</w:t>
      </w:r>
    </w:p>
    <w:p>
      <w:pPr>
        <w:spacing w:after="0" w:line="166"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5"/>
          <w:szCs w:val="15"/>
          <w:b w:val="1"/>
          <w:bCs w:val="1"/>
          <w:i w:val="1"/>
          <w:iCs w:val="1"/>
          <w:color w:val="auto"/>
        </w:rPr>
        <w:t>Collateral Agent Rights, Protections and Immunities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In acting under or by virtue of this Agreement, the LC Collateral Agent and the LC Australian Collateral Agent shall have the rights, protections and immunities granted to the “Administrative Agent” and its respective sub-agents under the LC Credit Agreement, all of which are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acting under or by virtue of this Agreement, the ABL Collateral Agent shall have the rights, protections and immunities granted to the “Agent” under the ABL Credit Agreement, all of which are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 In acting under or by virtue of this Agreement, the LC Australian Collateral Agent shall have the rights, protections and immunities granted to the “LC Australian Collateral Agent” under the LC Australian Security Trust Deed.</w:t>
      </w:r>
    </w:p>
    <w:p>
      <w:pPr>
        <w:spacing w:after="0" w:line="193"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7.16</w:t>
      </w:r>
      <w:r>
        <w:rPr>
          <w:sz w:val="20"/>
          <w:szCs w:val="20"/>
          <w:color w:val="auto"/>
        </w:rPr>
        <w:tab/>
      </w:r>
      <w:r>
        <w:rPr>
          <w:rFonts w:ascii="Arial" w:cs="Arial" w:eastAsia="Arial" w:hAnsi="Arial"/>
          <w:sz w:val="15"/>
          <w:szCs w:val="15"/>
          <w:b w:val="1"/>
          <w:bCs w:val="1"/>
          <w:i w:val="1"/>
          <w:iCs w:val="1"/>
          <w:color w:val="auto"/>
        </w:rPr>
        <w:t>Other Junior Intercreditor Agreements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In addition, in the event that the Parent or any Subsidiary incurs any obligations secured by a lien on any Collateral that is junior to the LC Obligations or the ABL Obligations, then the ABL Collateral Agent and the LC Collateral Agent shall enter into an intercreditor agreement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application of proceeds of the Collateral, voting rights, control of the Collateral and waivers with respect to the Collateral, in each case so long as such secured obligations are permitted under, and the terms of such intercreditor agreement do not violate or conflict with, the provisions of this Agreement or the other ABL Documents or LC Documents, as the case may be. Each party hereto agrees that the ABL Secured Parties (as among themselves) and the LC Secured Parties (as among themselves) may each enter into intercreditor agreements (or similar arrangements) with the Applicable Senior Collateral Agent governing the rights, benefits and privileges as among the ABL Secured Parties or the LC Secured Parties, as the case may be, in respect of the Collateral, this Agreement and the applicable Senior Secured Obligations Collateral Documents, as the case may be, including as to the application of proceeds of the Collateral, voting rights, control of the Collateral and waivers with respect to the Collateral, in each case so long as the terms thereof do not violate or conflict with the provisions of this Agreement or the other applicable Senior Secured Obligations Collateral Documents, as the case may be. If any such intercreditor agreement (or similar arrangement) is entered into, the provisions thereof shall not be (or be construed to be) an amendment, modification or other change to this Agreement or any other ABL Document or LC Document, and the provisions of this Agreement and the other ABL Documents and LC Documents shall remain in full force and effect in accordance with the terms hereof and thereof (as such provisions may be amended, modified or otherwise supplemented from time to time in accordance with the terms thereof, including to give effect to any intercreditor agreement (or similar arrangement)).</w:t>
      </w: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9" w:right="239" w:bottom="1440" w:gutter="0" w:footer="0" w:header="0"/>
        </w:sectPr>
      </w:pPr>
    </w:p>
    <w:bookmarkStart w:id="1058" w:name="page1059"/>
    <w:bookmarkEnd w:id="1058"/>
    <w:p>
      <w:pPr>
        <w:ind w:left="1300"/>
        <w:spacing w:after="0"/>
        <w:tabs>
          <w:tab w:leader="none" w:pos="270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5"/>
          <w:szCs w:val="15"/>
          <w:b w:val="1"/>
          <w:bCs w:val="1"/>
          <w:i w:val="1"/>
          <w:iCs w:val="1"/>
          <w:color w:val="auto"/>
        </w:rPr>
        <w:t>Additional Grantors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Promptly upon request by any Collateral Agent, any Person that becomes a Grantor after the date hereof will provide to the Collateral Agents a fully signed acknowledgement,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consenting to the provisions of this Agreement and the intercreditor arrangements provided for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failure on the part of any Collateral Agent to request or obtain such acknowledgement will in any way diminish or impair any of the rights of the Secured Parties hereunder.</w:t>
      </w:r>
    </w:p>
    <w:p>
      <w:pPr>
        <w:spacing w:after="0" w:line="187"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7.18</w:t>
      </w:r>
      <w:r>
        <w:rPr>
          <w:sz w:val="20"/>
          <w:szCs w:val="20"/>
          <w:color w:val="auto"/>
        </w:rPr>
        <w:tab/>
      </w:r>
      <w:r>
        <w:rPr>
          <w:rFonts w:ascii="Arial" w:cs="Arial" w:eastAsia="Arial" w:hAnsi="Arial"/>
          <w:sz w:val="16"/>
          <w:szCs w:val="16"/>
          <w:b w:val="1"/>
          <w:bCs w:val="1"/>
          <w:i w:val="1"/>
          <w:iCs w:val="1"/>
          <w:color w:val="auto"/>
        </w:rPr>
        <w:t>Joinder of LC Australian Collateral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Substantially concurrently with its entry into the LC Australian Security Trust Deed, BTA Institutional Services Australia Limited shall, without requiring the consent of any other party hereto, join to this Agreement by executing and delivering a joinder agreement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9" w:right="239" w:bottom="1440" w:gutter="0" w:footer="0" w:header="0"/>
        </w:sectPr>
      </w:pPr>
    </w:p>
    <w:bookmarkStart w:id="1059" w:name="page1060"/>
    <w:bookmarkEnd w:id="105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720" w:type="dxa"/>
            <w:vAlign w:val="bottom"/>
            <w:gridSpan w:val="4"/>
          </w:tcPr>
          <w:p>
            <w:pPr>
              <w:ind w:left="500"/>
              <w:spacing w:after="0"/>
              <w:rPr>
                <w:sz w:val="20"/>
                <w:szCs w:val="20"/>
                <w:color w:val="auto"/>
              </w:rPr>
            </w:pPr>
            <w:r>
              <w:rPr>
                <w:rFonts w:ascii="Arial" w:cs="Arial" w:eastAsia="Arial" w:hAnsi="Arial"/>
                <w:sz w:val="18"/>
                <w:szCs w:val="18"/>
                <w:b w:val="1"/>
                <w:bCs w:val="1"/>
                <w:color w:val="auto"/>
              </w:rPr>
              <w:t>AUSTRALIA INITIAL GUARANTOR</w:t>
            </w:r>
          </w:p>
        </w:tc>
        <w:tc>
          <w:tcPr>
            <w:tcW w:w="0" w:type="dxa"/>
            <w:vAlign w:val="bottom"/>
          </w:tcPr>
          <w:p>
            <w:pPr>
              <w:spacing w:after="0"/>
              <w:rPr>
                <w:sz w:val="1"/>
                <w:szCs w:val="1"/>
                <w:color w:val="auto"/>
              </w:rPr>
            </w:pPr>
          </w:p>
        </w:tc>
      </w:tr>
      <w:tr>
        <w:trPr>
          <w:trHeight w:val="432"/>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WEATHERFORD</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00" w:type="dxa"/>
            <w:vAlign w:val="bottom"/>
            <w:gridSpan w:val="2"/>
            <w:vMerge w:val="continue"/>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AUSTRALIA PTY LIMITED ACN 008</w:t>
            </w:r>
          </w:p>
        </w:tc>
        <w:tc>
          <w:tcPr>
            <w:tcW w:w="1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947 395 </w:t>
            </w:r>
            <w:r>
              <w:rPr>
                <w:rFonts w:ascii="Arial" w:cs="Arial" w:eastAsia="Arial" w:hAnsi="Arial"/>
                <w:sz w:val="18"/>
                <w:szCs w:val="18"/>
                <w:color w:val="auto"/>
              </w:rPr>
              <w:t>in accordance with section 127 of</w:t>
            </w:r>
          </w:p>
        </w:tc>
        <w:tc>
          <w:tcPr>
            <w:tcW w:w="19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the Corporations Act 2001 (Cth):</w:t>
            </w:r>
          </w:p>
        </w:tc>
        <w:tc>
          <w:tcPr>
            <w:tcW w:w="19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700" w:type="dxa"/>
            <w:vAlign w:val="bottom"/>
            <w:gridSpan w:val="2"/>
          </w:tcPr>
          <w:p>
            <w:pPr>
              <w:spacing w:after="0"/>
              <w:rPr>
                <w:sz w:val="20"/>
                <w:szCs w:val="20"/>
                <w:color w:val="auto"/>
              </w:rPr>
            </w:pPr>
            <w:r>
              <w:rPr>
                <w:rFonts w:ascii="Arial" w:cs="Arial" w:eastAsia="Arial" w:hAnsi="Arial"/>
                <w:sz w:val="18"/>
                <w:szCs w:val="18"/>
                <w:color w:val="auto"/>
              </w:rPr>
              <w:t>/s/ Antonino Gullotti</w:t>
            </w:r>
          </w:p>
        </w:tc>
        <w:tc>
          <w:tcPr>
            <w:tcW w:w="19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Robert Antonio De Gasperis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1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secretary/director</w:t>
            </w:r>
          </w:p>
        </w:tc>
        <w:tc>
          <w:tcPr>
            <w:tcW w:w="0" w:type="dxa"/>
            <w:vAlign w:val="bottom"/>
          </w:tcPr>
          <w:p>
            <w:pPr>
              <w:spacing w:after="0"/>
              <w:rPr>
                <w:sz w:val="1"/>
                <w:szCs w:val="1"/>
                <w:color w:val="auto"/>
              </w:rPr>
            </w:pP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Antonino Gullotti</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Robert Antonio De Gasperis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director</w:t>
            </w:r>
          </w:p>
        </w:tc>
        <w:tc>
          <w:tcPr>
            <w:tcW w:w="1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company secretary/director</w:t>
            </w:r>
          </w:p>
        </w:tc>
        <w:tc>
          <w:tcPr>
            <w:tcW w:w="0" w:type="dxa"/>
            <w:vAlign w:val="bottom"/>
          </w:tcPr>
          <w:p>
            <w:pPr>
              <w:spacing w:after="0"/>
              <w:rPr>
                <w:sz w:val="1"/>
                <w:szCs w:val="1"/>
                <w:color w:val="auto"/>
              </w:rPr>
            </w:pP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[Signature Page to Intercreditor Agreement]</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060" w:name="page1061"/>
    <w:bookmarkEnd w:id="1060"/>
    <w:p>
      <w:pPr>
        <w:jc w:val="center"/>
        <w:spacing w:after="0"/>
        <w:rPr>
          <w:sz w:val="20"/>
          <w:szCs w:val="20"/>
          <w:color w:val="auto"/>
        </w:rPr>
      </w:pPr>
      <w:r>
        <w:rPr>
          <w:rFonts w:ascii="Arial" w:cs="Arial" w:eastAsia="Arial" w:hAnsi="Arial"/>
          <w:sz w:val="18"/>
          <w:szCs w:val="18"/>
          <w:b w:val="1"/>
          <w:bCs w:val="1"/>
          <w:color w:val="auto"/>
        </w:rPr>
        <w:t>BERMUDA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WEATHERFORD INTERNATIONAL HOLDING (BERMUDA)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PANGAEA HOLDINGS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SABRE DRILLING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KEY INTERNATIONAL DRILLING COMPANY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David Gold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Andrew David Gold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BERMUDA HOLDINGS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61" w:name="page1062"/>
    <w:bookmarkEnd w:id="1061"/>
    <w:p>
      <w:pPr>
        <w:ind w:left="5720"/>
        <w:spacing w:after="0"/>
        <w:rPr>
          <w:sz w:val="20"/>
          <w:szCs w:val="20"/>
          <w:color w:val="auto"/>
        </w:rPr>
      </w:pPr>
      <w:r>
        <w:rPr>
          <w:rFonts w:ascii="Arial" w:cs="Arial" w:eastAsia="Arial" w:hAnsi="Arial"/>
          <w:sz w:val="18"/>
          <w:szCs w:val="18"/>
          <w:color w:val="auto"/>
        </w:rPr>
        <w:t>WEATHERFORD SERVICES,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WOFS ASSURANCE LIMITED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WEATHERFORD HOLDINGS (BERMUDA)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062" w:name="page1063"/>
    <w:bookmarkEnd w:id="1062"/>
    <w:p>
      <w:pPr>
        <w:jc w:val="center"/>
        <w:ind w:right="-119"/>
        <w:spacing w:after="0"/>
        <w:rPr>
          <w:sz w:val="20"/>
          <w:szCs w:val="20"/>
          <w:color w:val="auto"/>
        </w:rPr>
      </w:pPr>
      <w:r>
        <w:rPr>
          <w:rFonts w:ascii="Arial" w:cs="Arial" w:eastAsia="Arial" w:hAnsi="Arial"/>
          <w:sz w:val="18"/>
          <w:szCs w:val="18"/>
          <w:b w:val="1"/>
          <w:bCs w:val="1"/>
          <w:color w:val="auto"/>
        </w:rPr>
        <w:t>BRITISH VIRGIN ISLANDS INITIAL GUARANTORS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DRILLING INTERNATIONAL HOLDINGS (BVI)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DRILLING INTERNATIONAL (BVI)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COLOMBIA LIMITED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HOLDINGS (BVI)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5" w:right="359" w:bottom="1440" w:gutter="0" w:footer="0" w:header="0"/>
        </w:sectPr>
      </w:pPr>
    </w:p>
    <w:bookmarkStart w:id="1063" w:name="page1064"/>
    <w:bookmarkEnd w:id="1063"/>
    <w:p>
      <w:pPr>
        <w:ind w:left="4280"/>
        <w:spacing w:after="0"/>
        <w:rPr>
          <w:sz w:val="20"/>
          <w:szCs w:val="20"/>
          <w:color w:val="auto"/>
        </w:rPr>
      </w:pPr>
      <w:r>
        <w:rPr>
          <w:rFonts w:ascii="Arial" w:cs="Arial" w:eastAsia="Arial" w:hAnsi="Arial"/>
          <w:sz w:val="18"/>
          <w:szCs w:val="18"/>
          <w:b w:val="1"/>
          <w:bCs w:val="1"/>
          <w:color w:val="auto"/>
        </w:rPr>
        <w:t>CANADA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CANADA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(NOVA SCOTIA) ULC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PRECISION ENERGY SERVICES ULC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PRECISION ENERGY INTERNATIONAL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Vice President</w:t>
      </w:r>
    </w:p>
    <w:p>
      <w:pPr>
        <w:spacing w:after="0" w:line="200" w:lineRule="exact"/>
        <w:rPr>
          <w:sz w:val="20"/>
          <w:szCs w:val="20"/>
          <w:color w:val="auto"/>
        </w:rPr>
      </w:pPr>
    </w:p>
    <w:p>
      <w:pPr>
        <w:spacing w:after="0" w:line="227"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PRECISION ENERGY SERVICES COLOMBIA LTD.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and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064" w:name="page1065"/>
    <w:bookmarkEnd w:id="1064"/>
    <w:p>
      <w:pPr>
        <w:jc w:val="center"/>
        <w:spacing w:after="0"/>
        <w:rPr>
          <w:sz w:val="20"/>
          <w:szCs w:val="20"/>
          <w:color w:val="auto"/>
        </w:rPr>
      </w:pPr>
      <w:r>
        <w:rPr>
          <w:rFonts w:ascii="Arial" w:cs="Arial" w:eastAsia="Arial" w:hAnsi="Arial"/>
          <w:sz w:val="18"/>
          <w:szCs w:val="18"/>
          <w:b w:val="1"/>
          <w:bCs w:val="1"/>
          <w:color w:val="auto"/>
        </w:rPr>
        <w:t>ENGLAND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EURASIA LIMITED</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Khalil Strachan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Richard Khalil Strachan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U.K. LIMITED</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Khalil Strachan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Richard Khalil Strachan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65" w:name="page1066"/>
    <w:bookmarkEnd w:id="1065"/>
    <w:p>
      <w:pPr>
        <w:ind w:left="4200"/>
        <w:spacing w:after="0"/>
        <w:rPr>
          <w:sz w:val="20"/>
          <w:szCs w:val="20"/>
          <w:color w:val="auto"/>
        </w:rPr>
      </w:pPr>
      <w:r>
        <w:rPr>
          <w:rFonts w:ascii="Arial" w:cs="Arial" w:eastAsia="Arial" w:hAnsi="Arial"/>
          <w:sz w:val="18"/>
          <w:szCs w:val="18"/>
          <w:b w:val="1"/>
          <w:bCs w:val="1"/>
          <w:color w:val="auto"/>
        </w:rPr>
        <w:t>GERMANY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WEATHERFORD OIL TOOL GMBH</w:t>
      </w:r>
    </w:p>
    <w:p>
      <w:pPr>
        <w:spacing w:after="0" w:line="200" w:lineRule="exact"/>
        <w:rPr>
          <w:sz w:val="20"/>
          <w:szCs w:val="20"/>
          <w:color w:val="auto"/>
        </w:rPr>
      </w:pP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Marco Seffer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Marco Seffer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6" w:right="1440" w:bottom="1440" w:gutter="0" w:footer="0" w:header="0"/>
        </w:sectPr>
      </w:pPr>
    </w:p>
    <w:bookmarkStart w:id="1066" w:name="page1067"/>
    <w:bookmarkEnd w:id="1066"/>
    <w:p>
      <w:pPr>
        <w:jc w:val="center"/>
        <w:spacing w:after="0"/>
        <w:rPr>
          <w:sz w:val="20"/>
          <w:szCs w:val="20"/>
          <w:color w:val="auto"/>
        </w:rPr>
      </w:pPr>
      <w:r>
        <w:rPr>
          <w:rFonts w:ascii="Arial" w:cs="Arial" w:eastAsia="Arial" w:hAnsi="Arial"/>
          <w:sz w:val="18"/>
          <w:szCs w:val="18"/>
          <w:b w:val="1"/>
          <w:bCs w:val="1"/>
          <w:color w:val="auto"/>
        </w:rPr>
        <w:t>IRELAND INITIAL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for and on behalf</w:t>
      </w:r>
    </w:p>
    <w:p>
      <w:pPr>
        <w:sectPr>
          <w:pgSz w:w="11900" w:h="16838" w:orient="portrait"/>
          <w:cols w:equalWidth="0" w:num="1">
            <w:col w:w="11420"/>
          </w:cols>
          <w:pgMar w:left="240" w:top="1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of WEATHERFORD INTERNATIONAL PUBLIC LIMITED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Stuart Fraser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right="2700"/>
        <w:spacing w:after="0" w:line="266" w:lineRule="auto"/>
        <w:rPr>
          <w:sz w:val="20"/>
          <w:szCs w:val="20"/>
          <w:color w:val="auto"/>
        </w:rPr>
      </w:pPr>
      <w:r>
        <w:rPr>
          <w:rFonts w:ascii="Arial" w:cs="Arial" w:eastAsia="Arial" w:hAnsi="Arial"/>
          <w:sz w:val="18"/>
          <w:szCs w:val="18"/>
          <w:b w:val="1"/>
          <w:bCs w:val="1"/>
          <w:color w:val="auto"/>
        </w:rPr>
        <w:t xml:space="preserve">SIGNED for on behalf of WEATHERFORD IRISH HOLDINGS </w:t>
      </w:r>
      <w:r>
        <w:rPr>
          <w:rFonts w:ascii="Arial" w:cs="Arial" w:eastAsia="Arial" w:hAnsi="Arial"/>
          <w:sz w:val="18"/>
          <w:szCs w:val="18"/>
          <w:color w:val="auto"/>
        </w:rPr>
        <w:t>By its lawfully appointed attorney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Christine M Morrison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Hernandez</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Patricia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61886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726440</wp:posOffset>
            </wp:positionV>
            <wp:extent cx="724662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420" w:space="300"/>
            <w:col w:w="5700"/>
          </w:cols>
          <w:pgMar w:left="240" w:top="1121" w:right="239" w:bottom="1440" w:gutter="0" w:footer="0" w:header="0"/>
          <w:type w:val="continuous"/>
        </w:sectPr>
      </w:pPr>
    </w:p>
    <w:bookmarkStart w:id="1067" w:name="page1068"/>
    <w:bookmarkEnd w:id="1067"/>
    <w:p>
      <w:pPr>
        <w:jc w:val="center"/>
        <w:spacing w:after="0"/>
        <w:rPr>
          <w:sz w:val="20"/>
          <w:szCs w:val="20"/>
          <w:color w:val="auto"/>
        </w:rPr>
      </w:pPr>
      <w:r>
        <w:rPr>
          <w:rFonts w:ascii="Arial" w:cs="Arial" w:eastAsia="Arial" w:hAnsi="Arial"/>
          <w:sz w:val="18"/>
          <w:szCs w:val="18"/>
          <w:b w:val="1"/>
          <w:bCs w:val="1"/>
          <w:color w:val="auto"/>
        </w:rPr>
        <w:t>LUXEMBOURG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(LUXEMBOURG) HOLDINGS S.À</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R.C.S. Luxembourg B146.622</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Manager A</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EUROPEAN HOLDINGS (LUXEMBOURG) S.À R.L.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R.C.S. Luxembourg B150.992</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Manager 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68" w:name="page1069"/>
    <w:bookmarkEnd w:id="1068"/>
    <w:p>
      <w:pPr>
        <w:jc w:val="center"/>
        <w:spacing w:after="0"/>
        <w:rPr>
          <w:sz w:val="20"/>
          <w:szCs w:val="20"/>
          <w:color w:val="auto"/>
        </w:rPr>
      </w:pPr>
      <w:r>
        <w:rPr>
          <w:rFonts w:ascii="Arial" w:cs="Arial" w:eastAsia="Arial" w:hAnsi="Arial"/>
          <w:sz w:val="18"/>
          <w:szCs w:val="18"/>
          <w:b w:val="1"/>
          <w:bCs w:val="1"/>
          <w:color w:val="auto"/>
        </w:rPr>
        <w:t>NETHERLANDS INITIAL GUARANTOR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NETHERLANDS B.V.</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August Wilhelm Versteegg</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August Wilhelm Versteegg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69" w:name="page1070"/>
    <w:bookmarkEnd w:id="1069"/>
    <w:p>
      <w:pPr>
        <w:jc w:val="center"/>
        <w:spacing w:after="0"/>
        <w:rPr>
          <w:sz w:val="20"/>
          <w:szCs w:val="20"/>
          <w:color w:val="auto"/>
        </w:rPr>
      </w:pPr>
      <w:r>
        <w:rPr>
          <w:rFonts w:ascii="Arial" w:cs="Arial" w:eastAsia="Arial" w:hAnsi="Arial"/>
          <w:sz w:val="18"/>
          <w:szCs w:val="18"/>
          <w:b w:val="1"/>
          <w:bCs w:val="1"/>
          <w:color w:val="auto"/>
        </w:rPr>
        <w:t>NORWAY INITIAL GUARANTOR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NORGE AS</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Geir Egil Moller Olsen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Geir Egil Moller Olsen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0" w:name="page1071"/>
    <w:bookmarkEnd w:id="1070"/>
    <w:p>
      <w:pPr>
        <w:jc w:val="center"/>
        <w:spacing w:after="0"/>
        <w:rPr>
          <w:sz w:val="20"/>
          <w:szCs w:val="20"/>
          <w:color w:val="auto"/>
        </w:rPr>
      </w:pPr>
      <w:r>
        <w:rPr>
          <w:rFonts w:ascii="Arial" w:cs="Arial" w:eastAsia="Arial" w:hAnsi="Arial"/>
          <w:sz w:val="18"/>
          <w:szCs w:val="18"/>
          <w:b w:val="1"/>
          <w:bCs w:val="1"/>
          <w:color w:val="auto"/>
        </w:rPr>
        <w:t>PANAMA INITIAL GUARANTOR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SERVICES S. DE R.L.</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Administrator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1" w:name="page1072"/>
    <w:bookmarkEnd w:id="1071"/>
    <w:p>
      <w:pPr>
        <w:jc w:val="center"/>
        <w:spacing w:after="0"/>
        <w:rPr>
          <w:sz w:val="20"/>
          <w:szCs w:val="20"/>
          <w:color w:val="auto"/>
        </w:rPr>
      </w:pPr>
      <w:r>
        <w:rPr>
          <w:rFonts w:ascii="Arial" w:cs="Arial" w:eastAsia="Arial" w:hAnsi="Arial"/>
          <w:sz w:val="18"/>
          <w:szCs w:val="18"/>
          <w:b w:val="1"/>
          <w:bCs w:val="1"/>
          <w:color w:val="auto"/>
        </w:rPr>
        <w:t>SWITZERLAND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WORLDWIDE HOLDINGS GMBH</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SWITZERLAND TRADING AND DEVELOPMENT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GMBH</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WEATHERFORD MANAGEMENT COMPANY SWITZERLAND SÀRL</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PRODUCTS GMBH</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WOFS SWISS FINANCE GMBH</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Arjana Cabaiu Truong</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Arjana Cabaiu Truong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72" w:name="page1073"/>
    <w:bookmarkEnd w:id="1072"/>
    <w:p>
      <w:pPr>
        <w:ind w:left="5720"/>
        <w:spacing w:after="0"/>
        <w:rPr>
          <w:sz w:val="20"/>
          <w:szCs w:val="20"/>
          <w:color w:val="auto"/>
        </w:rPr>
      </w:pPr>
      <w:r>
        <w:rPr>
          <w:rFonts w:ascii="Arial" w:cs="Arial" w:eastAsia="Arial" w:hAnsi="Arial"/>
          <w:sz w:val="18"/>
          <w:szCs w:val="18"/>
          <w:color w:val="auto"/>
        </w:rPr>
        <w:t>WEATHERFORD HOLDINGS (SWITZERLAND) GMBH</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7" w:right="239" w:bottom="1440" w:gutter="0" w:footer="0" w:header="0"/>
        </w:sectPr>
      </w:pPr>
    </w:p>
    <w:bookmarkStart w:id="1073" w:name="page1074"/>
    <w:bookmarkEnd w:id="1073"/>
    <w:p>
      <w:pPr>
        <w:jc w:val="center"/>
        <w:spacing w:after="0"/>
        <w:rPr>
          <w:sz w:val="20"/>
          <w:szCs w:val="20"/>
          <w:color w:val="auto"/>
        </w:rPr>
      </w:pPr>
      <w:r>
        <w:rPr>
          <w:rFonts w:ascii="Arial" w:cs="Arial" w:eastAsia="Arial" w:hAnsi="Arial"/>
          <w:sz w:val="18"/>
          <w:szCs w:val="18"/>
          <w:b w:val="1"/>
          <w:bCs w:val="1"/>
          <w:color w:val="auto"/>
        </w:rPr>
        <w:t>UNITED STATES INITIAL GUARANTORS</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WEUS HOLDING,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WEATHERFORD ARTIFICIAL LIFT SYSTEMS,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PD HOLDINGS (USA), L.P.</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PRECISION ENERGY SERVICES,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WEATHERFORD U.S., L.P.</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74" w:name="page1075"/>
    <w:bookmarkEnd w:id="1074"/>
    <w:p>
      <w:pPr>
        <w:ind w:left="5720"/>
        <w:spacing w:after="0"/>
        <w:rPr>
          <w:sz w:val="20"/>
          <w:szCs w:val="20"/>
          <w:color w:val="auto"/>
        </w:rPr>
      </w:pPr>
      <w:r>
        <w:rPr>
          <w:rFonts w:ascii="Arial" w:cs="Arial" w:eastAsia="Arial" w:hAnsi="Arial"/>
          <w:sz w:val="18"/>
          <w:szCs w:val="18"/>
          <w:color w:val="auto"/>
        </w:rPr>
        <w:t>WEATHERFORD/LAMB,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INVESTMENT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PRECISION OILFIELD SERVICES, LLP</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VISUAL SYSTEMS, INC.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COLUMBIA OILFIELD SUPPLY,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EPRODUCTION SOLUTIONS,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75" w:name="page1076"/>
    <w:bookmarkEnd w:id="1075"/>
    <w:p>
      <w:pPr>
        <w:ind w:left="5720"/>
        <w:spacing w:after="0"/>
        <w:rPr>
          <w:sz w:val="20"/>
          <w:szCs w:val="20"/>
          <w:color w:val="auto"/>
        </w:rPr>
      </w:pPr>
      <w:r>
        <w:rPr>
          <w:rFonts w:ascii="Arial" w:cs="Arial" w:eastAsia="Arial" w:hAnsi="Arial"/>
          <w:sz w:val="18"/>
          <w:szCs w:val="18"/>
          <w:color w:val="auto"/>
        </w:rPr>
        <w:t>ADVANTAGE R&amp;D,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DISCOVERY LOGGING, INC.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CASE SERVICES,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WARRIOR WELL SERVICES,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DATALOG ACQUISITION,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EDINBURGH PETROLEUM SERVICES AMERICAS INCORPORATED</w:t>
      </w:r>
    </w:p>
    <w:p>
      <w:pPr>
        <w:spacing w:after="0" w:line="200" w:lineRule="exact"/>
        <w:rPr>
          <w:sz w:val="20"/>
          <w:szCs w:val="20"/>
          <w:color w:val="auto"/>
        </w:rPr>
      </w:pPr>
    </w:p>
    <w:p>
      <w:pPr>
        <w:spacing w:after="0" w:line="25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76" w:name="page1077"/>
    <w:bookmarkEnd w:id="1076"/>
    <w:p>
      <w:pPr>
        <w:ind w:left="5720"/>
        <w:spacing w:after="0"/>
        <w:rPr>
          <w:sz w:val="20"/>
          <w:szCs w:val="20"/>
          <w:color w:val="auto"/>
        </w:rPr>
      </w:pPr>
      <w:r>
        <w:rPr>
          <w:rFonts w:ascii="Arial" w:cs="Arial" w:eastAsia="Arial" w:hAnsi="Arial"/>
          <w:sz w:val="18"/>
          <w:szCs w:val="18"/>
          <w:color w:val="auto"/>
        </w:rPr>
        <w:t>WEATHERFORD GLOBAL SERVICES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INTERNATIONAL LOGGING S.A.,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IN-DEPTH SYSTEMS, INC.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BENMORE IN-DEPTH CORP.</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TECHNOLOGY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STEALTH OIL &amp; GAS, INC.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7" w:name="page1078"/>
    <w:bookmarkEnd w:id="1077"/>
    <w:p>
      <w:pPr>
        <w:ind w:left="5720"/>
        <w:spacing w:after="0"/>
        <w:rPr>
          <w:sz w:val="20"/>
          <w:szCs w:val="20"/>
          <w:color w:val="auto"/>
        </w:rPr>
      </w:pPr>
      <w:r>
        <w:rPr>
          <w:rFonts w:ascii="Arial" w:cs="Arial" w:eastAsia="Arial" w:hAnsi="Arial"/>
          <w:sz w:val="18"/>
          <w:szCs w:val="18"/>
          <w:color w:val="auto"/>
        </w:rPr>
        <w:t>WEATHERFORD MANAGEMENT,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WEATHERFORD (PTWI),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LATIN AMERICA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WIHBV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WUS HOLDING,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WEATHERFORD DISC INC.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HIGH PRESSURE INTEGRITY,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8" w:name="page1079"/>
    <w:bookmarkEnd w:id="1078"/>
    <w:p>
      <w:pPr>
        <w:ind w:left="5720"/>
        <w:spacing w:after="0"/>
        <w:rPr>
          <w:sz w:val="20"/>
          <w:szCs w:val="20"/>
          <w:color w:val="auto"/>
        </w:rPr>
      </w:pPr>
      <w:r>
        <w:rPr>
          <w:rFonts w:ascii="Arial" w:cs="Arial" w:eastAsia="Arial" w:hAnsi="Arial"/>
          <w:sz w:val="18"/>
          <w:szCs w:val="18"/>
          <w:color w:val="auto"/>
        </w:rPr>
        <w:t>TOOKE ROCKIES,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COLOMBIA PETROLEUM SERVICES CORP.</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INTERNATIONAL LOGGING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PRECISION DRILLING GP,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VISEAN INFORMATION SERVICES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URS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9" w:name="page1080"/>
    <w:bookmarkEnd w:id="107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Exhibit A – Joinder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40"/>
          </w:cols>
          <w:pgMar w:left="1440" w:top="909" w:right="319" w:bottom="1440" w:gutter="0" w:footer="0" w:header="0"/>
        </w:sectPr>
      </w:pPr>
    </w:p>
    <w:bookmarkStart w:id="1080" w:name="page1081"/>
    <w:bookmarkEnd w:id="1080"/>
    <w:p>
      <w:pPr>
        <w:ind w:left="10460"/>
        <w:spacing w:after="0"/>
        <w:rPr>
          <w:sz w:val="20"/>
          <w:szCs w:val="20"/>
          <w:color w:val="auto"/>
        </w:rPr>
      </w:pPr>
      <w:r>
        <w:rPr>
          <w:rFonts w:ascii="Arial" w:cs="Arial" w:eastAsia="Arial" w:hAnsi="Arial"/>
          <w:sz w:val="18"/>
          <w:szCs w:val="18"/>
          <w:u w:val="single" w:color="auto"/>
          <w:color w:val="auto"/>
        </w:rPr>
        <w:t>Exhibit A-1</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JOINDER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(LC Obligations)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JOINDER AGREEMENT (as amended, restated, supplemented or otherwise modified from time to time,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 is among [ ], as a LC Collateral Agent (the “</w:t>
      </w:r>
      <w:r>
        <w:rPr>
          <w:rFonts w:ascii="Arial" w:cs="Arial" w:eastAsia="Arial" w:hAnsi="Arial"/>
          <w:sz w:val="18"/>
          <w:szCs w:val="18"/>
          <w:b w:val="1"/>
          <w:bCs w:val="1"/>
          <w:i w:val="1"/>
          <w:iCs w:val="1"/>
          <w:color w:val="auto"/>
        </w:rPr>
        <w:t>New Collateral Agent</w:t>
      </w:r>
      <w:r>
        <w:rPr>
          <w:rFonts w:ascii="Arial" w:cs="Arial" w:eastAsia="Arial" w:hAnsi="Arial"/>
          <w:sz w:val="18"/>
          <w:szCs w:val="18"/>
          <w:color w:val="auto"/>
        </w:rPr>
        <w:t>”), WF, as ABL Collateral Agent, DBTCA, as LC Collateral Agent, and Parent (on behalf of itself and its Subsidiaries).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is supplemental to that certain Intercreditor Agreement, dated as of December 13, 2019 (as the same may be amended, restated, supplemented or otherwise modified from time to time, the “</w:t>
      </w:r>
      <w:r>
        <w:rPr>
          <w:rFonts w:ascii="Arial" w:cs="Arial" w:eastAsia="Arial" w:hAnsi="Arial"/>
          <w:sz w:val="18"/>
          <w:szCs w:val="18"/>
          <w:b w:val="1"/>
          <w:bCs w:val="1"/>
          <w:i w:val="1"/>
          <w:iCs w:val="1"/>
          <w:color w:val="auto"/>
        </w:rPr>
        <w:t>Intercreditor Agreement</w:t>
      </w:r>
      <w:r>
        <w:rPr>
          <w:rFonts w:ascii="Arial" w:cs="Arial" w:eastAsia="Arial" w:hAnsi="Arial"/>
          <w:sz w:val="18"/>
          <w:szCs w:val="18"/>
          <w:color w:val="auto"/>
        </w:rPr>
        <w:t>”), by and among the parties (other than the New Collateral Agent) referred to above. This Agreement has been entered into to record the accession of the New Collateral Agent as LC Collateral Agent under the Intercreditor Agreement.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Capitalized terms used but not defined herein shall have the meanings assigned thereto in the Intercreditor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Accession</w:t>
      </w:r>
    </w:p>
    <w:p>
      <w:pPr>
        <w:spacing w:after="0" w:line="229"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SECTION 2.01 The New Collateral Agent agrees to become, with immediate effect, a party to and agrees to be bound by the terms of, the Intercreditor Agreement as the LC Collateral Agent as if it had originally been party to the Intercreditor Agreement as an LC Collateral Agent.</w:t>
      </w:r>
    </w:p>
    <w:p>
      <w:pPr>
        <w:sectPr>
          <w:pgSz w:w="11900" w:h="16838" w:orient="portrait"/>
          <w:cols w:equalWidth="0" w:num="1">
            <w:col w:w="11420"/>
          </w:cols>
          <w:pgMar w:left="240" w:top="909"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follows: [</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hanging="792"/>
        <w:spacing w:after="0" w:line="277" w:lineRule="auto"/>
        <w:rPr>
          <w:sz w:val="20"/>
          <w:szCs w:val="20"/>
          <w:color w:val="auto"/>
        </w:rPr>
      </w:pPr>
      <w:r>
        <w:rPr>
          <w:rFonts w:ascii="Arial" w:cs="Arial" w:eastAsia="Arial" w:hAnsi="Arial"/>
          <w:sz w:val="18"/>
          <w:szCs w:val="18"/>
          <w:color w:val="auto"/>
        </w:rPr>
        <w:t>SECTION 2.02 The New Collateral Agent confirms that its address details for notices pursuant to the Intercreditor Agreement are 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-45085</wp:posOffset>
            </wp:positionV>
            <wp:extent cx="88582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1">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1380" w:space="720"/>
            <w:col w:w="9320"/>
          </w:cols>
          <w:pgMar w:left="240" w:top="909" w:right="239" w:bottom="1440" w:gutter="0" w:footer="0" w:header="0"/>
          <w:type w:val="continuous"/>
        </w:sectPr>
      </w:pPr>
    </w:p>
    <w:p>
      <w:pPr>
        <w:ind w:firstLine="1297"/>
        <w:spacing w:after="0" w:line="277" w:lineRule="auto"/>
        <w:rPr>
          <w:sz w:val="20"/>
          <w:szCs w:val="20"/>
          <w:color w:val="auto"/>
        </w:rPr>
      </w:pPr>
      <w:r>
        <w:rPr>
          <w:rFonts w:ascii="Arial" w:cs="Arial" w:eastAsia="Arial" w:hAnsi="Arial"/>
          <w:sz w:val="18"/>
          <w:szCs w:val="18"/>
          <w:color w:val="auto"/>
        </w:rPr>
        <w:t>SECTION 2.03 Each party to this Agreement (other than the New Collateral Agent) confirms the acceptance of the New Collateral Agent as the LC Collateral Agent for purposes of the Intercreditor Agreement.</w:t>
      </w:r>
    </w:p>
    <w:p>
      <w:pPr>
        <w:spacing w:after="0" w:line="170" w:lineRule="exact"/>
        <w:rPr>
          <w:sz w:val="20"/>
          <w:szCs w:val="20"/>
          <w:color w:val="auto"/>
        </w:rPr>
      </w:pPr>
    </w:p>
    <w:p>
      <w:pPr>
        <w:ind w:left="1300"/>
        <w:spacing w:after="0"/>
        <w:tabs>
          <w:tab w:leader="none" w:pos="3400" w:val="left"/>
          <w:tab w:leader="none" w:pos="11020" w:val="left"/>
        </w:tabs>
        <w:rPr>
          <w:sz w:val="20"/>
          <w:szCs w:val="20"/>
          <w:color w:val="auto"/>
        </w:rPr>
      </w:pPr>
      <w:r>
        <w:rPr>
          <w:rFonts w:ascii="Arial" w:cs="Arial" w:eastAsia="Arial" w:hAnsi="Arial"/>
          <w:sz w:val="18"/>
          <w:szCs w:val="18"/>
          <w:color w:val="auto"/>
        </w:rPr>
        <w:t>SECTION 2.04 [</w:t>
      </w:r>
      <w:r>
        <w:rPr>
          <w:sz w:val="20"/>
          <w:szCs w:val="20"/>
          <w:color w:val="auto"/>
        </w:rPr>
        <w:tab/>
      </w:r>
      <w:r>
        <w:rPr>
          <w:rFonts w:ascii="Arial" w:cs="Arial" w:eastAsia="Arial" w:hAnsi="Arial"/>
          <w:sz w:val="18"/>
          <w:szCs w:val="18"/>
          <w:color w:val="auto"/>
        </w:rPr>
        <w:t>] is acting in its capacity as LC Collateral Agent solely for the Secured Parties under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-10160</wp:posOffset>
            </wp:positionV>
            <wp:extent cx="5715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6129020</wp:posOffset>
            </wp:positionH>
            <wp:positionV relativeFrom="paragraph">
              <wp:posOffset>-10160</wp:posOffset>
            </wp:positionV>
            <wp:extent cx="885825"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3">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SECTION 3.01 This Agreement and any claim, controversy or dispute arising under or related to such Agreement shall be governed by, and construed in accordance with, the law of the State of New York.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081" w:name="page1082"/>
    <w:bookmarkEnd w:id="1081"/>
    <w:p>
      <w:pPr>
        <w:jc w:val="both"/>
        <w:ind w:firstLine="1297"/>
        <w:spacing w:after="0" w:line="264" w:lineRule="auto"/>
        <w:rPr>
          <w:sz w:val="20"/>
          <w:szCs w:val="20"/>
          <w:color w:val="auto"/>
        </w:rPr>
      </w:pPr>
      <w:r>
        <w:rPr>
          <w:rFonts w:ascii="Arial" w:cs="Arial" w:eastAsia="Arial" w:hAnsi="Arial"/>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SIGNATURE BLOCKS]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2" w:name="page1083"/>
    <w:bookmarkEnd w:id="1082"/>
    <w:p>
      <w:pPr>
        <w:jc w:val="right"/>
        <w:spacing w:after="0"/>
        <w:rPr>
          <w:sz w:val="20"/>
          <w:szCs w:val="20"/>
          <w:color w:val="auto"/>
        </w:rPr>
      </w:pPr>
      <w:r>
        <w:rPr>
          <w:rFonts w:ascii="Arial" w:cs="Arial" w:eastAsia="Arial" w:hAnsi="Arial"/>
          <w:sz w:val="18"/>
          <w:szCs w:val="18"/>
          <w:u w:val="single" w:color="auto"/>
          <w:color w:val="auto"/>
        </w:rPr>
        <w:t>Exhibit 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(ABL Obligations)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JOINDER AGREEMENT (as amended, restated, supplemented or otherwise modified from time to time,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 is among [ ], as an ABL Collateral Agent (the “</w:t>
      </w:r>
      <w:r>
        <w:rPr>
          <w:rFonts w:ascii="Arial" w:cs="Arial" w:eastAsia="Arial" w:hAnsi="Arial"/>
          <w:sz w:val="18"/>
          <w:szCs w:val="18"/>
          <w:b w:val="1"/>
          <w:bCs w:val="1"/>
          <w:i w:val="1"/>
          <w:iCs w:val="1"/>
          <w:color w:val="auto"/>
        </w:rPr>
        <w:t>New Collateral Agent</w:t>
      </w:r>
      <w:r>
        <w:rPr>
          <w:rFonts w:ascii="Arial" w:cs="Arial" w:eastAsia="Arial" w:hAnsi="Arial"/>
          <w:sz w:val="18"/>
          <w:szCs w:val="18"/>
          <w:color w:val="auto"/>
        </w:rPr>
        <w:t>”), WF, as ABL Collateral Agent, DBTCA, as LC Collateral Agent, and Parent (on behalf of itself and its Subsidiaries).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is supplemental to that certain Intercreditor Agreement, dated as of December 13, 2019 (as the same may be amended, restated, supplemented or otherwise modified from time to time, the “</w:t>
      </w:r>
      <w:r>
        <w:rPr>
          <w:rFonts w:ascii="Arial" w:cs="Arial" w:eastAsia="Arial" w:hAnsi="Arial"/>
          <w:sz w:val="18"/>
          <w:szCs w:val="18"/>
          <w:b w:val="1"/>
          <w:bCs w:val="1"/>
          <w:i w:val="1"/>
          <w:iCs w:val="1"/>
          <w:color w:val="auto"/>
        </w:rPr>
        <w:t>Intercreditor Agreement</w:t>
      </w:r>
      <w:r>
        <w:rPr>
          <w:rFonts w:ascii="Arial" w:cs="Arial" w:eastAsia="Arial" w:hAnsi="Arial"/>
          <w:sz w:val="18"/>
          <w:szCs w:val="18"/>
          <w:color w:val="auto"/>
        </w:rPr>
        <w:t>”), by and among the parties (other than the New Collateral Agent) referred to above. This Agreement has been entered into to record the accession of the New Collateral Agent as ABL Collateral Agent under the Intercreditor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Capitalized terms used but not defined herein shall have the meanings assigned thereto in the Intercreditor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Accession</w:t>
      </w:r>
    </w:p>
    <w:p>
      <w:pPr>
        <w:spacing w:after="0" w:line="229"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SECTION 2.01 The New Collateral Agent agrees to become, with immediate effect, a party to and agrees to be bound by the terms of, the Intercreditor Agreement as the ABL Collateral Agent as if it had originally been party to the Intercreditor Agreement as an ABL Collateral Agent.</w:t>
      </w:r>
    </w:p>
    <w:p>
      <w:pPr>
        <w:sectPr>
          <w:pgSz w:w="11900" w:h="16838" w:orient="portrait"/>
          <w:cols w:equalWidth="0" w:num="1">
            <w:col w:w="11420"/>
          </w:cols>
          <w:pgMar w:left="240" w:top="1125"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follows: [</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hanging="702"/>
        <w:spacing w:after="0" w:line="277" w:lineRule="auto"/>
        <w:rPr>
          <w:sz w:val="20"/>
          <w:szCs w:val="20"/>
          <w:color w:val="auto"/>
        </w:rPr>
      </w:pPr>
      <w:r>
        <w:rPr>
          <w:rFonts w:ascii="Arial" w:cs="Arial" w:eastAsia="Arial" w:hAnsi="Arial"/>
          <w:sz w:val="18"/>
          <w:szCs w:val="18"/>
          <w:color w:val="auto"/>
        </w:rPr>
        <w:t>SECTION 2.02 The New Collateral Agent confirms that its address details for notices pursuant to the Intercreditor Agreement are 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-45085</wp:posOffset>
            </wp:positionV>
            <wp:extent cx="82867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6">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1280" w:space="720"/>
            <w:col w:w="9420"/>
          </w:cols>
          <w:pgMar w:left="240" w:top="1125" w:right="239" w:bottom="1440" w:gutter="0" w:footer="0" w:header="0"/>
          <w:type w:val="continuous"/>
        </w:sectPr>
      </w:pPr>
    </w:p>
    <w:p>
      <w:pPr>
        <w:ind w:firstLine="1297"/>
        <w:spacing w:after="0" w:line="277" w:lineRule="auto"/>
        <w:rPr>
          <w:sz w:val="20"/>
          <w:szCs w:val="20"/>
          <w:color w:val="auto"/>
        </w:rPr>
      </w:pPr>
      <w:r>
        <w:rPr>
          <w:rFonts w:ascii="Arial" w:cs="Arial" w:eastAsia="Arial" w:hAnsi="Arial"/>
          <w:sz w:val="18"/>
          <w:szCs w:val="18"/>
          <w:color w:val="auto"/>
        </w:rPr>
        <w:t>SECTION 2.03 Each party to this Agreement (other than the New Collateral Agent) confirms the acceptance of the New Collateral Agent as the ABL Collateral Agent for purposes of the Intercreditor Agreement.</w:t>
      </w:r>
    </w:p>
    <w:p>
      <w:pPr>
        <w:spacing w:after="0" w:line="170" w:lineRule="exact"/>
        <w:rPr>
          <w:sz w:val="20"/>
          <w:szCs w:val="20"/>
          <w:color w:val="auto"/>
        </w:rPr>
      </w:pPr>
    </w:p>
    <w:p>
      <w:pPr>
        <w:ind w:left="1300"/>
        <w:spacing w:after="0"/>
        <w:tabs>
          <w:tab w:leader="none" w:pos="3220" w:val="left"/>
          <w:tab w:leader="none" w:pos="10660" w:val="left"/>
        </w:tabs>
        <w:rPr>
          <w:sz w:val="20"/>
          <w:szCs w:val="20"/>
          <w:color w:val="auto"/>
        </w:rPr>
      </w:pPr>
      <w:r>
        <w:rPr>
          <w:rFonts w:ascii="Arial" w:cs="Arial" w:eastAsia="Arial" w:hAnsi="Arial"/>
          <w:sz w:val="18"/>
          <w:szCs w:val="18"/>
          <w:color w:val="auto"/>
        </w:rPr>
        <w:t>SECTION 2.04 [</w:t>
      </w:r>
      <w:r>
        <w:rPr>
          <w:sz w:val="20"/>
          <w:szCs w:val="20"/>
          <w:color w:val="auto"/>
        </w:rPr>
        <w:tab/>
      </w:r>
      <w:r>
        <w:rPr>
          <w:rFonts w:ascii="Arial" w:cs="Arial" w:eastAsia="Arial" w:hAnsi="Arial"/>
          <w:sz w:val="18"/>
          <w:szCs w:val="18"/>
          <w:color w:val="auto"/>
        </w:rPr>
        <w:t>] is acting in its capacity as ABL Collateral Agent solely for the Secured Parties under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-10160</wp:posOffset>
            </wp:positionV>
            <wp:extent cx="42862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7">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-10160</wp:posOffset>
            </wp:positionV>
            <wp:extent cx="714375"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SECTION 3.01 This Agreement and any claim, controversy or dispute arising under or related to such Agreement shall be governed by, and construed in accordance with, the law of the State of New York.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type w:val="continuous"/>
        </w:sectPr>
      </w:pPr>
    </w:p>
    <w:bookmarkStart w:id="1083" w:name="page1084"/>
    <w:bookmarkEnd w:id="1083"/>
    <w:p>
      <w:pPr>
        <w:jc w:val="both"/>
        <w:ind w:firstLine="1297"/>
        <w:spacing w:after="0" w:line="264" w:lineRule="auto"/>
        <w:rPr>
          <w:sz w:val="20"/>
          <w:szCs w:val="20"/>
          <w:color w:val="auto"/>
        </w:rPr>
      </w:pPr>
      <w:r>
        <w:rPr>
          <w:rFonts w:ascii="Arial" w:cs="Arial" w:eastAsia="Arial" w:hAnsi="Arial"/>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or any other electronic means shall be as effective as delivery of a manually signed counterpart of this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SIGNATURE BLOCKS]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84" w:name="page1085"/>
    <w:bookmarkEnd w:id="1084"/>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 – Grantor Acknowledgement to Intercreditor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INTERCREDITOR AGREEMENT ACKNOWLEDGMENT</w:t>
      </w:r>
    </w:p>
    <w:p>
      <w:pPr>
        <w:spacing w:after="0" w:line="229" w:lineRule="exact"/>
        <w:rPr>
          <w:sz w:val="20"/>
          <w:szCs w:val="20"/>
          <w:color w:val="auto"/>
        </w:rPr>
      </w:pPr>
    </w:p>
    <w:p>
      <w:pPr>
        <w:ind w:left="660"/>
        <w:spacing w:after="0"/>
        <w:tabs>
          <w:tab w:leader="none" w:pos="1320" w:val="left"/>
          <w:tab w:leader="none" w:pos="40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Acknowledgement</w:t>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w:t>
      </w:r>
      <w:r>
        <w:rPr>
          <w:rFonts w:ascii="Arial" w:cs="Arial" w:eastAsia="Arial" w:hAnsi="Arial"/>
          <w:sz w:val="16"/>
          <w:szCs w:val="16"/>
          <w:u w:val="single" w:color="auto"/>
          <w:color w:val="auto"/>
        </w:rPr>
        <w:t>New Grantor</w:t>
      </w:r>
      <w:r>
        <w:rPr>
          <w:rFonts w:ascii="Arial" w:cs="Arial" w:eastAsia="Arial" w:hAnsi="Arial"/>
          <w:sz w:val="16"/>
          <w:szCs w:val="16"/>
          <w:color w:val="auto"/>
        </w:rPr>
        <w:t>”) acknowledges, as of [ ], that it has received a copy of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-10160</wp:posOffset>
            </wp:positionV>
            <wp:extent cx="771525"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dated as of December 13, 2019, between Wells Fargo Bank, National Association, as ABL Collateral Agent and Foreign Collateral Agent, Deutsche Bank Trust Company Americas as LC Collateral Agent, and Weatherford International PLC and certain of its affiliates party thereto as Grantors (the “</w:t>
      </w:r>
      <w:r>
        <w:rPr>
          <w:rFonts w:ascii="Arial" w:cs="Arial" w:eastAsia="Arial" w:hAnsi="Arial"/>
          <w:sz w:val="16"/>
          <w:szCs w:val="16"/>
          <w:u w:val="single" w:color="auto"/>
          <w:color w:val="auto"/>
        </w:rPr>
        <w:t>Intercreditor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as in effect on the date hereof, and consents thereto, agrees to recognize all rights granted thereby to the ABL Collateral Agent, the other ABL Secured Parties, the LC Collateral Agent and the other LC Secured Parties, and agrees that it shall not do any act or perform any obligation which is not in accordance with the agreements set forth in the Intercreditor Agreement as in effect on the date hereof (as amended or otherwise modified in accordance with the provisions thereof, including any necessary consents by each Grantor to the extent required thereby). New Grantor further acknowledges and agrees that</w:t>
      </w:r>
    </w:p>
    <w:p>
      <w:pPr>
        <w:spacing w:after="0" w:line="4" w:lineRule="exact"/>
        <w:rPr>
          <w:sz w:val="20"/>
          <w:szCs w:val="20"/>
          <w:color w:val="auto"/>
        </w:rPr>
      </w:pPr>
    </w:p>
    <w:p>
      <w:pPr>
        <w:jc w:val="both"/>
        <w:ind w:firstLine="8"/>
        <w:spacing w:after="0" w:line="254" w:lineRule="auto"/>
        <w:tabs>
          <w:tab w:leader="none" w:pos="279" w:val="left"/>
        </w:tabs>
        <w:numPr>
          <w:ilvl w:val="0"/>
          <w:numId w:val="1153"/>
        </w:numPr>
        <w:rPr>
          <w:rFonts w:ascii="Arial" w:cs="Arial" w:eastAsia="Arial" w:hAnsi="Arial"/>
          <w:sz w:val="18"/>
          <w:szCs w:val="18"/>
          <w:color w:val="auto"/>
        </w:rPr>
      </w:pPr>
      <w:r>
        <w:rPr>
          <w:rFonts w:ascii="Arial" w:cs="Arial" w:eastAsia="Arial" w:hAnsi="Arial"/>
          <w:sz w:val="18"/>
          <w:szCs w:val="18"/>
          <w:color w:val="auto"/>
        </w:rPr>
        <w:t>New Grantor is not a beneficiary or third party beneficiary of the Intercreditor Agreement, (b) New Grantor has no rights under the Intercreditor Agreement, and New Grantor may not rely on the terms of the Intercreditor Agreement, and (c) that the obligations of the New Grantor under the ABL Security Documents, the LC Security Documents or the Foreign Collateral Documents will in no way be diminished or otherwise affected by the provisions or arrangements in the Intercreditor Agreement.</w:t>
      </w:r>
    </w:p>
    <w:p>
      <w:pPr>
        <w:spacing w:after="0" w:line="190" w:lineRule="exact"/>
        <w:rPr>
          <w:sz w:val="20"/>
          <w:szCs w:val="20"/>
          <w:color w:val="auto"/>
        </w:rPr>
      </w:pPr>
    </w:p>
    <w:p>
      <w:pPr>
        <w:ind w:left="1280" w:hanging="624"/>
        <w:spacing w:after="0"/>
        <w:tabs>
          <w:tab w:leader="none" w:pos="1280" w:val="left"/>
        </w:tabs>
        <w:numPr>
          <w:ilvl w:val="0"/>
          <w:numId w:val="11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The address of the New Grantor and the other Grantors for purposes of Section 7.02 of the Intercreditor Agreement is:</w:t>
      </w:r>
    </w:p>
    <w:p>
      <w:pPr>
        <w:spacing w:after="0" w:line="225" w:lineRule="exact"/>
        <w:rPr>
          <w:sz w:val="20"/>
          <w:szCs w:val="20"/>
          <w:color w:val="auto"/>
        </w:rPr>
      </w:pPr>
    </w:p>
    <w:p>
      <w:pPr>
        <w:ind w:left="2620" w:hanging="1315"/>
        <w:spacing w:after="0"/>
        <w:tabs>
          <w:tab w:leader="none" w:pos="2620" w:val="left"/>
        </w:tabs>
        <w:numPr>
          <w:ilvl w:val="0"/>
          <w:numId w:val="115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-10160</wp:posOffset>
            </wp:positionV>
            <wp:extent cx="8001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2620" w:hanging="1315"/>
        <w:spacing w:after="0"/>
        <w:tabs>
          <w:tab w:leader="none" w:pos="2620" w:val="left"/>
        </w:tabs>
        <w:numPr>
          <w:ilvl w:val="0"/>
          <w:numId w:val="115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-19050</wp:posOffset>
            </wp:positionV>
            <wp:extent cx="8001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ind w:left="2620" w:hanging="1315"/>
        <w:spacing w:after="0"/>
        <w:tabs>
          <w:tab w:leader="none" w:pos="2620" w:val="left"/>
        </w:tabs>
        <w:numPr>
          <w:ilvl w:val="0"/>
          <w:numId w:val="1157"/>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-284480</wp:posOffset>
            </wp:positionV>
            <wp:extent cx="8001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ind w:left="2620" w:hanging="1315"/>
        <w:spacing w:after="0"/>
        <w:tabs>
          <w:tab w:leader="none" w:pos="2620" w:val="left"/>
        </w:tabs>
        <w:numPr>
          <w:ilvl w:val="0"/>
          <w:numId w:val="115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-10160</wp:posOffset>
            </wp:positionV>
            <wp:extent cx="8001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2620" w:hanging="1315"/>
        <w:spacing w:after="0"/>
        <w:tabs>
          <w:tab w:leader="none" w:pos="2620" w:val="left"/>
        </w:tabs>
        <w:numPr>
          <w:ilvl w:val="0"/>
          <w:numId w:val="115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-19050</wp:posOffset>
            </wp:positionV>
            <wp:extent cx="8001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ind w:left="2620" w:hanging="1315"/>
        <w:spacing w:after="0"/>
        <w:tabs>
          <w:tab w:leader="none" w:pos="2620" w:val="left"/>
        </w:tabs>
        <w:numPr>
          <w:ilvl w:val="1"/>
          <w:numId w:val="1160"/>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656"/>
        <w:spacing w:after="0" w:line="286" w:lineRule="auto"/>
        <w:tabs>
          <w:tab w:leader="none" w:pos="1400" w:val="left"/>
        </w:tabs>
        <w:numPr>
          <w:ilvl w:val="0"/>
          <w:numId w:val="116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Acknowledgement may be executed in two or more counterparts, each of which shall constitute an original but all of which when taken together shall constitute one document. Delivery of an executed signature page to this Acknowledgement by facsimile transmission or by email as a “.pdf” or “.tif” attachment shall be as effective as delivery of a manually signed counterpart of this Acknowledgement.</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278" w:val="left"/>
        </w:tabs>
        <w:numPr>
          <w:ilvl w:val="0"/>
          <w:numId w:val="11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ACKNOWLEDGEMENT AND ANY CLAIM CONTROVERSY OR DISPUTE ARISING UNDER OR RELATED TO THE INTERCREDITOR AGREEMENT SHALL BE GOVERNED BY, AND CONSTRUED IN ACCORDANCE WITH, THE LAWS OF THE STATE OF NEW YORK, WITHOUT GIVING EFFECT TO ANY CONFLICT OF LAWS PROVISIONS OTHER THAN SECTIONS 5-1401 AND 5-1402 OF THE NEW YORK GENERAL OBLIGATIONS LAW. Sections 7.08 and 7.09 of the Intercreditor Agreement are hereby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-1405890</wp:posOffset>
            </wp:positionV>
            <wp:extent cx="8001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5" w:name="page1086"/>
    <w:bookmarkEnd w:id="1085"/>
    <w:p>
      <w:pPr>
        <w:ind w:left="-20" w:right="20" w:firstLine="656"/>
        <w:spacing w:after="0" w:line="277" w:lineRule="auto"/>
        <w:tabs>
          <w:tab w:leader="none" w:pos="1258" w:val="left"/>
        </w:tabs>
        <w:numPr>
          <w:ilvl w:val="0"/>
          <w:numId w:val="1161"/>
        </w:numPr>
        <w:rPr>
          <w:rFonts w:ascii="Arial" w:cs="Arial" w:eastAsia="Arial" w:hAnsi="Arial"/>
          <w:sz w:val="18"/>
          <w:szCs w:val="18"/>
          <w:color w:val="auto"/>
        </w:rPr>
      </w:pPr>
      <w:r>
        <w:rPr>
          <w:rFonts w:ascii="Arial" w:cs="Arial" w:eastAsia="Arial" w:hAnsi="Arial"/>
          <w:sz w:val="18"/>
          <w:szCs w:val="18"/>
          <w:u w:val="single" w:color="auto"/>
          <w:color w:val="auto"/>
        </w:rPr>
        <w:t>Credit Document</w:t>
      </w:r>
      <w:r>
        <w:rPr>
          <w:rFonts w:ascii="Arial" w:cs="Arial" w:eastAsia="Arial" w:hAnsi="Arial"/>
          <w:sz w:val="18"/>
          <w:szCs w:val="18"/>
          <w:color w:val="auto"/>
        </w:rPr>
        <w:t>. This Acknowledgement shall constitute an ABL Document and a LC Document and as a “Loan Document” under each of the ABL Credit Agreement and LC Credit Agreement.</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281" w:val="left"/>
        </w:tabs>
        <w:numPr>
          <w:ilvl w:val="0"/>
          <w:numId w:val="11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ABL Collateral Agent, the other ABL Secured Parties, the LC Collateral Agent, the other LC Secured Parties, and the Foreign Collateral Agent are the intended beneficiaries of this Acknowledgement. Capitalized terms used but not otherwise defined herein shall have the meanings assigned thereto in the Intercreditor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10" w:right="239" w:bottom="1440" w:gutter="0" w:footer="0" w:header="0"/>
        </w:sectPr>
      </w:pPr>
    </w:p>
    <w:bookmarkStart w:id="1086" w:name="page1087"/>
    <w:bookmarkEnd w:id="1086"/>
    <w:p>
      <w:pPr>
        <w:jc w:val="right"/>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C – Joinder Agreement (LC Australian Collateral Agent)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(LC Australian Collateral Agent)</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JOINDER AGREEMENT (as amended, restated, supplemented or otherwise modified from time to time, this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dated as of [ ], is provided by BTA INSTITUTIONAL SERVICES AUSTRALIA LIMITED ABN 48 002 916 396 in its capacity as trustee of the LC Australian Security Trust (the “</w:t>
      </w:r>
      <w:r>
        <w:rPr>
          <w:rFonts w:ascii="Arial" w:cs="Arial" w:eastAsia="Arial" w:hAnsi="Arial"/>
          <w:sz w:val="18"/>
          <w:szCs w:val="18"/>
          <w:b w:val="1"/>
          <w:bCs w:val="1"/>
          <w:i w:val="1"/>
          <w:iCs w:val="1"/>
          <w:color w:val="auto"/>
        </w:rPr>
        <w:t>LC Australian Collateral Agent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This Joinder is supplemental to that certain Intercreditor Agreement, dated as of December 13, 2019 (as the same may be amended, restated, supplemented or otherwise modified from time to time, the “</w:t>
      </w:r>
      <w:r>
        <w:rPr>
          <w:rFonts w:ascii="Arial" w:cs="Arial" w:eastAsia="Arial" w:hAnsi="Arial"/>
          <w:sz w:val="17"/>
          <w:szCs w:val="17"/>
          <w:b w:val="1"/>
          <w:bCs w:val="1"/>
          <w:i w:val="1"/>
          <w:iCs w:val="1"/>
          <w:color w:val="auto"/>
        </w:rPr>
        <w:t>Intercreditor Agreement</w:t>
      </w:r>
      <w:r>
        <w:rPr>
          <w:rFonts w:ascii="Arial" w:cs="Arial" w:eastAsia="Arial" w:hAnsi="Arial"/>
          <w:sz w:val="17"/>
          <w:szCs w:val="17"/>
          <w:color w:val="auto"/>
        </w:rPr>
        <w:t>”), by and among WF, DBTCA, the Parent and its Subsidiaries party thereto. This Joinder has been entered into to record the joinder of BTA INSTITUTIONAL SERVICES AUSTRALIA LIMITED ABN 48 002 916 396 in its capacity as trustee of the LC Australian Security Trust as LC Australian Collateral Agent under the Intercreditor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Capitalized terms used but not defined herein shall have the meanings assigned thereto in the Intercreditor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Accession</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SECTION 2.01 The LC Australian Collateral Agent agrees to become, with immediate effect, a party to and agrees to be bound by the terms of, the Intercreditor Agreement as the LC Australian Collateral Agent as if it had originally been party to the Intercreditor Agreement as an LC Australian Collateral Agent.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20" w:type="dxa"/>
            <w:vAlign w:val="bottom"/>
            <w:gridSpan w:val="2"/>
          </w:tcPr>
          <w:p>
            <w:pPr>
              <w:jc w:val="right"/>
              <w:spacing w:after="0"/>
              <w:rPr>
                <w:sz w:val="20"/>
                <w:szCs w:val="20"/>
                <w:color w:val="auto"/>
              </w:rPr>
            </w:pPr>
            <w:r>
              <w:rPr>
                <w:rFonts w:ascii="Arial" w:cs="Arial" w:eastAsia="Arial" w:hAnsi="Arial"/>
                <w:sz w:val="18"/>
                <w:szCs w:val="18"/>
                <w:color w:val="auto"/>
                <w:w w:val="93"/>
              </w:rPr>
              <w:t>SECTION 2.02 The LC Australian Collateral Agent confirms that its address details for notices pursuant to the Intercreditor Agreement are</w:t>
            </w:r>
          </w:p>
        </w:tc>
      </w:tr>
      <w:tr>
        <w:trPr>
          <w:trHeight w:val="190"/>
        </w:trPr>
        <w:tc>
          <w:tcPr>
            <w:tcW w:w="1100" w:type="dxa"/>
            <w:vAlign w:val="bottom"/>
            <w:gridSpan w:val="2"/>
          </w:tcPr>
          <w:p>
            <w:pPr>
              <w:spacing w:after="0" w:line="190" w:lineRule="exact"/>
              <w:rPr>
                <w:sz w:val="20"/>
                <w:szCs w:val="20"/>
                <w:color w:val="auto"/>
              </w:rPr>
            </w:pPr>
            <w:r>
              <w:rPr>
                <w:rFonts w:ascii="Arial" w:cs="Arial" w:eastAsia="Arial" w:hAnsi="Arial"/>
                <w:sz w:val="18"/>
                <w:szCs w:val="18"/>
                <w:color w:val="auto"/>
              </w:rPr>
              <w:t>as follows: [</w:t>
            </w:r>
          </w:p>
        </w:tc>
        <w:tc>
          <w:tcPr>
            <w:tcW w:w="10320" w:type="dxa"/>
            <w:vAlign w:val="bottom"/>
            <w:gridSpan w:val="2"/>
          </w:tcPr>
          <w:p>
            <w:pPr>
              <w:jc w:val="right"/>
              <w:ind w:right="8850"/>
              <w:spacing w:after="0" w:line="190" w:lineRule="exact"/>
              <w:rPr>
                <w:sz w:val="20"/>
                <w:szCs w:val="20"/>
                <w:color w:val="auto"/>
              </w:rPr>
            </w:pPr>
            <w:r>
              <w:rPr>
                <w:rFonts w:ascii="Arial" w:cs="Arial" w:eastAsia="Arial" w:hAnsi="Arial"/>
                <w:sz w:val="18"/>
                <w:szCs w:val="18"/>
                <w:color w:val="auto"/>
              </w:rPr>
              <w:t>].</w:t>
            </w:r>
          </w:p>
        </w:tc>
      </w:tr>
      <w:tr>
        <w:trPr>
          <w:trHeight w:val="453"/>
        </w:trPr>
        <w:tc>
          <w:tcPr>
            <w:tcW w:w="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9040" w:type="dxa"/>
            <w:vAlign w:val="bottom"/>
          </w:tcPr>
          <w:p>
            <w:pPr>
              <w:jc w:val="center"/>
              <w:ind w:right="2290"/>
              <w:spacing w:after="0"/>
              <w:rPr>
                <w:sz w:val="20"/>
                <w:szCs w:val="20"/>
                <w:color w:val="auto"/>
              </w:rPr>
            </w:pPr>
            <w:r>
              <w:rPr>
                <w:rFonts w:ascii="Arial" w:cs="Arial" w:eastAsia="Arial" w:hAnsi="Arial"/>
                <w:sz w:val="18"/>
                <w:szCs w:val="18"/>
                <w:color w:val="auto"/>
              </w:rPr>
              <w:t>ARTICLE III</w:t>
            </w:r>
          </w:p>
        </w:tc>
      </w:tr>
      <w:tr>
        <w:trPr>
          <w:trHeight w:val="432"/>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40" w:type="dxa"/>
            <w:vAlign w:val="bottom"/>
          </w:tcPr>
          <w:p>
            <w:pPr>
              <w:jc w:val="center"/>
              <w:ind w:right="2270"/>
              <w:spacing w:after="0"/>
              <w:rPr>
                <w:sz w:val="20"/>
                <w:szCs w:val="20"/>
                <w:color w:val="auto"/>
              </w:rPr>
            </w:pPr>
            <w:r>
              <w:rPr>
                <w:rFonts w:ascii="Arial" w:cs="Arial" w:eastAsia="Arial" w:hAnsi="Arial"/>
                <w:sz w:val="18"/>
                <w:szCs w:val="18"/>
                <w:b w:val="1"/>
                <w:bCs w:val="1"/>
                <w:color w:val="auto"/>
                <w:w w:val="87"/>
              </w:rPr>
              <w:t>Miscellaneous</w:t>
            </w:r>
          </w:p>
        </w:tc>
      </w:tr>
    </w:tbl>
    <w:p>
      <w:pPr>
        <w:spacing w:after="0" w:line="20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3.01 This Joinder and any claim, controversy or dispute arising under or related to such Joinder shall be governed by, and construed in accordance with, the law of the State of New York.</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SECTION 3.02 This Joinder may be executed in counterparts, each of which shall constitute an original but all of which when taken together shall constitute a single contract.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87" w:name="page1088"/>
    <w:bookmarkEnd w:id="1087"/>
    <w:p>
      <w:pPr>
        <w:ind w:firstLine="324"/>
        <w:spacing w:after="0" w:line="277" w:lineRule="auto"/>
        <w:rPr>
          <w:sz w:val="20"/>
          <w:szCs w:val="20"/>
          <w:color w:val="auto"/>
        </w:rPr>
      </w:pPr>
      <w:r>
        <w:rPr>
          <w:rFonts w:ascii="Arial" w:cs="Arial" w:eastAsia="Arial" w:hAnsi="Arial"/>
          <w:sz w:val="18"/>
          <w:szCs w:val="18"/>
          <w:color w:val="auto"/>
        </w:rPr>
        <w:t>Delivery of an executed signature page to this Joinder by facsimile transmission or any other electronic means shall be as effective as delivery of a manually signed counterpart of this Joinder.</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3.03 Clause [ ] (Limitation of liability of LC Australian Collateral Agent) of the LC Australian Security Trust Deed is incorporated by reference in this Joinder as if set out in full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88" w:name="page1089"/>
    <w:bookmarkEnd w:id="1088"/>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Joinder to be duly executed by their respective authorized officers as of the day and year first above written.</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BTA INSTITUTIONAL SERVICES AUSTRALIA LIMITED (ABN 48 002</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916 396) in its capacity as trustee of the LC Australian Security Trust, as LC</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Australian Collateral Agent</w:t>
      </w:r>
    </w:p>
    <w:p>
      <w:pPr>
        <w:spacing w:after="0" w:line="200" w:lineRule="exact"/>
        <w:rPr>
          <w:sz w:val="20"/>
          <w:szCs w:val="20"/>
          <w:color w:val="auto"/>
        </w:rPr>
      </w:pP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attorney:</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under power of attorney dated 1 September 2007 in the presence of:</w:t>
      </w:r>
    </w:p>
    <w:p>
      <w:pPr>
        <w:spacing w:after="0" w:line="200" w:lineRule="exact"/>
        <w:rPr>
          <w:sz w:val="20"/>
          <w:szCs w:val="20"/>
          <w:color w:val="auto"/>
        </w:rPr>
      </w:pPr>
    </w:p>
    <w:p>
      <w:pPr>
        <w:spacing w:after="0" w:line="2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Witness: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089" w:name="page1090"/>
    <w:bookmarkEnd w:id="1089"/>
    <w:tbl>
      <w:tblPr>
        <w:tblLayout w:type="fixed"/>
        <w:tblInd w:w="1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gridSpan w:val="4"/>
          </w:tcPr>
          <w:p>
            <w:pPr>
              <w:ind w:left="380"/>
              <w:spacing w:after="0"/>
              <w:rPr>
                <w:sz w:val="20"/>
                <w:szCs w:val="20"/>
                <w:color w:val="auto"/>
              </w:rPr>
            </w:pPr>
            <w:r>
              <w:rPr>
                <w:rFonts w:ascii="Arial" w:cs="Arial" w:eastAsia="Arial" w:hAnsi="Arial"/>
                <w:sz w:val="18"/>
                <w:szCs w:val="18"/>
                <w:color w:val="auto"/>
                <w:w w:val="96"/>
              </w:rPr>
              <w:t>SCHEDULE I</w:t>
            </w: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60" w:type="dxa"/>
            <w:vAlign w:val="bottom"/>
            <w:gridSpan w:val="4"/>
          </w:tcPr>
          <w:p>
            <w:pPr>
              <w:ind w:left="360"/>
              <w:spacing w:after="0"/>
              <w:rPr>
                <w:sz w:val="20"/>
                <w:szCs w:val="20"/>
                <w:color w:val="auto"/>
              </w:rPr>
            </w:pPr>
            <w:r>
              <w:rPr>
                <w:rFonts w:ascii="Arial" w:cs="Arial" w:eastAsia="Arial" w:hAnsi="Arial"/>
                <w:sz w:val="18"/>
                <w:szCs w:val="18"/>
                <w:color w:val="auto"/>
                <w:w w:val="94"/>
              </w:rPr>
              <w:t>Schedule I – Foreign Collateral Documents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64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shd w:val="clear" w:color="auto" w:fill="D9D9D9"/>
          </w:tcPr>
          <w:p>
            <w:pPr>
              <w:spacing w:after="0"/>
              <w:rPr>
                <w:sz w:val="16"/>
                <w:szCs w:val="16"/>
                <w:color w:val="auto"/>
              </w:rPr>
            </w:pPr>
          </w:p>
        </w:tc>
        <w:tc>
          <w:tcPr>
            <w:tcW w:w="2860" w:type="dxa"/>
            <w:vAlign w:val="bottom"/>
            <w:shd w:val="clear" w:color="auto" w:fill="D9D9D9"/>
          </w:tcPr>
          <w:p>
            <w:pPr>
              <w:spacing w:after="0"/>
              <w:rPr>
                <w:sz w:val="16"/>
                <w:szCs w:val="16"/>
                <w:color w:val="auto"/>
              </w:rPr>
            </w:pPr>
          </w:p>
        </w:tc>
        <w:tc>
          <w:tcPr>
            <w:tcW w:w="3660" w:type="dxa"/>
            <w:vAlign w:val="bottom"/>
            <w:tcBorders>
              <w:right w:val="single" w:sz="8" w:color="auto"/>
            </w:tcBorders>
            <w:gridSpan w:val="4"/>
            <w:vMerge w:val="restart"/>
            <w:shd w:val="clear" w:color="auto" w:fill="D9D9D9"/>
          </w:tcPr>
          <w:p>
            <w:pPr>
              <w:spacing w:after="0"/>
              <w:rPr>
                <w:sz w:val="20"/>
                <w:szCs w:val="20"/>
                <w:color w:val="auto"/>
              </w:rPr>
            </w:pPr>
            <w:r>
              <w:rPr>
                <w:rFonts w:ascii="Arial" w:cs="Arial" w:eastAsia="Arial" w:hAnsi="Arial"/>
                <w:sz w:val="18"/>
                <w:szCs w:val="18"/>
                <w:b w:val="1"/>
                <w:bCs w:val="1"/>
                <w:color w:val="auto"/>
              </w:rPr>
              <w:t>Agreement</w:t>
            </w:r>
          </w:p>
        </w:tc>
        <w:tc>
          <w:tcPr>
            <w:tcW w:w="1920" w:type="dxa"/>
            <w:vAlign w:val="bottom"/>
            <w:tcBorders>
              <w:right w:val="single" w:sz="8" w:color="auto"/>
            </w:tcBorders>
            <w:gridSpan w:val="3"/>
            <w:shd w:val="clear" w:color="auto" w:fill="D9D9D9"/>
          </w:tcPr>
          <w:p>
            <w:pPr>
              <w:ind w:left="400"/>
              <w:spacing w:after="0" w:line="191" w:lineRule="exact"/>
              <w:rPr>
                <w:sz w:val="20"/>
                <w:szCs w:val="20"/>
                <w:color w:val="auto"/>
              </w:rPr>
            </w:pPr>
            <w:r>
              <w:rPr>
                <w:rFonts w:ascii="Arial" w:cs="Arial" w:eastAsia="Arial" w:hAnsi="Arial"/>
                <w:sz w:val="18"/>
                <w:szCs w:val="18"/>
                <w:b w:val="1"/>
                <w:bCs w:val="1"/>
                <w:color w:val="auto"/>
              </w:rPr>
              <w:t>Jurisdiction of</w:t>
            </w:r>
          </w:p>
        </w:tc>
        <w:tc>
          <w:tcPr>
            <w:tcW w:w="2040" w:type="dxa"/>
            <w:vAlign w:val="bottom"/>
            <w:tcBorders>
              <w:right w:val="single" w:sz="8" w:color="auto"/>
            </w:tcBorders>
            <w:gridSpan w:val="4"/>
            <w:shd w:val="clear" w:color="auto" w:fill="D9D9D9"/>
          </w:tcPr>
          <w:p>
            <w:pPr>
              <w:ind w:left="460"/>
              <w:spacing w:after="0" w:line="191" w:lineRule="exact"/>
              <w:rPr>
                <w:sz w:val="20"/>
                <w:szCs w:val="20"/>
                <w:color w:val="auto"/>
              </w:rPr>
            </w:pPr>
            <w:r>
              <w:rPr>
                <w:rFonts w:ascii="Arial" w:cs="Arial" w:eastAsia="Arial" w:hAnsi="Arial"/>
                <w:sz w:val="18"/>
                <w:szCs w:val="18"/>
                <w:b w:val="1"/>
                <w:bCs w:val="1"/>
                <w:color w:val="auto"/>
              </w:rPr>
              <w:t>Jurisdiction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40" w:type="dxa"/>
            <w:vAlign w:val="bottom"/>
            <w:tcBorders>
              <w:left w:val="single" w:sz="8" w:color="auto"/>
              <w:right w:val="single" w:sz="8" w:color="auto"/>
            </w:tcBorders>
            <w:shd w:val="clear" w:color="auto" w:fill="D9D9D9"/>
          </w:tcPr>
          <w:p>
            <w:pPr>
              <w:spacing w:after="0"/>
              <w:rPr>
                <w:sz w:val="9"/>
                <w:szCs w:val="9"/>
                <w:color w:val="auto"/>
              </w:rPr>
            </w:pPr>
          </w:p>
        </w:tc>
        <w:tc>
          <w:tcPr>
            <w:tcW w:w="2860" w:type="dxa"/>
            <w:vAlign w:val="bottom"/>
            <w:shd w:val="clear" w:color="auto" w:fill="D9D9D9"/>
          </w:tcPr>
          <w:p>
            <w:pPr>
              <w:spacing w:after="0"/>
              <w:rPr>
                <w:sz w:val="9"/>
                <w:szCs w:val="9"/>
                <w:color w:val="auto"/>
              </w:rPr>
            </w:pPr>
          </w:p>
        </w:tc>
        <w:tc>
          <w:tcPr>
            <w:tcW w:w="3660" w:type="dxa"/>
            <w:vAlign w:val="bottom"/>
            <w:tcBorders>
              <w:right w:val="single" w:sz="8" w:color="auto"/>
            </w:tcBorders>
            <w:gridSpan w:val="4"/>
            <w:vMerge w:val="continue"/>
            <w:shd w:val="clear" w:color="auto" w:fill="D9D9D9"/>
          </w:tcPr>
          <w:p>
            <w:pPr>
              <w:spacing w:after="0"/>
              <w:rPr>
                <w:sz w:val="9"/>
                <w:szCs w:val="9"/>
                <w:color w:val="auto"/>
              </w:rPr>
            </w:pPr>
          </w:p>
        </w:tc>
        <w:tc>
          <w:tcPr>
            <w:tcW w:w="1920" w:type="dxa"/>
            <w:vAlign w:val="bottom"/>
            <w:tcBorders>
              <w:right w:val="single" w:sz="8" w:color="auto"/>
            </w:tcBorders>
            <w:gridSpan w:val="3"/>
            <w:vMerge w:val="restart"/>
            <w:shd w:val="clear" w:color="auto" w:fill="D9D9D9"/>
          </w:tcPr>
          <w:p>
            <w:pPr>
              <w:ind w:left="540"/>
              <w:spacing w:after="0" w:line="194" w:lineRule="exact"/>
              <w:rPr>
                <w:sz w:val="20"/>
                <w:szCs w:val="20"/>
                <w:color w:val="auto"/>
              </w:rPr>
            </w:pPr>
            <w:r>
              <w:rPr>
                <w:rFonts w:ascii="Arial" w:cs="Arial" w:eastAsia="Arial" w:hAnsi="Arial"/>
                <w:sz w:val="18"/>
                <w:szCs w:val="18"/>
                <w:b w:val="1"/>
                <w:bCs w:val="1"/>
                <w:color w:val="auto"/>
              </w:rPr>
              <w:t>Guarantor</w:t>
            </w:r>
          </w:p>
        </w:tc>
        <w:tc>
          <w:tcPr>
            <w:tcW w:w="2040" w:type="dxa"/>
            <w:vAlign w:val="bottom"/>
            <w:tcBorders>
              <w:right w:val="single" w:sz="8" w:color="auto"/>
            </w:tcBorders>
            <w:gridSpan w:val="4"/>
            <w:vMerge w:val="restart"/>
            <w:shd w:val="clear" w:color="auto" w:fill="D9D9D9"/>
          </w:tcPr>
          <w:p>
            <w:pPr>
              <w:ind w:left="620"/>
              <w:spacing w:after="0" w:line="194" w:lineRule="exact"/>
              <w:rPr>
                <w:sz w:val="20"/>
                <w:szCs w:val="20"/>
                <w:color w:val="auto"/>
              </w:rPr>
            </w:pPr>
            <w:r>
              <w:rPr>
                <w:rFonts w:ascii="Arial" w:cs="Arial" w:eastAsia="Arial" w:hAnsi="Arial"/>
                <w:sz w:val="18"/>
                <w:szCs w:val="18"/>
                <w:b w:val="1"/>
                <w:bCs w:val="1"/>
                <w:color w:val="auto"/>
              </w:rPr>
              <w:t>Collateral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0" w:type="dxa"/>
            <w:vAlign w:val="bottom"/>
            <w:tcBorders>
              <w:top w:val="single" w:sz="8" w:color="D9D9D9"/>
              <w:left w:val="single" w:sz="8" w:color="auto"/>
              <w:bottom w:val="single" w:sz="8" w:color="auto"/>
              <w:right w:val="single" w:sz="8" w:color="auto"/>
            </w:tcBorders>
            <w:shd w:val="clear" w:color="auto" w:fill="D9D9D9"/>
          </w:tcPr>
          <w:p>
            <w:pPr>
              <w:spacing w:after="0"/>
              <w:rPr>
                <w:sz w:val="8"/>
                <w:szCs w:val="8"/>
                <w:color w:val="auto"/>
              </w:rPr>
            </w:pPr>
          </w:p>
        </w:tc>
        <w:tc>
          <w:tcPr>
            <w:tcW w:w="2860" w:type="dxa"/>
            <w:vAlign w:val="bottom"/>
            <w:tcBorders>
              <w:top w:val="single" w:sz="8" w:color="D9D9D9"/>
              <w:bottom w:val="single" w:sz="8" w:color="auto"/>
            </w:tcBorders>
            <w:shd w:val="clear" w:color="auto" w:fill="D9D9D9"/>
          </w:tcPr>
          <w:p>
            <w:pPr>
              <w:spacing w:after="0"/>
              <w:rPr>
                <w:sz w:val="8"/>
                <w:szCs w:val="8"/>
                <w:color w:val="auto"/>
              </w:rPr>
            </w:pPr>
          </w:p>
        </w:tc>
        <w:tc>
          <w:tcPr>
            <w:tcW w:w="360" w:type="dxa"/>
            <w:vAlign w:val="bottom"/>
            <w:tcBorders>
              <w:top w:val="single" w:sz="8" w:color="auto"/>
              <w:bottom w:val="single" w:sz="8" w:color="auto"/>
            </w:tcBorders>
            <w:shd w:val="clear" w:color="auto" w:fill="D9D9D9"/>
          </w:tcPr>
          <w:p>
            <w:pPr>
              <w:spacing w:after="0"/>
              <w:rPr>
                <w:sz w:val="8"/>
                <w:szCs w:val="8"/>
                <w:color w:val="auto"/>
              </w:rPr>
            </w:pPr>
          </w:p>
        </w:tc>
        <w:tc>
          <w:tcPr>
            <w:tcW w:w="480" w:type="dxa"/>
            <w:vAlign w:val="bottom"/>
            <w:tcBorders>
              <w:top w:val="single" w:sz="8" w:color="auto"/>
              <w:bottom w:val="single" w:sz="8" w:color="auto"/>
            </w:tcBorders>
            <w:shd w:val="clear" w:color="auto" w:fill="D9D9D9"/>
          </w:tcPr>
          <w:p>
            <w:pPr>
              <w:spacing w:after="0"/>
              <w:rPr>
                <w:sz w:val="8"/>
                <w:szCs w:val="8"/>
                <w:color w:val="auto"/>
              </w:rPr>
            </w:pPr>
          </w:p>
        </w:tc>
        <w:tc>
          <w:tcPr>
            <w:tcW w:w="2640" w:type="dxa"/>
            <w:vAlign w:val="bottom"/>
            <w:tcBorders>
              <w:top w:val="single" w:sz="8" w:color="D9D9D9"/>
              <w:bottom w:val="single" w:sz="8" w:color="auto"/>
            </w:tcBorders>
            <w:shd w:val="clear" w:color="auto" w:fill="D9D9D9"/>
          </w:tcPr>
          <w:p>
            <w:pPr>
              <w:spacing w:after="0"/>
              <w:rPr>
                <w:sz w:val="8"/>
                <w:szCs w:val="8"/>
                <w:color w:val="auto"/>
              </w:rPr>
            </w:pPr>
          </w:p>
        </w:tc>
        <w:tc>
          <w:tcPr>
            <w:tcW w:w="18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192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2040" w:type="dxa"/>
            <w:vAlign w:val="bottom"/>
            <w:tcBorders>
              <w:top w:val="single" w:sz="8" w:color="D9D9D9"/>
              <w:bottom w:val="single" w:sz="8" w:color="auto"/>
              <w:right w:val="single" w:sz="8" w:color="auto"/>
            </w:tcBorders>
            <w:gridSpan w:val="4"/>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Assignment Agreement in relation to receivables (trade receivables, intra group</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receivables) to be entered into by Weatherford Oil Tool GmbH</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3"/>
              </w:rPr>
              <w:t>German law governed inventory transfer agreement to be entered into by Weatherford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Oil Tool GmbH</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Assignment Agreement in relation to IP Rights to be entered into by Weatherford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US</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Technology Holdings LLC</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7"/>
              </w:rPr>
              <w:t>Assignment Agreement in relation to IP Rights to be entered into by Weatherford /</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US</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Lamb Inc.</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Assignment Agreement in relation to IP Rights to be entered into by Weatherford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England</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UK Limited</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Assignment Agreement in relation to IP Rights to be entered into by Weatherford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Norway and</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Norge AS &amp; Weatherford UK Limited</w:t>
            </w:r>
          </w:p>
        </w:tc>
        <w:tc>
          <w:tcPr>
            <w:tcW w:w="192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England</w:t>
            </w: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Assignment Agreement in relation to IP Rights to be entered into by Weatherford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US</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Technology Holdings LLC</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7"/>
              </w:rPr>
              <w:t>Bank assignment agreement regarding bank account claims, to be entered into by</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Weatherford International Ltd.,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Quota pledge agreement regarding quotas in Weatherford Worldwide Holdings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Ireland</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7"/>
              </w:rPr>
              <w:t>GmbH, to be entered into by Weatherford Irish Holdings Limited, securing the ABL</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6"/>
              </w:rPr>
              <w:t>Swiss law governed bank assignment agreement to be entered into by Weatherford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Luxembourg</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International (Luxembourg) Holdings S.à r.l. as assignor and Wells Fargo Bank,</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National Association as assignee</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7"/>
              </w:rPr>
              <w:t>insurance receivables and bank account claims, to be entered into by Weatherford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 Company Switzerland Sàrl,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7"/>
              </w:rPr>
              <w:t>insurance receivables and bank account claims, to be entered into by Weatherford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Products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7"/>
              </w:rPr>
              <w:t>insurance receivables and bank account claims, to be entered into by Weatherford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Switzerland Trading and Development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1440" w:gutter="0" w:footer="0" w:header="0"/>
        </w:sectPr>
      </w:pPr>
    </w:p>
    <w:bookmarkStart w:id="1090" w:name="page1091"/>
    <w:bookmarkEnd w:id="10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2860" w:type="dxa"/>
            <w:vAlign w:val="bottom"/>
            <w:tcBorders>
              <w:top w:val="single" w:sz="8" w:color="auto"/>
            </w:tcBorders>
            <w:shd w:val="clear" w:color="auto" w:fill="D9D9D9"/>
          </w:tcPr>
          <w:p>
            <w:pPr>
              <w:spacing w:after="0"/>
              <w:rPr>
                <w:sz w:val="18"/>
                <w:szCs w:val="18"/>
                <w:color w:val="auto"/>
              </w:rPr>
            </w:pPr>
          </w:p>
        </w:tc>
        <w:tc>
          <w:tcPr>
            <w:tcW w:w="3660" w:type="dxa"/>
            <w:vAlign w:val="bottom"/>
            <w:tcBorders>
              <w:top w:val="single" w:sz="8" w:color="auto"/>
              <w:right w:val="single" w:sz="8" w:color="auto"/>
            </w:tcBorders>
            <w:gridSpan w:val="2"/>
            <w:vMerge w:val="restart"/>
            <w:shd w:val="clear" w:color="auto" w:fill="D9D9D9"/>
          </w:tcPr>
          <w:p>
            <w:pPr>
              <w:spacing w:after="0"/>
              <w:rPr>
                <w:sz w:val="20"/>
                <w:szCs w:val="20"/>
                <w:color w:val="auto"/>
              </w:rPr>
            </w:pPr>
            <w:r>
              <w:rPr>
                <w:rFonts w:ascii="Arial" w:cs="Arial" w:eastAsia="Arial" w:hAnsi="Arial"/>
                <w:sz w:val="18"/>
                <w:szCs w:val="18"/>
                <w:b w:val="1"/>
                <w:bCs w:val="1"/>
                <w:color w:val="auto"/>
              </w:rPr>
              <w:t>Agreement</w:t>
            </w:r>
          </w:p>
        </w:tc>
        <w:tc>
          <w:tcPr>
            <w:tcW w:w="1920" w:type="dxa"/>
            <w:vAlign w:val="bottom"/>
            <w:tcBorders>
              <w:top w:val="single" w:sz="8" w:color="auto"/>
              <w:right w:val="single" w:sz="8" w:color="auto"/>
            </w:tcBorders>
            <w:gridSpan w:val="3"/>
            <w:shd w:val="clear" w:color="auto" w:fill="D9D9D9"/>
          </w:tcPr>
          <w:p>
            <w:pPr>
              <w:ind w:left="400"/>
              <w:spacing w:after="0"/>
              <w:rPr>
                <w:sz w:val="20"/>
                <w:szCs w:val="20"/>
                <w:color w:val="auto"/>
              </w:rPr>
            </w:pPr>
            <w:r>
              <w:rPr>
                <w:rFonts w:ascii="Arial" w:cs="Arial" w:eastAsia="Arial" w:hAnsi="Arial"/>
                <w:sz w:val="18"/>
                <w:szCs w:val="18"/>
                <w:b w:val="1"/>
                <w:bCs w:val="1"/>
                <w:color w:val="auto"/>
              </w:rPr>
              <w:t>Jurisdiction of</w:t>
            </w:r>
          </w:p>
        </w:tc>
        <w:tc>
          <w:tcPr>
            <w:tcW w:w="2040" w:type="dxa"/>
            <w:vAlign w:val="bottom"/>
            <w:tcBorders>
              <w:top w:val="single" w:sz="8" w:color="auto"/>
              <w:right w:val="single" w:sz="8" w:color="auto"/>
            </w:tcBorders>
            <w:gridSpan w:val="3"/>
            <w:shd w:val="clear" w:color="auto" w:fill="D9D9D9"/>
          </w:tcPr>
          <w:p>
            <w:pPr>
              <w:ind w:left="46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113"/>
        </w:trPr>
        <w:tc>
          <w:tcPr>
            <w:tcW w:w="940" w:type="dxa"/>
            <w:vAlign w:val="bottom"/>
            <w:tcBorders>
              <w:left w:val="single" w:sz="8" w:color="auto"/>
              <w:right w:val="single" w:sz="8" w:color="auto"/>
            </w:tcBorders>
            <w:shd w:val="clear" w:color="auto" w:fill="D9D9D9"/>
          </w:tcPr>
          <w:p>
            <w:pPr>
              <w:spacing w:after="0"/>
              <w:rPr>
                <w:sz w:val="9"/>
                <w:szCs w:val="9"/>
                <w:color w:val="auto"/>
              </w:rPr>
            </w:pPr>
          </w:p>
        </w:tc>
        <w:tc>
          <w:tcPr>
            <w:tcW w:w="2860" w:type="dxa"/>
            <w:vAlign w:val="bottom"/>
            <w:shd w:val="clear" w:color="auto" w:fill="D9D9D9"/>
          </w:tcPr>
          <w:p>
            <w:pPr>
              <w:spacing w:after="0"/>
              <w:rPr>
                <w:sz w:val="9"/>
                <w:szCs w:val="9"/>
                <w:color w:val="auto"/>
              </w:rPr>
            </w:pPr>
          </w:p>
        </w:tc>
        <w:tc>
          <w:tcPr>
            <w:tcW w:w="3660" w:type="dxa"/>
            <w:vAlign w:val="bottom"/>
            <w:tcBorders>
              <w:right w:val="single" w:sz="8" w:color="auto"/>
            </w:tcBorders>
            <w:gridSpan w:val="2"/>
            <w:vMerge w:val="continue"/>
            <w:shd w:val="clear" w:color="auto" w:fill="D9D9D9"/>
          </w:tcPr>
          <w:p>
            <w:pPr>
              <w:spacing w:after="0"/>
              <w:rPr>
                <w:sz w:val="9"/>
                <w:szCs w:val="9"/>
                <w:color w:val="auto"/>
              </w:rPr>
            </w:pPr>
          </w:p>
        </w:tc>
        <w:tc>
          <w:tcPr>
            <w:tcW w:w="1920" w:type="dxa"/>
            <w:vAlign w:val="bottom"/>
            <w:tcBorders>
              <w:right w:val="single" w:sz="8" w:color="auto"/>
            </w:tcBorders>
            <w:gridSpan w:val="3"/>
            <w:vMerge w:val="restart"/>
            <w:shd w:val="clear" w:color="auto" w:fill="D9D9D9"/>
          </w:tcPr>
          <w:p>
            <w:pPr>
              <w:ind w:left="540"/>
              <w:spacing w:after="0" w:line="194" w:lineRule="exact"/>
              <w:rPr>
                <w:sz w:val="20"/>
                <w:szCs w:val="20"/>
                <w:color w:val="auto"/>
              </w:rPr>
            </w:pPr>
            <w:r>
              <w:rPr>
                <w:rFonts w:ascii="Arial" w:cs="Arial" w:eastAsia="Arial" w:hAnsi="Arial"/>
                <w:sz w:val="18"/>
                <w:szCs w:val="18"/>
                <w:b w:val="1"/>
                <w:bCs w:val="1"/>
                <w:color w:val="auto"/>
              </w:rPr>
              <w:t>Guarantor</w:t>
            </w:r>
          </w:p>
        </w:tc>
        <w:tc>
          <w:tcPr>
            <w:tcW w:w="2040" w:type="dxa"/>
            <w:vAlign w:val="bottom"/>
            <w:tcBorders>
              <w:right w:val="single" w:sz="8" w:color="auto"/>
            </w:tcBorders>
            <w:gridSpan w:val="3"/>
            <w:vMerge w:val="restart"/>
            <w:shd w:val="clear" w:color="auto" w:fill="D9D9D9"/>
          </w:tcPr>
          <w:p>
            <w:pPr>
              <w:ind w:left="620"/>
              <w:spacing w:after="0" w:line="194" w:lineRule="exact"/>
              <w:rPr>
                <w:sz w:val="20"/>
                <w:szCs w:val="20"/>
                <w:color w:val="auto"/>
              </w:rPr>
            </w:pPr>
            <w:r>
              <w:rPr>
                <w:rFonts w:ascii="Arial" w:cs="Arial" w:eastAsia="Arial" w:hAnsi="Arial"/>
                <w:sz w:val="18"/>
                <w:szCs w:val="18"/>
                <w:b w:val="1"/>
                <w:bCs w:val="1"/>
                <w:color w:val="auto"/>
              </w:rPr>
              <w:t>Collateral</w:t>
            </w:r>
          </w:p>
        </w:tc>
        <w:tc>
          <w:tcPr>
            <w:tcW w:w="0" w:type="dxa"/>
            <w:vAlign w:val="bottom"/>
          </w:tcPr>
          <w:p>
            <w:pPr>
              <w:spacing w:after="0"/>
              <w:rPr>
                <w:sz w:val="1"/>
                <w:szCs w:val="1"/>
                <w:color w:val="auto"/>
              </w:rPr>
            </w:pPr>
          </w:p>
        </w:tc>
      </w:tr>
      <w:tr>
        <w:trPr>
          <w:trHeight w:val="102"/>
        </w:trPr>
        <w:tc>
          <w:tcPr>
            <w:tcW w:w="940" w:type="dxa"/>
            <w:vAlign w:val="bottom"/>
            <w:tcBorders>
              <w:top w:val="single" w:sz="8" w:color="D9D9D9"/>
              <w:left w:val="single" w:sz="8" w:color="auto"/>
              <w:bottom w:val="single" w:sz="8" w:color="auto"/>
              <w:right w:val="single" w:sz="8" w:color="auto"/>
            </w:tcBorders>
            <w:shd w:val="clear" w:color="auto" w:fill="D9D9D9"/>
          </w:tcPr>
          <w:p>
            <w:pPr>
              <w:spacing w:after="0"/>
              <w:rPr>
                <w:sz w:val="8"/>
                <w:szCs w:val="8"/>
                <w:color w:val="auto"/>
              </w:rPr>
            </w:pPr>
          </w:p>
        </w:tc>
        <w:tc>
          <w:tcPr>
            <w:tcW w:w="2860" w:type="dxa"/>
            <w:vAlign w:val="bottom"/>
            <w:tcBorders>
              <w:top w:val="single" w:sz="8" w:color="D9D9D9"/>
              <w:bottom w:val="single" w:sz="8" w:color="auto"/>
            </w:tcBorders>
            <w:shd w:val="clear" w:color="auto" w:fill="D9D9D9"/>
          </w:tcPr>
          <w:p>
            <w:pPr>
              <w:spacing w:after="0"/>
              <w:rPr>
                <w:sz w:val="8"/>
                <w:szCs w:val="8"/>
                <w:color w:val="auto"/>
              </w:rPr>
            </w:pPr>
          </w:p>
        </w:tc>
        <w:tc>
          <w:tcPr>
            <w:tcW w:w="840" w:type="dxa"/>
            <w:vAlign w:val="bottom"/>
            <w:tcBorders>
              <w:top w:val="single" w:sz="8" w:color="auto"/>
              <w:bottom w:val="single" w:sz="8" w:color="auto"/>
            </w:tcBorders>
            <w:shd w:val="clear" w:color="auto" w:fill="D9D9D9"/>
          </w:tcPr>
          <w:p>
            <w:pPr>
              <w:spacing w:after="0"/>
              <w:rPr>
                <w:sz w:val="8"/>
                <w:szCs w:val="8"/>
                <w:color w:val="auto"/>
              </w:rPr>
            </w:pPr>
          </w:p>
        </w:tc>
        <w:tc>
          <w:tcPr>
            <w:tcW w:w="282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192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204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14</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insurance receivables and bank account claims, to be entered into by Weatherford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Worldwide Holdings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15</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Quota pledge agreement regarding quotas in Weatherford South America GmbH,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entered into by Weatherford Worldwide Holdings GmbH, securing the ABL and LC</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16</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Quota pledge agreement regarding quotas in Weatherford Products GmbH,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entered into by Weatherford Worldwide Holdings GmbH, securing the ABL and LC</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17</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Quota pledge agreement regarding quotas in WOFS Swiss Finance GmbH,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entered into by Weatherford Worldwide Holdings GmbH, securing the ABL and LC</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18</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Quota pledge agreement regarding quotas in Weatherford Switzerland Trading and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Development GmbH, to be entered into by Weatherford Worldwide Holdings GmbH,</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19</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Quota pledge agreement regarding quotas in Weatherford Management Company</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 Sàrl, to be entered into by Weatherford Worldwide Holdings GmbH,</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20</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Quota pledge agreement regarding quotas in WOFS International Finance GmbH,</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to be entered into by Weatherford Worldwide Holdings (Switzerland) GmbH,</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Quota pledge agreement regarding quotas in Weatherford Holdings (Switzerland)</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GmbH, to be entered into by Weatherford Worldwide Holdings GmbH, securing</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22</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insurance receivables and bank account claims, to be entered into by WOFS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International Finance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23</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insurance receivables and bank account claims, to be entered into by WOFS Swiss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Finance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1091" w:name="page1092"/>
    <w:bookmarkEnd w:id="10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2860" w:type="dxa"/>
            <w:vAlign w:val="bottom"/>
            <w:tcBorders>
              <w:top w:val="single" w:sz="8" w:color="auto"/>
            </w:tcBorders>
            <w:shd w:val="clear" w:color="auto" w:fill="D9D9D9"/>
          </w:tcPr>
          <w:p>
            <w:pPr>
              <w:spacing w:after="0"/>
              <w:rPr>
                <w:sz w:val="18"/>
                <w:szCs w:val="18"/>
                <w:color w:val="auto"/>
              </w:rPr>
            </w:pPr>
          </w:p>
        </w:tc>
        <w:tc>
          <w:tcPr>
            <w:tcW w:w="3660" w:type="dxa"/>
            <w:vAlign w:val="bottom"/>
            <w:tcBorders>
              <w:top w:val="single" w:sz="8" w:color="auto"/>
              <w:right w:val="single" w:sz="8" w:color="auto"/>
            </w:tcBorders>
            <w:gridSpan w:val="2"/>
            <w:vMerge w:val="restart"/>
            <w:shd w:val="clear" w:color="auto" w:fill="D9D9D9"/>
          </w:tcPr>
          <w:p>
            <w:pPr>
              <w:spacing w:after="0"/>
              <w:rPr>
                <w:sz w:val="20"/>
                <w:szCs w:val="20"/>
                <w:color w:val="auto"/>
              </w:rPr>
            </w:pPr>
            <w:r>
              <w:rPr>
                <w:rFonts w:ascii="Arial" w:cs="Arial" w:eastAsia="Arial" w:hAnsi="Arial"/>
                <w:sz w:val="18"/>
                <w:szCs w:val="18"/>
                <w:b w:val="1"/>
                <w:bCs w:val="1"/>
                <w:color w:val="auto"/>
              </w:rPr>
              <w:t>Agreement</w:t>
            </w:r>
          </w:p>
        </w:tc>
        <w:tc>
          <w:tcPr>
            <w:tcW w:w="1920" w:type="dxa"/>
            <w:vAlign w:val="bottom"/>
            <w:tcBorders>
              <w:top w:val="single" w:sz="8" w:color="auto"/>
              <w:right w:val="single" w:sz="8" w:color="auto"/>
            </w:tcBorders>
            <w:gridSpan w:val="3"/>
            <w:shd w:val="clear" w:color="auto" w:fill="D9D9D9"/>
          </w:tcPr>
          <w:p>
            <w:pPr>
              <w:ind w:left="400"/>
              <w:spacing w:after="0"/>
              <w:rPr>
                <w:sz w:val="20"/>
                <w:szCs w:val="20"/>
                <w:color w:val="auto"/>
              </w:rPr>
            </w:pPr>
            <w:r>
              <w:rPr>
                <w:rFonts w:ascii="Arial" w:cs="Arial" w:eastAsia="Arial" w:hAnsi="Arial"/>
                <w:sz w:val="18"/>
                <w:szCs w:val="18"/>
                <w:b w:val="1"/>
                <w:bCs w:val="1"/>
                <w:color w:val="auto"/>
              </w:rPr>
              <w:t>Jurisdiction of</w:t>
            </w:r>
          </w:p>
        </w:tc>
        <w:tc>
          <w:tcPr>
            <w:tcW w:w="2040" w:type="dxa"/>
            <w:vAlign w:val="bottom"/>
            <w:tcBorders>
              <w:top w:val="single" w:sz="8" w:color="auto"/>
              <w:right w:val="single" w:sz="8" w:color="auto"/>
            </w:tcBorders>
            <w:gridSpan w:val="3"/>
            <w:shd w:val="clear" w:color="auto" w:fill="D9D9D9"/>
          </w:tcPr>
          <w:p>
            <w:pPr>
              <w:ind w:left="46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113"/>
        </w:trPr>
        <w:tc>
          <w:tcPr>
            <w:tcW w:w="940" w:type="dxa"/>
            <w:vAlign w:val="bottom"/>
            <w:tcBorders>
              <w:left w:val="single" w:sz="8" w:color="auto"/>
              <w:right w:val="single" w:sz="8" w:color="auto"/>
            </w:tcBorders>
            <w:shd w:val="clear" w:color="auto" w:fill="D9D9D9"/>
          </w:tcPr>
          <w:p>
            <w:pPr>
              <w:spacing w:after="0"/>
              <w:rPr>
                <w:sz w:val="9"/>
                <w:szCs w:val="9"/>
                <w:color w:val="auto"/>
              </w:rPr>
            </w:pPr>
          </w:p>
        </w:tc>
        <w:tc>
          <w:tcPr>
            <w:tcW w:w="2860" w:type="dxa"/>
            <w:vAlign w:val="bottom"/>
            <w:shd w:val="clear" w:color="auto" w:fill="D9D9D9"/>
          </w:tcPr>
          <w:p>
            <w:pPr>
              <w:spacing w:after="0"/>
              <w:rPr>
                <w:sz w:val="9"/>
                <w:szCs w:val="9"/>
                <w:color w:val="auto"/>
              </w:rPr>
            </w:pPr>
          </w:p>
        </w:tc>
        <w:tc>
          <w:tcPr>
            <w:tcW w:w="3660" w:type="dxa"/>
            <w:vAlign w:val="bottom"/>
            <w:tcBorders>
              <w:right w:val="single" w:sz="8" w:color="auto"/>
            </w:tcBorders>
            <w:gridSpan w:val="2"/>
            <w:vMerge w:val="continue"/>
            <w:shd w:val="clear" w:color="auto" w:fill="D9D9D9"/>
          </w:tcPr>
          <w:p>
            <w:pPr>
              <w:spacing w:after="0"/>
              <w:rPr>
                <w:sz w:val="9"/>
                <w:szCs w:val="9"/>
                <w:color w:val="auto"/>
              </w:rPr>
            </w:pPr>
          </w:p>
        </w:tc>
        <w:tc>
          <w:tcPr>
            <w:tcW w:w="1920" w:type="dxa"/>
            <w:vAlign w:val="bottom"/>
            <w:tcBorders>
              <w:right w:val="single" w:sz="8" w:color="auto"/>
            </w:tcBorders>
            <w:gridSpan w:val="3"/>
            <w:vMerge w:val="restart"/>
            <w:shd w:val="clear" w:color="auto" w:fill="D9D9D9"/>
          </w:tcPr>
          <w:p>
            <w:pPr>
              <w:ind w:left="540"/>
              <w:spacing w:after="0" w:line="194" w:lineRule="exact"/>
              <w:rPr>
                <w:sz w:val="20"/>
                <w:szCs w:val="20"/>
                <w:color w:val="auto"/>
              </w:rPr>
            </w:pPr>
            <w:r>
              <w:rPr>
                <w:rFonts w:ascii="Arial" w:cs="Arial" w:eastAsia="Arial" w:hAnsi="Arial"/>
                <w:sz w:val="18"/>
                <w:szCs w:val="18"/>
                <w:b w:val="1"/>
                <w:bCs w:val="1"/>
                <w:color w:val="auto"/>
              </w:rPr>
              <w:t>Guarantor</w:t>
            </w:r>
          </w:p>
        </w:tc>
        <w:tc>
          <w:tcPr>
            <w:tcW w:w="2040" w:type="dxa"/>
            <w:vAlign w:val="bottom"/>
            <w:tcBorders>
              <w:right w:val="single" w:sz="8" w:color="auto"/>
            </w:tcBorders>
            <w:gridSpan w:val="3"/>
            <w:vMerge w:val="restart"/>
            <w:shd w:val="clear" w:color="auto" w:fill="D9D9D9"/>
          </w:tcPr>
          <w:p>
            <w:pPr>
              <w:ind w:left="620"/>
              <w:spacing w:after="0" w:line="194" w:lineRule="exact"/>
              <w:rPr>
                <w:sz w:val="20"/>
                <w:szCs w:val="20"/>
                <w:color w:val="auto"/>
              </w:rPr>
            </w:pPr>
            <w:r>
              <w:rPr>
                <w:rFonts w:ascii="Arial" w:cs="Arial" w:eastAsia="Arial" w:hAnsi="Arial"/>
                <w:sz w:val="18"/>
                <w:szCs w:val="18"/>
                <w:b w:val="1"/>
                <w:bCs w:val="1"/>
                <w:color w:val="auto"/>
              </w:rPr>
              <w:t>Collateral</w:t>
            </w:r>
          </w:p>
        </w:tc>
        <w:tc>
          <w:tcPr>
            <w:tcW w:w="0" w:type="dxa"/>
            <w:vAlign w:val="bottom"/>
          </w:tcPr>
          <w:p>
            <w:pPr>
              <w:spacing w:after="0"/>
              <w:rPr>
                <w:sz w:val="1"/>
                <w:szCs w:val="1"/>
                <w:color w:val="auto"/>
              </w:rPr>
            </w:pPr>
          </w:p>
        </w:tc>
      </w:tr>
      <w:tr>
        <w:trPr>
          <w:trHeight w:val="102"/>
        </w:trPr>
        <w:tc>
          <w:tcPr>
            <w:tcW w:w="940" w:type="dxa"/>
            <w:vAlign w:val="bottom"/>
            <w:tcBorders>
              <w:top w:val="single" w:sz="8" w:color="D9D9D9"/>
              <w:left w:val="single" w:sz="8" w:color="auto"/>
              <w:bottom w:val="single" w:sz="8" w:color="auto"/>
              <w:right w:val="single" w:sz="8" w:color="auto"/>
            </w:tcBorders>
            <w:shd w:val="clear" w:color="auto" w:fill="D9D9D9"/>
          </w:tcPr>
          <w:p>
            <w:pPr>
              <w:spacing w:after="0"/>
              <w:rPr>
                <w:sz w:val="8"/>
                <w:szCs w:val="8"/>
                <w:color w:val="auto"/>
              </w:rPr>
            </w:pPr>
          </w:p>
        </w:tc>
        <w:tc>
          <w:tcPr>
            <w:tcW w:w="2860" w:type="dxa"/>
            <w:vAlign w:val="bottom"/>
            <w:tcBorders>
              <w:top w:val="single" w:sz="8" w:color="D9D9D9"/>
              <w:bottom w:val="single" w:sz="8" w:color="auto"/>
            </w:tcBorders>
            <w:shd w:val="clear" w:color="auto" w:fill="D9D9D9"/>
          </w:tcPr>
          <w:p>
            <w:pPr>
              <w:spacing w:after="0"/>
              <w:rPr>
                <w:sz w:val="8"/>
                <w:szCs w:val="8"/>
                <w:color w:val="auto"/>
              </w:rPr>
            </w:pPr>
          </w:p>
        </w:tc>
        <w:tc>
          <w:tcPr>
            <w:tcW w:w="840" w:type="dxa"/>
            <w:vAlign w:val="bottom"/>
            <w:tcBorders>
              <w:top w:val="single" w:sz="8" w:color="auto"/>
              <w:bottom w:val="single" w:sz="8" w:color="auto"/>
            </w:tcBorders>
            <w:shd w:val="clear" w:color="auto" w:fill="D9D9D9"/>
          </w:tcPr>
          <w:p>
            <w:pPr>
              <w:spacing w:after="0"/>
              <w:rPr>
                <w:sz w:val="8"/>
                <w:szCs w:val="8"/>
                <w:color w:val="auto"/>
              </w:rPr>
            </w:pPr>
          </w:p>
        </w:tc>
        <w:tc>
          <w:tcPr>
            <w:tcW w:w="282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192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204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24</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Security assignment agreement regarding trade receivables, intra-group receivables,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insurance receivables and bank account claims, to be entered into by Weatherford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Holdings (Switzerland)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25</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entered into by Weatherford Holdings (Switzerland) GmbH, securing the ABL and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26</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entered into by Weatherford Management Company Switzerland Sàrl, securing the</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27</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entered into by Weatherford Products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entered into by Weatherford Switzerland Trading and Development GmbH, securing</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29</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entered into by Weatherford Worldwide Holdings GmbH, securing the ABL and LC</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30</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entered into by WOFS International Finance GmbH, securing the ABL and LC</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31</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9"/>
              </w:rPr>
              <w:t>IP pledge agreement regarding existing and future IP rights in Switzerland, to be</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entered into by WOFS Swiss Finance 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32</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Pledge agreements regarding Rental Tools, to be entered into by Weatherford Products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 US</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GmbH,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33</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IP pledge agreement regarding certain IP rights in Switzerland, to be entered into by</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US</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Weatherford Technology Holdings, LLC,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34</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IP pledge agreement regarding certain IP rights in Switzerland, to be entered into</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US</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by Visual Systems, Inc.,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2" w:right="239" w:bottom="1440" w:gutter="0" w:footer="0" w:header="0"/>
        </w:sectPr>
      </w:pPr>
    </w:p>
    <w:bookmarkStart w:id="1092" w:name="page1093"/>
    <w:bookmarkEnd w:id="10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2860" w:type="dxa"/>
            <w:vAlign w:val="bottom"/>
            <w:tcBorders>
              <w:top w:val="single" w:sz="8" w:color="auto"/>
            </w:tcBorders>
            <w:shd w:val="clear" w:color="auto" w:fill="D9D9D9"/>
          </w:tcPr>
          <w:p>
            <w:pPr>
              <w:spacing w:after="0"/>
              <w:rPr>
                <w:sz w:val="18"/>
                <w:szCs w:val="18"/>
                <w:color w:val="auto"/>
              </w:rPr>
            </w:pPr>
          </w:p>
        </w:tc>
        <w:tc>
          <w:tcPr>
            <w:tcW w:w="3660" w:type="dxa"/>
            <w:vAlign w:val="bottom"/>
            <w:tcBorders>
              <w:top w:val="single" w:sz="8" w:color="auto"/>
              <w:right w:val="single" w:sz="8" w:color="auto"/>
            </w:tcBorders>
            <w:gridSpan w:val="2"/>
            <w:vMerge w:val="restart"/>
            <w:shd w:val="clear" w:color="auto" w:fill="D9D9D9"/>
          </w:tcPr>
          <w:p>
            <w:pPr>
              <w:spacing w:after="0"/>
              <w:rPr>
                <w:sz w:val="20"/>
                <w:szCs w:val="20"/>
                <w:color w:val="auto"/>
              </w:rPr>
            </w:pPr>
            <w:r>
              <w:rPr>
                <w:rFonts w:ascii="Arial" w:cs="Arial" w:eastAsia="Arial" w:hAnsi="Arial"/>
                <w:sz w:val="18"/>
                <w:szCs w:val="18"/>
                <w:b w:val="1"/>
                <w:bCs w:val="1"/>
                <w:color w:val="auto"/>
              </w:rPr>
              <w:t>Agreement</w:t>
            </w:r>
          </w:p>
        </w:tc>
        <w:tc>
          <w:tcPr>
            <w:tcW w:w="1920" w:type="dxa"/>
            <w:vAlign w:val="bottom"/>
            <w:tcBorders>
              <w:top w:val="single" w:sz="8" w:color="auto"/>
              <w:right w:val="single" w:sz="8" w:color="auto"/>
            </w:tcBorders>
            <w:gridSpan w:val="3"/>
            <w:shd w:val="clear" w:color="auto" w:fill="D9D9D9"/>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c>
          <w:tcPr>
            <w:tcW w:w="2040" w:type="dxa"/>
            <w:vAlign w:val="bottom"/>
            <w:tcBorders>
              <w:top w:val="single" w:sz="8" w:color="auto"/>
              <w:right w:val="single" w:sz="8" w:color="auto"/>
            </w:tcBorders>
            <w:gridSpan w:val="3"/>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113"/>
        </w:trPr>
        <w:tc>
          <w:tcPr>
            <w:tcW w:w="940" w:type="dxa"/>
            <w:vAlign w:val="bottom"/>
            <w:tcBorders>
              <w:left w:val="single" w:sz="8" w:color="auto"/>
              <w:right w:val="single" w:sz="8" w:color="auto"/>
            </w:tcBorders>
            <w:shd w:val="clear" w:color="auto" w:fill="D9D9D9"/>
          </w:tcPr>
          <w:p>
            <w:pPr>
              <w:spacing w:after="0"/>
              <w:rPr>
                <w:sz w:val="9"/>
                <w:szCs w:val="9"/>
                <w:color w:val="auto"/>
              </w:rPr>
            </w:pPr>
          </w:p>
        </w:tc>
        <w:tc>
          <w:tcPr>
            <w:tcW w:w="2860" w:type="dxa"/>
            <w:vAlign w:val="bottom"/>
            <w:shd w:val="clear" w:color="auto" w:fill="D9D9D9"/>
          </w:tcPr>
          <w:p>
            <w:pPr>
              <w:spacing w:after="0"/>
              <w:rPr>
                <w:sz w:val="9"/>
                <w:szCs w:val="9"/>
                <w:color w:val="auto"/>
              </w:rPr>
            </w:pPr>
          </w:p>
        </w:tc>
        <w:tc>
          <w:tcPr>
            <w:tcW w:w="3660" w:type="dxa"/>
            <w:vAlign w:val="bottom"/>
            <w:tcBorders>
              <w:right w:val="single" w:sz="8" w:color="auto"/>
            </w:tcBorders>
            <w:gridSpan w:val="2"/>
            <w:vMerge w:val="continue"/>
            <w:shd w:val="clear" w:color="auto" w:fill="D9D9D9"/>
          </w:tcPr>
          <w:p>
            <w:pPr>
              <w:spacing w:after="0"/>
              <w:rPr>
                <w:sz w:val="9"/>
                <w:szCs w:val="9"/>
                <w:color w:val="auto"/>
              </w:rPr>
            </w:pPr>
          </w:p>
        </w:tc>
        <w:tc>
          <w:tcPr>
            <w:tcW w:w="1920" w:type="dxa"/>
            <w:vAlign w:val="bottom"/>
            <w:tcBorders>
              <w:right w:val="single" w:sz="8" w:color="auto"/>
            </w:tcBorders>
            <w:gridSpan w:val="3"/>
            <w:vMerge w:val="restart"/>
            <w:shd w:val="clear" w:color="auto" w:fill="D9D9D9"/>
          </w:tcPr>
          <w:p>
            <w:pPr>
              <w:jc w:val="center"/>
              <w:ind w:right="20"/>
              <w:spacing w:after="0" w:line="194" w:lineRule="exact"/>
              <w:rPr>
                <w:sz w:val="20"/>
                <w:szCs w:val="20"/>
                <w:color w:val="auto"/>
              </w:rPr>
            </w:pPr>
            <w:r>
              <w:rPr>
                <w:rFonts w:ascii="Arial" w:cs="Arial" w:eastAsia="Arial" w:hAnsi="Arial"/>
                <w:sz w:val="18"/>
                <w:szCs w:val="18"/>
                <w:b w:val="1"/>
                <w:bCs w:val="1"/>
                <w:color w:val="auto"/>
                <w:w w:val="94"/>
              </w:rPr>
              <w:t>Guarantor</w:t>
            </w:r>
          </w:p>
        </w:tc>
        <w:tc>
          <w:tcPr>
            <w:tcW w:w="2040" w:type="dxa"/>
            <w:vAlign w:val="bottom"/>
            <w:tcBorders>
              <w:right w:val="single" w:sz="8" w:color="auto"/>
            </w:tcBorders>
            <w:gridSpan w:val="3"/>
            <w:vMerge w:val="restart"/>
            <w:shd w:val="clear" w:color="auto" w:fill="D9D9D9"/>
          </w:tcPr>
          <w:p>
            <w:pPr>
              <w:jc w:val="center"/>
              <w:ind w:right="20"/>
              <w:spacing w:after="0" w:line="194" w:lineRule="exact"/>
              <w:rPr>
                <w:sz w:val="20"/>
                <w:szCs w:val="20"/>
                <w:color w:val="auto"/>
              </w:rPr>
            </w:pPr>
            <w:r>
              <w:rPr>
                <w:rFonts w:ascii="Arial" w:cs="Arial" w:eastAsia="Arial" w:hAnsi="Arial"/>
                <w:sz w:val="18"/>
                <w:szCs w:val="18"/>
                <w:b w:val="1"/>
                <w:bCs w:val="1"/>
                <w:color w:val="auto"/>
                <w:w w:val="95"/>
              </w:rPr>
              <w:t>Collateral</w:t>
            </w:r>
          </w:p>
        </w:tc>
        <w:tc>
          <w:tcPr>
            <w:tcW w:w="0" w:type="dxa"/>
            <w:vAlign w:val="bottom"/>
          </w:tcPr>
          <w:p>
            <w:pPr>
              <w:spacing w:after="0"/>
              <w:rPr>
                <w:sz w:val="1"/>
                <w:szCs w:val="1"/>
                <w:color w:val="auto"/>
              </w:rPr>
            </w:pPr>
          </w:p>
        </w:tc>
      </w:tr>
      <w:tr>
        <w:trPr>
          <w:trHeight w:val="102"/>
        </w:trPr>
        <w:tc>
          <w:tcPr>
            <w:tcW w:w="940" w:type="dxa"/>
            <w:vAlign w:val="bottom"/>
            <w:tcBorders>
              <w:top w:val="single" w:sz="8" w:color="D9D9D9"/>
              <w:left w:val="single" w:sz="8" w:color="auto"/>
              <w:bottom w:val="single" w:sz="8" w:color="auto"/>
              <w:right w:val="single" w:sz="8" w:color="auto"/>
            </w:tcBorders>
            <w:shd w:val="clear" w:color="auto" w:fill="D9D9D9"/>
          </w:tcPr>
          <w:p>
            <w:pPr>
              <w:spacing w:after="0"/>
              <w:rPr>
                <w:sz w:val="8"/>
                <w:szCs w:val="8"/>
                <w:color w:val="auto"/>
              </w:rPr>
            </w:pPr>
          </w:p>
        </w:tc>
        <w:tc>
          <w:tcPr>
            <w:tcW w:w="2860" w:type="dxa"/>
            <w:vAlign w:val="bottom"/>
            <w:tcBorders>
              <w:top w:val="single" w:sz="8" w:color="D9D9D9"/>
              <w:bottom w:val="single" w:sz="8" w:color="auto"/>
            </w:tcBorders>
            <w:shd w:val="clear" w:color="auto" w:fill="D9D9D9"/>
          </w:tcPr>
          <w:p>
            <w:pPr>
              <w:spacing w:after="0"/>
              <w:rPr>
                <w:sz w:val="8"/>
                <w:szCs w:val="8"/>
                <w:color w:val="auto"/>
              </w:rPr>
            </w:pPr>
          </w:p>
        </w:tc>
        <w:tc>
          <w:tcPr>
            <w:tcW w:w="840" w:type="dxa"/>
            <w:vAlign w:val="bottom"/>
            <w:tcBorders>
              <w:top w:val="single" w:sz="8" w:color="auto"/>
              <w:bottom w:val="single" w:sz="8" w:color="auto"/>
            </w:tcBorders>
            <w:shd w:val="clear" w:color="auto" w:fill="D9D9D9"/>
          </w:tcPr>
          <w:p>
            <w:pPr>
              <w:spacing w:after="0"/>
              <w:rPr>
                <w:sz w:val="8"/>
                <w:szCs w:val="8"/>
                <w:color w:val="auto"/>
              </w:rPr>
            </w:pPr>
          </w:p>
        </w:tc>
        <w:tc>
          <w:tcPr>
            <w:tcW w:w="282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192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2040" w:type="dxa"/>
            <w:vAlign w:val="bottom"/>
            <w:tcBorders>
              <w:top w:val="single" w:sz="8" w:color="D9D9D9"/>
              <w:bottom w:val="single" w:sz="8" w:color="auto"/>
              <w:right w:val="single" w:sz="8" w:color="auto"/>
            </w:tcBorders>
            <w:gridSpan w:val="3"/>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35</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IP pledge agreement regarding certain IP rights in Switzerland, to be entered into by</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US</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Weatherford U.S., L.P., securing the ABL and LC Facility</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36</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Scots law share pledge to be executed by Weatherford Bermuda Holdings Ltd. over its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shares in Weatherford Holdings U.K. Ltd.</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37</w:t>
            </w:r>
          </w:p>
        </w:tc>
        <w:tc>
          <w:tcPr>
            <w:tcW w:w="6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Scots law share pledge to be executed by Weatherford European Holdings</w:t>
            </w:r>
          </w:p>
        </w:tc>
        <w:tc>
          <w:tcPr>
            <w:tcW w:w="1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Luxembourg</w:t>
            </w:r>
          </w:p>
        </w:tc>
        <w:tc>
          <w:tcPr>
            <w:tcW w:w="20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(Luxembourg) S.a.r.l. over its shares in BBL Downhole Tools Limited</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93" w:name="page1094"/>
    <w:bookmarkEnd w:id="1093"/>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6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December 13,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REORGANIZED),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094" w:name="page1095"/>
    <w:bookmarkEnd w:id="1094"/>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7340" w:type="dxa"/>
            <w:vAlign w:val="bottom"/>
          </w:tcPr>
          <w:p>
            <w:pPr>
              <w:ind w:left="3140"/>
              <w:spacing w:after="0"/>
              <w:rPr>
                <w:sz w:val="20"/>
                <w:szCs w:val="20"/>
                <w:color w:val="auto"/>
              </w:rPr>
            </w:pPr>
            <w:r>
              <w:rPr>
                <w:rFonts w:ascii="Arial" w:cs="Arial" w:eastAsia="Arial" w:hAnsi="Arial"/>
                <w:sz w:val="18"/>
                <w:szCs w:val="18"/>
                <w:color w:val="auto"/>
              </w:rPr>
              <w:t>TABLE OF CONTENTS</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8"/>
        </w:trPr>
        <w:tc>
          <w:tcPr>
            <w:tcW w:w="16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38"/>
        </w:trPr>
        <w:tc>
          <w:tcPr>
            <w:tcW w:w="1660" w:type="dxa"/>
            <w:vAlign w:val="bottom"/>
          </w:tcPr>
          <w:p>
            <w:pPr>
              <w:spacing w:after="0"/>
              <w:rPr>
                <w:sz w:val="20"/>
                <w:szCs w:val="20"/>
                <w:color w:val="auto"/>
              </w:rPr>
            </w:pPr>
            <w:r>
              <w:rPr>
                <w:rFonts w:ascii="Arial" w:cs="Arial" w:eastAsia="Arial" w:hAnsi="Arial"/>
                <w:sz w:val="18"/>
                <w:szCs w:val="18"/>
                <w:color w:val="auto"/>
              </w:rPr>
              <w:t>Article 1 Definitions</w:t>
            </w:r>
          </w:p>
        </w:tc>
        <w:tc>
          <w:tcPr>
            <w:tcW w:w="7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660" w:type="dxa"/>
            <w:vAlign w:val="bottom"/>
          </w:tcPr>
          <w:p>
            <w:pPr>
              <w:ind w:left="580"/>
              <w:spacing w:after="0"/>
              <w:rPr>
                <w:sz w:val="20"/>
                <w:szCs w:val="20"/>
                <w:color w:val="auto"/>
              </w:rPr>
            </w:pPr>
            <w:r>
              <w:rPr>
                <w:rFonts w:ascii="Arial" w:cs="Arial" w:eastAsia="Arial" w:hAnsi="Arial"/>
                <w:sz w:val="18"/>
                <w:szCs w:val="18"/>
                <w:color w:val="auto"/>
              </w:rPr>
              <w:t>Section 1.01</w:t>
            </w:r>
          </w:p>
        </w:tc>
        <w:tc>
          <w:tcPr>
            <w:tcW w:w="734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2 Issuance, Execution and Transfer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2.01   Issuance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2.02   Execution and Authentication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2.03   Registration, Transfer, Exchange and Substitution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2.04   Form of Global Warrant Certificate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2.05   Cancellation of Global Warrant Certificate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2.06   Restrictions on Transfer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3 Exercise and Settlement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3.01   Exercise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3.02   Procedure for Exercise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3.03   Settlement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3.04   Delivery of Ordinary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3.05   No Fractional Warrants or of an Ordinary Shares to Be Issued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3.06   Obligations of the Warrant Agent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3.07   Validity of Exercise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3.08   Direction of Warrant Agent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w w:val="96"/>
              </w:rPr>
              <w:t>Article 4 Adjustments</w:t>
            </w:r>
          </w:p>
        </w:tc>
        <w:tc>
          <w:tcPr>
            <w:tcW w:w="734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4.01   Adjustment to 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4.02   Adjustments to Number of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4.03   Stockholder Rights Plans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4.04   Restrictions on Adjustments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4.05   Ordinary Shares Outstanding; Shares Reserved for Issuance on Exercise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60" w:type="dxa"/>
            <w:vAlign w:val="bottom"/>
          </w:tcPr>
          <w:p>
            <w:pPr>
              <w:ind w:left="580"/>
              <w:spacing w:after="0"/>
              <w:rPr>
                <w:sz w:val="20"/>
                <w:szCs w:val="20"/>
                <w:color w:val="auto"/>
              </w:rPr>
            </w:pPr>
            <w:r>
              <w:rPr>
                <w:rFonts w:ascii="Arial" w:cs="Arial" w:eastAsia="Arial" w:hAnsi="Arial"/>
                <w:sz w:val="18"/>
                <w:szCs w:val="18"/>
                <w:color w:val="auto"/>
              </w:rPr>
              <w:t>Section 4.06</w:t>
            </w:r>
          </w:p>
        </w:tc>
        <w:tc>
          <w:tcPr>
            <w:tcW w:w="7340" w:type="dxa"/>
            <w:vAlign w:val="bottom"/>
          </w:tcPr>
          <w:p>
            <w:pPr>
              <w:ind w:left="60"/>
              <w:spacing w:after="0"/>
              <w:rPr>
                <w:sz w:val="20"/>
                <w:szCs w:val="20"/>
                <w:color w:val="auto"/>
              </w:rPr>
            </w:pPr>
            <w:r>
              <w:rPr>
                <w:rFonts w:ascii="Arial" w:cs="Arial" w:eastAsia="Arial" w:hAnsi="Arial"/>
                <w:sz w:val="18"/>
                <w:szCs w:val="18"/>
                <w:color w:val="auto"/>
              </w:rPr>
              <w:t>Calculations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4.07   Notice of Adjustments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4.08   Warrant Agent Not Responsible for Adjustments or Validity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4.09   Statements on Warrants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4.10   Effect of Adjustment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5 Other Provisions Relating to Rights of Global Warrant Holder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5.01   No Rights as Stockholders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5.02   Mutilated or Missing Warrant Certificates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5.03   Modification, Waiver and Meetings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Section 5.04   Notices of Record Date, etc.</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5" w:name="page1096"/>
    <w:bookmarkEnd w:id="1095"/>
    <w:tbl>
      <w:tblPr>
        <w:tblLayout w:type="fixed"/>
        <w:tblInd w:w="0" w:type="dxa"/>
        <w:tblCellMar>
          <w:top w:w="0" w:type="dxa"/>
          <w:left w:w="0" w:type="dxa"/>
          <w:bottom w:w="0" w:type="dxa"/>
          <w:right w:w="0" w:type="dxa"/>
        </w:tblCellMar>
      </w:tblP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Article 6 Concerning the Warrant Agent and Other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6.01</w:t>
            </w:r>
          </w:p>
        </w:tc>
        <w:tc>
          <w:tcPr>
            <w:tcW w:w="7320" w:type="dxa"/>
            <w:vAlign w:val="bottom"/>
          </w:tcPr>
          <w:p>
            <w:pPr>
              <w:ind w:left="120"/>
              <w:spacing w:after="0"/>
              <w:rPr>
                <w:sz w:val="20"/>
                <w:szCs w:val="20"/>
                <w:color w:val="auto"/>
              </w:rPr>
            </w:pPr>
            <w:r>
              <w:rPr>
                <w:rFonts w:ascii="Arial" w:cs="Arial" w:eastAsia="Arial" w:hAnsi="Arial"/>
                <w:sz w:val="18"/>
                <w:szCs w:val="18"/>
                <w:color w:val="auto"/>
              </w:rPr>
              <w:t>Payment of Certain Taxes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6.02</w:t>
            </w:r>
          </w:p>
        </w:tc>
        <w:tc>
          <w:tcPr>
            <w:tcW w:w="7320" w:type="dxa"/>
            <w:vAlign w:val="bottom"/>
          </w:tcPr>
          <w:p>
            <w:pPr>
              <w:ind w:left="120"/>
              <w:spacing w:after="0"/>
              <w:rPr>
                <w:sz w:val="20"/>
                <w:szCs w:val="20"/>
                <w:color w:val="auto"/>
              </w:rPr>
            </w:pPr>
            <w:r>
              <w:rPr>
                <w:rFonts w:ascii="Arial" w:cs="Arial" w:eastAsia="Arial" w:hAnsi="Arial"/>
                <w:sz w:val="18"/>
                <w:szCs w:val="18"/>
                <w:color w:val="auto"/>
              </w:rPr>
              <w:t>Certain Tax Filings</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6.03</w:t>
            </w:r>
          </w:p>
        </w:tc>
        <w:tc>
          <w:tcPr>
            <w:tcW w:w="7320" w:type="dxa"/>
            <w:vAlign w:val="bottom"/>
          </w:tcPr>
          <w:p>
            <w:pPr>
              <w:ind w:left="120"/>
              <w:spacing w:after="0"/>
              <w:rPr>
                <w:sz w:val="20"/>
                <w:szCs w:val="20"/>
                <w:color w:val="auto"/>
              </w:rPr>
            </w:pPr>
            <w:r>
              <w:rPr>
                <w:rFonts w:ascii="Arial" w:cs="Arial" w:eastAsia="Arial" w:hAnsi="Arial"/>
                <w:sz w:val="18"/>
                <w:szCs w:val="18"/>
                <w:color w:val="auto"/>
              </w:rPr>
              <w:t>Change of Warrant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6.04</w:t>
            </w:r>
          </w:p>
        </w:tc>
        <w:tc>
          <w:tcPr>
            <w:tcW w:w="7320" w:type="dxa"/>
            <w:vAlign w:val="bottom"/>
          </w:tcPr>
          <w:p>
            <w:pPr>
              <w:ind w:left="120"/>
              <w:spacing w:after="0"/>
              <w:rPr>
                <w:sz w:val="20"/>
                <w:szCs w:val="20"/>
                <w:color w:val="auto"/>
              </w:rPr>
            </w:pPr>
            <w:r>
              <w:rPr>
                <w:rFonts w:ascii="Arial" w:cs="Arial" w:eastAsia="Arial" w:hAnsi="Arial"/>
                <w:sz w:val="18"/>
                <w:szCs w:val="18"/>
                <w:color w:val="auto"/>
              </w:rPr>
              <w:t>Compensation; Further Assurances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6.05</w:t>
            </w:r>
          </w:p>
        </w:tc>
        <w:tc>
          <w:tcPr>
            <w:tcW w:w="7320" w:type="dxa"/>
            <w:vAlign w:val="bottom"/>
          </w:tcPr>
          <w:p>
            <w:pPr>
              <w:ind w:left="120"/>
              <w:spacing w:after="0"/>
              <w:rPr>
                <w:sz w:val="20"/>
                <w:szCs w:val="20"/>
                <w:color w:val="auto"/>
              </w:rPr>
            </w:pPr>
            <w:r>
              <w:rPr>
                <w:rFonts w:ascii="Arial" w:cs="Arial" w:eastAsia="Arial" w:hAnsi="Arial"/>
                <w:sz w:val="18"/>
                <w:szCs w:val="18"/>
                <w:color w:val="auto"/>
              </w:rPr>
              <w:t>Reliance on Counsel</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6.06</w:t>
            </w:r>
          </w:p>
        </w:tc>
        <w:tc>
          <w:tcPr>
            <w:tcW w:w="7320" w:type="dxa"/>
            <w:vAlign w:val="bottom"/>
          </w:tcPr>
          <w:p>
            <w:pPr>
              <w:ind w:left="120"/>
              <w:spacing w:after="0"/>
              <w:rPr>
                <w:sz w:val="20"/>
                <w:szCs w:val="20"/>
                <w:color w:val="auto"/>
              </w:rPr>
            </w:pPr>
            <w:r>
              <w:rPr>
                <w:rFonts w:ascii="Arial" w:cs="Arial" w:eastAsia="Arial" w:hAnsi="Arial"/>
                <w:sz w:val="18"/>
                <w:szCs w:val="18"/>
                <w:color w:val="auto"/>
              </w:rPr>
              <w:t>Proof of Actions Taken</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6.07</w:t>
            </w:r>
          </w:p>
        </w:tc>
        <w:tc>
          <w:tcPr>
            <w:tcW w:w="7320" w:type="dxa"/>
            <w:vAlign w:val="bottom"/>
          </w:tcPr>
          <w:p>
            <w:pPr>
              <w:ind w:left="120"/>
              <w:spacing w:after="0"/>
              <w:rPr>
                <w:sz w:val="20"/>
                <w:szCs w:val="20"/>
                <w:color w:val="auto"/>
              </w:rPr>
            </w:pPr>
            <w:r>
              <w:rPr>
                <w:rFonts w:ascii="Arial" w:cs="Arial" w:eastAsia="Arial" w:hAnsi="Arial"/>
                <w:sz w:val="18"/>
                <w:szCs w:val="18"/>
                <w:color w:val="auto"/>
              </w:rPr>
              <w:t>Correctness of Statements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6.08</w:t>
            </w:r>
          </w:p>
        </w:tc>
        <w:tc>
          <w:tcPr>
            <w:tcW w:w="7320" w:type="dxa"/>
            <w:vAlign w:val="bottom"/>
          </w:tcPr>
          <w:p>
            <w:pPr>
              <w:ind w:left="120"/>
              <w:spacing w:after="0"/>
              <w:rPr>
                <w:sz w:val="20"/>
                <w:szCs w:val="20"/>
                <w:color w:val="auto"/>
              </w:rPr>
            </w:pPr>
            <w:r>
              <w:rPr>
                <w:rFonts w:ascii="Arial" w:cs="Arial" w:eastAsia="Arial" w:hAnsi="Arial"/>
                <w:sz w:val="18"/>
                <w:szCs w:val="18"/>
                <w:color w:val="auto"/>
              </w:rPr>
              <w:t>Validity of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6.09</w:t>
            </w:r>
          </w:p>
        </w:tc>
        <w:tc>
          <w:tcPr>
            <w:tcW w:w="7320" w:type="dxa"/>
            <w:vAlign w:val="bottom"/>
          </w:tcPr>
          <w:p>
            <w:pPr>
              <w:ind w:left="120"/>
              <w:spacing w:after="0"/>
              <w:rPr>
                <w:sz w:val="20"/>
                <w:szCs w:val="20"/>
                <w:color w:val="auto"/>
              </w:rPr>
            </w:pPr>
            <w:r>
              <w:rPr>
                <w:rFonts w:ascii="Arial" w:cs="Arial" w:eastAsia="Arial" w:hAnsi="Arial"/>
                <w:sz w:val="18"/>
                <w:szCs w:val="18"/>
                <w:color w:val="auto"/>
              </w:rPr>
              <w:t>Use of Agents</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6.10</w:t>
            </w:r>
          </w:p>
        </w:tc>
        <w:tc>
          <w:tcPr>
            <w:tcW w:w="7320" w:type="dxa"/>
            <w:vAlign w:val="bottom"/>
          </w:tcPr>
          <w:p>
            <w:pPr>
              <w:ind w:left="120"/>
              <w:spacing w:after="0"/>
              <w:rPr>
                <w:sz w:val="20"/>
                <w:szCs w:val="20"/>
                <w:color w:val="auto"/>
              </w:rPr>
            </w:pPr>
            <w:r>
              <w:rPr>
                <w:rFonts w:ascii="Arial" w:cs="Arial" w:eastAsia="Arial" w:hAnsi="Arial"/>
                <w:sz w:val="18"/>
                <w:szCs w:val="18"/>
                <w:color w:val="auto"/>
              </w:rPr>
              <w:t>Liability of Warrant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6.11</w:t>
            </w:r>
          </w:p>
        </w:tc>
        <w:tc>
          <w:tcPr>
            <w:tcW w:w="732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6.12</w:t>
            </w:r>
          </w:p>
        </w:tc>
        <w:tc>
          <w:tcPr>
            <w:tcW w:w="7320" w:type="dxa"/>
            <w:vAlign w:val="bottom"/>
          </w:tcPr>
          <w:p>
            <w:pPr>
              <w:ind w:left="120"/>
              <w:spacing w:after="0"/>
              <w:rPr>
                <w:sz w:val="20"/>
                <w:szCs w:val="20"/>
                <w:color w:val="auto"/>
              </w:rPr>
            </w:pPr>
            <w:r>
              <w:rPr>
                <w:rFonts w:ascii="Arial" w:cs="Arial" w:eastAsia="Arial" w:hAnsi="Arial"/>
                <w:sz w:val="18"/>
                <w:szCs w:val="18"/>
                <w:color w:val="auto"/>
              </w:rPr>
              <w:t>Actions as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6.13</w:t>
            </w:r>
          </w:p>
        </w:tc>
        <w:tc>
          <w:tcPr>
            <w:tcW w:w="7320" w:type="dxa"/>
            <w:vAlign w:val="bottom"/>
          </w:tcPr>
          <w:p>
            <w:pPr>
              <w:ind w:left="120"/>
              <w:spacing w:after="0"/>
              <w:rPr>
                <w:sz w:val="20"/>
                <w:szCs w:val="20"/>
                <w:color w:val="auto"/>
              </w:rPr>
            </w:pPr>
            <w:r>
              <w:rPr>
                <w:rFonts w:ascii="Arial" w:cs="Arial" w:eastAsia="Arial" w:hAnsi="Arial"/>
                <w:sz w:val="18"/>
                <w:szCs w:val="18"/>
                <w:color w:val="auto"/>
              </w:rPr>
              <w:t>Appointment and Acceptance of Agency</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6.14</w:t>
            </w:r>
          </w:p>
        </w:tc>
        <w:tc>
          <w:tcPr>
            <w:tcW w:w="732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6.15</w:t>
            </w:r>
          </w:p>
        </w:tc>
        <w:tc>
          <w:tcPr>
            <w:tcW w:w="7320" w:type="dxa"/>
            <w:vAlign w:val="bottom"/>
          </w:tcPr>
          <w:p>
            <w:pPr>
              <w:ind w:left="12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6.16</w:t>
            </w:r>
          </w:p>
        </w:tc>
        <w:tc>
          <w:tcPr>
            <w:tcW w:w="7320" w:type="dxa"/>
            <w:vAlign w:val="bottom"/>
          </w:tcPr>
          <w:p>
            <w:pPr>
              <w:ind w:left="120"/>
              <w:spacing w:after="0"/>
              <w:rPr>
                <w:sz w:val="20"/>
                <w:szCs w:val="20"/>
                <w:color w:val="auto"/>
              </w:rPr>
            </w:pPr>
            <w:r>
              <w:rPr>
                <w:rFonts w:ascii="Arial" w:cs="Arial" w:eastAsia="Arial" w:hAnsi="Arial"/>
                <w:sz w:val="18"/>
                <w:szCs w:val="18"/>
                <w:color w:val="auto"/>
              </w:rPr>
              <w:t>Applicable Law; Jurisdiction</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6.17</w:t>
            </w:r>
          </w:p>
        </w:tc>
        <w:tc>
          <w:tcPr>
            <w:tcW w:w="732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6.18</w:t>
            </w:r>
          </w:p>
        </w:tc>
        <w:tc>
          <w:tcPr>
            <w:tcW w:w="7320" w:type="dxa"/>
            <w:vAlign w:val="bottom"/>
          </w:tcPr>
          <w:p>
            <w:pPr>
              <w:ind w:left="120"/>
              <w:spacing w:after="0"/>
              <w:rPr>
                <w:sz w:val="20"/>
                <w:szCs w:val="20"/>
                <w:color w:val="auto"/>
              </w:rPr>
            </w:pPr>
            <w:r>
              <w:rPr>
                <w:rFonts w:ascii="Arial" w:cs="Arial" w:eastAsia="Arial" w:hAnsi="Arial"/>
                <w:sz w:val="18"/>
                <w:szCs w:val="18"/>
                <w:color w:val="auto"/>
              </w:rPr>
              <w:t>Benefit of this Warrant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6.19</w:t>
            </w:r>
          </w:p>
        </w:tc>
        <w:tc>
          <w:tcPr>
            <w:tcW w:w="7320" w:type="dxa"/>
            <w:vAlign w:val="bottom"/>
          </w:tcPr>
          <w:p>
            <w:pPr>
              <w:ind w:left="120"/>
              <w:spacing w:after="0"/>
              <w:rPr>
                <w:sz w:val="20"/>
                <w:szCs w:val="20"/>
                <w:color w:val="auto"/>
              </w:rPr>
            </w:pPr>
            <w:r>
              <w:rPr>
                <w:rFonts w:ascii="Arial" w:cs="Arial" w:eastAsia="Arial" w:hAnsi="Arial"/>
                <w:sz w:val="18"/>
                <w:szCs w:val="18"/>
                <w:color w:val="auto"/>
              </w:rPr>
              <w:t>Registered Global Warrant Holder</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6.20</w:t>
            </w:r>
          </w:p>
        </w:tc>
        <w:tc>
          <w:tcPr>
            <w:tcW w:w="7320" w:type="dxa"/>
            <w:vAlign w:val="bottom"/>
          </w:tcPr>
          <w:p>
            <w:pPr>
              <w:ind w:left="120"/>
              <w:spacing w:after="0"/>
              <w:rPr>
                <w:sz w:val="20"/>
                <w:szCs w:val="20"/>
                <w:color w:val="auto"/>
              </w:rPr>
            </w:pPr>
            <w:r>
              <w:rPr>
                <w:rFonts w:ascii="Arial" w:cs="Arial" w:eastAsia="Arial" w:hAnsi="Arial"/>
                <w:sz w:val="18"/>
                <w:szCs w:val="18"/>
                <w:color w:val="auto"/>
              </w:rPr>
              <w:t>Headings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6.21</w:t>
            </w:r>
          </w:p>
        </w:tc>
        <w:tc>
          <w:tcPr>
            <w:tcW w:w="73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6.22</w:t>
            </w:r>
          </w:p>
        </w:tc>
        <w:tc>
          <w:tcPr>
            <w:tcW w:w="732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6.23</w:t>
            </w:r>
          </w:p>
        </w:tc>
        <w:tc>
          <w:tcPr>
            <w:tcW w:w="73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6.24</w:t>
            </w:r>
          </w:p>
        </w:tc>
        <w:tc>
          <w:tcPr>
            <w:tcW w:w="7320" w:type="dxa"/>
            <w:vAlign w:val="bottom"/>
          </w:tcPr>
          <w:p>
            <w:pPr>
              <w:ind w:left="120"/>
              <w:spacing w:after="0"/>
              <w:rPr>
                <w:sz w:val="20"/>
                <w:szCs w:val="20"/>
                <w:color w:val="auto"/>
              </w:rPr>
            </w:pPr>
            <w:r>
              <w:rPr>
                <w:rFonts w:ascii="Arial" w:cs="Arial" w:eastAsia="Arial" w:hAnsi="Arial"/>
                <w:sz w:val="18"/>
                <w:szCs w:val="18"/>
                <w:color w:val="auto"/>
              </w:rPr>
              <w:t>Damages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6.25</w:t>
            </w:r>
          </w:p>
        </w:tc>
        <w:tc>
          <w:tcPr>
            <w:tcW w:w="7320" w:type="dxa"/>
            <w:vAlign w:val="bottom"/>
          </w:tcPr>
          <w:p>
            <w:pPr>
              <w:ind w:left="120"/>
              <w:spacing w:after="0"/>
              <w:rPr>
                <w:sz w:val="20"/>
                <w:szCs w:val="20"/>
                <w:color w:val="auto"/>
              </w:rPr>
            </w:pPr>
            <w:r>
              <w:rPr>
                <w:rFonts w:ascii="Arial" w:cs="Arial" w:eastAsia="Arial" w:hAnsi="Arial"/>
                <w:sz w:val="18"/>
                <w:szCs w:val="18"/>
                <w:color w:val="auto"/>
              </w:rPr>
              <w:t>Survival</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6.26</w:t>
            </w:r>
          </w:p>
        </w:tc>
        <w:tc>
          <w:tcPr>
            <w:tcW w:w="7320" w:type="dxa"/>
            <w:vAlign w:val="bottom"/>
          </w:tcPr>
          <w:p>
            <w:pPr>
              <w:ind w:left="120"/>
              <w:spacing w:after="0"/>
              <w:rPr>
                <w:sz w:val="20"/>
                <w:szCs w:val="20"/>
                <w:color w:val="auto"/>
              </w:rPr>
            </w:pPr>
            <w:r>
              <w:rPr>
                <w:rFonts w:ascii="Arial" w:cs="Arial" w:eastAsia="Arial" w:hAnsi="Arial"/>
                <w:sz w:val="18"/>
                <w:szCs w:val="18"/>
                <w:color w:val="auto"/>
              </w:rPr>
              <w:t>Confidential Information</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00" w:type="dxa"/>
            <w:vAlign w:val="bottom"/>
          </w:tcPr>
          <w:p>
            <w:pPr>
              <w:ind w:left="580"/>
              <w:spacing w:after="0"/>
              <w:rPr>
                <w:sz w:val="20"/>
                <w:szCs w:val="20"/>
                <w:color w:val="auto"/>
              </w:rPr>
            </w:pPr>
            <w:r>
              <w:rPr>
                <w:rFonts w:ascii="Arial" w:cs="Arial" w:eastAsia="Arial" w:hAnsi="Arial"/>
                <w:sz w:val="18"/>
                <w:szCs w:val="18"/>
                <w:color w:val="auto"/>
                <w:w w:val="99"/>
              </w:rPr>
              <w:t>Section 6.27</w:t>
            </w:r>
          </w:p>
        </w:tc>
        <w:tc>
          <w:tcPr>
            <w:tcW w:w="732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SCHEDULE A</w:t>
            </w:r>
          </w:p>
        </w:tc>
        <w:tc>
          <w:tcPr>
            <w:tcW w:w="7320" w:type="dxa"/>
            <w:vAlign w:val="bottom"/>
          </w:tcPr>
          <w:p>
            <w:pPr>
              <w:ind w:left="120"/>
              <w:spacing w:after="0"/>
              <w:rPr>
                <w:sz w:val="20"/>
                <w:szCs w:val="20"/>
                <w:color w:val="auto"/>
              </w:rPr>
            </w:pPr>
            <w:r>
              <w:rPr>
                <w:rFonts w:ascii="Arial" w:cs="Arial" w:eastAsia="Arial" w:hAnsi="Arial"/>
                <w:sz w:val="18"/>
                <w:szCs w:val="18"/>
                <w:color w:val="auto"/>
              </w:rPr>
              <w:t>SCHEDULE OF INCREASES OR DECREASES IN WARRANTS</w:t>
            </w:r>
          </w:p>
        </w:tc>
        <w:tc>
          <w:tcPr>
            <w:tcW w:w="2500" w:type="dxa"/>
            <w:vAlign w:val="bottom"/>
          </w:tcPr>
          <w:p>
            <w:pPr>
              <w:spacing w:after="0"/>
              <w:rPr>
                <w:sz w:val="24"/>
                <w:szCs w:val="24"/>
                <w:color w:val="auto"/>
              </w:rPr>
            </w:pP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A</w:t>
            </w:r>
          </w:p>
        </w:tc>
        <w:tc>
          <w:tcPr>
            <w:tcW w:w="7320" w:type="dxa"/>
            <w:vAlign w:val="bottom"/>
          </w:tcPr>
          <w:p>
            <w:pPr>
              <w:ind w:left="160"/>
              <w:spacing w:after="0"/>
              <w:rPr>
                <w:sz w:val="20"/>
                <w:szCs w:val="20"/>
                <w:color w:val="auto"/>
              </w:rPr>
            </w:pPr>
            <w:r>
              <w:rPr>
                <w:rFonts w:ascii="Arial" w:cs="Arial" w:eastAsia="Arial" w:hAnsi="Arial"/>
                <w:sz w:val="18"/>
                <w:szCs w:val="18"/>
                <w:color w:val="auto"/>
              </w:rPr>
              <w:t>FORM OF GLOBAL WARRANT CERTIFICATE</w:t>
            </w:r>
          </w:p>
        </w:tc>
        <w:tc>
          <w:tcPr>
            <w:tcW w:w="2500" w:type="dxa"/>
            <w:vAlign w:val="bottom"/>
          </w:tcPr>
          <w:p>
            <w:pPr>
              <w:spacing w:after="0"/>
              <w:rPr>
                <w:sz w:val="24"/>
                <w:szCs w:val="24"/>
                <w:color w:val="auto"/>
              </w:rPr>
            </w:pP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B</w:t>
            </w:r>
          </w:p>
        </w:tc>
        <w:tc>
          <w:tcPr>
            <w:tcW w:w="7320" w:type="dxa"/>
            <w:vAlign w:val="bottom"/>
          </w:tcPr>
          <w:p>
            <w:pPr>
              <w:ind w:left="120"/>
              <w:spacing w:after="0"/>
              <w:rPr>
                <w:sz w:val="20"/>
                <w:szCs w:val="20"/>
                <w:color w:val="auto"/>
              </w:rPr>
            </w:pPr>
            <w:r>
              <w:rPr>
                <w:rFonts w:ascii="Arial" w:cs="Arial" w:eastAsia="Arial" w:hAnsi="Arial"/>
                <w:sz w:val="18"/>
                <w:szCs w:val="18"/>
                <w:color w:val="auto"/>
              </w:rPr>
              <w:t>FORM OF EXERCISE NOTICE</w:t>
            </w:r>
          </w:p>
        </w:tc>
        <w:tc>
          <w:tcPr>
            <w:tcW w:w="2500" w:type="dxa"/>
            <w:vAlign w:val="bottom"/>
          </w:tcPr>
          <w:p>
            <w:pPr>
              <w:spacing w:after="0"/>
              <w:rPr>
                <w:sz w:val="24"/>
                <w:szCs w:val="24"/>
                <w:color w:val="auto"/>
              </w:rPr>
            </w:pP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C</w:t>
            </w:r>
          </w:p>
        </w:tc>
        <w:tc>
          <w:tcPr>
            <w:tcW w:w="7320" w:type="dxa"/>
            <w:vAlign w:val="bottom"/>
          </w:tcPr>
          <w:p>
            <w:pPr>
              <w:ind w:left="160"/>
              <w:spacing w:after="0"/>
              <w:rPr>
                <w:sz w:val="20"/>
                <w:szCs w:val="20"/>
                <w:color w:val="auto"/>
              </w:rPr>
            </w:pPr>
            <w:r>
              <w:rPr>
                <w:rFonts w:ascii="Arial" w:cs="Arial" w:eastAsia="Arial" w:hAnsi="Arial"/>
                <w:sz w:val="18"/>
                <w:szCs w:val="18"/>
                <w:color w:val="auto"/>
              </w:rPr>
              <w:t>WARRANT AGENT FEE SCHEDULE</w:t>
            </w:r>
          </w:p>
        </w:tc>
        <w:tc>
          <w:tcPr>
            <w:tcW w:w="250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96" w:name="page1097"/>
    <w:bookmarkEnd w:id="1096"/>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This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dated as of December 13, 2019 is among Weatherford International plc, an Irish public limited company (the “</w:t>
      </w:r>
      <w:r>
        <w:rPr>
          <w:rFonts w:ascii="Arial" w:cs="Arial" w:eastAsia="Arial" w:hAnsi="Arial"/>
          <w:sz w:val="16"/>
          <w:szCs w:val="16"/>
          <w:b w:val="1"/>
          <w:bCs w:val="1"/>
          <w:color w:val="auto"/>
        </w:rPr>
        <w:t>Company</w:t>
      </w:r>
      <w:r>
        <w:rPr>
          <w:rFonts w:ascii="Arial" w:cs="Arial" w:eastAsia="Arial" w:hAnsi="Arial"/>
          <w:sz w:val="16"/>
          <w:szCs w:val="16"/>
          <w:color w:val="auto"/>
        </w:rPr>
        <w:t>”) and American Stock Transfer &amp; Trust Company, LLC, a New York limited liability trust company (the “</w:t>
      </w:r>
      <w:r>
        <w:rPr>
          <w:rFonts w:ascii="Arial" w:cs="Arial" w:eastAsia="Arial" w:hAnsi="Arial"/>
          <w:sz w:val="16"/>
          <w:szCs w:val="16"/>
          <w:b w:val="1"/>
          <w:bCs w:val="1"/>
          <w:color w:val="auto"/>
        </w:rPr>
        <w:t>Warrant Agent</w:t>
      </w:r>
      <w:r>
        <w:rPr>
          <w:rFonts w:ascii="Arial" w:cs="Arial" w:eastAsia="Arial" w:hAnsi="Arial"/>
          <w:sz w:val="16"/>
          <w:szCs w:val="16"/>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WHEREAS, pursuant to the terms and conditions of the Chapter 11 Plan of Reorganization confirmed on September 11, 2019 (as the same may be amended, modified or restated from time to time, the “</w:t>
      </w:r>
      <w:r>
        <w:rPr>
          <w:rFonts w:ascii="Arial" w:cs="Arial" w:eastAsia="Arial" w:hAnsi="Arial"/>
          <w:sz w:val="17"/>
          <w:szCs w:val="17"/>
          <w:b w:val="1"/>
          <w:bCs w:val="1"/>
          <w:color w:val="auto"/>
        </w:rPr>
        <w:t>Plan</w:t>
      </w:r>
      <w:r>
        <w:rPr>
          <w:rFonts w:ascii="Arial" w:cs="Arial" w:eastAsia="Arial" w:hAnsi="Arial"/>
          <w:sz w:val="17"/>
          <w:szCs w:val="17"/>
          <w:color w:val="auto"/>
        </w:rPr>
        <w:t>”) relating to the reorganization under Chapter 11 of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of the Company and certain of its affiliates, certain holders (such parties, the “</w:t>
      </w:r>
      <w:r>
        <w:rPr>
          <w:rFonts w:ascii="Arial" w:cs="Arial" w:eastAsia="Arial" w:hAnsi="Arial"/>
          <w:sz w:val="17"/>
          <w:szCs w:val="17"/>
          <w:b w:val="1"/>
          <w:bCs w:val="1"/>
          <w:color w:val="auto"/>
        </w:rPr>
        <w:t>Initial Warrant Holders</w:t>
      </w:r>
      <w:r>
        <w:rPr>
          <w:rFonts w:ascii="Arial" w:cs="Arial" w:eastAsia="Arial" w:hAnsi="Arial"/>
          <w:sz w:val="17"/>
          <w:szCs w:val="17"/>
          <w:color w:val="auto"/>
        </w:rPr>
        <w:t xml:space="preserve">”) are to be issued Warrants (as defined below) exercisable until the Expiration Date (as defined below), to purchase up to an aggregate of 7,777,779 Ordinary Shares at an exercise price of $99.96 per share, as the same may be adjusted pursuant to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hereof (the “</w:t>
      </w:r>
      <w:r>
        <w:rPr>
          <w:rFonts w:ascii="Arial" w:cs="Arial" w:eastAsia="Arial" w:hAnsi="Arial"/>
          <w:sz w:val="17"/>
          <w:szCs w:val="17"/>
          <w:b w:val="1"/>
          <w:bCs w:val="1"/>
          <w:color w:val="auto"/>
        </w:rPr>
        <w:t>Exercise Price</w:t>
      </w:r>
      <w:r>
        <w:rPr>
          <w:rFonts w:ascii="Arial" w:cs="Arial" w:eastAsia="Arial" w:hAnsi="Arial"/>
          <w:sz w:val="17"/>
          <w:szCs w:val="17"/>
          <w:color w:val="auto"/>
        </w:rPr>
        <w: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Warrants and the underlying Ordinary Shares are being issued in an offering in reliance on the exemption from the registration requirements of the Securities Act (as defined below) afforded by Section 1145 of the Bankruptcy Code, and of any applicable state securities or “blue sky” laws; and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desires that the Warrant Agent act on behalf of the Company, and the Warrant Agent is willing to act, in connection with the issuance, exchange, Transfer (as defined below), substitution and exercise of Warrants.</w:t>
      </w:r>
    </w:p>
    <w:p>
      <w:pPr>
        <w:spacing w:after="0" w:line="1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NOW THEREFORE in consideration of the mutual agreements herein contained, the Company and the Warrant Agent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Warrant Agreement, the following terms shall have their respective meanings set forth below:</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specified Person, any other Person that directly, or indirectly through one or more intermediaries, controls, is controlled by, or is under common control with, such first specified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Appropriate Officer</w:t>
      </w:r>
      <w:r>
        <w:rPr>
          <w:rFonts w:ascii="Arial" w:cs="Arial" w:eastAsia="Arial" w:hAnsi="Arial"/>
          <w:sz w:val="18"/>
          <w:szCs w:val="18"/>
          <w:color w:val="auto"/>
        </w:rPr>
        <w:t>” means the Chief Executive Officer, President, the Chief Financial Officer, any Executive Vice President, any Senior Vice President or any Vice President, any Treasurer or Secretary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Authentication Order</w:t>
      </w:r>
      <w:r>
        <w:rPr>
          <w:rFonts w:ascii="Arial" w:cs="Arial" w:eastAsia="Arial" w:hAnsi="Arial"/>
          <w:sz w:val="18"/>
          <w:szCs w:val="18"/>
          <w:color w:val="auto"/>
        </w:rPr>
        <w:t>” means a Company Order for authentication and delivery of Warrants.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7" w:name="page1098"/>
    <w:bookmarkEnd w:id="10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Share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means any Person beneficially owning an interest in a Global Warrant, which interest is credited to the account of a direct participant in the Depository for the benefit of such Person through the book-entry system maintained by the Depository (or its agent). For the avoidance of doubt, a Participant may also be a Beneficial Owner.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or any committee of such board duly authorized to exercise the power of such board with respect to the matters provided for in this Warrant Agreement as to which the board is authorized or required to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or other day on which the New York Stock Exchange or banking institutions in the state of New York are authorized or obligated by law or executive order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w:t>
      </w:r>
      <w:r>
        <w:rPr>
          <w:rFonts w:ascii="Arial" w:cs="Arial" w:eastAsia="Arial" w:hAnsi="Arial"/>
          <w:sz w:val="18"/>
          <w:szCs w:val="18"/>
          <w:color w:val="auto"/>
        </w:rPr>
        <w:t>” means the Memorandum and Articles of Association of the Company,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effective date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signed in the name of the Company by any two officers, at least one of whom must be Chief Executive Officer, Chief Financial Officer, Treasurer, Assistant Treasurer or Controller, and delivered to the Warrant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options, rights, warrants or other securities convertible into or exchangeable or exercisable for Ordinary Shares.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Depository</w:t>
      </w:r>
      <w:r>
        <w:rPr>
          <w:rFonts w:ascii="Arial" w:cs="Arial" w:eastAsia="Arial" w:hAnsi="Arial"/>
          <w:sz w:val="18"/>
          <w:szCs w:val="18"/>
          <w:color w:val="auto"/>
        </w:rPr>
        <w:t>” means The Depository Trust Company, its nominees, and their respective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 issuance or distribution, the first date on which the Ordinary Shares can be traded without the right to receive an issuance or distribution.</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Exempt Transaction</w:t>
      </w:r>
      <w:r>
        <w:rPr>
          <w:rFonts w:ascii="Arial" w:cs="Arial" w:eastAsia="Arial" w:hAnsi="Arial"/>
          <w:sz w:val="16"/>
          <w:szCs w:val="16"/>
          <w:color w:val="auto"/>
        </w:rPr>
        <w:t>” shall mean a merger, reorganization or consolidation that results in the voting securities of the Company outstanding immediately prior thereto continuing to represent immediately following such merger, reorganization or consolidation (either by remaining outstanding or by being converted into voting securities of the surviving entity) more than 50% of the combined voting power of the voting securities of the Company or such surviving entity outstanding immediately after such merger or consolidation (or the ultimate parent company of the Company or such surviving entity).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98" w:name="page1099"/>
    <w:bookmarkEnd w:id="10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xml:space="preserve">” means, for any Warrant, the exercise notice set forth on the reverse of the Warrant Certificate,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for any Warrant, the earlier of (i) December 13, 2023 and (ii) the date of consummation of any Liquidity Event.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 Physical Share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Warrant</w:t>
      </w:r>
      <w:r>
        <w:rPr>
          <w:rFonts w:ascii="Arial" w:cs="Arial" w:eastAsia="Arial" w:hAnsi="Arial"/>
          <w:sz w:val="18"/>
          <w:szCs w:val="18"/>
          <w:color w:val="auto"/>
        </w:rPr>
        <w:t>” means a Warrant in the form of a Global Warrant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Warrant Certificate</w:t>
      </w:r>
      <w:r>
        <w:rPr>
          <w:rFonts w:ascii="Arial" w:cs="Arial" w:eastAsia="Arial" w:hAnsi="Arial"/>
          <w:sz w:val="18"/>
          <w:szCs w:val="18"/>
          <w:color w:val="auto"/>
        </w:rPr>
        <w:t xml:space="preserve">” means any certificate representing the Warrants satisfying the requirements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Warrant Holder</w:t>
      </w:r>
      <w:r>
        <w:rPr>
          <w:rFonts w:ascii="Arial" w:cs="Arial" w:eastAsia="Arial" w:hAnsi="Arial"/>
          <w:sz w:val="18"/>
          <w:szCs w:val="18"/>
          <w:color w:val="auto"/>
        </w:rPr>
        <w:t>” means Cede &amp; Co. or such other entity designated by the Depository.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Warrant 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 Event</w:t>
      </w:r>
      <w:r>
        <w:rPr>
          <w:rFonts w:ascii="Arial" w:cs="Arial" w:eastAsia="Arial" w:hAnsi="Arial"/>
          <w:sz w:val="16"/>
          <w:szCs w:val="16"/>
          <w:color w:val="auto"/>
        </w:rPr>
        <w:t>” means the first to occur of: (i) any transaction or series of related transactions that results in (a) the sale or exchange of all or substantially all of the equity interests of the Company to one or more third parties (whether by merger, sale, recapitalization, consolidation, combination or otherwise) or (b) the sale, directly or indirectly, by the Company of all or substantially all of the assets of the Company and its Subsidiaries, taken as a whole; or (ii) a liquidation, dissolution or winding up of the Company; provided that, in each case, the closing or other consummation of such Liquidity Event occurs on or prior to December 13, 2023; provided further, however that notwithstanding the foregoing, no Exempt Transaction shall be a Liquidity Event.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Stock Option Plan</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Non-Public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6.26.</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Number of Warrants</w:t>
      </w:r>
      <w:r>
        <w:rPr>
          <w:rFonts w:ascii="Arial" w:cs="Arial" w:eastAsia="Arial" w:hAnsi="Arial"/>
          <w:sz w:val="18"/>
          <w:szCs w:val="18"/>
          <w:color w:val="auto"/>
        </w:rPr>
        <w:t xml:space="preserve">” means the “Number of Warrants” specified on the face of the Global Warrant Certificate, subject to adjustment pursuant to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099" w:name="page1100"/>
    <w:bookmarkEnd w:id="109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any two officers of the Company, at least one of whom must be its Chief Executive Officer, its Chief Financial Officer, its Treasurer, an Assistant Treasurer, or its Controller.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in the share capital of the Company to be issued pursuant to the Plan and the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direct participant of the Depository, the account of which is credited with a beneficial interest in the Global Warrant for the benefit of a Beneficial Owner through the book-entry system maintained by the Depository (or its agent).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firm,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Ordinary Shares have the right to receive any dividend or distribution, the date fixed for determination of holders of Ordinary Shares entitled to receive such dividend or distribution (whether such date is fixed by the Board or by statute, contract or otherwise).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in respect of a Warrant that is exercised hereunder, the third Business Day immediately following the Exercise Date for such Warrant.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as to any Person, any corporation, partnership, limited liability company or other organization, whether incorporated or unincorporated, of which at least a majority of the securities or other interests having by their terms voting power to elect a majority of the Board or others performing similar functions with respect to such corporation or other organization is directly or indirectly beneficially owned or controlled by such party or by any one or more of its subsidiaries, or by such party and one or more of its subsidiaries.</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with respect to any Warrant, to directly or indirectly (whether by act, omission or operation of law), sell, exchange, transfer, hypothecate, negotiate, gift, convey in trust, pledge, assign, encumber, or otherwise dispose of, or by adjudication of a Person as bankrupt, by assignment for the benefit of creditors, by attachment, levy or other seizure by any creditor (whether or not pursuant to judicial process), or by passage or distribution of Warrants under judicial order or legal process, carry out or permit the transfer or other disposition of, all of such Warrant.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a Person to whom any Warrant (or interest in the Global Warrant) is Transferred.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00" w:name="page1101"/>
    <w:bookmarkEnd w:id="1100"/>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a warrant of the Company exercisable for one Ordinary Share as provided herein, and issued pursuant to this Warrant Agreement with the terms, conditions and rights set forth in this Warrant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Agent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Issuance, Execution and Transfer of Warrants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Issuance of Warrants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5" w:lineRule="auto"/>
        <w:tabs>
          <w:tab w:leader="none" w:pos="2293" w:val="left"/>
        </w:tabs>
        <w:numPr>
          <w:ilvl w:val="0"/>
          <w:numId w:val="1162"/>
        </w:numPr>
        <w:rPr>
          <w:rFonts w:ascii="Arial" w:cs="Arial" w:eastAsia="Arial" w:hAnsi="Arial"/>
          <w:sz w:val="18"/>
          <w:szCs w:val="18"/>
          <w:color w:val="auto"/>
        </w:rPr>
      </w:pPr>
      <w:r>
        <w:rPr>
          <w:rFonts w:ascii="Arial" w:cs="Arial" w:eastAsia="Arial" w:hAnsi="Arial"/>
          <w:sz w:val="18"/>
          <w:szCs w:val="18"/>
          <w:color w:val="auto"/>
        </w:rPr>
        <w:t xml:space="preserve">On the Closing Date, the Company shall initially issue and execute the Global Warrant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evidencing an initial aggregate Number of Warrants equal to 7,777,779 (such Number of Warrants to be subject to adjustment from time to time as described herein) in accordance with the terms of this Warrant Agreement and the Plan and deliver such Global Warrant to the Warrant Agent, for authentication, along with a duly executed Authentication Order. The Warrant Agent shall then Transfer such Global Warrant to the Global Warrant Holder for crediting to the accounts of the applicable Participants for the benefit of the applicable Initial Warrant Holders pursuant to the procedures of the Depository and in accordance with the Plan on or after the Closing Date. The Global Warrant shall evidence one or more Warrants. Each Warrant evidenced thereby shall be exercisable upon payment of the Exercise Price for one Ordinary Share.</w:t>
      </w:r>
    </w:p>
    <w:p>
      <w:pPr>
        <w:spacing w:after="0" w:line="189" w:lineRule="exact"/>
        <w:rPr>
          <w:rFonts w:ascii="Arial" w:cs="Arial" w:eastAsia="Arial" w:hAnsi="Arial"/>
          <w:sz w:val="18"/>
          <w:szCs w:val="18"/>
          <w:color w:val="auto"/>
        </w:rPr>
      </w:pPr>
    </w:p>
    <w:p>
      <w:pPr>
        <w:jc w:val="both"/>
        <w:ind w:firstLine="1305"/>
        <w:spacing w:after="0" w:line="276" w:lineRule="auto"/>
        <w:tabs>
          <w:tab w:leader="none" w:pos="2222" w:val="left"/>
        </w:tabs>
        <w:numPr>
          <w:ilvl w:val="0"/>
          <w:numId w:val="1162"/>
        </w:numPr>
        <w:rPr>
          <w:rFonts w:ascii="Arial" w:cs="Arial" w:eastAsia="Arial" w:hAnsi="Arial"/>
          <w:sz w:val="17"/>
          <w:szCs w:val="17"/>
          <w:color w:val="auto"/>
        </w:rPr>
      </w:pPr>
      <w:r>
        <w:rPr>
          <w:rFonts w:ascii="Arial" w:cs="Arial" w:eastAsia="Arial" w:hAnsi="Arial"/>
          <w:sz w:val="17"/>
          <w:szCs w:val="17"/>
          <w:color w:val="auto"/>
        </w:rPr>
        <w:t>All Warrants issued under this Warrant Agreement shall in all respects be equally and ratably entitled to the benefits hereof, without preference, priority, or distinction on account of the actual time of the issuance and authentication or any other terms thereof. Each Warrant shall be, and shall remain, subject to the provisions of this Warrant Agreement until such time as all of the Warrants evidenced thereby shall have been duly exercised or shall have expired or been canceled in accordance with the terms hereof. The Global Warrant Holder shall be bound by all of the terms and provisions of this Warrant Agreement as fully and effectively as if the Global Warrant Holder had signed the same.</w:t>
      </w:r>
    </w:p>
    <w:p>
      <w:pPr>
        <w:spacing w:after="0" w:line="172" w:lineRule="exact"/>
        <w:rPr>
          <w:rFonts w:ascii="Arial" w:cs="Arial" w:eastAsia="Arial" w:hAnsi="Arial"/>
          <w:sz w:val="17"/>
          <w:szCs w:val="17"/>
          <w:color w:val="auto"/>
        </w:rPr>
      </w:pPr>
    </w:p>
    <w:p>
      <w:pPr>
        <w:ind w:right="20" w:firstLine="1305"/>
        <w:spacing w:after="0" w:line="308" w:lineRule="auto"/>
        <w:tabs>
          <w:tab w:leader="none" w:pos="2158" w:val="left"/>
        </w:tabs>
        <w:numPr>
          <w:ilvl w:val="0"/>
          <w:numId w:val="1162"/>
        </w:numPr>
        <w:rPr>
          <w:rFonts w:ascii="Arial" w:cs="Arial" w:eastAsia="Arial" w:hAnsi="Arial"/>
          <w:sz w:val="17"/>
          <w:szCs w:val="17"/>
          <w:color w:val="auto"/>
        </w:rPr>
      </w:pPr>
      <w:r>
        <w:rPr>
          <w:rFonts w:ascii="Arial" w:cs="Arial" w:eastAsia="Arial" w:hAnsi="Arial"/>
          <w:sz w:val="17"/>
          <w:szCs w:val="17"/>
          <w:color w:val="auto"/>
        </w:rPr>
        <w:t>Any Warrant that is forfeited by a Beneficial Owner, cancelled as a result of being unclaimed in accordance with Section E of Article VII of the Plan, or repurchased by the Company shall be deemed to be no longer outstanding for all purposes of this Warrant Agreement.</w:t>
      </w:r>
    </w:p>
    <w:p>
      <w:pPr>
        <w:spacing w:after="0" w:line="14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 of Warrants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104" w:val="left"/>
        </w:tabs>
        <w:numPr>
          <w:ilvl w:val="0"/>
          <w:numId w:val="1163"/>
        </w:numPr>
        <w:rPr>
          <w:rFonts w:ascii="Arial" w:cs="Arial" w:eastAsia="Arial" w:hAnsi="Arial"/>
          <w:sz w:val="18"/>
          <w:szCs w:val="18"/>
          <w:color w:val="auto"/>
        </w:rPr>
      </w:pPr>
      <w:r>
        <w:rPr>
          <w:rFonts w:ascii="Arial" w:cs="Arial" w:eastAsia="Arial" w:hAnsi="Arial"/>
          <w:sz w:val="18"/>
          <w:szCs w:val="18"/>
          <w:color w:val="auto"/>
        </w:rPr>
        <w:t>The Global Warrant Certificate shall be executed on behalf of the Company by the Chief Executive Officer, any Executive Vice President, any Senior Vice President or any Vice President of the Company and attested by its Secretary or any one of its Assistant Secretaries. The signature of any of these officers on the Global Warrant Certificate may be manual or in the form of a facsimile or other electronically transmitted signature (including, without limitation, electronic transmission in portable document format (.pdf)).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01" w:name="page1102"/>
    <w:bookmarkEnd w:id="1101"/>
    <w:p>
      <w:pPr>
        <w:jc w:val="both"/>
        <w:ind w:firstLine="1305"/>
        <w:spacing w:after="0" w:line="279" w:lineRule="auto"/>
        <w:tabs>
          <w:tab w:leader="none" w:pos="2100" w:val="left"/>
        </w:tabs>
        <w:numPr>
          <w:ilvl w:val="0"/>
          <w:numId w:val="1164"/>
        </w:numPr>
        <w:rPr>
          <w:rFonts w:ascii="Arial" w:cs="Arial" w:eastAsia="Arial" w:hAnsi="Arial"/>
          <w:sz w:val="17"/>
          <w:szCs w:val="17"/>
          <w:color w:val="auto"/>
        </w:rPr>
      </w:pPr>
      <w:r>
        <w:rPr>
          <w:rFonts w:ascii="Arial" w:cs="Arial" w:eastAsia="Arial" w:hAnsi="Arial"/>
          <w:sz w:val="17"/>
          <w:szCs w:val="17"/>
          <w:color w:val="auto"/>
        </w:rPr>
        <w:t>A Global Warrant Certificate bearing the manual or facsimile signatures of individuals, each of whom was, at the time he or she signed the Global Warrant Certificate or his or her facsimile signature was affixed to the Global Warrant Certificate, as the case may be, a proper officer of the Company, shall bind the Company, notwithstanding that such individuals or any of them have ceased to hold such offices prior to the authentication and delivery of such Global Warrant by the Warrant Agent or did not hold such offices at the date of such Global Warrant.</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2117" w:val="left"/>
        </w:tabs>
        <w:numPr>
          <w:ilvl w:val="0"/>
          <w:numId w:val="1164"/>
        </w:numPr>
        <w:rPr>
          <w:rFonts w:ascii="Arial" w:cs="Arial" w:eastAsia="Arial" w:hAnsi="Arial"/>
          <w:sz w:val="18"/>
          <w:szCs w:val="18"/>
          <w:color w:val="auto"/>
        </w:rPr>
      </w:pPr>
      <w:r>
        <w:rPr>
          <w:rFonts w:ascii="Arial" w:cs="Arial" w:eastAsia="Arial" w:hAnsi="Arial"/>
          <w:sz w:val="18"/>
          <w:szCs w:val="18"/>
          <w:color w:val="auto"/>
        </w:rPr>
        <w:t>The Global Warrant shall not be entitled to any benefit under this Warrant Agreement or be valid or obligatory for any purpose unless there appears on the Global Warrant Certificate a certificate of authentication substantially in the form provided for herein executed by the Warrant Agent, and such signature upon the Global Warrant Certificate shall be conclusive evidence, and the only evidence, that such Global Warrant has been duly authenticated and delivered hereunder. The Global Warrant shall not be entitled to any benefit under this Warrant Agreement or be valid or obligatory for any purpose unless there appears on such Warrant the countersignature of the Global Warrant Holder. The signature of the Warrant Agent on the Global Warrant Certificate may be in the form of a facsimile or other electronically transmitted signature (including, without limitation, electronic transmission in portable document format (.pdf)).</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Registration, Transfer, Exchange and Substitution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1" w:lineRule="auto"/>
        <w:tabs>
          <w:tab w:leader="none" w:pos="2225" w:val="left"/>
        </w:tabs>
        <w:numPr>
          <w:ilvl w:val="0"/>
          <w:numId w:val="1165"/>
        </w:numPr>
        <w:rPr>
          <w:rFonts w:ascii="Arial" w:cs="Arial" w:eastAsia="Arial" w:hAnsi="Arial"/>
          <w:sz w:val="17"/>
          <w:szCs w:val="17"/>
          <w:color w:val="auto"/>
        </w:rPr>
      </w:pPr>
      <w:r>
        <w:rPr>
          <w:rFonts w:ascii="Arial" w:cs="Arial" w:eastAsia="Arial" w:hAnsi="Arial"/>
          <w:sz w:val="17"/>
          <w:szCs w:val="17"/>
          <w:color w:val="auto"/>
        </w:rPr>
        <w:t xml:space="preserve">The Warrant Agent shall, upon receipt of such Global Warrant and Authentication Order, authenticate the Global Warrant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register such Global Warrant in the Warrant Register. The Global Warrant shall be dated as of the Closing Date and, subject to the terms hereof, shall evidence the only Warrants issued or outstanding under this Warrant Agreement. The Global Warrant shall be deposited with the Warrant Agent as custodian for the Depository. The Company shall cause to be kept at the office of the Warrant Agent, and the Warrant Agent shall maintain, a register (the “</w:t>
      </w:r>
      <w:r>
        <w:rPr>
          <w:rFonts w:ascii="Arial" w:cs="Arial" w:eastAsia="Arial" w:hAnsi="Arial"/>
          <w:sz w:val="17"/>
          <w:szCs w:val="17"/>
          <w:b w:val="1"/>
          <w:bCs w:val="1"/>
          <w:color w:val="auto"/>
        </w:rPr>
        <w:t>Warrant Register</w:t>
      </w:r>
      <w:r>
        <w:rPr>
          <w:rFonts w:ascii="Arial" w:cs="Arial" w:eastAsia="Arial" w:hAnsi="Arial"/>
          <w:sz w:val="17"/>
          <w:szCs w:val="17"/>
          <w:color w:val="auto"/>
        </w:rPr>
        <w:t>”) in which the Company shall provide for the registration of the Global Warrant and Transfers, exchanges or substitutions of the Global Warrant as provided herein. Any Global Warrant issued upon any registration of Transfer or exchange of or substitution for the Global Warrant shall be a valid obligation of the Company, evidencing the same obligations, and entitled to the same benefits under this Warrant Agreement, as the Global Warrant surrendered for such registration of Transfer, exchange or substitution.</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2249" w:val="left"/>
        </w:tabs>
        <w:numPr>
          <w:ilvl w:val="0"/>
          <w:numId w:val="1165"/>
        </w:numPr>
        <w:rPr>
          <w:rFonts w:ascii="Arial" w:cs="Arial" w:eastAsia="Arial" w:hAnsi="Arial"/>
          <w:sz w:val="17"/>
          <w:szCs w:val="17"/>
          <w:color w:val="auto"/>
        </w:rPr>
      </w:pPr>
      <w:r>
        <w:rPr>
          <w:rFonts w:ascii="Arial" w:cs="Arial" w:eastAsia="Arial" w:hAnsi="Arial"/>
          <w:sz w:val="17"/>
          <w:szCs w:val="17"/>
          <w:color w:val="auto"/>
        </w:rPr>
        <w:t>Transfers of a Global Warrant shall be limited to Transfers in whole, and not in part, to the Company, the Depository, their successors, and their respective nominees. A Global Warrant may be Transferred to such parties upon the delivery of a written instruction of Transfer in form reasonably satisfactory to the Warrant Agent and the Company, duly executed by the Global Warrant Holder or by such Global Warrant Holder’s attorney, duly authorized in writing. No such Transfer shall be effected until, and the Transferee shall succeed to the rights of the Global Warrant Holder only upon, final acceptance and registration of the Transfer in the Warrant Register by the Warrant Agent. Prior to the registration of any Transfer of the Global Warrant by the Global Warrant Holder as provided herein, the Company, the Warrant Agent, and any agent of the Company or the Warrant Agent may treat the Person in whose name such Global Warrant is registered as the owner thereof for all purposes, notwithstanding any notice to the contrary. To permit a registration of a Transfer of a Global Warrant, the Company shall execute the Global Warrant Certificate at the Warrant Agent’s request and the Warrant Agent shall authenticate such Global Warrant Certificate. The Global Warrant Certificate shall be deposited on or after the date hereof with the Warrant Agent. No service charge shall be made for any such registration of Transfer. A party requesting transfer of the Global Warrant must provide any evidence of authority that may be required by the Warrant Agent, including but not limited to, a signature guarantee from an eligible guarantor institution participating in a signature guarantee program approved by the Securities Transfer Association, Inc.</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2" w:name="page1103"/>
    <w:bookmarkEnd w:id="1102"/>
    <w:p>
      <w:pPr>
        <w:ind w:firstLine="1305"/>
        <w:spacing w:after="0" w:line="277" w:lineRule="auto"/>
        <w:tabs>
          <w:tab w:leader="none" w:pos="2306" w:val="left"/>
        </w:tabs>
        <w:numPr>
          <w:ilvl w:val="0"/>
          <w:numId w:val="1166"/>
        </w:numPr>
        <w:rPr>
          <w:rFonts w:ascii="Arial" w:cs="Arial" w:eastAsia="Arial" w:hAnsi="Arial"/>
          <w:sz w:val="18"/>
          <w:szCs w:val="18"/>
          <w:color w:val="auto"/>
        </w:rPr>
      </w:pPr>
      <w:r>
        <w:rPr>
          <w:rFonts w:ascii="Arial" w:cs="Arial" w:eastAsia="Arial" w:hAnsi="Arial"/>
          <w:sz w:val="18"/>
          <w:szCs w:val="18"/>
          <w:color w:val="auto"/>
        </w:rPr>
        <w:t>Interests of Beneficial Owners in a Global Warrant registered in the name of the Depository or its nominee shall only be Transferred in accordance with the procedures of the Depository, the applicable Participant and applicable Law.</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2141" w:val="left"/>
        </w:tabs>
        <w:numPr>
          <w:ilvl w:val="0"/>
          <w:numId w:val="1166"/>
        </w:numPr>
        <w:rPr>
          <w:rFonts w:ascii="Arial" w:cs="Arial" w:eastAsia="Arial" w:hAnsi="Arial"/>
          <w:sz w:val="17"/>
          <w:szCs w:val="17"/>
          <w:color w:val="auto"/>
        </w:rPr>
      </w:pPr>
      <w:r>
        <w:rPr>
          <w:rFonts w:ascii="Arial" w:cs="Arial" w:eastAsia="Arial" w:hAnsi="Arial"/>
          <w:sz w:val="17"/>
          <w:szCs w:val="17"/>
          <w:color w:val="auto"/>
        </w:rPr>
        <w:t>So long as any Global Warrant is registered in the name of the Depository or its nominee, the Beneficial Owners shall have no rights under this Warrant Agreement with respect to such Global Warrant held on their behalf by the Depository, and the Depository may be treated by the Company, the Warrant Agent and any agent of the Company or the Warrant Agent as the absolute owner of such Global Warrant for all purposes. Accordingly, any such Beneficial Owner’s interest in such Global Warrant will be shown only on, and the Transfer of such interest shall be effected only through, records maintained by the Depository or its nominee or the applicable Participant, and neither the Company nor the Warrant Agent shall have any responsibility or liability with respect to such records maintained by the Depository or its nominee or the applicable Participant. Notwithstanding the foregoing, nothing herein shall prevent the Company, the Warrant Agent or any agent of the Company or the Warrant Agent from giving effect to any written certification, proxy or other authorization furnished by the Depository or impair the operation of customary practices of the Depository or Participants governing the exercise of the rights of a Beneficial Owner.</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Form of Global Warrant Certificate</w:t>
      </w:r>
      <w:r>
        <w:rPr>
          <w:rFonts w:ascii="Arial" w:cs="Arial" w:eastAsia="Arial" w:hAnsi="Arial"/>
          <w:sz w:val="17"/>
          <w:szCs w:val="17"/>
          <w:color w:val="auto"/>
        </w:rPr>
        <w:t xml:space="preserve">. The Global Warrant Certificate shall be in substantially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shall have such insertions as are appropriate or required by this Warrant Agreement and may have such letters, numbers or other marks of identification and such legends and endorsements, stamped, printed, lithographed or engraved thereon, as the Company may deem appropriate and as are not inconsistent with the provisions of this Warrant Agreement, such as may be required to comply with this Warrant Agreement, any law or any rule of any securities exchange on which Warrants may be listed, and such as may be necessary to conform to customary usage.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Cancellation of Global Warrant Certificate</w:t>
      </w:r>
      <w:r>
        <w:rPr>
          <w:rFonts w:ascii="Arial" w:cs="Arial" w:eastAsia="Arial" w:hAnsi="Arial"/>
          <w:sz w:val="17"/>
          <w:szCs w:val="17"/>
          <w:color w:val="auto"/>
        </w:rPr>
        <w:t xml:space="preserve">. The Global Warrant Certificate shall be promptly cancelled by the Warrant Agent upon the earlier of (i) the Expiration Date, (ii) the replacement of the Global Warrant Certificate as described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(iii) registration of Transfer or exercise of all Warrants represented thereby and, except as provided in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in case of a Transfer or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in case the Global Warrant Certificate is mutilated, defaced, lost, destroyed or stolen, no Global Warrant Certificate shall be issued hereunder in lieu thereof.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03" w:name="page1104"/>
    <w:bookmarkEnd w:id="1103"/>
    <w:p>
      <w:pPr>
        <w:jc w:val="both"/>
        <w:ind w:firstLine="648"/>
        <w:spacing w:after="0" w:line="270"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xml:space="preserve">. Notwithstanding any other provision of this Warrant Agreement, the Warrants are being offered and sold, and the Ordinary Shares issuable upon exercise thereof are being offered and sold, pursuant to an exemption from the registration requirement of Section 5 of the Securities Act provided by Section 1145 of the Bankruptcy Code, and to the extent that any Beneficial Owner is an “underwriter” as defined in Section 1145(b)(1) of the Bankruptcy Code, such Beneficial Owner may not be able to sell or transfer any Warrants in the absence of an effective registration statement under the Securities Act or an exemption from registration thereunder. Notwithstanding anything contained in this Warrant Agreement (but without limiting or modifying any express obligation of the Warrant Agent hereunder), the Warrant Agent shall not be under any duty or responsibility to ensure compliance by the Company, the Global Warrant Holder, any Beneficial Owner or any other Person with any applicable federal or state securities or bankruptcy Laws. By accepting a Transfer of a Warrant, (i) the applicable Participant agrees to inform the Beneficial Owner of the limitations on Transfer set forth in this </w:t>
      </w:r>
      <w:r>
        <w:rPr>
          <w:rFonts w:ascii="Arial" w:cs="Arial" w:eastAsia="Arial" w:hAnsi="Arial"/>
          <w:sz w:val="17"/>
          <w:szCs w:val="17"/>
          <w:u w:val="single" w:color="auto"/>
          <w:color w:val="auto"/>
        </w:rPr>
        <w:t>Section 2.06</w:t>
      </w:r>
      <w:r>
        <w:rPr>
          <w:rFonts w:ascii="Arial" w:cs="Arial" w:eastAsia="Arial" w:hAnsi="Arial"/>
          <w:sz w:val="17"/>
          <w:szCs w:val="17"/>
          <w:color w:val="auto"/>
        </w:rPr>
        <w:t>, and shall instruct and direct such Beneficial Owner to conform to the restrictions set forth herein and shall maintain any applicable legends in its books and records and (ii) the Beneficial Owner acknowledges the foregoing.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Exercise and Settlement of Warrants</w:t>
      </w:r>
    </w:p>
    <w:p>
      <w:pPr>
        <w:spacing w:after="0" w:line="229"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u w:val="single" w:color="auto"/>
          <w:color w:val="auto"/>
        </w:rPr>
        <w:t>Exercise of Warrants</w:t>
      </w:r>
      <w:r>
        <w:rPr>
          <w:rFonts w:ascii="Arial" w:cs="Arial" w:eastAsia="Arial" w:hAnsi="Arial"/>
          <w:sz w:val="17"/>
          <w:szCs w:val="17"/>
          <w:color w:val="auto"/>
        </w:rPr>
        <w:t>. At any time prior to Close of Business on the Expiration Date, each Warrant may be exercised in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Article 3</w:t>
      </w:r>
      <w:r>
        <w:rPr>
          <w:rFonts w:ascii="Arial" w:cs="Arial" w:eastAsia="Arial" w:hAnsi="Arial"/>
          <w:sz w:val="18"/>
          <w:szCs w:val="18"/>
          <w:color w:val="auto"/>
        </w:rPr>
        <w:t>. Any Warrants not exercised prior to such time shall expire unexercised and all rights thereunder and all rights in respect thereof under this Warrant Agreement shall cease as of the Close of Business on the Expiration Date.</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Procedure for Exercise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6" w:lineRule="auto"/>
        <w:tabs>
          <w:tab w:leader="none" w:pos="2144" w:val="left"/>
        </w:tabs>
        <w:numPr>
          <w:ilvl w:val="0"/>
          <w:numId w:val="1167"/>
        </w:numPr>
        <w:rPr>
          <w:rFonts w:ascii="Arial" w:cs="Arial" w:eastAsia="Arial" w:hAnsi="Arial"/>
          <w:sz w:val="17"/>
          <w:szCs w:val="17"/>
          <w:color w:val="auto"/>
        </w:rPr>
      </w:pPr>
      <w:r>
        <w:rPr>
          <w:rFonts w:ascii="Arial" w:cs="Arial" w:eastAsia="Arial" w:hAnsi="Arial"/>
          <w:sz w:val="17"/>
          <w:szCs w:val="17"/>
          <w:color w:val="auto"/>
        </w:rPr>
        <w:t>To exercise its Warrant(s), a Beneficial Owner must arrange for (i) the delivery of the Exercise Notice properly completed and duly executed by its applicable Participant to the office of the Warrant Agent designated for such purpose and the Company, (ii) payment to the Warrant Agent in an amount equal to the respective Exercise Price for any Warrant(s) beneficially owned by such Beneficial Owner to be exercised together with all applicable taxes and charges thereto, (iii) delivery of each Warrant(s) through the facilities of the Depository and (iv) compliance with all other procedures established by the Depository, the applicable Participant and the Warrant Agent for the exercise of Warrants.</w:t>
      </w:r>
    </w:p>
    <w:p>
      <w:pPr>
        <w:spacing w:after="0" w:line="168" w:lineRule="exact"/>
        <w:rPr>
          <w:rFonts w:ascii="Arial" w:cs="Arial" w:eastAsia="Arial" w:hAnsi="Arial"/>
          <w:sz w:val="17"/>
          <w:szCs w:val="17"/>
          <w:color w:val="auto"/>
        </w:rPr>
      </w:pPr>
    </w:p>
    <w:p>
      <w:pPr>
        <w:ind w:left="2060" w:hanging="755"/>
        <w:spacing w:after="0"/>
        <w:tabs>
          <w:tab w:leader="none" w:pos="2060" w:val="left"/>
        </w:tabs>
        <w:numPr>
          <w:ilvl w:val="0"/>
          <w:numId w:val="1167"/>
        </w:numPr>
        <w:rPr>
          <w:rFonts w:ascii="Arial" w:cs="Arial" w:eastAsia="Arial" w:hAnsi="Arial"/>
          <w:sz w:val="16"/>
          <w:szCs w:val="16"/>
          <w:color w:val="auto"/>
        </w:rPr>
      </w:pPr>
      <w:r>
        <w:rPr>
          <w:rFonts w:ascii="Arial" w:cs="Arial" w:eastAsia="Arial" w:hAnsi="Arial"/>
          <w:sz w:val="16"/>
          <w:szCs w:val="16"/>
          <w:color w:val="auto"/>
        </w:rPr>
        <w:t xml:space="preserve">The date on which all requirements for exercise set forth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in respect of a Warrant are satisfied is the “</w:t>
      </w:r>
      <w:r>
        <w:rPr>
          <w:rFonts w:ascii="Arial" w:cs="Arial" w:eastAsia="Arial" w:hAnsi="Arial"/>
          <w:sz w:val="16"/>
          <w:szCs w:val="16"/>
          <w:b w:val="1"/>
          <w:bCs w:val="1"/>
          <w:color w:val="auto"/>
        </w:rPr>
        <w:t>Exercise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for such Warrant.</w:t>
      </w:r>
    </w:p>
    <w:p>
      <w:pPr>
        <w:spacing w:after="0" w:line="210" w:lineRule="exact"/>
        <w:rPr>
          <w:rFonts w:ascii="Arial" w:cs="Arial" w:eastAsia="Arial" w:hAnsi="Arial"/>
          <w:sz w:val="16"/>
          <w:szCs w:val="16"/>
          <w:color w:val="auto"/>
        </w:rPr>
      </w:pPr>
    </w:p>
    <w:p>
      <w:pPr>
        <w:ind w:firstLine="1305"/>
        <w:spacing w:after="0" w:line="277" w:lineRule="auto"/>
        <w:tabs>
          <w:tab w:leader="none" w:pos="2144" w:val="left"/>
        </w:tabs>
        <w:numPr>
          <w:ilvl w:val="0"/>
          <w:numId w:val="116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3.02(g)</w:t>
      </w:r>
      <w:r>
        <w:rPr>
          <w:rFonts w:ascii="Arial" w:cs="Arial" w:eastAsia="Arial" w:hAnsi="Arial"/>
          <w:sz w:val="18"/>
          <w:szCs w:val="18"/>
          <w:color w:val="auto"/>
        </w:rPr>
        <w:t>, any exercise of a Warrant pursuant to the terms of this Warrant Agreement shall be irrevocable and enforceable in accordance with its terms.</w:t>
      </w:r>
    </w:p>
    <w:p>
      <w:pPr>
        <w:spacing w:after="0" w:line="170" w:lineRule="exact"/>
        <w:rPr>
          <w:rFonts w:ascii="Arial" w:cs="Arial" w:eastAsia="Arial" w:hAnsi="Arial"/>
          <w:sz w:val="18"/>
          <w:szCs w:val="18"/>
          <w:color w:val="auto"/>
        </w:rPr>
      </w:pPr>
    </w:p>
    <w:p>
      <w:pPr>
        <w:ind w:left="2060" w:hanging="755"/>
        <w:spacing w:after="0"/>
        <w:tabs>
          <w:tab w:leader="none" w:pos="2060" w:val="left"/>
        </w:tabs>
        <w:numPr>
          <w:ilvl w:val="0"/>
          <w:numId w:val="1167"/>
        </w:numPr>
        <w:rPr>
          <w:rFonts w:ascii="Arial" w:cs="Arial" w:eastAsia="Arial" w:hAnsi="Arial"/>
          <w:sz w:val="18"/>
          <w:szCs w:val="18"/>
          <w:color w:val="auto"/>
        </w:rPr>
      </w:pPr>
      <w:r>
        <w:rPr>
          <w:rFonts w:ascii="Arial" w:cs="Arial" w:eastAsia="Arial" w:hAnsi="Arial"/>
          <w:sz w:val="18"/>
          <w:szCs w:val="18"/>
          <w:color w:val="auto"/>
        </w:rPr>
        <w:t>A Beneficial Owner may only exercise 100% of all Warrant(s) it holds on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04" w:name="page1105"/>
    <w:bookmarkEnd w:id="1104"/>
    <w:p>
      <w:pPr>
        <w:jc w:val="both"/>
        <w:ind w:firstLine="1305"/>
        <w:spacing w:after="0" w:line="270" w:lineRule="auto"/>
        <w:tabs>
          <w:tab w:leader="none" w:pos="2050" w:val="left"/>
        </w:tabs>
        <w:numPr>
          <w:ilvl w:val="0"/>
          <w:numId w:val="1168"/>
        </w:numPr>
        <w:rPr>
          <w:rFonts w:ascii="Arial" w:cs="Arial" w:eastAsia="Arial" w:hAnsi="Arial"/>
          <w:sz w:val="17"/>
          <w:szCs w:val="17"/>
          <w:color w:val="auto"/>
        </w:rPr>
      </w:pPr>
      <w:r>
        <w:rPr>
          <w:rFonts w:ascii="Arial" w:cs="Arial" w:eastAsia="Arial" w:hAnsi="Arial"/>
          <w:sz w:val="17"/>
          <w:szCs w:val="17"/>
          <w:color w:val="auto"/>
        </w:rPr>
        <w:t>All funds received by the Warrant Agent under this Warrant Agreement that are to be distributed or applied by the Warrant Agent in the performance of services in accordance with this Warrant Agreement (the “</w:t>
      </w:r>
      <w:r>
        <w:rPr>
          <w:rFonts w:ascii="Arial" w:cs="Arial" w:eastAsia="Arial" w:hAnsi="Arial"/>
          <w:sz w:val="17"/>
          <w:szCs w:val="17"/>
          <w:b w:val="1"/>
          <w:bCs w:val="1"/>
          <w:color w:val="auto"/>
        </w:rPr>
        <w:t>Funds</w:t>
      </w:r>
      <w:r>
        <w:rPr>
          <w:rFonts w:ascii="Arial" w:cs="Arial" w:eastAsia="Arial" w:hAnsi="Arial"/>
          <w:sz w:val="17"/>
          <w:szCs w:val="17"/>
          <w:color w:val="auto"/>
        </w:rPr>
        <w:t>”) shall be held by the Warrant Agent as agent for the Company and deposited in one or more bank accounts to be maintained by the Warrant Agent in its name as agent for the Company (the “</w:t>
      </w:r>
      <w:r>
        <w:rPr>
          <w:rFonts w:ascii="Arial" w:cs="Arial" w:eastAsia="Arial" w:hAnsi="Arial"/>
          <w:sz w:val="17"/>
          <w:szCs w:val="17"/>
          <w:b w:val="1"/>
          <w:bCs w:val="1"/>
          <w:color w:val="auto"/>
        </w:rPr>
        <w:t>Funds Account</w:t>
      </w:r>
      <w:r>
        <w:rPr>
          <w:rFonts w:ascii="Arial" w:cs="Arial" w:eastAsia="Arial" w:hAnsi="Arial"/>
          <w:sz w:val="17"/>
          <w:szCs w:val="17"/>
          <w:color w:val="auto"/>
        </w:rPr>
        <w:t>”). Until paid pursuant to the terms of this Warrant Agreement, the Warrant Agent will hold the Funds through the Funds Account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Warrant Agent shall have no responsibility or liability for any diminution of the Funds that may result from any deposit made by the Warrant Agent in accordance with this paragraph, including any losses resulting from a default by any bank, financial institution or other third party. the Warrant Agent may from time to time receive interest, dividends or other earnings in connection with such deposits. The Warrant Agent shall not be obligated to pay such interest, dividends or earnings to the Company, any Beneficial Owner or any other party.</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2178" w:val="left"/>
        </w:tabs>
        <w:numPr>
          <w:ilvl w:val="0"/>
          <w:numId w:val="1168"/>
        </w:numPr>
        <w:rPr>
          <w:rFonts w:ascii="Arial" w:cs="Arial" w:eastAsia="Arial" w:hAnsi="Arial"/>
          <w:sz w:val="17"/>
          <w:szCs w:val="17"/>
          <w:color w:val="auto"/>
        </w:rPr>
      </w:pPr>
      <w:r>
        <w:rPr>
          <w:rFonts w:ascii="Arial" w:cs="Arial" w:eastAsia="Arial" w:hAnsi="Arial"/>
          <w:sz w:val="17"/>
          <w:szCs w:val="17"/>
          <w:color w:val="auto"/>
        </w:rPr>
        <w:t>The Company shall assist and cooperate with any Beneficial Owner required to make any governmental filings or obtain any governmental approvals prior to or in connection with any exercise of a Warrant (including, without limitation, making any filings required to be made by the Company), and any exercise of a Warrant may be made contingent upon the making of any such filing and the receipt of such approval.</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114" w:val="left"/>
        </w:tabs>
        <w:numPr>
          <w:ilvl w:val="0"/>
          <w:numId w:val="1168"/>
        </w:numPr>
        <w:rPr>
          <w:rFonts w:ascii="Arial" w:cs="Arial" w:eastAsia="Arial" w:hAnsi="Arial"/>
          <w:sz w:val="18"/>
          <w:szCs w:val="18"/>
          <w:color w:val="auto"/>
        </w:rPr>
      </w:pPr>
      <w:r>
        <w:rPr>
          <w:rFonts w:ascii="Arial" w:cs="Arial" w:eastAsia="Arial" w:hAnsi="Arial"/>
          <w:sz w:val="18"/>
          <w:szCs w:val="18"/>
          <w:color w:val="auto"/>
        </w:rPr>
        <w:t>Notwithstanding any other provision of this Warrant Agreement, if the exercise of a Warrant is to be made in connection with a Liquidity Event, such exercise may, at the election of the Beneficial Owner, be conditioned upon consummation of such transaction or event in which case such exercise shall not be deemed effective until the consummation of such transaction or event.</w:t>
      </w:r>
    </w:p>
    <w:p>
      <w:pPr>
        <w:spacing w:after="0" w:line="181" w:lineRule="exact"/>
        <w:rPr>
          <w:rFonts w:ascii="Arial" w:cs="Arial" w:eastAsia="Arial" w:hAnsi="Arial"/>
          <w:sz w:val="18"/>
          <w:szCs w:val="18"/>
          <w:color w:val="auto"/>
        </w:rPr>
      </w:pPr>
    </w:p>
    <w:p>
      <w:pPr>
        <w:ind w:right="20" w:firstLine="1305"/>
        <w:spacing w:after="0" w:line="277" w:lineRule="auto"/>
        <w:tabs>
          <w:tab w:leader="none" w:pos="2262" w:val="left"/>
        </w:tabs>
        <w:numPr>
          <w:ilvl w:val="0"/>
          <w:numId w:val="1168"/>
        </w:numPr>
        <w:rPr>
          <w:rFonts w:ascii="Arial" w:cs="Arial" w:eastAsia="Arial" w:hAnsi="Arial"/>
          <w:sz w:val="18"/>
          <w:szCs w:val="18"/>
          <w:color w:val="auto"/>
        </w:rPr>
      </w:pPr>
      <w:r>
        <w:rPr>
          <w:rFonts w:ascii="Arial" w:cs="Arial" w:eastAsia="Arial" w:hAnsi="Arial"/>
          <w:sz w:val="18"/>
          <w:szCs w:val="18"/>
          <w:color w:val="auto"/>
        </w:rPr>
        <w:t>The Warrant Agent shall forward funds deposited in the Funds Account in a given month by the fifth Business Day of the following month by wire transfer to an account designated by the Company.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20" w:val="left"/>
        </w:tabs>
        <w:numPr>
          <w:ilvl w:val="0"/>
          <w:numId w:val="1168"/>
        </w:numPr>
        <w:rPr>
          <w:rFonts w:ascii="Arial" w:cs="Arial" w:eastAsia="Arial" w:hAnsi="Arial"/>
          <w:sz w:val="18"/>
          <w:szCs w:val="18"/>
          <w:color w:val="auto"/>
        </w:rPr>
      </w:pPr>
      <w:r>
        <w:rPr>
          <w:rFonts w:ascii="Arial" w:cs="Arial" w:eastAsia="Arial" w:hAnsi="Arial"/>
          <w:sz w:val="18"/>
          <w:szCs w:val="18"/>
          <w:color w:val="auto"/>
        </w:rPr>
        <w:t>The Company hereby instructs the Warrant Agent to record tax basis for newly issued Ordinary Shares as follows: the tax basis of each newly issued Ordinary Share equals the tax basis of the exercised Warrant plus the applicable Exercise Price. The Company shall provide to the Warrant Agent a completed Internal Revenue Service Form 8937 no later than 90 days after the Closing Date.</w:t>
      </w:r>
    </w:p>
    <w:p>
      <w:pPr>
        <w:spacing w:after="0" w:line="181" w:lineRule="exact"/>
        <w:rPr>
          <w:rFonts w:ascii="Arial" w:cs="Arial" w:eastAsia="Arial" w:hAnsi="Arial"/>
          <w:sz w:val="18"/>
          <w:szCs w:val="18"/>
          <w:color w:val="auto"/>
        </w:rPr>
      </w:pPr>
    </w:p>
    <w:p>
      <w:pPr>
        <w:jc w:val="both"/>
        <w:ind w:right="20" w:firstLine="1305"/>
        <w:spacing w:after="0" w:line="286" w:lineRule="auto"/>
        <w:tabs>
          <w:tab w:leader="none" w:pos="2060" w:val="left"/>
        </w:tabs>
        <w:numPr>
          <w:ilvl w:val="0"/>
          <w:numId w:val="1168"/>
        </w:numPr>
        <w:rPr>
          <w:rFonts w:ascii="Arial" w:cs="Arial" w:eastAsia="Arial" w:hAnsi="Arial"/>
          <w:sz w:val="17"/>
          <w:szCs w:val="17"/>
          <w:color w:val="auto"/>
        </w:rPr>
      </w:pPr>
      <w:r>
        <w:rPr>
          <w:rFonts w:ascii="Arial" w:cs="Arial" w:eastAsia="Arial" w:hAnsi="Arial"/>
          <w:sz w:val="17"/>
          <w:szCs w:val="17"/>
          <w:color w:val="auto"/>
        </w:rPr>
        <w:t>Payment of the Exercise Price by or on behalf of a Beneficial Owner upon exercise of Warrants shall be by federal wire or other immediately available funds payable to the order of the Company to the account maintained by the Warrant Agent in its name as agent for the Company. The Warrant Agent shall provide an exercising Beneficial Owner, upon request, with the appropriate payment instructions.</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Settlement of Warrants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17"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On the Settlement Date for such Warrant, the Company shall cause to be delivered to the Beneficial Owner one Ordinary Share (the “</w:t>
      </w:r>
      <w:r>
        <w:rPr>
          <w:rFonts w:ascii="Arial" w:cs="Arial" w:eastAsia="Arial" w:hAnsi="Arial"/>
          <w:sz w:val="18"/>
          <w:szCs w:val="18"/>
          <w:b w:val="1"/>
          <w:bCs w:val="1"/>
          <w:color w:val="auto"/>
        </w:rPr>
        <w:t>Full Physical Share Amount</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5" w:name="page1106"/>
    <w:bookmarkEnd w:id="1105"/>
    <w:p>
      <w:pPr>
        <w:ind w:firstLine="1305"/>
        <w:spacing w:after="0" w:line="277" w:lineRule="auto"/>
        <w:tabs>
          <w:tab w:leader="none" w:pos="2060" w:val="left"/>
        </w:tabs>
        <w:numPr>
          <w:ilvl w:val="0"/>
          <w:numId w:val="1170"/>
        </w:numPr>
        <w:rPr>
          <w:rFonts w:ascii="Arial" w:cs="Arial" w:eastAsia="Arial" w:hAnsi="Arial"/>
          <w:sz w:val="18"/>
          <w:szCs w:val="18"/>
          <w:color w:val="auto"/>
        </w:rPr>
      </w:pPr>
      <w:r>
        <w:rPr>
          <w:rFonts w:ascii="Arial" w:cs="Arial" w:eastAsia="Arial" w:hAnsi="Arial"/>
          <w:sz w:val="18"/>
          <w:szCs w:val="18"/>
          <w:color w:val="auto"/>
        </w:rPr>
        <w:t>An exercising Beneficial Owner shall be entitled to receive from the Company, for each Warrant exercised, a number of Ordinary Shares equal to the Full Physical Share Amount in exchange for payment by the Beneficial Owner of the Exercise Price.</w:t>
      </w:r>
    </w:p>
    <w:p>
      <w:pPr>
        <w:spacing w:after="0" w:line="170" w:lineRule="exact"/>
        <w:rPr>
          <w:rFonts w:ascii="Arial" w:cs="Arial" w:eastAsia="Arial" w:hAnsi="Arial"/>
          <w:sz w:val="18"/>
          <w:szCs w:val="18"/>
          <w:color w:val="auto"/>
        </w:rPr>
      </w:pPr>
    </w:p>
    <w:p>
      <w:pPr>
        <w:ind w:firstLine="1305"/>
        <w:spacing w:after="0" w:line="342" w:lineRule="auto"/>
        <w:tabs>
          <w:tab w:leader="none" w:pos="2144" w:val="left"/>
        </w:tabs>
        <w:numPr>
          <w:ilvl w:val="0"/>
          <w:numId w:val="1170"/>
        </w:numPr>
        <w:rPr>
          <w:rFonts w:ascii="Arial" w:cs="Arial" w:eastAsia="Arial" w:hAnsi="Arial"/>
          <w:sz w:val="16"/>
          <w:szCs w:val="16"/>
          <w:color w:val="auto"/>
        </w:rPr>
      </w:pPr>
      <w:r>
        <w:rPr>
          <w:rFonts w:ascii="Arial" w:cs="Arial" w:eastAsia="Arial" w:hAnsi="Arial"/>
          <w:sz w:val="16"/>
          <w:szCs w:val="16"/>
          <w:color w:val="auto"/>
        </w:rPr>
        <w:t>In the case of a dispute as to the determination of the Exercise Price or the arithmetic calculation of the Ordinary Shares to be delivered to a Beneficial Owner, the Company shall promptly issue to the applicable Beneficial Owner the number of Ordinary Shares that are not disputed.</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Delivery of Ordinary Shares</w:t>
      </w:r>
      <w:r>
        <w:rPr>
          <w:rFonts w:ascii="Arial" w:cs="Arial" w:eastAsia="Arial" w:hAnsi="Arial"/>
          <w:sz w:val="16"/>
          <w:szCs w:val="16"/>
          <w:color w:val="auto"/>
        </w:rPr>
        <w:t>.</w:t>
      </w:r>
    </w:p>
    <w:p>
      <w:pPr>
        <w:spacing w:after="0" w:line="225" w:lineRule="exact"/>
        <w:rPr>
          <w:sz w:val="20"/>
          <w:szCs w:val="20"/>
          <w:color w:val="auto"/>
        </w:rPr>
      </w:pPr>
    </w:p>
    <w:p>
      <w:pPr>
        <w:ind w:left="2040" w:hanging="735"/>
        <w:spacing w:after="0"/>
        <w:tabs>
          <w:tab w:leader="none" w:pos="2040" w:val="left"/>
        </w:tabs>
        <w:numPr>
          <w:ilvl w:val="0"/>
          <w:numId w:val="1171"/>
        </w:numPr>
        <w:rPr>
          <w:rFonts w:ascii="Arial" w:cs="Arial" w:eastAsia="Arial" w:hAnsi="Arial"/>
          <w:sz w:val="16"/>
          <w:szCs w:val="16"/>
          <w:color w:val="auto"/>
        </w:rPr>
      </w:pPr>
      <w:r>
        <w:rPr>
          <w:rFonts w:ascii="Arial" w:cs="Arial" w:eastAsia="Arial" w:hAnsi="Arial"/>
          <w:sz w:val="16"/>
          <w:szCs w:val="16"/>
          <w:color w:val="auto"/>
        </w:rPr>
        <w:t xml:space="preserve">In connection with the delivery of Ordinary Shares to a Beneficial Owner pursuant to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the Warrant Agent shall:</w:t>
      </w:r>
    </w:p>
    <w:p>
      <w:pPr>
        <w:spacing w:after="0" w:line="248" w:lineRule="exact"/>
        <w:rPr>
          <w:rFonts w:ascii="Arial" w:cs="Arial" w:eastAsia="Arial" w:hAnsi="Arial"/>
          <w:sz w:val="16"/>
          <w:szCs w:val="16"/>
          <w:color w:val="auto"/>
        </w:rPr>
      </w:pPr>
    </w:p>
    <w:p>
      <w:pPr>
        <w:ind w:left="2760" w:hanging="756"/>
        <w:spacing w:after="0"/>
        <w:tabs>
          <w:tab w:leader="none" w:pos="2760" w:val="left"/>
        </w:tabs>
        <w:numPr>
          <w:ilvl w:val="1"/>
          <w:numId w:val="1171"/>
        </w:numPr>
        <w:rPr>
          <w:rFonts w:ascii="Arial" w:cs="Arial" w:eastAsia="Arial" w:hAnsi="Arial"/>
          <w:sz w:val="18"/>
          <w:szCs w:val="18"/>
          <w:color w:val="auto"/>
        </w:rPr>
      </w:pPr>
      <w:r>
        <w:rPr>
          <w:rFonts w:ascii="Arial" w:cs="Arial" w:eastAsia="Arial" w:hAnsi="Arial"/>
          <w:sz w:val="18"/>
          <w:szCs w:val="18"/>
          <w:color w:val="auto"/>
        </w:rPr>
        <w:t>promptly deposit in the Funds Account all Funds received in payment of the applicable Exercise Price;</w:t>
      </w:r>
    </w:p>
    <w:p>
      <w:pPr>
        <w:spacing w:after="0" w:line="225" w:lineRule="exact"/>
        <w:rPr>
          <w:rFonts w:ascii="Arial" w:cs="Arial" w:eastAsia="Arial" w:hAnsi="Arial"/>
          <w:sz w:val="18"/>
          <w:szCs w:val="18"/>
          <w:color w:val="auto"/>
        </w:rPr>
      </w:pPr>
    </w:p>
    <w:p>
      <w:pPr>
        <w:ind w:left="660" w:firstLine="1344"/>
        <w:spacing w:after="0" w:line="308" w:lineRule="auto"/>
        <w:tabs>
          <w:tab w:leader="none" w:pos="2893" w:val="left"/>
        </w:tabs>
        <w:numPr>
          <w:ilvl w:val="1"/>
          <w:numId w:val="1171"/>
        </w:numPr>
        <w:rPr>
          <w:rFonts w:ascii="Arial" w:cs="Arial" w:eastAsia="Arial" w:hAnsi="Arial"/>
          <w:sz w:val="17"/>
          <w:szCs w:val="17"/>
          <w:color w:val="auto"/>
        </w:rPr>
      </w:pPr>
      <w:r>
        <w:rPr>
          <w:rFonts w:ascii="Arial" w:cs="Arial" w:eastAsia="Arial" w:hAnsi="Arial"/>
          <w:sz w:val="17"/>
          <w:szCs w:val="17"/>
          <w:color w:val="auto"/>
        </w:rPr>
        <w:t>promptly cancel and destroy the applicable Global Warrant Certificate if all Warrants represented thereby have been exercised in full and deliver a certificate of destruction to the Company, unless the Company shall otherwise direct in writing; and</w:t>
      </w:r>
    </w:p>
    <w:p>
      <w:pPr>
        <w:spacing w:after="0" w:line="146" w:lineRule="exact"/>
        <w:rPr>
          <w:rFonts w:ascii="Arial" w:cs="Arial" w:eastAsia="Arial" w:hAnsi="Arial"/>
          <w:sz w:val="17"/>
          <w:szCs w:val="17"/>
          <w:color w:val="auto"/>
        </w:rPr>
      </w:pPr>
    </w:p>
    <w:p>
      <w:pPr>
        <w:ind w:left="660" w:firstLine="1344"/>
        <w:spacing w:after="0" w:line="277" w:lineRule="auto"/>
        <w:tabs>
          <w:tab w:leader="none" w:pos="2839" w:val="left"/>
        </w:tabs>
        <w:numPr>
          <w:ilvl w:val="1"/>
          <w:numId w:val="1171"/>
        </w:numPr>
        <w:rPr>
          <w:rFonts w:ascii="Arial" w:cs="Arial" w:eastAsia="Arial" w:hAnsi="Arial"/>
          <w:sz w:val="18"/>
          <w:szCs w:val="18"/>
          <w:color w:val="auto"/>
        </w:rPr>
      </w:pPr>
      <w:r>
        <w:rPr>
          <w:rFonts w:ascii="Arial" w:cs="Arial" w:eastAsia="Arial" w:hAnsi="Arial"/>
          <w:sz w:val="18"/>
          <w:szCs w:val="18"/>
          <w:color w:val="auto"/>
        </w:rPr>
        <w:t xml:space="preserve">if all Warrants represented by a Global Warrant Certificate shall not have been exercised in full, note and authenticate such decrease in the Number of Warrants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such Global Warrant Certificate.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46" w:val="left"/>
        </w:tabs>
        <w:numPr>
          <w:ilvl w:val="0"/>
          <w:numId w:val="1171"/>
        </w:numPr>
        <w:rPr>
          <w:rFonts w:ascii="Arial" w:cs="Arial" w:eastAsia="Arial" w:hAnsi="Arial"/>
          <w:sz w:val="18"/>
          <w:szCs w:val="18"/>
          <w:color w:val="auto"/>
        </w:rPr>
      </w:pPr>
      <w:r>
        <w:rPr>
          <w:rFonts w:ascii="Arial" w:cs="Arial" w:eastAsia="Arial" w:hAnsi="Arial"/>
          <w:sz w:val="18"/>
          <w:szCs w:val="18"/>
          <w:color w:val="auto"/>
        </w:rPr>
        <w:t>With respect to each properly exercised Warrant in accordance with this Warrant Agreement, the Company shall cause its transfer agent to issue, in book-entry form at the transfer agent or through the Depository, the Ordinary Shares due in connection with such exercise for the benefit and in the name of the Person designated by the Beneficial Owner submitting the applicable Exercise Notice. The Person on whose behalf and in whose name any Ordinary Shares are registered shall for all purposes be deemed to have become the holder of record of such Ordinary Shares as of the Close of Business on the applicable Exercise Date.</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2050" w:val="left"/>
        </w:tabs>
        <w:numPr>
          <w:ilvl w:val="0"/>
          <w:numId w:val="1171"/>
        </w:numPr>
        <w:rPr>
          <w:rFonts w:ascii="Arial" w:cs="Arial" w:eastAsia="Arial" w:hAnsi="Arial"/>
          <w:sz w:val="18"/>
          <w:szCs w:val="18"/>
          <w:color w:val="auto"/>
        </w:rPr>
      </w:pPr>
      <w:r>
        <w:rPr>
          <w:rFonts w:ascii="Arial" w:cs="Arial" w:eastAsia="Arial" w:hAnsi="Arial"/>
          <w:sz w:val="18"/>
          <w:szCs w:val="18"/>
          <w:color w:val="auto"/>
        </w:rPr>
        <w:t xml:space="preserve">Each Person in whose name any Ordinary Shares are issued shall for all purposes be deemed to have become the holder of record of such shares as of the date of payment by the Beneficial Owner of the Exercise Price in accordance with </w:t>
      </w:r>
      <w:r>
        <w:rPr>
          <w:rFonts w:ascii="Arial" w:cs="Arial" w:eastAsia="Arial" w:hAnsi="Arial"/>
          <w:sz w:val="18"/>
          <w:szCs w:val="18"/>
          <w:u w:val="single" w:color="auto"/>
          <w:color w:val="auto"/>
        </w:rPr>
        <w:t>Section 3.03(a)</w:t>
      </w:r>
      <w:r>
        <w:rPr>
          <w:rFonts w:ascii="Arial" w:cs="Arial" w:eastAsia="Arial" w:hAnsi="Arial"/>
          <w:sz w:val="18"/>
          <w:szCs w:val="18"/>
          <w:color w:val="auto"/>
        </w:rPr>
        <w:t>. The Company shall not close its books against the Transfer of a Warrant or any Ordinary Share issued or issuable upon the exercise of a Warrant in any manner which interferes with the timely exercise of a Warrant.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249" w:val="left"/>
        </w:tabs>
        <w:numPr>
          <w:ilvl w:val="0"/>
          <w:numId w:val="1171"/>
        </w:numPr>
        <w:rPr>
          <w:rFonts w:ascii="Arial" w:cs="Arial" w:eastAsia="Arial" w:hAnsi="Arial"/>
          <w:sz w:val="18"/>
          <w:szCs w:val="18"/>
          <w:color w:val="auto"/>
        </w:rPr>
      </w:pPr>
      <w:r>
        <w:rPr>
          <w:rFonts w:ascii="Arial" w:cs="Arial" w:eastAsia="Arial" w:hAnsi="Arial"/>
          <w:sz w:val="18"/>
          <w:szCs w:val="18"/>
          <w:color w:val="auto"/>
        </w:rPr>
        <w:t xml:space="preserve">Promptly after the Warrant Agent shall have taken the action required by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at such later time as may be mutually agreeable to the Company and the Warrant Agent), the Warrant Agent shall account to the Company with respect to any Warrants exercised (including, without limitation, with respect to any Exercise Price paid to the Warrant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06" w:name="page1107"/>
    <w:bookmarkEnd w:id="1106"/>
    <w:p>
      <w:pPr>
        <w:jc w:val="both"/>
        <w:ind w:firstLine="1305"/>
        <w:spacing w:after="0" w:line="255" w:lineRule="auto"/>
        <w:tabs>
          <w:tab w:leader="none" w:pos="2063" w:val="left"/>
        </w:tabs>
        <w:numPr>
          <w:ilvl w:val="0"/>
          <w:numId w:val="1172"/>
        </w:numPr>
        <w:rPr>
          <w:rFonts w:ascii="Arial" w:cs="Arial" w:eastAsia="Arial" w:hAnsi="Arial"/>
          <w:sz w:val="18"/>
          <w:szCs w:val="18"/>
          <w:color w:val="auto"/>
        </w:rPr>
      </w:pPr>
      <w:r>
        <w:rPr>
          <w:rFonts w:ascii="Arial" w:cs="Arial" w:eastAsia="Arial" w:hAnsi="Arial"/>
          <w:sz w:val="18"/>
          <w:szCs w:val="18"/>
          <w:color w:val="auto"/>
        </w:rPr>
        <w:t>All Ordinary Shares issuable upon exercise of a Warrant will be duly and validly issued, fully paid and nonassessable and will be free of restrictions on transfer, other than restrictions on transfer under the Charter or any agreement between a Beneficial Owner and the Company and under applicable state and federal securities laws, and will be free from all taxes, liens and charges in respect of the issue thereof (other than taxes in respect of any transfer occurring contemporaneously or otherwise specified herein). The Company shall use its best efforts to take all such actions as may be necessary to ensure that all such Ordinary Shares may be so issued without violation of any applicable law or governmental regulation or any requirements of any domestic stock exchange upon which Ordinary Shares may be listed (except for official notice of issuance which shall be immediately delivered by the Company upon each such issuance).</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No Fractional Warrants or of an Ordinary Shares to Be Issued</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7" w:lineRule="auto"/>
        <w:tabs>
          <w:tab w:leader="none" w:pos="2063"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Warrant Agreement, the Company shall not issue any fraction of a Warrant or of an Ordinary Share upon exercise of any Warrants and any fractions will be rounded down to the nearest whole number.</w:t>
      </w:r>
    </w:p>
    <w:p>
      <w:pPr>
        <w:spacing w:after="0" w:line="170" w:lineRule="exact"/>
        <w:rPr>
          <w:rFonts w:ascii="Arial" w:cs="Arial" w:eastAsia="Arial" w:hAnsi="Arial"/>
          <w:sz w:val="18"/>
          <w:szCs w:val="18"/>
          <w:color w:val="auto"/>
        </w:rPr>
      </w:pPr>
    </w:p>
    <w:p>
      <w:pPr>
        <w:ind w:firstLine="1305"/>
        <w:spacing w:after="0" w:line="277" w:lineRule="auto"/>
        <w:tabs>
          <w:tab w:leader="none" w:pos="2208"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Each Beneficial Owner, by its acceptance of an interest in a Warrant, expressly waives its right to receive any fraction of an Ordinary Share or a stock certificate representing a fraction of an Ordinary Share upon its exercise of such Warrant.</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Obligations of the Warrant Agent</w:t>
      </w:r>
      <w:r>
        <w:rPr>
          <w:rFonts w:ascii="Arial" w:cs="Arial" w:eastAsia="Arial" w:hAnsi="Arial"/>
          <w:sz w:val="16"/>
          <w:szCs w:val="16"/>
          <w:color w:val="auto"/>
        </w:rPr>
        <w:t>. The Warrant Agent shall:</w:t>
      </w:r>
    </w:p>
    <w:p>
      <w:pPr>
        <w:spacing w:after="0" w:line="225" w:lineRule="exact"/>
        <w:rPr>
          <w:sz w:val="20"/>
          <w:szCs w:val="20"/>
          <w:color w:val="auto"/>
        </w:rPr>
      </w:pPr>
    </w:p>
    <w:p>
      <w:pPr>
        <w:ind w:firstLine="1305"/>
        <w:spacing w:after="0" w:line="308" w:lineRule="auto"/>
        <w:tabs>
          <w:tab w:leader="none" w:pos="2090" w:val="left"/>
        </w:tabs>
        <w:numPr>
          <w:ilvl w:val="0"/>
          <w:numId w:val="1174"/>
        </w:numPr>
        <w:rPr>
          <w:rFonts w:ascii="Arial" w:cs="Arial" w:eastAsia="Arial" w:hAnsi="Arial"/>
          <w:sz w:val="17"/>
          <w:szCs w:val="17"/>
          <w:color w:val="auto"/>
        </w:rPr>
      </w:pPr>
      <w:r>
        <w:rPr>
          <w:rFonts w:ascii="Arial" w:cs="Arial" w:eastAsia="Arial" w:hAnsi="Arial"/>
          <w:sz w:val="17"/>
          <w:szCs w:val="17"/>
          <w:color w:val="auto"/>
        </w:rPr>
        <w:t>examine all Exercise Notices and all other documents delivered to it by or on behalf of a Beneficial Owner to ascertain whether, on their face, such Exercise Notices and any such other documents have been executed and completed in accordance with their terms;</w:t>
      </w:r>
    </w:p>
    <w:p>
      <w:pPr>
        <w:spacing w:after="0" w:line="146" w:lineRule="exact"/>
        <w:rPr>
          <w:rFonts w:ascii="Arial" w:cs="Arial" w:eastAsia="Arial" w:hAnsi="Arial"/>
          <w:sz w:val="17"/>
          <w:szCs w:val="17"/>
          <w:color w:val="auto"/>
        </w:rPr>
      </w:pPr>
    </w:p>
    <w:p>
      <w:pPr>
        <w:jc w:val="both"/>
        <w:ind w:firstLine="1305"/>
        <w:spacing w:after="0" w:line="286" w:lineRule="auto"/>
        <w:tabs>
          <w:tab w:leader="none" w:pos="2141" w:val="left"/>
        </w:tabs>
        <w:numPr>
          <w:ilvl w:val="0"/>
          <w:numId w:val="1174"/>
        </w:numPr>
        <w:rPr>
          <w:rFonts w:ascii="Arial" w:cs="Arial" w:eastAsia="Arial" w:hAnsi="Arial"/>
          <w:sz w:val="17"/>
          <w:szCs w:val="17"/>
          <w:color w:val="auto"/>
        </w:rPr>
      </w:pPr>
      <w:r>
        <w:rPr>
          <w:rFonts w:ascii="Arial" w:cs="Arial" w:eastAsia="Arial" w:hAnsi="Arial"/>
          <w:sz w:val="17"/>
          <w:szCs w:val="17"/>
          <w:color w:val="auto"/>
        </w:rPr>
        <w:t>where an Exercise Notice or other document appears on its face to have been improperly completed or executed or some other irregularity in connection with the exercise of the Warrant exists, the Warrant Agent shall endeavor to inform the appropriate parties (including the Person submitting such instrument) of the need for fulfillment of all requirements, specifying those requirements which appear to be unfulfilled;</w:t>
      </w:r>
    </w:p>
    <w:p>
      <w:pPr>
        <w:spacing w:after="0" w:line="165" w:lineRule="exact"/>
        <w:rPr>
          <w:rFonts w:ascii="Arial" w:cs="Arial" w:eastAsia="Arial" w:hAnsi="Arial"/>
          <w:sz w:val="17"/>
          <w:szCs w:val="17"/>
          <w:color w:val="auto"/>
        </w:rPr>
      </w:pPr>
    </w:p>
    <w:p>
      <w:pPr>
        <w:ind w:firstLine="1305"/>
        <w:spacing w:after="0" w:line="277" w:lineRule="auto"/>
        <w:tabs>
          <w:tab w:leader="none" w:pos="2306" w:val="left"/>
        </w:tabs>
        <w:numPr>
          <w:ilvl w:val="0"/>
          <w:numId w:val="1174"/>
        </w:numPr>
        <w:rPr>
          <w:rFonts w:ascii="Arial" w:cs="Arial" w:eastAsia="Arial" w:hAnsi="Arial"/>
          <w:sz w:val="18"/>
          <w:szCs w:val="18"/>
          <w:color w:val="auto"/>
        </w:rPr>
      </w:pPr>
      <w:r>
        <w:rPr>
          <w:rFonts w:ascii="Arial" w:cs="Arial" w:eastAsia="Arial" w:hAnsi="Arial"/>
          <w:sz w:val="18"/>
          <w:szCs w:val="18"/>
          <w:color w:val="auto"/>
        </w:rPr>
        <w:t>inform the Company of and cooperate with and assist the Company in resolving any reconciliation problems between the Exercise Notices received and delivery of Warrants to the Warrant Agent’s account;</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2141" w:val="left"/>
        </w:tabs>
        <w:numPr>
          <w:ilvl w:val="0"/>
          <w:numId w:val="1174"/>
        </w:numPr>
        <w:rPr>
          <w:rFonts w:ascii="Arial" w:cs="Arial" w:eastAsia="Arial" w:hAnsi="Arial"/>
          <w:sz w:val="16"/>
          <w:szCs w:val="16"/>
          <w:color w:val="auto"/>
        </w:rPr>
      </w:pPr>
      <w:r>
        <w:rPr>
          <w:rFonts w:ascii="Arial" w:cs="Arial" w:eastAsia="Arial" w:hAnsi="Arial"/>
          <w:sz w:val="16"/>
          <w:szCs w:val="16"/>
          <w:color w:val="auto"/>
        </w:rPr>
        <w:t xml:space="preserve">advise the Company with respect to an exercise, as promptly as practicable following the satisfaction of each of the applicable procedures for exercise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of (i) the receipt of such Exercise Notice and the number of Warrants exercised in accordance with the terms and conditions of this Warrant Agreement, (ii) the instructions with respect to issuance of the Ordinary Shares, subject to the timely receipt from the Depository of the necessary information, (iii) the number of Persons who will become holders of record of the Company (who were not previously holders of record) as a result of receiving Ordinary Shares upon exercise of the Warrants and (iv) such other information as the Company shall reasonably require;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7" w:name="page1108"/>
    <w:bookmarkEnd w:id="1107"/>
    <w:p>
      <w:pPr>
        <w:ind w:firstLine="1305"/>
        <w:spacing w:after="0" w:line="277" w:lineRule="auto"/>
        <w:tabs>
          <w:tab w:leader="none" w:pos="2185" w:val="left"/>
        </w:tabs>
        <w:numPr>
          <w:ilvl w:val="0"/>
          <w:numId w:val="1175"/>
        </w:numPr>
        <w:rPr>
          <w:rFonts w:ascii="Arial" w:cs="Arial" w:eastAsia="Arial" w:hAnsi="Arial"/>
          <w:sz w:val="18"/>
          <w:szCs w:val="18"/>
          <w:color w:val="auto"/>
        </w:rPr>
      </w:pPr>
      <w:r>
        <w:rPr>
          <w:rFonts w:ascii="Arial" w:cs="Arial" w:eastAsia="Arial" w:hAnsi="Arial"/>
          <w:sz w:val="18"/>
          <w:szCs w:val="18"/>
          <w:color w:val="auto"/>
        </w:rPr>
        <w:t>provide to the Company, upon the Company’s request, the number of Warrants previously exercised, the number of Ordinary Shares issued in connection with such exercises and the number of remaining Warrants.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Validity of Exercise</w:t>
      </w:r>
      <w:r>
        <w:rPr>
          <w:rFonts w:ascii="Arial" w:cs="Arial" w:eastAsia="Arial" w:hAnsi="Arial"/>
          <w:sz w:val="17"/>
          <w:szCs w:val="17"/>
          <w:color w:val="auto"/>
        </w:rPr>
        <w:t>. All questions as to the validity, form and sufficiency (including time of receipt) of a Warrant exercise shall be determined by the Company, which determination shall be final and binding with respect to the Warrant Agent. The Warrant Agent shall incur no liability for or in respect of and, except to the extent such liability arises from the Warrant Agent’s gross negligence, willful misconduct or bad faith (each as determined in a final non-appealable judgment by a court of competent jurisdiction), shall be indemnified and held harmless by the Company for acting or refraining from acting upon, or as a result of such determination by the Company. The Company reserves the absolute right to waive any of the conditions to the exercise of Warrants or defects in Exercise Notices with regard to any particular exercise of Warrants.</w:t>
      </w:r>
    </w:p>
    <w:p>
      <w:pPr>
        <w:spacing w:after="0" w:line="178"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Direction of Warrant Agent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104" w:val="left"/>
        </w:tabs>
        <w:numPr>
          <w:ilvl w:val="0"/>
          <w:numId w:val="1176"/>
        </w:numPr>
        <w:rPr>
          <w:rFonts w:ascii="Arial" w:cs="Arial" w:eastAsia="Arial" w:hAnsi="Arial"/>
          <w:sz w:val="18"/>
          <w:szCs w:val="18"/>
          <w:color w:val="auto"/>
        </w:rPr>
      </w:pPr>
      <w:r>
        <w:rPr>
          <w:rFonts w:ascii="Arial" w:cs="Arial" w:eastAsia="Arial" w:hAnsi="Arial"/>
          <w:sz w:val="18"/>
          <w:szCs w:val="18"/>
          <w:color w:val="auto"/>
        </w:rPr>
        <w:t xml:space="preserve">The Company shall be responsible for performing all calculations required in connection with the exercise and settlement of the Warrants and the payment or delivery, as the case may be, of Cash and/or Ordinary Shares as described in this </w:t>
      </w:r>
      <w:r>
        <w:rPr>
          <w:rFonts w:ascii="Arial" w:cs="Arial" w:eastAsia="Arial" w:hAnsi="Arial"/>
          <w:sz w:val="18"/>
          <w:szCs w:val="18"/>
          <w:u w:val="single" w:color="auto"/>
          <w:color w:val="auto"/>
        </w:rPr>
        <w:t>Article 3</w:t>
      </w:r>
      <w:r>
        <w:rPr>
          <w:rFonts w:ascii="Arial" w:cs="Arial" w:eastAsia="Arial" w:hAnsi="Arial"/>
          <w:sz w:val="18"/>
          <w:szCs w:val="18"/>
          <w:color w:val="auto"/>
        </w:rPr>
        <w:t>. In connection therewith, the Company shall provide prompt written notice to the Warrant Agent of the amount of Cash and the number of Ordinary Shares payable or deliverable, as the case may be, upon exercise and settlement of the Warrants.</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41" w:val="left"/>
        </w:tabs>
        <w:numPr>
          <w:ilvl w:val="0"/>
          <w:numId w:val="1176"/>
        </w:numPr>
        <w:rPr>
          <w:rFonts w:ascii="Arial" w:cs="Arial" w:eastAsia="Arial" w:hAnsi="Arial"/>
          <w:sz w:val="18"/>
          <w:szCs w:val="18"/>
          <w:color w:val="auto"/>
        </w:rPr>
      </w:pPr>
      <w:r>
        <w:rPr>
          <w:rFonts w:ascii="Arial" w:cs="Arial" w:eastAsia="Arial" w:hAnsi="Arial"/>
          <w:sz w:val="18"/>
          <w:szCs w:val="18"/>
          <w:color w:val="auto"/>
        </w:rPr>
        <w:t>Any Cash to be paid, or Ordinary Shares to be delivered, to a Beneficial Owner shall be delivered to the Warrant Agent by the Company (or, in the case of Ordinary Shares, by the transfer agent) no later than the Business Day immediately preceding the date such consideration is required to be delivered to such Beneficial Owner.</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185" w:val="left"/>
        </w:tabs>
        <w:numPr>
          <w:ilvl w:val="0"/>
          <w:numId w:val="1176"/>
        </w:numPr>
        <w:rPr>
          <w:rFonts w:ascii="Arial" w:cs="Arial" w:eastAsia="Arial" w:hAnsi="Arial"/>
          <w:sz w:val="18"/>
          <w:szCs w:val="18"/>
          <w:color w:val="auto"/>
        </w:rPr>
      </w:pPr>
      <w:r>
        <w:rPr>
          <w:rFonts w:ascii="Arial" w:cs="Arial" w:eastAsia="Arial" w:hAnsi="Arial"/>
          <w:sz w:val="18"/>
          <w:szCs w:val="18"/>
          <w:color w:val="auto"/>
        </w:rPr>
        <w:t xml:space="preserve">The Warrant Agent shall have no liability for any failure or delay in performing its duties hereunder caused by any failure or delay of the Company in providing such calculations or items to the Warrant Agent. The Warrant Agent shall not be accountable with respect to the validity or value (or the kind or amount) of any Ordinary Shares that may at any time be issued or delivered upon the exercise of any Warrant, and it makes no representation with respect thereto. The Warrant Agent shall not be responsible, to the extent not arising from the Warrant Agent’s gross negligence, willful misconduct or bad faith (each as determined in a final non-appealable judgment by a court of competent jurisdiction), for any failure of the Company to make any Cash payment or to issue, transfer or deliver any Ordinary Shares or stock certificates, or to comply with any of the covenants of the Company contained in this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8" w:name="page1109"/>
    <w:bookmarkEnd w:id="1108"/>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Adjustments</w:t>
      </w:r>
    </w:p>
    <w:p>
      <w:pPr>
        <w:spacing w:after="0" w:line="22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After the date on which the Warrants are first issued and while any Warrants remain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unexpired, the Exercise Price for the Warrants shall be subject to adjustment upon the occurrence of the event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211" w:lineRule="exact"/>
        <w:rPr>
          <w:sz w:val="20"/>
          <w:szCs w:val="20"/>
          <w:color w:val="auto"/>
        </w:rPr>
      </w:pPr>
    </w:p>
    <w:p>
      <w:pPr>
        <w:jc w:val="both"/>
        <w:ind w:firstLine="1305"/>
        <w:spacing w:after="0" w:line="264" w:lineRule="auto"/>
        <w:tabs>
          <w:tab w:leader="none" w:pos="2144" w:val="left"/>
        </w:tabs>
        <w:numPr>
          <w:ilvl w:val="0"/>
          <w:numId w:val="1177"/>
        </w:numPr>
        <w:rPr>
          <w:rFonts w:ascii="Arial" w:cs="Arial" w:eastAsia="Arial" w:hAnsi="Arial"/>
          <w:sz w:val="18"/>
          <w:szCs w:val="18"/>
          <w:color w:val="auto"/>
        </w:rPr>
      </w:pPr>
      <w:r>
        <w:rPr>
          <w:rFonts w:ascii="Arial" w:cs="Arial" w:eastAsia="Arial" w:hAnsi="Arial"/>
          <w:sz w:val="18"/>
          <w:szCs w:val="18"/>
          <w:color w:val="auto"/>
        </w:rPr>
        <w:t>The issuance of Ordinary Shares as a dividend or distribution to all holders of Ordinary Shares, or a subdivision, combination, split, reverse split or reclassification of the outstanding Ordinary Shares into a greater or smaller number of shares, in which event the Exercise Price shall be adjusted based on the following formula:</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tcPr>
          <w:p>
            <w:pPr>
              <w:jc w:val="center"/>
              <w:ind w:right="9370"/>
              <w:spacing w:after="0"/>
              <w:rPr>
                <w:sz w:val="20"/>
                <w:szCs w:val="20"/>
                <w:color w:val="auto"/>
              </w:rPr>
            </w:pPr>
            <w:r>
              <w:rPr>
                <w:rFonts w:ascii="Arial" w:cs="Arial" w:eastAsia="Arial" w:hAnsi="Arial"/>
                <w:sz w:val="18"/>
                <w:szCs w:val="18"/>
                <w:color w:val="auto"/>
                <w:w w:val="95"/>
              </w:rPr>
              <w:t>N0</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9"/>
              </w:rPr>
              <w:t>E1 = E0 x</w:t>
            </w:r>
          </w:p>
        </w:tc>
        <w:tc>
          <w:tcPr>
            <w:tcW w:w="9920" w:type="dxa"/>
            <w:vAlign w:val="bottom"/>
          </w:tcPr>
          <w:p>
            <w:pPr>
              <w:jc w:val="center"/>
              <w:ind w:right="9390"/>
              <w:spacing w:after="0"/>
              <w:rPr>
                <w:sz w:val="20"/>
                <w:szCs w:val="20"/>
                <w:color w:val="auto"/>
              </w:rPr>
            </w:pPr>
            <w:r>
              <w:rPr>
                <w:rFonts w:ascii="Arial" w:cs="Arial" w:eastAsia="Arial" w:hAnsi="Arial"/>
                <w:sz w:val="18"/>
                <w:szCs w:val="18"/>
                <w:color w:val="auto"/>
                <w:w w:val="99"/>
              </w:rPr>
              <w:t>------</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tcPr>
          <w:p>
            <w:pPr>
              <w:jc w:val="center"/>
              <w:ind w:right="9370"/>
              <w:spacing w:after="0"/>
              <w:rPr>
                <w:sz w:val="20"/>
                <w:szCs w:val="20"/>
                <w:color w:val="auto"/>
              </w:rPr>
            </w:pPr>
            <w:r>
              <w:rPr>
                <w:rFonts w:ascii="Arial" w:cs="Arial" w:eastAsia="Arial" w:hAnsi="Arial"/>
                <w:sz w:val="18"/>
                <w:szCs w:val="18"/>
                <w:color w:val="auto"/>
                <w:w w:val="95"/>
              </w:rPr>
              <w:t>N1</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22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419"/>
        </w:trPr>
        <w:tc>
          <w:tcPr>
            <w:tcW w:w="580" w:type="dxa"/>
            <w:vAlign w:val="bottom"/>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30"/>
                <w:szCs w:val="30"/>
                <w:color w:val="auto"/>
                <w:vertAlign w:val="sub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920" w:type="dxa"/>
            <w:vAlign w:val="bottom"/>
          </w:tcPr>
          <w:p>
            <w:pPr>
              <w:ind w:left="500"/>
              <w:spacing w:after="0"/>
              <w:rPr>
                <w:sz w:val="20"/>
                <w:szCs w:val="20"/>
                <w:color w:val="auto"/>
              </w:rPr>
            </w:pPr>
            <w:r>
              <w:rPr>
                <w:rFonts w:ascii="Arial" w:cs="Arial" w:eastAsia="Arial" w:hAnsi="Arial"/>
                <w:sz w:val="18"/>
                <w:szCs w:val="18"/>
                <w:color w:val="auto"/>
                <w:w w:val="92"/>
              </w:rPr>
              <w:t>the Exercise Price in effect immediately after (i) the Open of Business on the Ex-Date in the case of a dividend or distribution or</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tcPr>
          <w:p>
            <w:pPr>
              <w:ind w:left="500"/>
              <w:spacing w:after="0"/>
              <w:rPr>
                <w:sz w:val="20"/>
                <w:szCs w:val="20"/>
                <w:color w:val="auto"/>
              </w:rPr>
            </w:pPr>
            <w:r>
              <w:rPr>
                <w:rFonts w:ascii="Arial" w:cs="Arial" w:eastAsia="Arial" w:hAnsi="Arial"/>
                <w:sz w:val="18"/>
                <w:szCs w:val="18"/>
                <w:color w:val="auto"/>
                <w:w w:val="99"/>
              </w:rPr>
              <w:t>(ii) the consummation of the transaction in the case of a subdivision, combination, split, reverse split or reclassification;</w:t>
            </w: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30"/>
                <w:szCs w:val="30"/>
                <w:color w:val="auto"/>
                <w:vertAlign w:val="subscript"/>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920" w:type="dxa"/>
            <w:vAlign w:val="bottom"/>
          </w:tcPr>
          <w:p>
            <w:pPr>
              <w:ind w:left="500"/>
              <w:spacing w:after="0"/>
              <w:rPr>
                <w:sz w:val="20"/>
                <w:szCs w:val="20"/>
                <w:color w:val="auto"/>
              </w:rPr>
            </w:pPr>
            <w:r>
              <w:rPr>
                <w:rFonts w:ascii="Arial" w:cs="Arial" w:eastAsia="Arial" w:hAnsi="Arial"/>
                <w:sz w:val="18"/>
                <w:szCs w:val="18"/>
                <w:color w:val="auto"/>
                <w:w w:val="93"/>
              </w:rPr>
              <w:t>the Exercise Price in effect immediately prior to (i) the Open of Business on the Ex-Date in the case of a dividend or distribution</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tcPr>
          <w:p>
            <w:pPr>
              <w:ind w:left="500"/>
              <w:spacing w:after="0"/>
              <w:rPr>
                <w:sz w:val="20"/>
                <w:szCs w:val="20"/>
                <w:color w:val="auto"/>
              </w:rPr>
            </w:pPr>
            <w:r>
              <w:rPr>
                <w:rFonts w:ascii="Arial" w:cs="Arial" w:eastAsia="Arial" w:hAnsi="Arial"/>
                <w:sz w:val="18"/>
                <w:szCs w:val="18"/>
                <w:color w:val="auto"/>
                <w:w w:val="97"/>
              </w:rPr>
              <w:t>or (ii) the consummation of the transaction in the case of a subdivision, combination, split, reverse split or reclassification;</w:t>
            </w:r>
          </w:p>
        </w:tc>
      </w:tr>
      <w:tr>
        <w:trPr>
          <w:trHeight w:val="418"/>
        </w:trPr>
        <w:tc>
          <w:tcPr>
            <w:tcW w:w="580" w:type="dxa"/>
            <w:vAlign w:val="bottom"/>
          </w:tcPr>
          <w:p>
            <w:pPr>
              <w:ind w:left="20"/>
              <w:spacing w:after="0"/>
              <w:rPr>
                <w:sz w:val="20"/>
                <w:szCs w:val="20"/>
                <w:color w:val="auto"/>
              </w:rPr>
            </w:pPr>
            <w:r>
              <w:rPr>
                <w:rFonts w:ascii="Arial" w:cs="Arial" w:eastAsia="Arial" w:hAnsi="Arial"/>
                <w:sz w:val="18"/>
                <w:szCs w:val="18"/>
                <w:color w:val="auto"/>
              </w:rPr>
              <w:t>N</w:t>
            </w:r>
            <w:r>
              <w:rPr>
                <w:rFonts w:ascii="Arial" w:cs="Arial" w:eastAsia="Arial" w:hAnsi="Arial"/>
                <w:sz w:val="30"/>
                <w:szCs w:val="30"/>
                <w:color w:val="auto"/>
                <w:vertAlign w:val="subscript"/>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920" w:type="dxa"/>
            <w:vAlign w:val="bottom"/>
          </w:tcPr>
          <w:p>
            <w:pPr>
              <w:ind w:left="500"/>
              <w:spacing w:after="0"/>
              <w:rPr>
                <w:sz w:val="20"/>
                <w:szCs w:val="20"/>
                <w:color w:val="auto"/>
              </w:rPr>
            </w:pPr>
            <w:r>
              <w:rPr>
                <w:rFonts w:ascii="Arial" w:cs="Arial" w:eastAsia="Arial" w:hAnsi="Arial"/>
                <w:sz w:val="18"/>
                <w:szCs w:val="18"/>
                <w:color w:val="auto"/>
                <w:w w:val="94"/>
              </w:rPr>
              <w:t>the number of Ordinary Shares outstanding immediately prior to (i) the Open of Business on the Record Date in the case of a</w:t>
            </w:r>
          </w:p>
        </w:tc>
      </w:tr>
      <w:tr>
        <w:trPr>
          <w:trHeight w:val="215"/>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tcPr>
          <w:p>
            <w:pPr>
              <w:ind w:left="500"/>
              <w:spacing w:after="0"/>
              <w:rPr>
                <w:sz w:val="20"/>
                <w:szCs w:val="20"/>
                <w:color w:val="auto"/>
              </w:rPr>
            </w:pPr>
            <w:r>
              <w:rPr>
                <w:rFonts w:ascii="Arial" w:cs="Arial" w:eastAsia="Arial" w:hAnsi="Arial"/>
                <w:sz w:val="18"/>
                <w:szCs w:val="18"/>
                <w:color w:val="auto"/>
                <w:w w:val="92"/>
              </w:rPr>
              <w:t>dividend or distribution or (ii) the consummation of the transaction in the case of a subdivision, combination, split, reverse split or</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tcPr>
          <w:p>
            <w:pPr>
              <w:ind w:left="500"/>
              <w:spacing w:after="0"/>
              <w:rPr>
                <w:sz w:val="20"/>
                <w:szCs w:val="20"/>
                <w:color w:val="auto"/>
              </w:rPr>
            </w:pPr>
            <w:r>
              <w:rPr>
                <w:rFonts w:ascii="Arial" w:cs="Arial" w:eastAsia="Arial" w:hAnsi="Arial"/>
                <w:sz w:val="18"/>
                <w:szCs w:val="18"/>
                <w:color w:val="auto"/>
              </w:rPr>
              <w:t>reclassification; and</w:t>
            </w:r>
          </w:p>
        </w:tc>
      </w:tr>
      <w:tr>
        <w:trPr>
          <w:trHeight w:val="434"/>
        </w:trPr>
        <w:tc>
          <w:tcPr>
            <w:tcW w:w="580" w:type="dxa"/>
            <w:vAlign w:val="bottom"/>
          </w:tcPr>
          <w:p>
            <w:pPr>
              <w:ind w:left="20"/>
              <w:spacing w:after="0"/>
              <w:rPr>
                <w:sz w:val="20"/>
                <w:szCs w:val="20"/>
                <w:color w:val="auto"/>
              </w:rPr>
            </w:pPr>
            <w:r>
              <w:rPr>
                <w:rFonts w:ascii="Arial" w:cs="Arial" w:eastAsia="Arial" w:hAnsi="Arial"/>
                <w:sz w:val="36"/>
                <w:szCs w:val="36"/>
                <w:color w:val="auto"/>
                <w:vertAlign w:val="superscript"/>
              </w:rPr>
              <w:t>N</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920" w:type="dxa"/>
            <w:vAlign w:val="bottom"/>
          </w:tcPr>
          <w:p>
            <w:pPr>
              <w:ind w:left="500"/>
              <w:spacing w:after="0"/>
              <w:rPr>
                <w:sz w:val="20"/>
                <w:szCs w:val="20"/>
                <w:color w:val="auto"/>
              </w:rPr>
            </w:pPr>
            <w:r>
              <w:rPr>
                <w:rFonts w:ascii="Arial" w:cs="Arial" w:eastAsia="Arial" w:hAnsi="Arial"/>
                <w:sz w:val="18"/>
                <w:szCs w:val="18"/>
                <w:color w:val="auto"/>
                <w:w w:val="92"/>
              </w:rPr>
              <w:t>the number of Ordinary Shares equal to (i) in the case of a dividend or distribution, the sum of the number of shares outstanding</w:t>
            </w:r>
          </w:p>
        </w:tc>
      </w:tr>
    </w:tbl>
    <w:p>
      <w:pPr>
        <w:jc w:val="both"/>
        <w:ind w:left="1960" w:right="60"/>
        <w:spacing w:after="0" w:line="253" w:lineRule="auto"/>
        <w:rPr>
          <w:sz w:val="20"/>
          <w:szCs w:val="20"/>
          <w:color w:val="auto"/>
        </w:rPr>
      </w:pPr>
      <w:r>
        <w:rPr>
          <w:rFonts w:ascii="Arial" w:cs="Arial" w:eastAsia="Arial" w:hAnsi="Arial"/>
          <w:sz w:val="18"/>
          <w:szCs w:val="18"/>
          <w:color w:val="auto"/>
        </w:rPr>
        <w:t>immediately prior to the Open of Business on the Record Date for such dividend or distribution plus the total number of shares issued pursuant to such dividend or distribution or (ii) in the case of a subdivision, combination, split, reverse split or reclassification, the number of shares outstanding immediately after such subdivision, combination, split, reverse split or reclassification.</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Such adjustment shall become effective immediately after (i) the Open of Business on the Ex-Date in the case of a dividend or distribution or (ii) the consummation of the transaction in the case of a subdivision, combination, split, reverse split or reclassification. If any dividend or distribution or subdivision, combination, split, reverse split or reclassification of the type described in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is declared or announced but not so paid or made, the Exercise Price shall again be adjusted to the Exercise Price that would then be in effect if such dividend or distribution or subdivision, combination, split, reverse split or reclassification had not been declared or announced, as the case may be.</w:t>
      </w:r>
    </w:p>
    <w:p>
      <w:pPr>
        <w:spacing w:after="0" w:line="173" w:lineRule="exact"/>
        <w:rPr>
          <w:sz w:val="20"/>
          <w:szCs w:val="20"/>
          <w:color w:val="auto"/>
        </w:rPr>
      </w:pPr>
    </w:p>
    <w:p>
      <w:pPr>
        <w:ind w:left="2100" w:hanging="795"/>
        <w:spacing w:after="0"/>
        <w:tabs>
          <w:tab w:leader="none" w:pos="2100" w:val="left"/>
        </w:tabs>
        <w:numPr>
          <w:ilvl w:val="1"/>
          <w:numId w:val="1178"/>
        </w:numPr>
        <w:rPr>
          <w:rFonts w:ascii="Arial" w:cs="Arial" w:eastAsia="Arial" w:hAnsi="Arial"/>
          <w:sz w:val="16"/>
          <w:szCs w:val="16"/>
          <w:color w:val="auto"/>
        </w:rPr>
      </w:pPr>
      <w:r>
        <w:rPr>
          <w:rFonts w:ascii="Arial" w:cs="Arial" w:eastAsia="Arial" w:hAnsi="Arial"/>
          <w:sz w:val="16"/>
          <w:szCs w:val="16"/>
          <w:color w:val="auto"/>
        </w:rPr>
        <w:t xml:space="preserve">For the purpose of calculations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the number of Ordinary Shares outstanding shall be equal to the sum of</w:t>
      </w:r>
    </w:p>
    <w:p>
      <w:pPr>
        <w:spacing w:after="0" w:line="46" w:lineRule="exact"/>
        <w:rPr>
          <w:rFonts w:ascii="Arial" w:cs="Arial" w:eastAsia="Arial" w:hAnsi="Arial"/>
          <w:sz w:val="16"/>
          <w:szCs w:val="16"/>
          <w:color w:val="auto"/>
        </w:rPr>
      </w:pPr>
    </w:p>
    <w:p>
      <w:pPr>
        <w:ind w:firstLine="8"/>
        <w:spacing w:after="0" w:line="261" w:lineRule="auto"/>
        <w:tabs>
          <w:tab w:leader="none" w:pos="251" w:val="left"/>
        </w:tabs>
        <w:numPr>
          <w:ilvl w:val="0"/>
          <w:numId w:val="1179"/>
        </w:numPr>
        <w:rPr>
          <w:rFonts w:ascii="Arial" w:cs="Arial" w:eastAsia="Arial" w:hAnsi="Arial"/>
          <w:sz w:val="18"/>
          <w:szCs w:val="18"/>
          <w:color w:val="auto"/>
        </w:rPr>
      </w:pPr>
      <w:r>
        <w:rPr>
          <w:rFonts w:ascii="Arial" w:cs="Arial" w:eastAsia="Arial" w:hAnsi="Arial"/>
          <w:sz w:val="18"/>
          <w:szCs w:val="18"/>
          <w:color w:val="auto"/>
        </w:rPr>
        <w:t>the number of Ordinary Shares issued and outstanding and (ii) the number of Ordinary Shares issuable pursuant to the conversion or exercise of Convertible Securities that are outstanding, in each case on the applicable date of determination.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109" w:name="page1110"/>
    <w:bookmarkEnd w:id="1109"/>
    <w:p>
      <w:pPr>
        <w:jc w:val="both"/>
        <w:ind w:firstLine="1305"/>
        <w:spacing w:after="0" w:line="255" w:lineRule="auto"/>
        <w:tabs>
          <w:tab w:leader="none" w:pos="2306" w:val="left"/>
        </w:tabs>
        <w:numPr>
          <w:ilvl w:val="0"/>
          <w:numId w:val="1180"/>
        </w:numPr>
        <w:rPr>
          <w:rFonts w:ascii="Arial" w:cs="Arial" w:eastAsia="Arial" w:hAnsi="Arial"/>
          <w:sz w:val="18"/>
          <w:szCs w:val="18"/>
          <w:color w:val="auto"/>
        </w:rPr>
      </w:pPr>
      <w:r>
        <w:rPr>
          <w:rFonts w:ascii="Arial" w:cs="Arial" w:eastAsia="Arial" w:hAnsi="Arial"/>
          <w:sz w:val="18"/>
          <w:szCs w:val="18"/>
          <w:color w:val="auto"/>
        </w:rPr>
        <w:t xml:space="preserve">Notwithstanding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any other provision of this Warrant Agreement or the Warrants, if an Exercise Price adjustment becomes effective on any Ex-Date, and a Warrant has been exercised on or after such Ex-Date and on or prior to the related Record Date resulting in the Person issued Ordinary Shares being treated as the record holder of the Ordinary Shares on or prior to the Record Date, then, notwithstanding the Exercise Price adjustment provisions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the Exercise Price adjustment relating to such Ex-Date will not be made with respect to such Warrant. Instead, such Person will be treated as if it were the record owner of Ordinary Shares on an un-adjusted basis and participate in the related dividend, distribution or other event giving rise to such adjustment.</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2168" w:val="left"/>
        </w:tabs>
        <w:numPr>
          <w:ilvl w:val="0"/>
          <w:numId w:val="1180"/>
        </w:numPr>
        <w:rPr>
          <w:rFonts w:ascii="Arial" w:cs="Arial" w:eastAsia="Arial" w:hAnsi="Arial"/>
          <w:sz w:val="18"/>
          <w:szCs w:val="18"/>
          <w:color w:val="auto"/>
        </w:rPr>
      </w:pPr>
      <w:r>
        <w:rPr>
          <w:rFonts w:ascii="Arial" w:cs="Arial" w:eastAsia="Arial" w:hAnsi="Arial"/>
          <w:sz w:val="18"/>
          <w:szCs w:val="18"/>
          <w:color w:val="auto"/>
        </w:rPr>
        <w:t>Notwithstanding this or any other provision of this Warrant Agreement or the Warrants, in no circumstances shall an Exercise Price adjustment result in the Exercise Price being less than the nominal value of an Ordinary Share from time to time and no Ordinary Share shall be issued upon exercise of a Warrant unless such Ordinary Share is fully paid up in Cash as to at least its nominal value.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Adjustments to Number of Warrants</w:t>
      </w:r>
      <w:r>
        <w:rPr>
          <w:rFonts w:ascii="Arial" w:cs="Arial" w:eastAsia="Arial" w:hAnsi="Arial"/>
          <w:sz w:val="18"/>
          <w:szCs w:val="18"/>
          <w:color w:val="auto"/>
        </w:rPr>
        <w:t xml:space="preserve">. Concurrently with any adjustment to the Exercise Price under </w:t>
      </w:r>
      <w:r>
        <w:rPr>
          <w:rFonts w:ascii="Arial" w:cs="Arial" w:eastAsia="Arial" w:hAnsi="Arial"/>
          <w:sz w:val="18"/>
          <w:szCs w:val="18"/>
          <w:u w:val="single" w:color="auto"/>
          <w:color w:val="auto"/>
        </w:rPr>
        <w:t>Section 4.01</w:t>
      </w:r>
      <w:r>
        <w:rPr>
          <w:rFonts w:ascii="Arial" w:cs="Arial" w:eastAsia="Arial" w:hAnsi="Arial"/>
          <w:sz w:val="18"/>
          <w:szCs w:val="18"/>
          <w:color w:val="auto"/>
        </w:rPr>
        <w:t>, the Number of Warrants for the Global Warrant Certificate will be adjusted such that the Number of Warrants for the Global Warrant Certificate in effect immediately following the effectiveness of such adjustment will be equal to the Number of Warrants for the Global Warrant Certificate in effect immediately prior to such adjustment, multiplied by a fraction, (i) the numerator of which is the Exercise Price in effect immediately prior to such adjustment and (ii) the denominator of which is the Exercise Price in effect immediately following such adjustment.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Stockholder Rights Plans</w:t>
      </w:r>
      <w:r>
        <w:rPr>
          <w:rFonts w:ascii="Arial" w:cs="Arial" w:eastAsia="Arial" w:hAnsi="Arial"/>
          <w:sz w:val="18"/>
          <w:szCs w:val="18"/>
          <w:color w:val="auto"/>
        </w:rPr>
        <w:t>. If the Company has a stockholder rights plan in effect with respect to the Ordinary Shares, upon exercise of a Warrant the applicable Beneficial Owner shall be entitled to receive, in addition to the Ordinary Share, the rights under such stockholder rights plan, subject to readjustment in the event of the expiration, termination or redemption of such rights.</w:t>
      </w:r>
    </w:p>
    <w:p>
      <w:pPr>
        <w:spacing w:after="0" w:line="18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Restrictions on Adjustments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04" w:val="left"/>
        </w:tabs>
        <w:numPr>
          <w:ilvl w:val="0"/>
          <w:numId w:val="1181"/>
        </w:numPr>
        <w:rPr>
          <w:rFonts w:ascii="Arial" w:cs="Arial" w:eastAsia="Arial" w:hAnsi="Arial"/>
          <w:sz w:val="18"/>
          <w:szCs w:val="18"/>
          <w:color w:val="auto"/>
        </w:rPr>
      </w:pPr>
      <w:r>
        <w:rPr>
          <w:rFonts w:ascii="Arial" w:cs="Arial" w:eastAsia="Arial" w:hAnsi="Arial"/>
          <w:sz w:val="18"/>
          <w:szCs w:val="18"/>
          <w:color w:val="auto"/>
        </w:rPr>
        <w:t xml:space="preserve">Except in accordance with </w:t>
      </w:r>
      <w:r>
        <w:rPr>
          <w:rFonts w:ascii="Arial" w:cs="Arial" w:eastAsia="Arial" w:hAnsi="Arial"/>
          <w:sz w:val="18"/>
          <w:szCs w:val="18"/>
          <w:u w:val="single" w:color="auto"/>
          <w:color w:val="auto"/>
        </w:rPr>
        <w:t>Section 4.01</w:t>
      </w:r>
      <w:r>
        <w:rPr>
          <w:rFonts w:ascii="Arial" w:cs="Arial" w:eastAsia="Arial" w:hAnsi="Arial"/>
          <w:sz w:val="18"/>
          <w:szCs w:val="18"/>
          <w:color w:val="auto"/>
        </w:rPr>
        <w:t>, the Exercise Price and the Number of Warrants will not be adjusted for the issuance of Ordinary Shares or other securities of the Company.</w:t>
      </w:r>
    </w:p>
    <w:p>
      <w:pPr>
        <w:spacing w:after="0" w:line="170" w:lineRule="exact"/>
        <w:rPr>
          <w:rFonts w:ascii="Arial" w:cs="Arial" w:eastAsia="Arial" w:hAnsi="Arial"/>
          <w:sz w:val="18"/>
          <w:szCs w:val="18"/>
          <w:color w:val="auto"/>
        </w:rPr>
      </w:pPr>
    </w:p>
    <w:p>
      <w:pPr>
        <w:ind w:left="2060" w:hanging="755"/>
        <w:spacing w:after="0"/>
        <w:tabs>
          <w:tab w:leader="none" w:pos="2060" w:val="left"/>
        </w:tabs>
        <w:numPr>
          <w:ilvl w:val="0"/>
          <w:numId w:val="1181"/>
        </w:numPr>
        <w:rPr>
          <w:rFonts w:ascii="Arial" w:cs="Arial" w:eastAsia="Arial" w:hAnsi="Arial"/>
          <w:sz w:val="18"/>
          <w:szCs w:val="18"/>
          <w:color w:val="auto"/>
        </w:rPr>
      </w:pPr>
      <w:r>
        <w:rPr>
          <w:rFonts w:ascii="Arial" w:cs="Arial" w:eastAsia="Arial" w:hAnsi="Arial"/>
          <w:sz w:val="18"/>
          <w:szCs w:val="18"/>
          <w:color w:val="auto"/>
        </w:rPr>
        <w:t>For the avoidance of doubt, neither the Exercise Price nor the Number of Warrants will be adjusted:</w:t>
      </w:r>
    </w:p>
    <w:p>
      <w:pPr>
        <w:spacing w:after="0" w:line="225" w:lineRule="exact"/>
        <w:rPr>
          <w:rFonts w:ascii="Arial" w:cs="Arial" w:eastAsia="Arial" w:hAnsi="Arial"/>
          <w:sz w:val="18"/>
          <w:szCs w:val="18"/>
          <w:color w:val="auto"/>
        </w:rPr>
      </w:pPr>
    </w:p>
    <w:p>
      <w:pPr>
        <w:ind w:left="660" w:firstLine="1344"/>
        <w:spacing w:after="0" w:line="277" w:lineRule="auto"/>
        <w:tabs>
          <w:tab w:leader="none" w:pos="2947" w:val="left"/>
        </w:tabs>
        <w:numPr>
          <w:ilvl w:val="1"/>
          <w:numId w:val="1181"/>
        </w:numPr>
        <w:rPr>
          <w:rFonts w:ascii="Arial" w:cs="Arial" w:eastAsia="Arial" w:hAnsi="Arial"/>
          <w:sz w:val="18"/>
          <w:szCs w:val="18"/>
          <w:color w:val="auto"/>
        </w:rPr>
      </w:pPr>
      <w:r>
        <w:rPr>
          <w:rFonts w:ascii="Arial" w:cs="Arial" w:eastAsia="Arial" w:hAnsi="Arial"/>
          <w:sz w:val="18"/>
          <w:szCs w:val="18"/>
          <w:color w:val="auto"/>
        </w:rPr>
        <w:t>upon the issuance of any securities by the Company on or after the Closing Date pursuant to the Plan or upon the issuance of Ordinary Shares upon the exercise of such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10" w:name="page1111"/>
    <w:bookmarkEnd w:id="1110"/>
    <w:p>
      <w:pPr>
        <w:ind w:left="2760" w:hanging="756"/>
        <w:spacing w:after="0"/>
        <w:tabs>
          <w:tab w:leader="none" w:pos="2760" w:val="left"/>
        </w:tabs>
        <w:numPr>
          <w:ilvl w:val="1"/>
          <w:numId w:val="1182"/>
        </w:numPr>
        <w:rPr>
          <w:rFonts w:ascii="Arial" w:cs="Arial" w:eastAsia="Arial" w:hAnsi="Arial"/>
          <w:sz w:val="16"/>
          <w:szCs w:val="16"/>
          <w:color w:val="auto"/>
        </w:rPr>
      </w:pPr>
      <w:r>
        <w:rPr>
          <w:rFonts w:ascii="Arial" w:cs="Arial" w:eastAsia="Arial" w:hAnsi="Arial"/>
          <w:sz w:val="16"/>
          <w:szCs w:val="16"/>
          <w:color w:val="auto"/>
        </w:rPr>
        <w:t>upon the issuance of any Ordinary Shares (or Convertible Securities) pursuant to the Management Stock Option Plan;</w:t>
      </w:r>
    </w:p>
    <w:p>
      <w:pPr>
        <w:spacing w:after="0" w:line="248" w:lineRule="exact"/>
        <w:rPr>
          <w:rFonts w:ascii="Arial" w:cs="Arial" w:eastAsia="Arial" w:hAnsi="Arial"/>
          <w:sz w:val="16"/>
          <w:szCs w:val="16"/>
          <w:color w:val="auto"/>
        </w:rPr>
      </w:pPr>
    </w:p>
    <w:p>
      <w:pPr>
        <w:ind w:left="2760" w:hanging="756"/>
        <w:spacing w:after="0"/>
        <w:tabs>
          <w:tab w:leader="none" w:pos="2760" w:val="left"/>
        </w:tabs>
        <w:numPr>
          <w:ilvl w:val="1"/>
          <w:numId w:val="1182"/>
        </w:numPr>
        <w:rPr>
          <w:rFonts w:ascii="Arial" w:cs="Arial" w:eastAsia="Arial" w:hAnsi="Arial"/>
          <w:sz w:val="17"/>
          <w:szCs w:val="17"/>
          <w:color w:val="auto"/>
        </w:rPr>
      </w:pPr>
      <w:r>
        <w:rPr>
          <w:rFonts w:ascii="Arial" w:cs="Arial" w:eastAsia="Arial" w:hAnsi="Arial"/>
          <w:sz w:val="17"/>
          <w:szCs w:val="17"/>
          <w:color w:val="auto"/>
        </w:rPr>
        <w:t>upon any issuance of any Ordinary Shares (or Convertible Securities) pursuant to the exercise of the Warrants; or</w:t>
      </w:r>
    </w:p>
    <w:p>
      <w:pPr>
        <w:spacing w:after="0" w:line="236" w:lineRule="exact"/>
        <w:rPr>
          <w:rFonts w:ascii="Arial" w:cs="Arial" w:eastAsia="Arial" w:hAnsi="Arial"/>
          <w:sz w:val="17"/>
          <w:szCs w:val="17"/>
          <w:color w:val="auto"/>
        </w:rPr>
      </w:pPr>
    </w:p>
    <w:p>
      <w:pPr>
        <w:ind w:left="2760" w:hanging="756"/>
        <w:spacing w:after="0"/>
        <w:tabs>
          <w:tab w:leader="none" w:pos="2760" w:val="left"/>
        </w:tabs>
        <w:numPr>
          <w:ilvl w:val="1"/>
          <w:numId w:val="1182"/>
        </w:numPr>
        <w:rPr>
          <w:rFonts w:ascii="Arial" w:cs="Arial" w:eastAsia="Arial" w:hAnsi="Arial"/>
          <w:sz w:val="18"/>
          <w:szCs w:val="18"/>
          <w:color w:val="auto"/>
        </w:rPr>
      </w:pPr>
      <w:r>
        <w:rPr>
          <w:rFonts w:ascii="Arial" w:cs="Arial" w:eastAsia="Arial" w:hAnsi="Arial"/>
          <w:sz w:val="18"/>
          <w:szCs w:val="18"/>
          <w:color w:val="auto"/>
        </w:rPr>
        <w:t>for a change in the par value of the Ordinary Shares.</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374" w:val="left"/>
        </w:tabs>
        <w:numPr>
          <w:ilvl w:val="0"/>
          <w:numId w:val="1183"/>
        </w:numPr>
        <w:rPr>
          <w:rFonts w:ascii="Arial" w:cs="Arial" w:eastAsia="Arial" w:hAnsi="Arial"/>
          <w:sz w:val="17"/>
          <w:szCs w:val="17"/>
          <w:color w:val="auto"/>
        </w:rPr>
      </w:pPr>
      <w:r>
        <w:rPr>
          <w:rFonts w:ascii="Arial" w:cs="Arial" w:eastAsia="Arial" w:hAnsi="Arial"/>
          <w:sz w:val="17"/>
          <w:szCs w:val="17"/>
          <w:color w:val="auto"/>
        </w:rPr>
        <w:t xml:space="preserve">No adjustment shall be made to the Exercise Price or the Number of Warrants for any of the transactions described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if the Company makes provisions for participation in any such transaction with respect to Warrants without exercise of such Warrants on the same basis as with respect to Ordinary Shares with notice that the Board determines in good faith to be fair and appropriate.</w:t>
      </w:r>
    </w:p>
    <w:p>
      <w:pPr>
        <w:spacing w:after="0" w:line="165" w:lineRule="exact"/>
        <w:rPr>
          <w:rFonts w:ascii="Arial" w:cs="Arial" w:eastAsia="Arial" w:hAnsi="Arial"/>
          <w:sz w:val="17"/>
          <w:szCs w:val="17"/>
          <w:color w:val="auto"/>
        </w:rPr>
      </w:pPr>
    </w:p>
    <w:p>
      <w:pPr>
        <w:jc w:val="both"/>
        <w:ind w:firstLine="1305"/>
        <w:spacing w:after="0" w:line="257" w:lineRule="auto"/>
        <w:tabs>
          <w:tab w:leader="none" w:pos="2114" w:val="left"/>
        </w:tabs>
        <w:numPr>
          <w:ilvl w:val="0"/>
          <w:numId w:val="1183"/>
        </w:numPr>
        <w:rPr>
          <w:rFonts w:ascii="Arial" w:cs="Arial" w:eastAsia="Arial" w:hAnsi="Arial"/>
          <w:sz w:val="18"/>
          <w:szCs w:val="18"/>
          <w:color w:val="auto"/>
        </w:rPr>
      </w:pPr>
      <w:r>
        <w:rPr>
          <w:rFonts w:ascii="Arial" w:cs="Arial" w:eastAsia="Arial" w:hAnsi="Arial"/>
          <w:sz w:val="18"/>
          <w:szCs w:val="18"/>
          <w:color w:val="auto"/>
        </w:rPr>
        <w:t xml:space="preserve">No adjustment shall be made to the Exercise Price, nor will any corresponding adjustment be made to the Number of Warrants, unless the adjustment would result in a change of at least 1% of the Exercise Price; provided, however, that any adjustment of less than 1% that was not made by reason of this </w:t>
      </w:r>
      <w:r>
        <w:rPr>
          <w:rFonts w:ascii="Arial" w:cs="Arial" w:eastAsia="Arial" w:hAnsi="Arial"/>
          <w:sz w:val="18"/>
          <w:szCs w:val="18"/>
          <w:u w:val="single" w:color="auto"/>
          <w:color w:val="auto"/>
        </w:rPr>
        <w:t>Section 4.04(d)</w:t>
      </w:r>
      <w:r>
        <w:rPr>
          <w:rFonts w:ascii="Arial" w:cs="Arial" w:eastAsia="Arial" w:hAnsi="Arial"/>
          <w:sz w:val="18"/>
          <w:szCs w:val="18"/>
          <w:color w:val="auto"/>
        </w:rPr>
        <w:t xml:space="preserve"> shall be carried forward and made as soon as such adjustment, together with any other adjustments not previously made by reason of this </w:t>
      </w:r>
      <w:r>
        <w:rPr>
          <w:rFonts w:ascii="Arial" w:cs="Arial" w:eastAsia="Arial" w:hAnsi="Arial"/>
          <w:sz w:val="18"/>
          <w:szCs w:val="18"/>
          <w:u w:val="single" w:color="auto"/>
          <w:color w:val="auto"/>
        </w:rPr>
        <w:t>Section 4.04(d),</w:t>
      </w:r>
      <w:r>
        <w:rPr>
          <w:rFonts w:ascii="Arial" w:cs="Arial" w:eastAsia="Arial" w:hAnsi="Arial"/>
          <w:sz w:val="18"/>
          <w:szCs w:val="18"/>
          <w:color w:val="auto"/>
        </w:rPr>
        <w:t xml:space="preserve"> would result in a change of at least 1% in the aggregate. All calculations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made to the nearest cent or to the nearest 1/100th of a Ordinary Share, as the case may be.</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2104" w:val="left"/>
        </w:tabs>
        <w:numPr>
          <w:ilvl w:val="0"/>
          <w:numId w:val="1183"/>
        </w:numPr>
        <w:rPr>
          <w:rFonts w:ascii="Arial" w:cs="Arial" w:eastAsia="Arial" w:hAnsi="Arial"/>
          <w:sz w:val="18"/>
          <w:szCs w:val="18"/>
          <w:color w:val="auto"/>
        </w:rPr>
      </w:pPr>
      <w:r>
        <w:rPr>
          <w:rFonts w:ascii="Arial" w:cs="Arial" w:eastAsia="Arial" w:hAnsi="Arial"/>
          <w:sz w:val="18"/>
          <w:szCs w:val="18"/>
          <w:color w:val="auto"/>
        </w:rPr>
        <w:t>If the Company takes a record of the holders of Ordinary Shares for the purpose of entitling them to receive a dividend or other distribution, and thereafter (and before the dividend or distribution has been paid or delivered to stockholders) legally abandons its plan to pay or deliver such dividend or distribution, then thereafter no adjustment to the Exercise Price or the Number of Warrants then in effect shall be required by reason of the taking of such record.</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Ordinary Shares Outstanding; Shares Reserved for Issuance on Exercise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36" w:val="left"/>
        </w:tabs>
        <w:numPr>
          <w:ilvl w:val="0"/>
          <w:numId w:val="1184"/>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Article 4</w:t>
      </w:r>
      <w:r>
        <w:rPr>
          <w:rFonts w:ascii="Arial" w:cs="Arial" w:eastAsia="Arial" w:hAnsi="Arial"/>
          <w:sz w:val="18"/>
          <w:szCs w:val="18"/>
          <w:color w:val="auto"/>
        </w:rPr>
        <w:t>, the number of Ordinary Shares at any time outstanding shall not include shares held, directly or indirectly, by the Company or any of its Subsidiaries.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00" w:val="left"/>
        </w:tabs>
        <w:numPr>
          <w:ilvl w:val="0"/>
          <w:numId w:val="1184"/>
        </w:numPr>
        <w:rPr>
          <w:rFonts w:ascii="Arial" w:cs="Arial" w:eastAsia="Arial" w:hAnsi="Arial"/>
          <w:sz w:val="18"/>
          <w:szCs w:val="18"/>
          <w:color w:val="auto"/>
        </w:rPr>
      </w:pPr>
      <w:r>
        <w:rPr>
          <w:rFonts w:ascii="Arial" w:cs="Arial" w:eastAsia="Arial" w:hAnsi="Arial"/>
          <w:sz w:val="18"/>
          <w:szCs w:val="18"/>
          <w:color w:val="auto"/>
        </w:rPr>
        <w:t>The Board has authorized and reserved for issuance such number of Ordinary Shares as will be issuable upon the exercise of all outstanding Warrants for Ordinary Shares. The Company covenants that all Ordinary Shares that shall be so issuable shall be duly and validly issued, fully paid and non-assessable.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11" w:name="page1112"/>
    <w:bookmarkEnd w:id="1111"/>
    <w:p>
      <w:pPr>
        <w:jc w:val="both"/>
        <w:ind w:firstLine="1305"/>
        <w:spacing w:after="0" w:line="287" w:lineRule="auto"/>
        <w:tabs>
          <w:tab w:leader="none" w:pos="2077" w:val="left"/>
        </w:tabs>
        <w:numPr>
          <w:ilvl w:val="0"/>
          <w:numId w:val="1185"/>
        </w:numPr>
        <w:rPr>
          <w:rFonts w:ascii="Arial" w:cs="Arial" w:eastAsia="Arial" w:hAnsi="Arial"/>
          <w:sz w:val="16"/>
          <w:szCs w:val="16"/>
          <w:color w:val="auto"/>
        </w:rPr>
      </w:pPr>
      <w:r>
        <w:rPr>
          <w:rFonts w:ascii="Arial" w:cs="Arial" w:eastAsia="Arial" w:hAnsi="Arial"/>
          <w:sz w:val="16"/>
          <w:szCs w:val="16"/>
          <w:color w:val="auto"/>
        </w:rPr>
        <w:t xml:space="preserve">The Company agrees to authorize and direct its current and future transfer agents for the Ordinary Shares to reserve for issuance the number of Ordinary Shares specified in this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and shall take all action required to (i) increase the authorized number of Ordinary Shares if at any time there shall be insufficient authorized but unissued Ordinary Shares to permit such reservation or to permit the exercise of a Warrant (or (ii) to increase the Board’s authority to allot and issue Ordinary Shares on a non-pre-emptive basis if at any time the Board has insufficient authority to permit the exercise of a Warrant (in each case an “Authorized Share Failure”). Without limiting the generality of the foregoing sentence, as soon as practicable after the date of the occurrence of an Authorized Share Failure, but in no event later than 180 days after the occurrence of such Authorized Share Failure, the Company shall hold a meeting of its stockholders for the approval of either or both (as the case may be) of (i) an increase in the number of authorized Ordinary Shares or (ii) an increase in the Board’s authority to allot and issue Ordinary Shares on a non-pre-emptive basis. In connection with such meeting, the Company shall use its best efforts to solicit its stockholders’ approval of such increase in authorized Ordinary Shares and to cause its Board to recommend to the stockholders that they approve such proposal. Promptly after the date of expiration of any Warrants, the Warrant Agent shall certify to the Company the aggregate Number of Warrants then outstanding, and thereafter no shares shall be required to be reserved in respect of such Warrants.</w:t>
      </w:r>
    </w:p>
    <w:p>
      <w:pPr>
        <w:spacing w:after="0" w:line="17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Calculations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6" w:lineRule="auto"/>
        <w:tabs>
          <w:tab w:leader="none" w:pos="2144" w:val="left"/>
        </w:tabs>
        <w:numPr>
          <w:ilvl w:val="0"/>
          <w:numId w:val="1186"/>
        </w:numPr>
        <w:rPr>
          <w:rFonts w:ascii="Arial" w:cs="Arial" w:eastAsia="Arial" w:hAnsi="Arial"/>
          <w:sz w:val="17"/>
          <w:szCs w:val="17"/>
          <w:color w:val="auto"/>
        </w:rPr>
      </w:pPr>
      <w:r>
        <w:rPr>
          <w:rFonts w:ascii="Arial" w:cs="Arial" w:eastAsia="Arial" w:hAnsi="Arial"/>
          <w:sz w:val="17"/>
          <w:szCs w:val="17"/>
          <w:color w:val="auto"/>
        </w:rPr>
        <w:t>The Company shall be responsible for making all calculations called for under this Warrant Agreement, including the Exercise Date, the Exercise Price, the Number of Warrants and the number of Ordinary Shares, if any, to be issued upon exercise of any Warrants. The Company shall make the foregoing calculations in good faith. Such calculations and determinations shall be final and binding on the Global Warrant Holder and all Beneficial Owners absent manifest error. The Company shall provide a schedule of the Company’s calculations to the Warrant Agent, and the Warrant Agent is entitled to rely upon the accuracy of the Company’s calculations without independent verification.</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Notice of Adjustments</w:t>
      </w:r>
      <w:r>
        <w:rPr>
          <w:rFonts w:ascii="Arial" w:cs="Arial" w:eastAsia="Arial" w:hAnsi="Arial"/>
          <w:sz w:val="17"/>
          <w:szCs w:val="17"/>
          <w:color w:val="auto"/>
        </w:rPr>
        <w:t xml:space="preserve">. The Company shall mail, or cause to be mailed, to the Global Warrant Holder and the Warrant Agent, in accordance with </w:t>
      </w:r>
      <w:r>
        <w:rPr>
          <w:rFonts w:ascii="Arial" w:cs="Arial" w:eastAsia="Arial" w:hAnsi="Arial"/>
          <w:sz w:val="17"/>
          <w:szCs w:val="17"/>
          <w:u w:val="single" w:color="auto"/>
          <w:color w:val="auto"/>
        </w:rPr>
        <w:t>Section 6.15</w:t>
      </w:r>
      <w:r>
        <w:rPr>
          <w:rFonts w:ascii="Arial" w:cs="Arial" w:eastAsia="Arial" w:hAnsi="Arial"/>
          <w:sz w:val="17"/>
          <w:szCs w:val="17"/>
          <w:color w:val="auto"/>
        </w:rPr>
        <w:t>, a notice of any adjustment or readjustment to the Exercise Prices or the Number of Warrants no less than three Business Days prior to the effective date of such adjustment or readjustment. The Company shall file with the Warrant Agent such notice and an Officer’s Certificate setting forth such adjustment or readjustment and kind and amount of securities, Cash or other property for which a Warrant shall thereafter be exercisable and the applicable Exercise Price, showing in reasonable detail the facts upon which such adjustment or readjustment is based. The Officer’s Certificate shall be conclusive evidence that the adjustment or readjustment is correct, and the Warrant Agent shall not be deemed to have any knowledge of any adjustments or readjustments unless and until it has received such Officer’s Certificate. The Warrant Agent shall not be under any duty or responsibility with respect to any such Officer’s Certificate except to exhibit the same to the Global Warrant Holder.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12" w:name="page1113"/>
    <w:bookmarkEnd w:id="1112"/>
    <w:p>
      <w:pPr>
        <w:jc w:val="both"/>
        <w:ind w:firstLine="648"/>
        <w:spacing w:after="0" w:line="268"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Warrant Agent Not Responsible for Adjustments or Validity</w:t>
      </w:r>
      <w:r>
        <w:rPr>
          <w:rFonts w:ascii="Arial" w:cs="Arial" w:eastAsia="Arial" w:hAnsi="Arial"/>
          <w:sz w:val="17"/>
          <w:szCs w:val="17"/>
          <w:color w:val="auto"/>
        </w:rPr>
        <w:t xml:space="preserve">. The Warrant Agent shall at no time be under any duty or responsibility to determine whether any facts exist that may require an adjustment or readjustment of the Exercise Price and the Number of Warrants, or with respect to the nature or extent of any such adjustment or readjustment when made, or with respect to the method employed, herein or in any supplemental agreement provided to be employed, in making the same. The Warrant Agent shall have no duty to verify or confirm any calculation called for hereunder. The Warrant Agent shall have no liability for any failure or delay in performing its duties hereunder caused by any failure or delay of the Company in providing such calculations to the Warrant Agent. The Warrant Agent shall not be accountable with respect to the validity or value (or the kind or amount) of any Ordinary Shares or of any securities or property which may at any time be issued or delivered upon the exercise of any Warrant or upon any adjustment or readjustment pursuant to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and it makes no representation with respect thereto. The Warrant Agent shall not be responsible for any failure of the Company to make any Cash payment or to issue, transfer or deliver any Ordinary Shares or stock certificates or other securities or property or scrip upon the surrender of any Warrant for the purpose of exercise or upon any adjustment pursuant to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to comply with any of the covenants of the Company contained in this </w:t>
      </w:r>
      <w:r>
        <w:rPr>
          <w:rFonts w:ascii="Arial" w:cs="Arial" w:eastAsia="Arial" w:hAnsi="Arial"/>
          <w:sz w:val="17"/>
          <w:szCs w:val="17"/>
          <w:u w:val="single" w:color="auto"/>
          <w:color w:val="auto"/>
        </w:rPr>
        <w:t>Article 4</w:t>
      </w:r>
      <w:r>
        <w:rPr>
          <w:rFonts w:ascii="Arial" w:cs="Arial" w:eastAsia="Arial" w:hAnsi="Arial"/>
          <w:sz w:val="17"/>
          <w:szCs w:val="17"/>
          <w:color w:val="auto"/>
        </w:rPr>
        <w:t>. The Warrant Agent shall have no implied duties or obligations and shall not be charged with knowledge or notice of any fact or circumstance not specifically set forth herein or in any notice from the Company. The Warrant Agent may rely conclusively, and shall be protected in acting, upon any notice, instruction, request, order, judgment, certification, opinion or advice of counsel, statement, demand or other instrument or document, not only as to its due execution, validity (including the authority of the person signing or presenting the same) and effectiveness, but also as to the truth and accuracy of any information contained therein, which the Warrant Agent shall believe to be genuine and to have been signed or presented by the person or parties purporting to sign the same.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Statements on Warrants</w:t>
      </w:r>
      <w:r>
        <w:rPr>
          <w:rFonts w:ascii="Arial" w:cs="Arial" w:eastAsia="Arial" w:hAnsi="Arial"/>
          <w:sz w:val="18"/>
          <w:szCs w:val="18"/>
          <w:color w:val="auto"/>
        </w:rPr>
        <w:t xml:space="preserve">. Other than notation of any applicable increase or decrease in the Number of Warrants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Global Warrant Certificate, the form of the Global Warrant Certificate need not be changed because of any adjustment or readjustment made pursuant to this </w:t>
      </w:r>
      <w:r>
        <w:rPr>
          <w:rFonts w:ascii="Arial" w:cs="Arial" w:eastAsia="Arial" w:hAnsi="Arial"/>
          <w:sz w:val="18"/>
          <w:szCs w:val="18"/>
          <w:u w:val="single" w:color="auto"/>
          <w:color w:val="auto"/>
        </w:rPr>
        <w:t>Article 4</w:t>
      </w:r>
      <w:r>
        <w:rPr>
          <w:rFonts w:ascii="Arial" w:cs="Arial" w:eastAsia="Arial" w:hAnsi="Arial"/>
          <w:sz w:val="18"/>
          <w:szCs w:val="18"/>
          <w:color w:val="auto"/>
        </w:rPr>
        <w:t>, and the Global Warrant Certificate issued after such adjustment or readjustment may state the same information (other than the applicable adjusted Exercise Price and the adjusted Number of Warrants) as is stated in the Global Warrant Certificate initially issued pursuant to this Warrant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Effect of Adjustment</w:t>
      </w:r>
      <w:r>
        <w:rPr>
          <w:rFonts w:ascii="Arial" w:cs="Arial" w:eastAsia="Arial" w:hAnsi="Arial"/>
          <w:sz w:val="18"/>
          <w:szCs w:val="18"/>
          <w:color w:val="auto"/>
        </w:rPr>
        <w:t xml:space="preserve">. The Depository and applicable Participants shall effect any applicable adjustments, changes or payments to the Beneficial Owners with respect to beneficial interests in the Global Warrants resulting from any adjustments or readjustments, changes or payments effected pursuant to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in accordance with the procedures of the Depository and the applicable Participants.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 Relating to Rights of Global Warrant Holder</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No Rights as Stockholders</w:t>
      </w:r>
      <w:r>
        <w:rPr>
          <w:rFonts w:ascii="Arial" w:cs="Arial" w:eastAsia="Arial" w:hAnsi="Arial"/>
          <w:sz w:val="16"/>
          <w:szCs w:val="16"/>
          <w:color w:val="auto"/>
        </w:rPr>
        <w:t>. Nothing contained in this Warrant Agreement or in the Global Warrant Certificate shall be construed as conferring upon any Person, by virtue of holding or having a beneficial interest in a Global Warrant, the right to vote, to consent, to receive any Cash dividends, stock dividends, allotments or rights or other distributions paid, allotted or distributed or distributable to the holders of Ordinary Shares, or to exercise any rights whatsoever including subscription rights, appraisal rights or otherwise, as the Company’s stockholders unless, until and only to the extent such Beneficial Owners become holders of record of Ordinary Shares issued upon settlement of the Warrants. Notwithstanding the foregoing, in the event</w:t>
      </w:r>
    </w:p>
    <w:p>
      <w:pPr>
        <w:spacing w:after="0" w:line="2" w:lineRule="exact"/>
        <w:rPr>
          <w:sz w:val="20"/>
          <w:szCs w:val="20"/>
          <w:color w:val="auto"/>
        </w:rPr>
      </w:pPr>
    </w:p>
    <w:p>
      <w:pPr>
        <w:jc w:val="both"/>
        <w:ind w:firstLine="8"/>
        <w:spacing w:after="0" w:line="295" w:lineRule="auto"/>
        <w:tabs>
          <w:tab w:leader="none" w:pos="251" w:val="left"/>
        </w:tabs>
        <w:numPr>
          <w:ilvl w:val="0"/>
          <w:numId w:val="1187"/>
        </w:numPr>
        <w:rPr>
          <w:rFonts w:ascii="Arial" w:cs="Arial" w:eastAsia="Arial" w:hAnsi="Arial"/>
          <w:sz w:val="16"/>
          <w:szCs w:val="16"/>
          <w:color w:val="auto"/>
        </w:rPr>
      </w:pPr>
      <w:r>
        <w:rPr>
          <w:rFonts w:ascii="Arial" w:cs="Arial" w:eastAsia="Arial" w:hAnsi="Arial"/>
          <w:sz w:val="16"/>
          <w:szCs w:val="16"/>
          <w:color w:val="auto"/>
        </w:rPr>
        <w:t>the Company effects a split of the Ordinary Shares by means of a stock dividend and the Exercise Price of and the number of Warrants are adjusted as of the date of the distribution of the dividend, and (b) a Beneficial Owner exercises a Warrant between the Record Date and the distribution date for such stock dividend, the Beneficial Owner shall be entitled to receive, on the distribution date, the stock dividend with respect to the Ordinary Shares acquired upon such exercise, notwithstanding the fact that such shares were not outstanding as of the Close of Business on the Record Date for such stock dividend.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13" w:name="page1114"/>
    <w:bookmarkEnd w:id="1113"/>
    <w:p>
      <w:pPr>
        <w:jc w:val="both"/>
        <w:ind w:firstLine="648"/>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Mutilated or Missing Warrant Certificates</w:t>
      </w:r>
      <w:r>
        <w:rPr>
          <w:rFonts w:ascii="Arial" w:cs="Arial" w:eastAsia="Arial" w:hAnsi="Arial"/>
          <w:sz w:val="17"/>
          <w:szCs w:val="17"/>
          <w:color w:val="auto"/>
        </w:rPr>
        <w:t>. If a Global Warrant Certificate held by the Warrant Agent as custodian for the Depository at any time is mutilated, defaced, lost, destroyed or stolen, then on the terms set forth in this Warrant Agreement, such Global Warrant Certificate may be replaced with a new Global Warrant Certificate, of like date and tenor and representing the same number of Warrants, at the cost of the Company at the office of the Warrant Agent subject to the replacement procedures of the Warrant Agent which shall include obtaining an open penalty surety bond satisfactory to the Warrant Agent holding the Company and the Warrant Agent harmless. Any such new Global Warrant Certificate shall constitute an original contractual obligation of the Company, whether or not the allegedly lost, stolen, mutilated or destroyed Global Warrant Certificate shall be at any time enforceable by anyone. All Global Warrant Certificates shall be issued upon the express condition that the foregoing provisions are exclusive with respect to the substitution for lost, stolen, mutilated or destroyed Global Warrant Certificates, and shall preclude any and all other rights or remedies notwithstanding any Law or statute existing or hereafter enacted to the contrary with respect to the substitution for and replacement of negotiable instruments or other securities without their surrender.</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Modification, Waiver and Meetings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2036" w:val="left"/>
        </w:tabs>
        <w:numPr>
          <w:ilvl w:val="0"/>
          <w:numId w:val="1188"/>
        </w:numPr>
        <w:rPr>
          <w:rFonts w:ascii="Arial" w:cs="Arial" w:eastAsia="Arial" w:hAnsi="Arial"/>
          <w:sz w:val="17"/>
          <w:szCs w:val="17"/>
          <w:color w:val="auto"/>
        </w:rPr>
      </w:pPr>
      <w:r>
        <w:rPr>
          <w:rFonts w:ascii="Arial" w:cs="Arial" w:eastAsia="Arial" w:hAnsi="Arial"/>
          <w:sz w:val="17"/>
          <w:szCs w:val="17"/>
          <w:color w:val="auto"/>
        </w:rPr>
        <w:t xml:space="preserve">This Warrant Agreement may be modified or amended by the Company and the Warrant Agent, without the consent of the Global Warrant Holder, any Beneficial Owner of any Warrant, or any applicable Participant with respect to any Warrant, for the purposes of curing any ambiguity or correcting or supplementing any defective provision contained in this Warrant Agreement or to make any other provisions in regard to matters or questions arising in this Warrant Agreement which the Company and the Warrant Agent may deem necessary or desirable; provided that such modification or amendment does not adversely affect the interests of the Global Warrant Holder or any of the Beneficial Owners under this Agreement in any material respect. As a condition precedent to the Warrant Agent’s execution of any amendment, the Company shall deliver to the Warrant Agent a certificate from an Appropriate Officer that states that the proposed amendment is in compliance with the terms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5"/>
        <w:spacing w:after="0" w:line="297" w:lineRule="auto"/>
        <w:tabs>
          <w:tab w:leader="none" w:pos="2262" w:val="left"/>
        </w:tabs>
        <w:numPr>
          <w:ilvl w:val="0"/>
          <w:numId w:val="1188"/>
        </w:numPr>
        <w:rPr>
          <w:rFonts w:ascii="Arial" w:cs="Arial" w:eastAsia="Arial" w:hAnsi="Arial"/>
          <w:sz w:val="16"/>
          <w:szCs w:val="16"/>
          <w:color w:val="auto"/>
        </w:rPr>
      </w:pPr>
      <w:r>
        <w:rPr>
          <w:rFonts w:ascii="Arial" w:cs="Arial" w:eastAsia="Arial" w:hAnsi="Arial"/>
          <w:sz w:val="16"/>
          <w:szCs w:val="16"/>
          <w:color w:val="auto"/>
        </w:rPr>
        <w:t xml:space="preserve">Modifications and amendments to this Warrant Agreement or to the terms and conditions of Warrants not contemplated by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may also be made by the Company and the Warrant Agent, and noncompliance with any provision of the Warrant Agreement or Warrants may be waived by the Global Warrant Holder (pursuant to a proper vote or consent of the Beneficial Owners holding a majority of the aggregate Number of Warrants at the time outstanding). Notwithstanding anything to the contrary herein, the Company may amend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from time to time to accurately reflect the name and address of the Global Warrant Holder after the Closing Date without any further consent or agreement from any other Person.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14" w:name="page1115"/>
    <w:bookmarkEnd w:id="1114"/>
    <w:p>
      <w:pPr>
        <w:ind w:left="2000" w:hanging="695"/>
        <w:spacing w:after="0"/>
        <w:tabs>
          <w:tab w:leader="none" w:pos="2000" w:val="left"/>
        </w:tabs>
        <w:numPr>
          <w:ilvl w:val="0"/>
          <w:numId w:val="1189"/>
        </w:numPr>
        <w:rPr>
          <w:rFonts w:ascii="Arial" w:cs="Arial" w:eastAsia="Arial" w:hAnsi="Arial"/>
          <w:sz w:val="18"/>
          <w:szCs w:val="18"/>
          <w:color w:val="auto"/>
        </w:rPr>
      </w:pPr>
      <w:r>
        <w:rPr>
          <w:rFonts w:ascii="Arial" w:cs="Arial" w:eastAsia="Arial" w:hAnsi="Arial"/>
          <w:sz w:val="18"/>
          <w:szCs w:val="18"/>
          <w:color w:val="auto"/>
        </w:rPr>
        <w:t>However, no such modification, amendment or waiver may, without the written consent of:</w:t>
      </w:r>
    </w:p>
    <w:p>
      <w:pPr>
        <w:spacing w:after="0" w:line="225" w:lineRule="exact"/>
        <w:rPr>
          <w:rFonts w:ascii="Arial" w:cs="Arial" w:eastAsia="Arial" w:hAnsi="Arial"/>
          <w:sz w:val="18"/>
          <w:szCs w:val="18"/>
          <w:color w:val="auto"/>
        </w:rPr>
      </w:pPr>
    </w:p>
    <w:p>
      <w:pPr>
        <w:ind w:left="2840" w:hanging="861"/>
        <w:spacing w:after="0"/>
        <w:tabs>
          <w:tab w:leader="none" w:pos="2840" w:val="left"/>
        </w:tabs>
        <w:numPr>
          <w:ilvl w:val="1"/>
          <w:numId w:val="1189"/>
        </w:numPr>
        <w:rPr>
          <w:rFonts w:ascii="Arial" w:cs="Arial" w:eastAsia="Arial" w:hAnsi="Arial"/>
          <w:sz w:val="17"/>
          <w:szCs w:val="17"/>
          <w:color w:val="auto"/>
        </w:rPr>
      </w:pPr>
      <w:r>
        <w:rPr>
          <w:rFonts w:ascii="Arial" w:cs="Arial" w:eastAsia="Arial" w:hAnsi="Arial"/>
          <w:sz w:val="17"/>
          <w:szCs w:val="17"/>
          <w:color w:val="auto"/>
        </w:rPr>
        <w:t>The Global Warrant Holder (pursuant to a proper vote or consent of each Beneficial Owner of Warrants under this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Warrant Agreement):</w:t>
      </w:r>
    </w:p>
    <w:p>
      <w:pPr>
        <w:spacing w:after="0" w:line="210" w:lineRule="exact"/>
        <w:rPr>
          <w:rFonts w:ascii="Arial" w:cs="Arial" w:eastAsia="Arial" w:hAnsi="Arial"/>
          <w:sz w:val="17"/>
          <w:szCs w:val="17"/>
          <w:color w:val="auto"/>
        </w:rPr>
      </w:pPr>
    </w:p>
    <w:p>
      <w:pPr>
        <w:ind w:left="3420" w:hanging="793"/>
        <w:spacing w:after="0"/>
        <w:tabs>
          <w:tab w:leader="none" w:pos="3420" w:val="left"/>
        </w:tabs>
        <w:numPr>
          <w:ilvl w:val="2"/>
          <w:numId w:val="1189"/>
        </w:numPr>
        <w:rPr>
          <w:rFonts w:ascii="Arial" w:cs="Arial" w:eastAsia="Arial" w:hAnsi="Arial"/>
          <w:sz w:val="18"/>
          <w:szCs w:val="18"/>
          <w:color w:val="auto"/>
        </w:rPr>
      </w:pPr>
      <w:r>
        <w:rPr>
          <w:rFonts w:ascii="Arial" w:cs="Arial" w:eastAsia="Arial" w:hAnsi="Arial"/>
          <w:sz w:val="18"/>
          <w:szCs w:val="18"/>
          <w:color w:val="auto"/>
        </w:rPr>
        <w:t>change the Expiration Date; or</w:t>
      </w:r>
    </w:p>
    <w:p>
      <w:pPr>
        <w:spacing w:after="0" w:line="225" w:lineRule="exact"/>
        <w:rPr>
          <w:rFonts w:ascii="Arial" w:cs="Arial" w:eastAsia="Arial" w:hAnsi="Arial"/>
          <w:sz w:val="18"/>
          <w:szCs w:val="18"/>
          <w:color w:val="auto"/>
        </w:rPr>
      </w:pPr>
    </w:p>
    <w:p>
      <w:pPr>
        <w:ind w:left="3400" w:hanging="773"/>
        <w:spacing w:after="0"/>
        <w:tabs>
          <w:tab w:leader="none" w:pos="3400" w:val="left"/>
        </w:tabs>
        <w:numPr>
          <w:ilvl w:val="2"/>
          <w:numId w:val="1189"/>
        </w:numPr>
        <w:rPr>
          <w:rFonts w:ascii="Arial" w:cs="Arial" w:eastAsia="Arial" w:hAnsi="Arial"/>
          <w:sz w:val="18"/>
          <w:szCs w:val="18"/>
          <w:color w:val="auto"/>
        </w:rPr>
      </w:pPr>
      <w:r>
        <w:rPr>
          <w:rFonts w:ascii="Arial" w:cs="Arial" w:eastAsia="Arial" w:hAnsi="Arial"/>
          <w:sz w:val="18"/>
          <w:szCs w:val="18"/>
          <w:color w:val="auto"/>
        </w:rPr>
        <w:t xml:space="preserve">increase the Exercise Price or decrease the Number of Warrants (except as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1319"/>
        <w:spacing w:after="0" w:line="277" w:lineRule="auto"/>
        <w:tabs>
          <w:tab w:leader="none" w:pos="2696"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the Global Warrant Holder (pursuant to a proper vote or consent of the Beneficial Owners of two-thirds of the Warrants affected under this Warrant Agreement):</w:t>
      </w:r>
    </w:p>
    <w:p>
      <w:pPr>
        <w:spacing w:after="0" w:line="170" w:lineRule="exact"/>
        <w:rPr>
          <w:rFonts w:ascii="Arial" w:cs="Arial" w:eastAsia="Arial" w:hAnsi="Arial"/>
          <w:sz w:val="18"/>
          <w:szCs w:val="18"/>
          <w:color w:val="auto"/>
        </w:rPr>
      </w:pPr>
    </w:p>
    <w:p>
      <w:pPr>
        <w:ind w:left="3420" w:hanging="793"/>
        <w:spacing w:after="0"/>
        <w:tabs>
          <w:tab w:leader="none" w:pos="3420" w:val="left"/>
        </w:tabs>
        <w:numPr>
          <w:ilvl w:val="2"/>
          <w:numId w:val="1189"/>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or delivery with respect to the exercise and</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settlement of any Warrant;</w:t>
      </w:r>
    </w:p>
    <w:p>
      <w:pPr>
        <w:spacing w:after="0" w:line="210" w:lineRule="exact"/>
        <w:rPr>
          <w:rFonts w:ascii="Arial" w:cs="Arial" w:eastAsia="Arial" w:hAnsi="Arial"/>
          <w:sz w:val="16"/>
          <w:szCs w:val="16"/>
          <w:color w:val="auto"/>
        </w:rPr>
      </w:pPr>
    </w:p>
    <w:p>
      <w:pPr>
        <w:jc w:val="both"/>
        <w:ind w:left="1300" w:firstLine="1327"/>
        <w:spacing w:after="0" w:line="264" w:lineRule="auto"/>
        <w:tabs>
          <w:tab w:leader="none" w:pos="3699" w:val="left"/>
        </w:tabs>
        <w:numPr>
          <w:ilvl w:val="2"/>
          <w:numId w:val="1189"/>
        </w:numPr>
        <w:rPr>
          <w:rFonts w:ascii="Arial" w:cs="Arial" w:eastAsia="Arial" w:hAnsi="Arial"/>
          <w:sz w:val="18"/>
          <w:szCs w:val="18"/>
          <w:color w:val="auto"/>
        </w:rPr>
      </w:pPr>
      <w:r>
        <w:rPr>
          <w:rFonts w:ascii="Arial" w:cs="Arial" w:eastAsia="Arial" w:hAnsi="Arial"/>
          <w:sz w:val="18"/>
          <w:szCs w:val="18"/>
          <w:color w:val="auto"/>
        </w:rPr>
        <w:t>except as otherwise expressly permitted by provisions of this Warrant Agreement concerning specified reclassifications or corporate reorganizations, impair or adversely affect the exercise rights of Beneficial Owners, including any change to the calculation or payment of the Full Physical Share Amount;</w:t>
      </w:r>
    </w:p>
    <w:p>
      <w:pPr>
        <w:spacing w:after="0" w:line="181" w:lineRule="exact"/>
        <w:rPr>
          <w:rFonts w:ascii="Arial" w:cs="Arial" w:eastAsia="Arial" w:hAnsi="Arial"/>
          <w:sz w:val="18"/>
          <w:szCs w:val="18"/>
          <w:color w:val="auto"/>
        </w:rPr>
      </w:pPr>
    </w:p>
    <w:p>
      <w:pPr>
        <w:ind w:left="3540" w:hanging="913"/>
        <w:spacing w:after="0"/>
        <w:tabs>
          <w:tab w:leader="none" w:pos="3540" w:val="left"/>
        </w:tabs>
        <w:numPr>
          <w:ilvl w:val="2"/>
          <w:numId w:val="1189"/>
        </w:numPr>
        <w:rPr>
          <w:rFonts w:ascii="Arial" w:cs="Arial" w:eastAsia="Arial" w:hAnsi="Arial"/>
          <w:sz w:val="16"/>
          <w:szCs w:val="16"/>
          <w:color w:val="auto"/>
        </w:rPr>
      </w:pPr>
      <w:r>
        <w:rPr>
          <w:rFonts w:ascii="Arial" w:cs="Arial" w:eastAsia="Arial" w:hAnsi="Arial"/>
          <w:sz w:val="16"/>
          <w:szCs w:val="16"/>
          <w:color w:val="auto"/>
        </w:rPr>
        <w:t>reduce the percentage of Warrants outstanding necessary to modify or amend this Warrant Agreement or to</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waive any past default; or</w:t>
      </w:r>
    </w:p>
    <w:p>
      <w:pPr>
        <w:spacing w:after="0" w:line="210" w:lineRule="exact"/>
        <w:rPr>
          <w:rFonts w:ascii="Arial" w:cs="Arial" w:eastAsia="Arial" w:hAnsi="Arial"/>
          <w:sz w:val="16"/>
          <w:szCs w:val="16"/>
          <w:color w:val="auto"/>
        </w:rPr>
      </w:pPr>
    </w:p>
    <w:p>
      <w:pPr>
        <w:ind w:left="3420" w:hanging="793"/>
        <w:spacing w:after="0"/>
        <w:tabs>
          <w:tab w:leader="none" w:pos="3420" w:val="left"/>
        </w:tabs>
        <w:numPr>
          <w:ilvl w:val="2"/>
          <w:numId w:val="1189"/>
        </w:numPr>
        <w:rPr>
          <w:rFonts w:ascii="Arial" w:cs="Arial" w:eastAsia="Arial" w:hAnsi="Arial"/>
          <w:sz w:val="16"/>
          <w:szCs w:val="16"/>
          <w:color w:val="auto"/>
        </w:rPr>
      </w:pPr>
      <w:r>
        <w:rPr>
          <w:rFonts w:ascii="Arial" w:cs="Arial" w:eastAsia="Arial" w:hAnsi="Arial"/>
          <w:sz w:val="16"/>
          <w:szCs w:val="16"/>
          <w:color w:val="auto"/>
        </w:rPr>
        <w:t>reduce the percentage in Warrants outstanding required for any other waiver under this Warrant Agreement.</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Notices of Record Date, etc.</w:t>
      </w:r>
      <w:r>
        <w:rPr>
          <w:rFonts w:ascii="Arial" w:cs="Arial" w:eastAsia="Arial" w:hAnsi="Arial"/>
          <w:sz w:val="16"/>
          <w:szCs w:val="16"/>
          <w:color w:val="auto"/>
        </w:rPr>
        <w:t xml:space="preserve"> In the event (i) the Company commences any tender offer (including any exchange offer) as announced from time to time for all or a portion of the outstanding Ordinary Shares; (ii) the Company shall take a record of the holders of its Ordinary Shares (or other stock or securities at the time deliverable upon the exercise of a Warrant) for the purpose of entitling or enabling them to receive any dividend or other distribution, or to receive any right to subscribe for or purchase any shares of stock of any class or any other securities, or to receive any other right;</w:t>
      </w:r>
    </w:p>
    <w:p>
      <w:pPr>
        <w:spacing w:after="0" w:line="2" w:lineRule="exact"/>
        <w:rPr>
          <w:sz w:val="20"/>
          <w:szCs w:val="20"/>
          <w:color w:val="auto"/>
        </w:rPr>
      </w:pPr>
    </w:p>
    <w:p>
      <w:pPr>
        <w:jc w:val="both"/>
        <w:ind w:firstLine="8"/>
        <w:spacing w:after="0" w:line="268" w:lineRule="auto"/>
        <w:tabs>
          <w:tab w:leader="none" w:pos="397" w:val="left"/>
        </w:tabs>
        <w:numPr>
          <w:ilvl w:val="0"/>
          <w:numId w:val="1190"/>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Company; or (iv) any Liquidity Event, then, and in each such case, the Company will mail or cause to be mailed to the Global Warrant Holder (with a copy to the Warrant Agent) at least 15 days (21 days in the case of a Liquidity Event) prior to the Record Date or the effective date, as applicable a notice specifying, as the case may be, (A) the Record Date for such dividend, distribution or right, and the amount and character of such dividend, distribution or right, or (B) if applicable, the effective date on which such other event is to take place, and the time, if any is to be fixed, as of which the holders of record of Ordinary Shares (or such other stock or Securities at the time deliverable upon the exercise of a Warrant) shall be entitled to exchange their Ordinary Shares (or such other stock or Securities) for Securities or other property deliverable upon such other event. Nothing herein shall prohibit the Global Warrant Holder from exercising its Warrant during the 15 day period (21 days in the case of a Liquidity Event) commencing on the date of such notice.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5" w:name="page1116"/>
    <w:bookmarkEnd w:id="1115"/>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Concerning the Warrant Agent and Other Matters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Payment of Certain Taxes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58"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The Company shall pay any and all documentary, stamp or similar issue or transfer taxes that may be payable upon the initial issuance of the Global Warrants hereunder and delivery to the Global Warrant Holder.</w:t>
      </w:r>
    </w:p>
    <w:p>
      <w:pPr>
        <w:spacing w:after="0" w:line="170" w:lineRule="exact"/>
        <w:rPr>
          <w:rFonts w:ascii="Arial" w:cs="Arial" w:eastAsia="Arial" w:hAnsi="Arial"/>
          <w:sz w:val="18"/>
          <w:szCs w:val="18"/>
          <w:color w:val="auto"/>
        </w:rPr>
      </w:pPr>
    </w:p>
    <w:p>
      <w:pPr>
        <w:jc w:val="both"/>
        <w:ind w:right="20" w:firstLine="1305"/>
        <w:spacing w:after="0" w:line="264" w:lineRule="auto"/>
        <w:tabs>
          <w:tab w:leader="none" w:pos="2100"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The Company shall pay any and all documentary, stamp or similar issue or transfer taxes that may be payable upon the issuance of Ordinary Shares upon the exercise of Warrants hereunder and the issuance of stock certificates in respect thereof in the respective names of, or in such names as may be directed by, the exercising Beneficial Owners.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63"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 xml:space="preserve">The Warrant Agent shall not register any Transfer or issue or deliver any Global Warrant Certificate or Ordinary Shares unless or until the persons requesting the registration or issuance has either (i) paid to the Warrant Agent for the account of the Company the amount of the taxes described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payable with respect to such Transfer, if any, or (ii) established to the reasonable satisfaction of the Warrant Agent that such tax, if any, has been paid by the Company.</w:t>
      </w:r>
    </w:p>
    <w:p>
      <w:pPr>
        <w:spacing w:after="0" w:line="186" w:lineRule="exact"/>
        <w:rPr>
          <w:rFonts w:ascii="Arial" w:cs="Arial" w:eastAsia="Arial" w:hAnsi="Arial"/>
          <w:sz w:val="18"/>
          <w:szCs w:val="18"/>
          <w:color w:val="auto"/>
        </w:rPr>
      </w:pPr>
    </w:p>
    <w:p>
      <w:pPr>
        <w:ind w:firstLine="1305"/>
        <w:spacing w:after="0" w:line="277" w:lineRule="auto"/>
        <w:tabs>
          <w:tab w:leader="none" w:pos="2073" w:val="left"/>
        </w:tabs>
        <w:numPr>
          <w:ilvl w:val="0"/>
          <w:numId w:val="1191"/>
        </w:numPr>
        <w:rPr>
          <w:rFonts w:ascii="Arial" w:cs="Arial" w:eastAsia="Arial" w:hAnsi="Arial"/>
          <w:sz w:val="18"/>
          <w:szCs w:val="18"/>
          <w:color w:val="auto"/>
        </w:rPr>
      </w:pPr>
      <w:r>
        <w:rPr>
          <w:rFonts w:ascii="Arial" w:cs="Arial" w:eastAsia="Arial" w:hAnsi="Arial"/>
          <w:sz w:val="18"/>
          <w:szCs w:val="18"/>
          <w:color w:val="auto"/>
        </w:rPr>
        <w:t>Nothing herein shall prejudice the applicability of Section 1146 of the Bankruptcy Code and the rights of the Company and other interested parties thereunder.</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2050" w:val="left"/>
        </w:tabs>
        <w:numPr>
          <w:ilvl w:val="0"/>
          <w:numId w:val="1191"/>
        </w:numPr>
        <w:rPr>
          <w:rFonts w:ascii="Arial" w:cs="Arial" w:eastAsia="Arial" w:hAnsi="Arial"/>
          <w:sz w:val="17"/>
          <w:szCs w:val="17"/>
          <w:color w:val="auto"/>
        </w:rPr>
      </w:pPr>
      <w:r>
        <w:rPr>
          <w:rFonts w:ascii="Arial" w:cs="Arial" w:eastAsia="Arial" w:hAnsi="Arial"/>
          <w:sz w:val="17"/>
          <w:szCs w:val="17"/>
          <w:color w:val="auto"/>
        </w:rPr>
        <w:t>Notwithstanding anything to the contrary, if the Company pays or is obligated to pay withholding taxes or backup withholding on or with respect to any deemed (or constructive) distribution on behalf of a Beneficial Owner as a result of an adjustment to the Exercise Price or the lack thereof, or for any other adjustment or other reason, the Company may, at its option, set off such payments against payments of Cash or other deliveries on the Warrant to such Beneficial Owner. If the Company is required to remit an amount of tax in respect of any such withholding taxes or backup withholding, then, without duplication for any amount that the Company has set off pursuant to the foregoing sentence, the amount so required to be remitted shall be payable by the Beneficial Owner within 10 Business Days of written demand by the Company.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Tax Filings</w:t>
      </w:r>
      <w:r>
        <w:rPr>
          <w:rFonts w:ascii="Arial" w:cs="Arial" w:eastAsia="Arial" w:hAnsi="Arial"/>
          <w:sz w:val="18"/>
          <w:szCs w:val="18"/>
          <w:color w:val="auto"/>
        </w:rPr>
        <w:t>. The Warrant Agent shall prepare and file with the appropriate governmental agency all appropriate tax information forms in respect of any payments made by the Warrant Agent hereunder (including, without limitation, Internal Revenue Service Form 1099-B) during each calendar year, or any portion thereof, during which the Warrant Agent performs services hereunder.</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Change of Warrant Agent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0" w:lineRule="auto"/>
        <w:tabs>
          <w:tab w:leader="none" w:pos="2063" w:val="left"/>
        </w:tabs>
        <w:numPr>
          <w:ilvl w:val="0"/>
          <w:numId w:val="1192"/>
        </w:numPr>
        <w:rPr>
          <w:rFonts w:ascii="Arial" w:cs="Arial" w:eastAsia="Arial" w:hAnsi="Arial"/>
          <w:sz w:val="16"/>
          <w:szCs w:val="16"/>
          <w:color w:val="auto"/>
        </w:rPr>
      </w:pPr>
      <w:r>
        <w:rPr>
          <w:rFonts w:ascii="Arial" w:cs="Arial" w:eastAsia="Arial" w:hAnsi="Arial"/>
          <w:sz w:val="16"/>
          <w:szCs w:val="16"/>
          <w:color w:val="auto"/>
        </w:rPr>
        <w:t>The Warrant Agent, or any successor to it hereafter appointed, may resign its duties and be discharged from all further duties and liabilities hereunder (except for liability arising as a result of the Warrant Agent’s own gross negligence, willful misconduct or bad faith (each as determined in a final non-appealable judgment by a court of competent jurisdiction)) after giving sixty days’ notice in writing to the Company, except that such shorter notice may be given as the Company shall, in writing, accept as sufficient. If the office of the Warrant Agent becomes vacant by resignation or incapacity to act or otherwise, the Company shall appoint in writing a successor warrant agent in place of the Warrant Agent. If the Company shall fail to make such appointment within a period of thirty days after it has been notified in writing of such resignation or incapacity by the resigning or incapacitated warrant agent or by the Global Warrant Holder (who shall, with such notice, submit his Global Warrant Certificate for inspection by the Company), then the Global Warrant Holder may apply to any court of competent jurisdiction for the appointment of a successor warrant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16" w:name="page1117"/>
    <w:bookmarkEnd w:id="1116"/>
    <w:p>
      <w:pPr>
        <w:ind w:right="20" w:firstLine="1305"/>
        <w:spacing w:after="0" w:line="342" w:lineRule="auto"/>
        <w:tabs>
          <w:tab w:leader="none" w:pos="2046" w:val="left"/>
        </w:tabs>
        <w:numPr>
          <w:ilvl w:val="0"/>
          <w:numId w:val="1193"/>
        </w:numPr>
        <w:rPr>
          <w:rFonts w:ascii="Arial" w:cs="Arial" w:eastAsia="Arial" w:hAnsi="Arial"/>
          <w:sz w:val="16"/>
          <w:szCs w:val="16"/>
          <w:color w:val="auto"/>
        </w:rPr>
      </w:pPr>
      <w:r>
        <w:rPr>
          <w:rFonts w:ascii="Arial" w:cs="Arial" w:eastAsia="Arial" w:hAnsi="Arial"/>
          <w:sz w:val="16"/>
          <w:szCs w:val="16"/>
          <w:color w:val="auto"/>
        </w:rPr>
        <w:t>The Warrant Agent may be removed by the Company at any time upon thirty days’ written notice to the Warrant Agent; provided, however, that the Company shall not remove the Warrant Agent until a successor warrant agent meeting the qualifications hereof shall have been appointed.</w:t>
      </w:r>
    </w:p>
    <w:p>
      <w:pPr>
        <w:spacing w:after="0" w:line="123" w:lineRule="exact"/>
        <w:rPr>
          <w:rFonts w:ascii="Arial" w:cs="Arial" w:eastAsia="Arial" w:hAnsi="Arial"/>
          <w:sz w:val="16"/>
          <w:szCs w:val="16"/>
          <w:color w:val="auto"/>
        </w:rPr>
      </w:pPr>
    </w:p>
    <w:p>
      <w:pPr>
        <w:jc w:val="both"/>
        <w:ind w:firstLine="1305"/>
        <w:spacing w:after="0" w:line="285" w:lineRule="auto"/>
        <w:tabs>
          <w:tab w:leader="none" w:pos="2360" w:val="left"/>
        </w:tabs>
        <w:numPr>
          <w:ilvl w:val="0"/>
          <w:numId w:val="1193"/>
        </w:numPr>
        <w:rPr>
          <w:rFonts w:ascii="Arial" w:cs="Arial" w:eastAsia="Arial" w:hAnsi="Arial"/>
          <w:sz w:val="16"/>
          <w:szCs w:val="16"/>
          <w:color w:val="auto"/>
        </w:rPr>
      </w:pPr>
      <w:r>
        <w:rPr>
          <w:rFonts w:ascii="Arial" w:cs="Arial" w:eastAsia="Arial" w:hAnsi="Arial"/>
          <w:sz w:val="16"/>
          <w:szCs w:val="16"/>
          <w:color w:val="auto"/>
        </w:rPr>
        <w:t>Any successor warrant agent, whether appointed by the Company or by such a court, shall be a corporation or banking association organized, in good standing and doing business under the laws of the United States of America or any state thereof or the District of Columbia, and authorized under such laws to exercise corporate trust powers and subject to supervision or examination by federal or state authority and having a combined capital and surplus (together with its affiliates) of not less than $50,000,000. The combined capital and surplus of any such successor warrant agent shall be deemed to be the combined capital and surplus as set forth in the most recent report of its condition published prior to its appointment; provided that such reports are published at least annually pursuant to law or to the requirements of a federal or state supervising or examining authority. After acceptance in writing of such appointment by the successor warrant agent, such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to more fully and effectually vest in and conform to such successor warrant agent all such authority, powers, rights, immunities, duties and obligations. Upon assumption by a successor warrant agent of the duties and responsibilities hereunder, the predecessor warrant agent shall deliver and transfer, at the expense of the Company, to the successor warrant agent any property at the time held by it hereunder. As soon as practicable after such appointment, the Company shall give notice thereof to the predecessor warrant agent, the Global Warrant Holder and each transfer agent for the shares of its Ordinary Shares. Failure to give such notice, or any defect therein, shall not affect the validity of the appointment of the successor warrant agent.</w:t>
      </w:r>
    </w:p>
    <w:p>
      <w:pPr>
        <w:spacing w:after="0" w:line="177" w:lineRule="exact"/>
        <w:rPr>
          <w:rFonts w:ascii="Arial" w:cs="Arial" w:eastAsia="Arial" w:hAnsi="Arial"/>
          <w:sz w:val="16"/>
          <w:szCs w:val="16"/>
          <w:color w:val="auto"/>
        </w:rPr>
      </w:pPr>
    </w:p>
    <w:p>
      <w:pPr>
        <w:jc w:val="both"/>
        <w:ind w:firstLine="1305"/>
        <w:spacing w:after="0" w:line="270" w:lineRule="auto"/>
        <w:tabs>
          <w:tab w:leader="none" w:pos="2114" w:val="left"/>
        </w:tabs>
        <w:numPr>
          <w:ilvl w:val="0"/>
          <w:numId w:val="1193"/>
        </w:numPr>
        <w:rPr>
          <w:rFonts w:ascii="Arial" w:cs="Arial" w:eastAsia="Arial" w:hAnsi="Arial"/>
          <w:sz w:val="17"/>
          <w:szCs w:val="17"/>
          <w:color w:val="auto"/>
        </w:rPr>
      </w:pPr>
      <w:r>
        <w:rPr>
          <w:rFonts w:ascii="Arial" w:cs="Arial" w:eastAsia="Arial" w:hAnsi="Arial"/>
          <w:sz w:val="17"/>
          <w:szCs w:val="17"/>
          <w:color w:val="auto"/>
        </w:rPr>
        <w:t xml:space="preserve">Any entity into which the Warrant Agent may be merged or converted or with which it may be consolidated, or any corporation resulting from any merger, conversion or consolidation to which the Warrant Agent shall be a party, or any Person succeeding to all or substantially all of the corporate trust or agency business of the Warrant Agent, shall be the successor warrant agent under this Warrant Agreement without the execution or filing of any paper or any further act on the part of any of the parties hereto; provided that such entity would be eligible for appointment as a successor warrant agent under </w:t>
      </w:r>
      <w:r>
        <w:rPr>
          <w:rFonts w:ascii="Arial" w:cs="Arial" w:eastAsia="Arial" w:hAnsi="Arial"/>
          <w:sz w:val="17"/>
          <w:szCs w:val="17"/>
          <w:u w:val="single" w:color="auto"/>
          <w:color w:val="auto"/>
        </w:rPr>
        <w:t>Section 6.03(c)</w:t>
      </w:r>
      <w:r>
        <w:rPr>
          <w:rFonts w:ascii="Arial" w:cs="Arial" w:eastAsia="Arial" w:hAnsi="Arial"/>
          <w:sz w:val="17"/>
          <w:szCs w:val="17"/>
          <w:color w:val="auto"/>
        </w:rPr>
        <w:t>. In case at the time such successor to the Warrant Agent shall succeed to the agency created by this Warrant Agreement, the Global Warrant Certificate shall have been countersigned but not delivered, any such successor to the Warrant Agent may adopt the countersignature of the original Warrant Agent and deliver such Global Warrant Certificate so countersigned, and in case at that time the Global Warrant Certificate shall not have been countersigned, any successor to the Warrant Agent may countersign such Global Warrant Certificate either in the name of the predecessor Warrant Agent or in the name of the successor Warrant Agent; and in all such cases the Global Warrant Certificate shall have the full force provided in the Global Warrant Certificate and in this Warrant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17" w:name="page1118"/>
    <w:bookmarkEnd w:id="1117"/>
    <w:p>
      <w:pPr>
        <w:jc w:val="both"/>
        <w:ind w:firstLine="1305"/>
        <w:spacing w:after="0" w:line="257" w:lineRule="auto"/>
        <w:tabs>
          <w:tab w:leader="none" w:pos="2162" w:val="left"/>
        </w:tabs>
        <w:numPr>
          <w:ilvl w:val="0"/>
          <w:numId w:val="1194"/>
        </w:numPr>
        <w:rPr>
          <w:rFonts w:ascii="Arial" w:cs="Arial" w:eastAsia="Arial" w:hAnsi="Arial"/>
          <w:sz w:val="18"/>
          <w:szCs w:val="18"/>
          <w:color w:val="auto"/>
        </w:rPr>
      </w:pPr>
      <w:r>
        <w:rPr>
          <w:rFonts w:ascii="Arial" w:cs="Arial" w:eastAsia="Arial" w:hAnsi="Arial"/>
          <w:sz w:val="18"/>
          <w:szCs w:val="18"/>
          <w:color w:val="auto"/>
        </w:rPr>
        <w:t>In case at any time the name of the Warrant Agent shall be changed and at such time the Global Warrant Certificate shall have been countersigned but not delivered, the Warrant Agent may adopt the countersignatures under its prior name and deliver such Global Warrant Certificate so countersigned; and in case at that time the Global Warrant Certificate shall not have been countersigned, the Warrant Agent may countersign such Global Warrant Certificate either in its prior name or in its changed name; and in all such cases such Global Warrant Certificate shall have the full force provided in the Global Warrant Certificate and in this Warrant Agreement.</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Compensation; Further Assurances</w:t>
      </w:r>
      <w:r>
        <w:rPr>
          <w:rFonts w:ascii="Arial" w:cs="Arial" w:eastAsia="Arial" w:hAnsi="Arial"/>
          <w:sz w:val="16"/>
          <w:szCs w:val="16"/>
          <w:color w:val="auto"/>
        </w:rPr>
        <w:t xml:space="preserve">. The Company agrees that it will (a) pay the Warrant Agent reasonable compensation for its services as Warrant Agent in accordance with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except as otherwise expressly provided, will pay or reimburse the Warrant Agent upon written demand for all reasonable and documented expenses, disbursements and advances incurred or made by the Warrant Agent in accordance with any of the provisions of this Warrant Agreement (including the reasonable compensation, expenses and disbursements of its agents and counsel incurred in connection with the execution and administration of this Warrant Agreement), except any such expense, disbursement or advance as may arise from its or any of their gross negligence, willful misconduct or bad faith (each as determined in a final non-appealable judgment by a court of competent jurisdiction), and</w:t>
      </w:r>
    </w:p>
    <w:p>
      <w:pPr>
        <w:spacing w:after="0" w:line="5" w:lineRule="exact"/>
        <w:rPr>
          <w:sz w:val="20"/>
          <w:szCs w:val="20"/>
          <w:color w:val="auto"/>
        </w:rPr>
      </w:pPr>
    </w:p>
    <w:p>
      <w:pPr>
        <w:ind w:right="20" w:firstLine="8"/>
        <w:spacing w:after="0" w:line="323" w:lineRule="auto"/>
        <w:tabs>
          <w:tab w:leader="none" w:pos="265" w:val="left"/>
        </w:tabs>
        <w:numPr>
          <w:ilvl w:val="0"/>
          <w:numId w:val="1195"/>
        </w:numPr>
        <w:rPr>
          <w:rFonts w:ascii="Arial" w:cs="Arial" w:eastAsia="Arial" w:hAnsi="Arial"/>
          <w:sz w:val="16"/>
          <w:szCs w:val="16"/>
          <w:color w:val="auto"/>
        </w:rPr>
      </w:pPr>
      <w:r>
        <w:rPr>
          <w:rFonts w:ascii="Arial" w:cs="Arial" w:eastAsia="Arial" w:hAnsi="Arial"/>
          <w:sz w:val="16"/>
          <w:szCs w:val="16"/>
          <w:color w:val="auto"/>
        </w:rPr>
        <w:t>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Reliance on Counsel</w:t>
      </w:r>
      <w:r>
        <w:rPr>
          <w:rFonts w:ascii="Arial" w:cs="Arial" w:eastAsia="Arial" w:hAnsi="Arial"/>
          <w:sz w:val="16"/>
          <w:szCs w:val="16"/>
          <w:color w:val="auto"/>
        </w:rPr>
        <w:t>. The Warrant Agent may consult with legal counsel (who may be legal counsel for the Company), and the written opinion of such counsel or any advice of legal counsel subsequently confirmed by a written opinion of such counsel shall be full and complete authorization and protection to the Warrant Agent as to any action taken or omitted by it in good faith and in accordance with such written opinion or advice.</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Proof of Actions Taken</w:t>
      </w:r>
      <w:r>
        <w:rPr>
          <w:rFonts w:ascii="Arial" w:cs="Arial" w:eastAsia="Arial" w:hAnsi="Arial"/>
          <w:sz w:val="17"/>
          <w:szCs w:val="17"/>
          <w:color w:val="auto"/>
        </w:rPr>
        <w:t>. Whenever in the performance of its duties under this Warrant Agreement the Warrant Agent shall deem it necessary or desirable that any matter be proved or established by the Company prior to taking or suffering or omitting any action hereunder, such matter (unless other evidence in respect thereof be herein specifically prescribed) may, in good faith on the part of the Warrant Agent, be deemed to be conclusively proved and established by an Officer’s Certificate delivered to the Warrant Agent; and such Officer’s Certificate shall, in good faith on the part of the Warrant Agent, be full warrant to the Warrant Agent for any action taken, suffered or omitted in good faith by it under the provisions of this Warrant Agreement in reliance upon such Officer’s Certificate; but in its discretion the Warrant Agent may in lieu thereof accept other evidence of such fact or matter or may require such further or additional evidence as to it may seem reasonable. In the event the Warrant Agent reasonably believes any ambiguity or uncertainty exists hereunder or in any notice, instruction, direction, request or other communication, paper or document received by the Warrant Agent hereunder, the Warrant Agent shall promptly notify the Company of any such ambiguity or uncertainty, and it may, in its sole discretion, refrain from taking any action, and shall be fully protected and shall not be liable in any way to the Company, a Global Warrant Holder or any other person or entity for refraining from taking such action, except for its own gross negligence, willful misconduct or bad faith (each as determined by a final non-appealable judgment of a court of competent jurisdiction). unless the Warrant Agent receives written instructions signed by the Company which eliminates such ambiguity or uncertainty to the satisfaction of Warrant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18" w:name="page1119"/>
    <w:bookmarkEnd w:id="1118"/>
    <w:p>
      <w:pPr>
        <w:jc w:val="both"/>
        <w:ind w:firstLine="648"/>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Correctness of Statements</w:t>
      </w:r>
      <w:r>
        <w:rPr>
          <w:rFonts w:ascii="Arial" w:cs="Arial" w:eastAsia="Arial" w:hAnsi="Arial"/>
          <w:sz w:val="18"/>
          <w:szCs w:val="18"/>
          <w:color w:val="auto"/>
        </w:rPr>
        <w:t>. The Warrant Agent shall not be liable for or by reason of any of the statements of fact or recitals contained in this Warrant Agreement or in the Global Warrant Certificate (except its countersignature thereof) or be required to verify the same, and all such statements and recitals are and shall be deemed to have been made by the Company only.</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Validity of Agreement</w:t>
      </w:r>
      <w:r>
        <w:rPr>
          <w:rFonts w:ascii="Arial" w:cs="Arial" w:eastAsia="Arial" w:hAnsi="Arial"/>
          <w:sz w:val="16"/>
          <w:szCs w:val="16"/>
          <w:color w:val="auto"/>
        </w:rPr>
        <w:t>. From time to time, the Warrant Agent may apply to any officer of the Company for instruction and the Company shall provide the Warrant Agent with such instructions concerning the services to be provided hereunder. The Warrant Agent shall not be held to have notice of any change of authority of any Person, until receipt of notice thereof from the Company. The Warrant Agent shall not be under any responsibility in respect of the validity of this Warrant Agreement or the execution and delivery hereof or in respect of the validity or execution of the Global Warrant Certificate (except its countersignature thereof); nor shall it be responsible for any breach by the Company of any covenant or condition contained in this Warrant Agreement or in the Global Warrant Certificate; nor shall it by any act hereunder be deemed to make any representation or warranty as to the authorization or reservation of any Ordinary Shares to be issued pursuant to this Warrant Agreement or any Warrants or as to whether any Ordinary Shares will, when issued, be validly issued and fully paid and nonassessable. The Warrant Agent and its agents shall not be liable and shall be indemnified by the Company for any action taken or omitted, in the absence of bad faith, by the Warrant Agent in reliance upon any instructions from the Company.</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Use of Agents</w:t>
      </w:r>
      <w:r>
        <w:rPr>
          <w:rFonts w:ascii="Arial" w:cs="Arial" w:eastAsia="Arial" w:hAnsi="Arial"/>
          <w:sz w:val="17"/>
          <w:szCs w:val="17"/>
          <w:color w:val="auto"/>
        </w:rPr>
        <w:t>. The Warrant Agent may execute and exercise any of the rights or powers hereby vested in it or perform any duty hereunder either itself or by or through its attorneys or agents provided that the Warrant Agent shall remain responsible for the activities or omissions of any such agent or attorney and reasonable care has been exercised in the selection and in the continued employment of such attorney or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19" w:name="page1120"/>
    <w:bookmarkEnd w:id="1119"/>
    <w:p>
      <w:pPr>
        <w:jc w:val="both"/>
        <w:ind w:firstLine="648"/>
        <w:spacing w:after="0" w:line="285"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Liability of Warrant Agent</w:t>
      </w:r>
      <w:r>
        <w:rPr>
          <w:rFonts w:ascii="Arial" w:cs="Arial" w:eastAsia="Arial" w:hAnsi="Arial"/>
          <w:sz w:val="16"/>
          <w:szCs w:val="16"/>
          <w:color w:val="auto"/>
        </w:rPr>
        <w:t>. The Warrant Agent shall incur no liability or responsibility to the Company or to the Global Warrant Holder for any action taken, suffered or omitted to be taken in reliance on any notice, resolution, waiver, consent, order, certificate, or other paper, document or instrument believed by it to be genuine and to have been signed, sent or presented by the proper party or parties. The Company agrees to indemnify the Warrant Agent and save it harmless against any and all costs, losses, expenses, liabilities and damages that the Warrant Agent has paid, incurred or suffered (or which it becomes obligated to pay, incur or suffer) by or to which it becomes subject, including judgments, costs and reasonable counsel fees, for any action taken, suffered or omitted to be taken by the Warrant Agent in the execution or performance of this Warrant Agreement or otherwise arising in connection with this Warrant Agreement, except as a result of the Warrant Agent’s gross negligence, material breach of this Warrant Agreement, willful misconduct or bad faith (each as determined by a final non- appealable judgment of a court of competent jurisdiction). For the avoidance of doubt, nothing herein shall obligate the Company to advance any amounts to the Warrant Agent in respect of contingent liabilities until such liabilities actually are or become paid or payable. Notwithstanding anything contained herein to the contrary, the Warrant Agent’s aggregate liability during any term of this Warrant Agreement with respect to, arising from, or arising in connection with this Warrant Agreement, or from all services provided or omitted to be provided under this Warrant Agreement, whether in contract, or in tort, or otherwise, is limited to, and shall not exceed, the amounts paid hereunder by the Company to the Warrant Agent as fees and charges, but not including reimbursable expenses, during the twelve (12) months immediately preceding the event for which recovery from Warrant Agent is being sought. Neither party to this Warrant Agreement shall be liable to the other party for any consequential, indirect, punitive, special or incidental damages under any provisions of this Warrant Agreement or for any consequential, indirect, punitive, special or incidental damages arising out of any act or failure to act hereunder even if that party has been advised of or has foreseen the possibility of such damages.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 Warrant Agent shall be under no obligation to institute any action, suit or legal proceeding or to take any other action likely to involve expense or that it reasonably believes would subject it to expense or liability or risk of incurring expense or liability, unless the Company, the Global Warrant Holder or any applicable Participant on behalf of a Beneficial Owner shall furnish the Warrant Agent with indemnity or other assurances for payment reasonably satisfactory to the Warrant Agent for any costs and expenses which may be incurred, but this provision shall not affect the power of the Warrant Agent to take such action as the Warrant Agent may consider proper, whether with or without any such security or indemnity. The Warrant Agent shall promptly notify the Company and the Global Warrant Holder in writing of any claim made or action, suit or proceeding instituted against it arising out of or in connection with this Warrant Agreement. The Warrant Agent shall not have any duty or responsibility in the case of the receipt of any written demand from any Beneficial Owner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Actions as Agent</w:t>
      </w:r>
      <w:r>
        <w:rPr>
          <w:rFonts w:ascii="Arial" w:cs="Arial" w:eastAsia="Arial" w:hAnsi="Arial"/>
          <w:sz w:val="17"/>
          <w:szCs w:val="17"/>
          <w:color w:val="auto"/>
        </w:rPr>
        <w:t>. The Warrant Agent shall act hereunder solely as agent and not in a ministerial or fiduciary capacity. The duties and obligations of the Warrant Agent shall be determined solely by the express provisions of the Warrant Agreement, and the Warrant Agent shall not be liable except for the performance of such duties and obligations as are specifically set forth in the Warrant Agreement. No implied covenants or obligations shall be read into the Warrant Agreement against the Warrant Agent. Subject to Section 6.26 below and applicable securities laws, 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Warrant Agreement. Notwithstanding anything to the contrary herein, none of the Warrant Agent or its officers, directors, managers, employees, agents or other representatives shall use Confidential Information (as defined in Section 6.26) (a) for any purpose other than carrying out the transactions contemplated by this Warrant Agreement, and (b) in contravention of applicable securities laws (including, without limitation, laws prohibiting insider trading). The Warrant Agent shall not be liable for any action taken, suffered or omitted to be taken in connection with this Warrant Agreement except for its own gross negligence, willful misconduct or bad faith (each as determined by a final non-appealable judgement of a court of competent jurisdiction).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20" w:name="page1121"/>
    <w:bookmarkEnd w:id="1120"/>
    <w:p>
      <w:pPr>
        <w:jc w:val="both"/>
        <w:ind w:firstLine="648"/>
        <w:spacing w:after="0" w:line="31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Appointment and Acceptance of Agency</w:t>
      </w:r>
      <w:r>
        <w:rPr>
          <w:rFonts w:ascii="Arial" w:cs="Arial" w:eastAsia="Arial" w:hAnsi="Arial"/>
          <w:sz w:val="16"/>
          <w:szCs w:val="16"/>
          <w:color w:val="auto"/>
        </w:rPr>
        <w:t>. The Company hereby appoints the Warrant Agent to act as agent for the Company in accordance with the instructions set forth in this Warrant Agreement, and the Warrant Agent hereby accepts the agency established by this Warrant Agreement and agrees to perform the same upon the terms and conditions herein set forth or as the Company and the Warrant Agent may hereafter agree.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 hereunder.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demand authorized by this Warrant Agreement to be given or made by the Warrant Agent or by the Global Warrant Holder to or on the Company shall be sufficiently given or made if in writing and sent by mail first-class, postage prepaid, addressed (until another address is filed in writing by the Company with the Warrant Agent),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christina.ibrahim@weatherford.com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 (which shall not constitute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Keith A.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keith.simon@lw.com</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notice or demand authorized by this Warrant Agreement to be given or made by the Global Warrant Holder or by the Company to or on the Warrant Agent shall be sufficiently given or made if sent by mail first-class, postage prepaid, addressed (until another address is filed in writing by the Warrant Agent with the Company),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21" w:name="page1122"/>
    <w:bookmarkEnd w:id="1121"/>
    <w:p>
      <w:pPr>
        <w:ind w:left="66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Relationship Management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With a copy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legalteamAST@astfinancial.com</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notice or demand authorized by this Warrant Agreement to be given or made to the Global Warrant Holder shall be sufficiently given or made if sent by first-class mail, postage prepaid to the last address of the Global Warrant Holder as it shall appear on the Warrant Register.</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The validity, interpretation and performance of this Warrant Agreement and the Global Warrant Certificate shall be governed in accordance with the laws of the State of New York, without giving effect to the principles of conflicts of laws thereof that would result in the application of law of another jurisdiction. The parties hereto irrevocably consent to the exclusive jurisdiction of the courts of the State of New York and any federal court located in such state in connection with any action, suit or proceeding arising out of or relating to this Warrant Agreement. The Company hereby acknowledges and agrees that its failure to perform its agreements and covenants hereunder will cause irreparable injury to the Global Warrant Holder for which damages, even if available, will not be an adequate remedy. Accordingly, the Company hereby consents to the issuance of injunctive relief by courts of the State of New York and any federal court located in such state to compel performance of the Company’s obligations and to the granting by courts of the State of New York and any federal court located in such state of the remedy of specific performance of the Company’s obligations hereunder.</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COMPANY AND THE WARRANT AGENT ACKNOWLEDGES AND AGREES THAT ANY CONTROVERSY THAT MAY ARISE UNDER THIS WARRANT AGREEMENT OR A WARRANT IS LIKELY TO INVOLVE COMPLICATED AND DIFFICULT ISSUES, AND THEREFORE EACH SUCH PERSON HEREBY IRREVOCABLY AND UNCONDITIONALLY WAIVES ANY RIGHT SUCH PERSON MAY HAVE TO A TRIAL BY JURY WITH RESPECT TO ANY LITIGATION DIRECTLY OR INDIRECTLY ARISING OUT OF OR RELATING TO THIS WARRANT AGREEMENT OR A WARRANT. EACH OF THE COMPANY AND THE WARRANT AGENT CERTIFIES AND ACKNOWLEDGES THAT (a) NO REPRESENTATIVE, AGENT OR ATTORNEY OF THE OTHER PERSON HAS REPRESENTED, EXPRESSLY OR OTHERWISE, THAT SUCH OTHER PERSON WOULD NOT, IN THE EVENT OF LITIGATION, SEEK TO ENFORCE THE FOREGOING WAIVER,</w:t>
      </w:r>
    </w:p>
    <w:p>
      <w:pPr>
        <w:spacing w:after="0" w:line="5" w:lineRule="exact"/>
        <w:rPr>
          <w:sz w:val="20"/>
          <w:szCs w:val="20"/>
          <w:color w:val="auto"/>
        </w:rPr>
      </w:pPr>
    </w:p>
    <w:p>
      <w:pPr>
        <w:jc w:val="both"/>
        <w:ind w:firstLine="8"/>
        <w:spacing w:after="0" w:line="255" w:lineRule="auto"/>
        <w:tabs>
          <w:tab w:leader="none" w:pos="301" w:val="left"/>
        </w:tabs>
        <w:numPr>
          <w:ilvl w:val="0"/>
          <w:numId w:val="1196"/>
        </w:numPr>
        <w:rPr>
          <w:rFonts w:ascii="Arial" w:cs="Arial" w:eastAsia="Arial" w:hAnsi="Arial"/>
          <w:sz w:val="18"/>
          <w:szCs w:val="18"/>
          <w:color w:val="auto"/>
        </w:rPr>
      </w:pPr>
      <w:r>
        <w:rPr>
          <w:rFonts w:ascii="Arial" w:cs="Arial" w:eastAsia="Arial" w:hAnsi="Arial"/>
          <w:sz w:val="18"/>
          <w:szCs w:val="18"/>
          <w:color w:val="auto"/>
        </w:rPr>
        <w:t>SUCH PERSON UNDERSTANDS AND HAS CONSIDERED THE IMPLICATIONS OF THIS WAIVER, (c) SUCH PERSON MAKES THIS WAIVER VOLUNTARILY, AND (d) SUCH PERSON HAS BEEN INDUCED TO ENTER INTO THIS WARRANT AGREEMENT BY, AMONG OTHER THINGS, THE MUTUAL WAIVERS AND CERTIFICATIONS IN THIS SECTION.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22" w:name="page1123"/>
    <w:bookmarkEnd w:id="1122"/>
    <w:p>
      <w:pPr>
        <w:jc w:val="both"/>
        <w:ind w:firstLine="648"/>
        <w:spacing w:after="0" w:line="257"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Benefit of this Warrant Agreement</w:t>
      </w:r>
      <w:r>
        <w:rPr>
          <w:rFonts w:ascii="Arial" w:cs="Arial" w:eastAsia="Arial" w:hAnsi="Arial"/>
          <w:sz w:val="18"/>
          <w:szCs w:val="18"/>
          <w:color w:val="auto"/>
        </w:rPr>
        <w:t>. Nothing in this Warrant Agreement expressed and nothing that may be implied from any of the provisions hereof is intended, or shall be construed, to confer upon, or give to, any Person or corporation other than the parties hereto and the Global Warrant Holder any right, remedy or claim under or by reason of this Warrant Agreement or of any covenant, condition, stipulation, promise or agreement hereof, and all covenants, conditions, stipulations, promises and agreements in this Warrant Agreement contained shall be for the sole and exclusive benefit of the parties hereto and their successors and of the Global Warrant Holder.</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6.19 </w:t>
      </w:r>
      <w:r>
        <w:rPr>
          <w:rFonts w:ascii="Arial" w:cs="Arial" w:eastAsia="Arial" w:hAnsi="Arial"/>
          <w:sz w:val="17"/>
          <w:szCs w:val="17"/>
          <w:u w:val="single" w:color="auto"/>
          <w:color w:val="auto"/>
        </w:rPr>
        <w:t>Registered Global Warrant Holder</w:t>
      </w:r>
      <w:r>
        <w:rPr>
          <w:rFonts w:ascii="Arial" w:cs="Arial" w:eastAsia="Arial" w:hAnsi="Arial"/>
          <w:sz w:val="17"/>
          <w:szCs w:val="17"/>
          <w:color w:val="auto"/>
        </w:rPr>
        <w:t>. Prior to due presentment for registration of Transfer, the Company and the Warrant Agent may deem and treat the Person in whose name any Warrants are registered in the Warrant Register as the absolute owner thereof for all purposes whatever (notwithstanding any notation of ownership or other writing thereon made by anyone other than the Company or the Warrant Agent) and neither the Company nor the Warrant Agent shall be affected by any notice to the contrary or be bound to recognize any equitable or other claim to or interest in any Warrants on the part of any other Person and shall not be liable for any registration of Transfer of Warrants that are registered or to be registered in the name of a fiduciary or the nominee of a fiduciary unless made with actual knowledge that a fiduciary or nominee is committing a breach of trust in requesting such registration of Transfer or with such knowledge of such facts that its participation therein amounts to bad faith.</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ind w:left="660"/>
              <w:spacing w:after="0"/>
              <w:rPr>
                <w:sz w:val="20"/>
                <w:szCs w:val="20"/>
                <w:color w:val="auto"/>
              </w:rPr>
            </w:pPr>
            <w:r>
              <w:rPr>
                <w:rFonts w:ascii="Arial" w:cs="Arial" w:eastAsia="Arial" w:hAnsi="Arial"/>
                <w:sz w:val="18"/>
                <w:szCs w:val="18"/>
                <w:color w:val="auto"/>
              </w:rPr>
              <w:t>Section 6.20</w:t>
            </w:r>
          </w:p>
        </w:tc>
        <w:tc>
          <w:tcPr>
            <w:tcW w:w="9220" w:type="dxa"/>
            <w:vAlign w:val="bottom"/>
            <w:gridSpan w:val="3"/>
          </w:tcPr>
          <w:p>
            <w:pPr>
              <w:spacing w:after="0"/>
              <w:rPr>
                <w:sz w:val="20"/>
                <w:szCs w:val="20"/>
                <w:color w:val="auto"/>
              </w:rPr>
            </w:pPr>
            <w:r>
              <w:rPr>
                <w:rFonts w:ascii="Arial" w:cs="Arial" w:eastAsia="Arial" w:hAnsi="Arial"/>
                <w:sz w:val="18"/>
                <w:szCs w:val="18"/>
                <w:color w:val="auto"/>
                <w:w w:val="91"/>
              </w:rPr>
              <w:t>Headings. The Article and Section headings herein are for convenience only and are not a part of this Warrant Agreement and</w:t>
            </w:r>
          </w:p>
        </w:tc>
      </w:tr>
      <w:tr>
        <w:trPr>
          <w:trHeight w:val="20"/>
        </w:trPr>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shall not affect the interpretation thereof.</w:t>
            </w:r>
          </w:p>
        </w:tc>
      </w:tr>
      <w:tr>
        <w:trPr>
          <w:trHeight w:val="392"/>
        </w:trPr>
        <w:tc>
          <w:tcPr>
            <w:tcW w:w="2200" w:type="dxa"/>
            <w:vAlign w:val="bottom"/>
          </w:tcPr>
          <w:p>
            <w:pPr>
              <w:ind w:left="660"/>
              <w:spacing w:after="0"/>
              <w:rPr>
                <w:sz w:val="20"/>
                <w:szCs w:val="20"/>
                <w:color w:val="auto"/>
              </w:rPr>
            </w:pPr>
            <w:r>
              <w:rPr>
                <w:rFonts w:ascii="Arial" w:cs="Arial" w:eastAsia="Arial" w:hAnsi="Arial"/>
                <w:sz w:val="18"/>
                <w:szCs w:val="18"/>
                <w:color w:val="auto"/>
              </w:rPr>
              <w:t>Section 6.21</w:t>
            </w:r>
          </w:p>
        </w:tc>
        <w:tc>
          <w:tcPr>
            <w:tcW w:w="9220" w:type="dxa"/>
            <w:vAlign w:val="bottom"/>
            <w:gridSpan w:val="3"/>
          </w:tcPr>
          <w:p>
            <w:pPr>
              <w:spacing w:after="0"/>
              <w:rPr>
                <w:sz w:val="20"/>
                <w:szCs w:val="20"/>
                <w:color w:val="auto"/>
              </w:rPr>
            </w:pPr>
            <w:r>
              <w:rPr>
                <w:rFonts w:ascii="Arial" w:cs="Arial" w:eastAsia="Arial" w:hAnsi="Arial"/>
                <w:sz w:val="18"/>
                <w:szCs w:val="18"/>
                <w:color w:val="auto"/>
                <w:w w:val="90"/>
              </w:rPr>
              <w:t>Counterparts. This Warrant Agreement may be executed in any number of counterparts on separate counterparts, each of which</w:t>
            </w:r>
          </w:p>
        </w:tc>
      </w:tr>
      <w:tr>
        <w:trPr>
          <w:trHeight w:val="20"/>
        </w:trPr>
        <w:tc>
          <w:tcPr>
            <w:tcW w:w="2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 executed shall be deemed to be an original, but all such counterparts shall together constitute one and the same instrument. A signature to this Warrant Agreement transmitted/executed electronically or by facsimile shall have the same authority, effect and enforceability as an original signature.</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6.22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Warrant Agreement and the Global Warrant Certificate constitute the entire agreement of the Company, the Warrant Agent and the Global Warrant Holder with respect to the subject matter hereof and supersede all prior agreements and undertakings, both written and oral, among the Company, the Warrant Agent and the Global Warrant Holder with respect to the subject matter hereof.</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6.23 </w:t>
      </w: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Warrant Agreement shall be interpreted in such manner as to be effective and valid under applicable law, but if any provision of this Warrant Agreement shall be prohibited by or invalid under applicable law, such provision shall be ineffective to the extent of such prohibition or invalidity, without invalidating the remainder of such provision or the remaining provisions of this Warrant Agreement.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6.24 </w:t>
      </w:r>
      <w:r>
        <w:rPr>
          <w:rFonts w:ascii="Arial" w:cs="Arial" w:eastAsia="Arial" w:hAnsi="Arial"/>
          <w:sz w:val="18"/>
          <w:szCs w:val="18"/>
          <w:u w:val="single" w:color="auto"/>
          <w:color w:val="auto"/>
        </w:rPr>
        <w:t>Damages</w:t>
      </w:r>
      <w:r>
        <w:rPr>
          <w:rFonts w:ascii="Arial" w:cs="Arial" w:eastAsia="Arial" w:hAnsi="Arial"/>
          <w:sz w:val="18"/>
          <w:szCs w:val="18"/>
          <w:color w:val="auto"/>
        </w:rPr>
        <w:t>. Without limiting any other provision of this Warrant Agreement, if the Company willfully and knowingly fails to comply with any provision of this Warrant Agreement or a Warrant, which failure results in any material damages to the Global Warrant Holder, the Company shall pay to the Global Warrant Holder such amounts as shall be sufficient to cover any costs and expenses including, but not limited to, reasonable attorneys’ fees, including those of appellate proceedings, incurred by the Global Warrant Holder in collecting any amounts due pursuant hereto or in otherwise enforcing any of its rights, powers or remedies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23" w:name="page1124"/>
    <w:bookmarkEnd w:id="1123"/>
    <w:p>
      <w:pPr>
        <w:jc w:val="both"/>
        <w:ind w:firstLine="648"/>
        <w:spacing w:after="0" w:line="259" w:lineRule="auto"/>
        <w:rPr>
          <w:sz w:val="20"/>
          <w:szCs w:val="20"/>
          <w:color w:val="auto"/>
        </w:rPr>
      </w:pPr>
      <w:r>
        <w:rPr>
          <w:rFonts w:ascii="Arial" w:cs="Arial" w:eastAsia="Arial" w:hAnsi="Arial"/>
          <w:sz w:val="18"/>
          <w:szCs w:val="18"/>
          <w:color w:val="auto"/>
        </w:rPr>
        <w:t xml:space="preserve">Section 6.25 </w:t>
      </w:r>
      <w:r>
        <w:rPr>
          <w:rFonts w:ascii="Arial" w:cs="Arial" w:eastAsia="Arial" w:hAnsi="Arial"/>
          <w:sz w:val="18"/>
          <w:szCs w:val="18"/>
          <w:u w:val="single" w:color="auto"/>
          <w:color w:val="auto"/>
        </w:rPr>
        <w:t>Survival</w:t>
      </w:r>
      <w:r>
        <w:rPr>
          <w:rFonts w:ascii="Arial" w:cs="Arial" w:eastAsia="Arial" w:hAnsi="Arial"/>
          <w:sz w:val="18"/>
          <w:szCs w:val="18"/>
          <w:color w:val="auto"/>
        </w:rPr>
        <w:t>. This Warrant Agreement shall terminate at the Expiration Date (or Close of Business on the Settlement Date with respect to any Exercise Notice delivered prior to the applicable Expiration Date). Notwithstanding the foregoing, this Warrant Agreement will terminate on such earlier date on which all outstanding Warrants have been exercised. All provisions regarding indemnification, warranty, liability and limits thereon shall survive the termination or expiration of this Warrant Agreement.</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6.26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Warrant Agent and the Company agree that (a) inter alia, personal, non-public holder information (“</w:t>
      </w:r>
      <w:r>
        <w:rPr>
          <w:rFonts w:ascii="Arial" w:cs="Arial" w:eastAsia="Arial" w:hAnsi="Arial"/>
          <w:sz w:val="17"/>
          <w:szCs w:val="17"/>
          <w:b w:val="1"/>
          <w:bCs w:val="1"/>
          <w:color w:val="auto"/>
        </w:rPr>
        <w:t>Non-Public Information</w:t>
      </w:r>
      <w:r>
        <w:rPr>
          <w:rFonts w:ascii="Arial" w:cs="Arial" w:eastAsia="Arial" w:hAnsi="Arial"/>
          <w:sz w:val="17"/>
          <w:szCs w:val="17"/>
          <w:color w:val="auto"/>
        </w:rPr>
        <w:t>”) which is exchanged or received pursuant to the negotiation or the carrying out of this Warrant Agreement and (b) the fees for services set forth in the attached schedule (“</w:t>
      </w:r>
      <w:r>
        <w:rPr>
          <w:rFonts w:ascii="Arial" w:cs="Arial" w:eastAsia="Arial" w:hAnsi="Arial"/>
          <w:sz w:val="17"/>
          <w:szCs w:val="17"/>
          <w:b w:val="1"/>
          <w:bCs w:val="1"/>
          <w:color w:val="auto"/>
        </w:rPr>
        <w:t>Confidential Fees</w:t>
      </w:r>
      <w:r>
        <w:rPr>
          <w:rFonts w:ascii="Arial" w:cs="Arial" w:eastAsia="Arial" w:hAnsi="Arial"/>
          <w:sz w:val="17"/>
          <w:szCs w:val="17"/>
          <w:color w:val="auto"/>
        </w:rPr>
        <w:t>,” together with Non-Public Information,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remain confidential, and shall not be voluntarily disclosed to any other person, except disclosures pursuant to bankruptcy proceedings, applicable securities laws or otherwise as may be required by law, including, without limitation, pursuant to subpoenas from state or federal government authorities.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6.27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Warrant Agent will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24" w:name="page1125"/>
    <w:bookmarkEnd w:id="1124"/>
    <w:p>
      <w:pPr>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/s/ Stuart Fraser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-130810</wp:posOffset>
            </wp:positionV>
            <wp:extent cx="342201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80"/>
          </w:cols>
          <w:pgMar w:left="900" w:top="908" w:right="1019" w:bottom="1440" w:gutter="0" w:footer="0" w:header="0"/>
        </w:sectPr>
      </w:pPr>
    </w:p>
    <w:bookmarkStart w:id="1125" w:name="page1126"/>
    <w:bookmarkEnd w:id="1125"/>
    <w:p>
      <w:pPr>
        <w:ind w:left="4500"/>
        <w:spacing w:after="0"/>
        <w:rPr>
          <w:sz w:val="20"/>
          <w:szCs w:val="20"/>
          <w:color w:val="auto"/>
        </w:rPr>
      </w:pPr>
      <w:r>
        <w:rPr>
          <w:rFonts w:ascii="Arial" w:cs="Arial" w:eastAsia="Arial" w:hAnsi="Arial"/>
          <w:sz w:val="18"/>
          <w:szCs w:val="18"/>
          <w:b w:val="1"/>
          <w:bCs w:val="1"/>
          <w:color w:val="auto"/>
        </w:rPr>
        <w:t>AMERICAN  STOCK  TRANSFER  &amp;  TRUST  COMPANY,  LLC  as</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Warrant Agent: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Michael Legregin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3422015"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SVP, Attorney Advisory Group</w:t>
      </w:r>
    </w:p>
    <w:p>
      <w:pPr>
        <w:spacing w:after="0" w:line="21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126" w:name="page1127"/>
    <w:bookmarkEnd w:id="1126"/>
    <w:p>
      <w:pPr>
        <w:ind w:left="10260"/>
        <w:spacing w:after="0"/>
        <w:rPr>
          <w:sz w:val="20"/>
          <w:szCs w:val="20"/>
          <w:color w:val="auto"/>
        </w:rPr>
      </w:pPr>
      <w:r>
        <w:rPr>
          <w:rFonts w:ascii="Arial" w:cs="Arial" w:eastAsia="Arial" w:hAnsi="Arial"/>
          <w:sz w:val="17"/>
          <w:szCs w:val="17"/>
          <w:b w:val="1"/>
          <w:bCs w:val="1"/>
          <w:color w:val="auto"/>
        </w:rPr>
        <w:t>SCHEDULE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INCREASES OR DECREASES IN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initial Number of Warrants is 7,777,779. In accordance with the Warrant Agreement dated as of December 13, 2019 among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American Stock Transfer &amp; Trust Company, LLC, as the Warrant Agent, the following increases or decreases in the Number of Warrants have been made:</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320" w:type="dxa"/>
            <w:vAlign w:val="bottom"/>
            <w:tcBorders>
              <w:top w:val="single" w:sz="8" w:color="auto"/>
              <w:left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60" w:type="dxa"/>
            <w:vAlign w:val="bottom"/>
            <w:tcBorders>
              <w:top w:val="single" w:sz="8" w:color="auto"/>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 of</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26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increase 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evidenced by this</w:t>
            </w:r>
          </w:p>
        </w:tc>
        <w:tc>
          <w:tcPr>
            <w:tcW w:w="226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decrease 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Global Warrant</w:t>
            </w:r>
          </w:p>
        </w:tc>
        <w:tc>
          <w:tcPr>
            <w:tcW w:w="226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following such</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Evidenced by this</w:t>
            </w:r>
          </w:p>
        </w:tc>
        <w:tc>
          <w:tcPr>
            <w:tcW w:w="2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Warrants Evidenced by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 or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authorized</w:t>
            </w:r>
          </w:p>
        </w:tc>
      </w:tr>
      <w:tr>
        <w:trPr>
          <w:trHeight w:val="234"/>
        </w:trPr>
        <w:tc>
          <w:tcPr>
            <w:tcW w:w="2320" w:type="dxa"/>
            <w:vAlign w:val="bottom"/>
            <w:tcBorders>
              <w:left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Date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Global Warrant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this Global Warrant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decrease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signatory</w:t>
            </w: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426"/>
        </w:trPr>
        <w:tc>
          <w:tcPr>
            <w:tcW w:w="2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127" w:name="page1128"/>
    <w:bookmarkEnd w:id="112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GLOBAL WARRANT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No. [_____]</w:t>
      </w:r>
      <w:r>
        <w:rPr>
          <w:sz w:val="20"/>
          <w:szCs w:val="20"/>
          <w:color w:val="auto"/>
        </w:rPr>
        <w:tab/>
      </w:r>
      <w:r>
        <w:rPr>
          <w:rFonts w:ascii="Arial" w:cs="Arial" w:eastAsia="Arial" w:hAnsi="Arial"/>
          <w:sz w:val="16"/>
          <w:szCs w:val="16"/>
          <w:color w:val="auto"/>
        </w:rPr>
        <w:t>CUSIP No. G48833 126</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THIS GLOBAL WARRANT IS PRESENTED BY AN AUTHORIZED REPRESENTATIVE OF THE DEPOSITORY TRUST COMPANY, A NEW YORK CORPORATION (“DTC”), TO WEATHERFORD INTERNATIONAL PLC (THE “COMPANY”),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TRANSFER OF THIS GLOBAL WARRANT SHALL BE LIMITED TO TRANSFERS IN WHOLE, AND NOT IN PART, TO THE COMPANY, DTC, THEIR SUCCESSORS AND THEIR RESPECTIVE NOMINEES.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8" w:name="page1129"/>
    <w:bookmarkEnd w:id="1128"/>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13,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NUMBER OF WARRANTS: Initially, 7,777,779 Warrants, subject to adjustment as described in the Warrant Agreement dated as of December 13, 2019 between Weatherford International plc and American Stock Transfer &amp; Trust Company, LLC, as the Warrant Agent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each of which is exercisable for one Ordinary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Initially, $99.96 per Warrant, subject to adjustment as described in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PAYMENT OF EXERCISE PRICE: Cash.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FORM OF SETTLEMENT: Upon exercise of any Warrants represented hereby, the Beneficial Owner shall be entitled to receive, upon payment to the Warrant Agent of the Exercise Price (determined as of the relevant Exercise Date), one Ordinary Share per Warrant exercised, as described in the Warrant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DATES OF EXERCISE: At any time, and from time to time, prior to 5:00 p.m., New York City time, on the Expiration Date, each Beneficial Owner shall be entitled to exercise all Warrants then represented hereby and outstanding.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PROCEDURE FOR EXERCISE: Warrants may be exercised by surrendering the Warrant Certificate evidencing such Warrant at the principal office of the Warrant Agent (or successor warrant agent), with the Exercise Notice set forth on the reverse of the Warrant Certificate duly completed and executed, together with delivery of the applicable Exercise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The earlier of (i) December 13, 2023 and (ii) the date of consummation of any Liquidity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Global Warrant Certificate certifies that: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Cede &amp; Co., or its registered assigns, is the Global Warrant Holder of the Number of Warrants (the “</w:t>
      </w:r>
      <w:r>
        <w:rPr>
          <w:rFonts w:ascii="Arial" w:cs="Arial" w:eastAsia="Arial" w:hAnsi="Arial"/>
          <w:sz w:val="18"/>
          <w:szCs w:val="18"/>
          <w:b w:val="1"/>
          <w:bCs w:val="1"/>
          <w:color w:val="auto"/>
        </w:rPr>
        <w:t>Warrants</w:t>
      </w:r>
      <w:r>
        <w:rPr>
          <w:rFonts w:ascii="Arial" w:cs="Arial" w:eastAsia="Arial" w:hAnsi="Arial"/>
          <w:sz w:val="18"/>
          <w:szCs w:val="18"/>
          <w:color w:val="auto"/>
        </w:rPr>
        <w:t>”) specified above (such number subject to adjustment from time to time as described in the Warrant Agreement).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exercise of any Warrants, (a) the Company shall determine the Full Physical Share Amount for each Warrant, and (b) the Company shall, or shall cause the Warrant Agent to, deliver to the exercising Beneficial Owner, on the applicable Settlement Date, for each Warrant exercised, a number of Ordinary Shares equal to the relevant Full Physical Share Amount, as described in the Warrant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Prior to the relevant Exercise Date as described more fully in the Warrant Agreement, subject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the Warrant Agreement, Warrants will not entitle the Global Warrant Holder to any of the rights of the holders of Ordinary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129" w:name="page1130"/>
    <w:bookmarkEnd w:id="1129"/>
    <w:p>
      <w:pPr>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Global Warrant Certificate set forth on the reverse hereof, and such further provisions shall for all purposes have the same effect as though fully set forth in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Global Warrant Certificate shall not be valid unless countersigned by the Warrant Agent.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the event of any inconsistency between the Warrant Agreement and this Global Warrant Certificate, the Warrant Agreement shall govern.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0" w:name="page1131"/>
    <w:bookmarkEnd w:id="1130"/>
    <w:p>
      <w:pPr>
        <w:ind w:right="1999" w:firstLine="648"/>
        <w:spacing w:after="0" w:line="501" w:lineRule="auto"/>
        <w:rPr>
          <w:sz w:val="20"/>
          <w:szCs w:val="20"/>
          <w:color w:val="auto"/>
        </w:rPr>
      </w:pPr>
      <w:r>
        <w:rPr>
          <w:rFonts w:ascii="Arial" w:cs="Arial" w:eastAsia="Arial" w:hAnsi="Arial"/>
          <w:sz w:val="18"/>
          <w:szCs w:val="18"/>
          <w:color w:val="auto"/>
        </w:rPr>
        <w:t>IN WITNESS WHEREOF, Weatherford International plc has caused this instrument to be duly executed. Dated: December 13, 2019</w:t>
      </w:r>
    </w:p>
    <w:p>
      <w:pPr>
        <w:ind w:left="5720"/>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131" w:name="page1132"/>
    <w:bookmarkEnd w:id="1131"/>
    <w:p>
      <w:pPr>
        <w:ind w:left="4600"/>
        <w:spacing w:after="0"/>
        <w:rPr>
          <w:sz w:val="20"/>
          <w:szCs w:val="20"/>
          <w:color w:val="auto"/>
        </w:rPr>
      </w:pPr>
      <w:r>
        <w:rPr>
          <w:rFonts w:ascii="Arial" w:cs="Arial" w:eastAsia="Arial" w:hAnsi="Arial"/>
          <w:sz w:val="16"/>
          <w:szCs w:val="16"/>
          <w:b w:val="1"/>
          <w:bCs w:val="1"/>
          <w:color w:val="auto"/>
        </w:rPr>
        <w:t>Certificate of Authentication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are the Warrants referred to in the above-mentioned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as of the date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LLC, as 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33616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1132" w:name="page1133"/>
    <w:bookmarkEnd w:id="1132"/>
    <w:p>
      <w:pPr>
        <w:jc w:val="center"/>
        <w:spacing w:after="0"/>
        <w:rPr>
          <w:sz w:val="20"/>
          <w:szCs w:val="20"/>
          <w:color w:val="auto"/>
        </w:rPr>
      </w:pPr>
      <w:r>
        <w:rPr>
          <w:rFonts w:ascii="Arial" w:cs="Arial" w:eastAsia="Arial" w:hAnsi="Arial"/>
          <w:sz w:val="18"/>
          <w:szCs w:val="18"/>
          <w:color w:val="auto"/>
        </w:rPr>
        <w:t>[FORM OF REVERSE OF GLOBAL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Warrants evidenced by this Global Warrant Certificate are part of a duly authorized issue of Warrants issued by the Company pursuant to the Warrant Agreement, dated as of December 13, 2019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American Stock Transfer &amp; Trust Company, LLC, as the “</w:t>
      </w:r>
      <w:r>
        <w:rPr>
          <w:rFonts w:ascii="Arial" w:cs="Arial" w:eastAsia="Arial" w:hAnsi="Arial"/>
          <w:sz w:val="16"/>
          <w:szCs w:val="16"/>
          <w:b w:val="1"/>
          <w:bCs w:val="1"/>
          <w:color w:val="auto"/>
        </w:rPr>
        <w:t>Warrant Agent</w:t>
      </w:r>
      <w:r>
        <w:rPr>
          <w:rFonts w:ascii="Arial" w:cs="Arial" w:eastAsia="Arial" w:hAnsi="Arial"/>
          <w:sz w:val="16"/>
          <w:szCs w:val="16"/>
          <w:color w:val="auto"/>
        </w:rPr>
        <w:t>”, and are subject to the terms and provisions contained in the Warrant Agreement, to all of which terms and provisions the Global Warrant Holder consents by acceptance of this Global Warrant Certificate. Without limiting the foregoing, all capitalized terms used herein and not otherwise defined shall have the meanings set forth in the Warrant Agreement. A copy of the Warrant Agreement is on file at the Warrant Agent’s Office.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Agreement and the terms of the Warrants are subject to amendment as provided in the Warrant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Global Warrant Certificate shall be governed by, and interpreted in accordance with, the laws of the State of New York without regard to the conflicts of laws principles thereof.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33" w:name="page1134"/>
    <w:bookmarkEnd w:id="1133"/>
    <w:p>
      <w:pPr>
        <w:ind w:left="4660"/>
        <w:spacing w:after="0"/>
        <w:rPr>
          <w:sz w:val="20"/>
          <w:szCs w:val="20"/>
          <w:color w:val="auto"/>
        </w:rPr>
      </w:pPr>
      <w:r>
        <w:rPr>
          <w:rFonts w:ascii="Arial" w:cs="Arial" w:eastAsia="Arial" w:hAnsi="Arial"/>
          <w:sz w:val="18"/>
          <w:szCs w:val="18"/>
          <w:b w:val="1"/>
          <w:bCs w:val="1"/>
          <w:color w:val="auto"/>
        </w:rPr>
        <w:t>FORM OF 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undersigned assigns and Transfers the Warrant(s) represented by this Certificate to:</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Name,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appoints</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-130810</wp:posOffset>
            </wp:positionV>
            <wp:extent cx="231521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4" w:lineRule="exact"/>
        <w:rPr>
          <w:sz w:val="20"/>
          <w:szCs w:val="20"/>
          <w:color w:val="auto"/>
        </w:rPr>
      </w:pPr>
    </w:p>
    <w:p>
      <w:pPr>
        <w:ind w:left="4820" w:right="3599" w:hanging="4808"/>
        <w:spacing w:after="0" w:line="624" w:lineRule="auto"/>
        <w:rPr>
          <w:sz w:val="20"/>
          <w:szCs w:val="20"/>
          <w:color w:val="auto"/>
        </w:rPr>
      </w:pPr>
      <w:r>
        <w:rPr>
          <w:rFonts w:ascii="Arial" w:cs="Arial" w:eastAsia="Arial" w:hAnsi="Arial"/>
          <w:sz w:val="16"/>
          <w:szCs w:val="16"/>
          <w:color w:val="auto"/>
        </w:rPr>
        <w:t xml:space="preserve">as its agent to Transfer this Warrant Certificate on the books of the Warrant Agent. </w:t>
      </w:r>
      <w:r>
        <w:rPr>
          <w:rFonts w:ascii="Arial" w:cs="Arial" w:eastAsia="Arial" w:hAnsi="Arial"/>
          <w:sz w:val="16"/>
          <w:szCs w:val="16"/>
          <w:i w:val="1"/>
          <w:iCs w:val="1"/>
          <w:color w:val="auto"/>
        </w:rPr>
        <w:t>[Signature page follows]</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1134" w:name="page1135"/>
    <w:bookmarkEnd w:id="1134"/>
    <w:p>
      <w:pPr>
        <w:spacing w:after="0"/>
        <w:rPr>
          <w:sz w:val="20"/>
          <w:szCs w:val="20"/>
          <w:color w:val="auto"/>
        </w:rPr>
      </w:pPr>
      <w:r>
        <w:rPr>
          <w:rFonts w:ascii="Arial" w:cs="Arial" w:eastAsia="Arial" w:hAnsi="Arial"/>
          <w:sz w:val="18"/>
          <w:szCs w:val="18"/>
          <w:color w:val="auto"/>
        </w:rPr>
        <w:t>Date: [______________]</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 exactly as your name appears on the other side of this Certificate)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NOTICE: The signature(s) should be guaranteed by an eligible guarantor institution (banks, stockbrokers, savings and loan associations and credit unions with membership in an approved signature guarantee medallion program), pursuant to S.E.C. Rule 17Ad-15.</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35" w:name="page1136"/>
    <w:bookmarkEnd w:id="1135"/>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Weatherford International plc Warrant Agreement, dated as of December 13, 2019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undersigned (the “</w:t>
      </w:r>
      <w:r>
        <w:rPr>
          <w:rFonts w:ascii="Arial" w:cs="Arial" w:eastAsia="Arial" w:hAnsi="Arial"/>
          <w:sz w:val="17"/>
          <w:szCs w:val="17"/>
          <w:b w:val="1"/>
          <w:bCs w:val="1"/>
          <w:color w:val="auto"/>
        </w:rPr>
        <w:t>Registered Warrant Holder</w:t>
      </w:r>
      <w:r>
        <w:rPr>
          <w:rFonts w:ascii="Arial" w:cs="Arial" w:eastAsia="Arial" w:hAnsi="Arial"/>
          <w:sz w:val="17"/>
          <w:szCs w:val="17"/>
          <w:color w:val="auto"/>
        </w:rPr>
        <w:t>”) hereby irrevocably exercises the right represented by the Global Warrant Certificate No. [ ˜ ] held for its benefit through the book-entry facilities of The Depository Trust Company (the “</w:t>
      </w:r>
      <w:r>
        <w:rPr>
          <w:rFonts w:ascii="Arial" w:cs="Arial" w:eastAsia="Arial" w:hAnsi="Arial"/>
          <w:sz w:val="17"/>
          <w:szCs w:val="17"/>
          <w:b w:val="1"/>
          <w:bCs w:val="1"/>
          <w:color w:val="auto"/>
        </w:rPr>
        <w:t>Depository</w:t>
      </w:r>
      <w:r>
        <w:rPr>
          <w:rFonts w:ascii="Arial" w:cs="Arial" w:eastAsia="Arial" w:hAnsi="Arial"/>
          <w:sz w:val="17"/>
          <w:szCs w:val="17"/>
          <w:color w:val="auto"/>
        </w:rPr>
        <w:t>”), to exercise warrants and receive the consideration deliverable in exchange therefor and confirms that it will, prior to 11:00 a.m., New York City time, on the Settlement Date, pay an amount equal to the Exercise Price (determined as of the relevant Exercise Date), multiplied by the number of Exercised Warrants, by federal wire or other immediately available funds payable to the order of the Company to the account maintained by the Warrant Agent.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Please check below if this exercise is contingent upon a Liquidity Event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 xml:space="preserve"> of the Warrant Agreement.</w:t>
      </w:r>
    </w:p>
    <w:p>
      <w:pPr>
        <w:spacing w:after="0" w:line="225" w:lineRule="exact"/>
        <w:rPr>
          <w:sz w:val="20"/>
          <w:szCs w:val="20"/>
          <w:color w:val="auto"/>
        </w:rPr>
      </w:pPr>
    </w:p>
    <w:p>
      <w:pPr>
        <w:ind w:right="20" w:firstLine="656"/>
        <w:spacing w:after="0" w:line="277" w:lineRule="auto"/>
        <w:tabs>
          <w:tab w:leader="none" w:pos="1107" w:val="left"/>
        </w:tabs>
        <w:numPr>
          <w:ilvl w:val="0"/>
          <w:numId w:val="1197"/>
        </w:numPr>
        <w:rPr>
          <w:rFonts w:ascii="MS PGothic" w:cs="MS PGothic" w:eastAsia="MS PGothic" w:hAnsi="MS PGothic"/>
          <w:sz w:val="18"/>
          <w:szCs w:val="18"/>
          <w:color w:val="auto"/>
        </w:rPr>
      </w:pPr>
      <w:r>
        <w:rPr>
          <w:rFonts w:ascii="Arial" w:cs="Arial" w:eastAsia="Arial" w:hAnsi="Arial"/>
          <w:sz w:val="18"/>
          <w:szCs w:val="18"/>
          <w:color w:val="auto"/>
        </w:rPr>
        <w:t>This exercise is being made in connection with a Liquidity Event; provided, that in the event that such transaction shall not be consummated, then this exercise shall be deemed revoked.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EXERCISE NOTICE MUST BE DELIVERED TO THE WARRANT AGENT, PRIOR TO CLOSE OF BUSINESS ON THE EXPIRATION DATE. THE WARRANT AGENT SHALL NOTIFY YOU OF THE ADDRESS AND PHONE NUMBER WHERE YOU CAN CONTACT THE WARRANT AGENT AND TO WHICH WARRANT EXERCISE NOTICES ARE TO BE SUBMITTED.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CAPITALIZED TERMS USED HEREIN AND NOT OTHERWISE DEFINED SHALL HAVE THE MEANINGS SET FORTH IN THE WARRANT AGREEMENT.</w:t>
      </w:r>
    </w:p>
    <w:p>
      <w:pPr>
        <w:spacing w:after="0" w:line="17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Telephone: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36" w:name="page1137"/>
    <w:bookmarkEnd w:id="1136"/>
    <w:p>
      <w:pPr>
        <w:jc w:val="right"/>
        <w:spacing w:after="0"/>
        <w:rPr>
          <w:sz w:val="20"/>
          <w:szCs w:val="20"/>
          <w:color w:val="auto"/>
        </w:rPr>
      </w:pPr>
      <w:r>
        <w:rPr>
          <w:rFonts w:ascii="Arial" w:cs="Arial" w:eastAsia="Arial" w:hAnsi="Arial"/>
          <w:sz w:val="18"/>
          <w:szCs w:val="18"/>
          <w:b w:val="1"/>
          <w:bCs w:val="1"/>
          <w:color w:val="auto"/>
        </w:rPr>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shall pay the Warrant Agent for performance of its services under this Warrant Agreement such compensation as shall be agreed in writing between the Company and the Warrant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37" w:name="page1138"/>
    <w:bookmarkEnd w:id="1137"/>
    <w:p>
      <w:pPr>
        <w:jc w:val="right"/>
        <w:spacing w:after="0"/>
        <w:rPr>
          <w:sz w:val="20"/>
          <w:szCs w:val="20"/>
          <w:color w:val="auto"/>
        </w:rPr>
      </w:pPr>
      <w:r>
        <w:rPr>
          <w:rFonts w:ascii="Arial" w:cs="Arial" w:eastAsia="Arial" w:hAnsi="Arial"/>
          <w:sz w:val="22"/>
          <w:szCs w:val="22"/>
          <w:b w:val="1"/>
          <w:bCs w:val="1"/>
          <w:color w:val="auto"/>
        </w:rPr>
        <w:t>Exhibit 10.5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REGISTRATION RIGHTS AGREEMENT, dated as of December 13, 2019, is entered into by and among Weatherford International plc, a public limited company organized under the law of Ireland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holders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Holders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on July 1, 2019, the Company and certain of its affiliates (collectively, the “</w:t>
      </w:r>
      <w:r>
        <w:rPr>
          <w:rFonts w:ascii="Arial" w:cs="Arial" w:eastAsia="Arial" w:hAnsi="Arial"/>
          <w:sz w:val="16"/>
          <w:szCs w:val="16"/>
          <w:u w:val="single" w:color="auto"/>
          <w:color w:val="auto"/>
        </w:rPr>
        <w:t>Debtors</w:t>
      </w:r>
      <w:r>
        <w:rPr>
          <w:rFonts w:ascii="Arial" w:cs="Arial" w:eastAsia="Arial" w:hAnsi="Arial"/>
          <w:sz w:val="16"/>
          <w:szCs w:val="16"/>
          <w:color w:val="auto"/>
        </w:rPr>
        <w:t>”) filed voluntary petitions for relief under chapter 11 of title 11 of the United States Code in the United States Bankruptcy Court for the Southern District of Texas, Houston Division (the “</w:t>
      </w:r>
      <w:r>
        <w:rPr>
          <w:rFonts w:ascii="Arial" w:cs="Arial" w:eastAsia="Arial" w:hAnsi="Arial"/>
          <w:sz w:val="16"/>
          <w:szCs w:val="16"/>
          <w:u w:val="single" w:color="auto"/>
          <w:color w:val="auto"/>
        </w:rPr>
        <w:t>Bankruptcy Court</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Chapter 11 Plan of Reorganization of the Debtors (including all exhibits, schedules and supplements thereto and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was confirmed by the Bankruptcy Court on December 13,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Plan provides that the Company will enter into a registration rights agreement with certain recipients of the New Common Stock (as defined in the Plan)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WHEREAS, in accordance with the Plan, the Company has agreed to grant to the Holders and their respective permitted assignees and transferees the registration rights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promises and the mutual agreements herein contained, and for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definitions set forth above, the following terms, as used herein,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particular Person means any other Person directly or indirectly controlling, controlled by or under common control with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Registration Rights Agreement, as it may be amended, supplemented or restated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The City of New York are authorized by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close.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Company as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Public Sale</w:t>
      </w:r>
      <w:r>
        <w:rPr>
          <w:rFonts w:ascii="Arial" w:cs="Arial" w:eastAsia="Arial" w:hAnsi="Arial"/>
          <w:sz w:val="18"/>
          <w:szCs w:val="18"/>
          <w:color w:val="auto"/>
        </w:rPr>
        <w:t xml:space="preserve">” means a Company Public Sale as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Emergence Date</w:t>
      </w:r>
      <w:r>
        <w:rPr>
          <w:rFonts w:ascii="Arial" w:cs="Arial" w:eastAsia="Arial" w:hAnsi="Arial"/>
          <w:sz w:val="18"/>
          <w:szCs w:val="18"/>
          <w:color w:val="auto"/>
        </w:rPr>
        <w:t>” means the date upon which the Company emerges from Chapter 11 proceedings in the Bankruptcy Court for the Southern District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38" w:name="page1139"/>
    <w:bookmarkEnd w:id="11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of Suspension Notice</w:t>
      </w:r>
      <w:r>
        <w:rPr>
          <w:rFonts w:ascii="Arial" w:cs="Arial" w:eastAsia="Arial" w:hAnsi="Arial"/>
          <w:sz w:val="18"/>
          <w:szCs w:val="18"/>
          <w:color w:val="auto"/>
        </w:rPr>
        <w:t xml:space="preserve">” means an End of Suspension Notice as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for so long as it continues to beneficially own any Registrable Security, each of the Persons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or any permitted assignee or transferee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means an Indemnified Party as defined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means an Indemnifying Party as defined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Shelf Registration Statement</w:t>
      </w:r>
      <w:r>
        <w:rPr>
          <w:rFonts w:ascii="Arial" w:cs="Arial" w:eastAsia="Arial" w:hAnsi="Arial"/>
          <w:sz w:val="18"/>
          <w:szCs w:val="18"/>
          <w:color w:val="auto"/>
        </w:rPr>
        <w:t xml:space="preserve">” means an Initial Shelf Registration Statement as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xml:space="preserve">” means an Inspector as defined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means Loss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xml:space="preserve">” means a Marketed Underwritten Shelf Take-Down as defined in </w:t>
      </w:r>
      <w:r>
        <w:rPr>
          <w:rFonts w:ascii="Arial" w:cs="Arial" w:eastAsia="Arial" w:hAnsi="Arial"/>
          <w:sz w:val="18"/>
          <w:szCs w:val="18"/>
          <w:u w:val="single" w:color="auto"/>
          <w:color w:val="auto"/>
        </w:rPr>
        <w:t>Section 2.1(d)(iii)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Non-Marketed Shelf Take-Down</w:t>
      </w:r>
      <w:r>
        <w:rPr>
          <w:rFonts w:ascii="Arial" w:cs="Arial" w:eastAsia="Arial" w:hAnsi="Arial"/>
          <w:sz w:val="18"/>
          <w:szCs w:val="18"/>
          <w:color w:val="auto"/>
        </w:rPr>
        <w:t xml:space="preserve">” means a Non-Marketed Shelf Take-Down as defined in </w:t>
      </w:r>
      <w:r>
        <w:rPr>
          <w:rFonts w:ascii="Arial" w:cs="Arial" w:eastAsia="Arial" w:hAnsi="Arial"/>
          <w:sz w:val="18"/>
          <w:szCs w:val="18"/>
          <w:u w:val="single" w:color="auto"/>
          <w:color w:val="auto"/>
        </w:rPr>
        <w:t>Section 2.1(d)(vi)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and Questionnaire</w:t>
      </w:r>
      <w:r>
        <w:rPr>
          <w:rFonts w:ascii="Arial" w:cs="Arial" w:eastAsia="Arial" w:hAnsi="Arial"/>
          <w:sz w:val="18"/>
          <w:szCs w:val="18"/>
          <w:color w:val="auto"/>
        </w:rPr>
        <w:t xml:space="preserve">” means a written notice,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delivered by a Holder to the Company (i) notifying the Company of such Holder’s desire to include Registrable Securities held by it in a Shelf Registration Statement, (ii) containing all information about such Holder required to be included in such Shelf Registration Statement in accordance with applicable law, including Item 507 of Regulation S-K promulgated under the Securities Act, as amended from time to time, or any similar successor rule thereto, and (iii) pursuant to which such Holder agrees to be bound by the terms and conditions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Ordinary Shares as defined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Share Equivalents</w:t>
      </w:r>
      <w:r>
        <w:rPr>
          <w:rFonts w:ascii="Arial" w:cs="Arial" w:eastAsia="Arial" w:hAnsi="Arial"/>
          <w:sz w:val="17"/>
          <w:szCs w:val="17"/>
          <w:color w:val="auto"/>
        </w:rPr>
        <w:t>” means securities (including, without limitation, warrants) exercisable, exchangeable or convertible into Ordinary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association, trust, or any other entity or organization, including a government or political subdivision or an agency or instrumentality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means a Piggy-Back Registration as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any Ordinary Shares at any time owned, either of record or beneficially, by any Holder and any additional securities that may be issued or distributed or be issuable in respect of any Ordinary Shares by way of conversion, dividend, stock-split, distribution or exchange, merger, consolidation, exchange, recapitalization or reclassification or similar transactions until (i) a registration statement covering such shares has been declared effective by the Commission and such shares have been disposed of pursuant to such effective registration statement, (ii) such shares have been publicly sold under Rule 144 or (iii) such shares have been otherwise transferred in a transaction that constitutes a sale thereof under the Securities Act, the Company has delivered to the Holder’s transferee a new certificate or other evidence of ownership for such shares not bearing a Securities Act restricted stock legend and such shares may be resold or otherwise transferred by such transferee without subsequent registration under the Securities 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39" w:name="page1140"/>
    <w:bookmarkEnd w:id="11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means Registration Expenses as defined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any of such Person’s officers, directors, employees, agents, attorneys, accountants, actuaries, consultants, equity financing partners, investment advisors or financial advisors or other Person associated with, or acting on behalf of, such Person.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Shares</w:t>
      </w:r>
      <w:r>
        <w:rPr>
          <w:rFonts w:ascii="Arial" w:cs="Arial" w:eastAsia="Arial" w:hAnsi="Arial"/>
          <w:sz w:val="18"/>
          <w:szCs w:val="18"/>
          <w:color w:val="auto"/>
        </w:rPr>
        <w:t xml:space="preserve">” means Requested Shares as defined in </w:t>
      </w:r>
      <w:r>
        <w:rPr>
          <w:rFonts w:ascii="Arial" w:cs="Arial" w:eastAsia="Arial" w:hAnsi="Arial"/>
          <w:sz w:val="18"/>
          <w:szCs w:val="18"/>
          <w:u w:val="single" w:color="auto"/>
          <w:color w:val="auto"/>
        </w:rPr>
        <w:t>Section 2.1(d)(ii)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 as amended from time to time, or any similar successor rule thereto that may be promulgated by the Commission.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 as amended from time to time, or any similar successor rule thereto that may be promulgated by the Commission.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Registrable Securities pursuant to a registration statement under the Securities Act pursuant to the terms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means a Shelf Registration Statement as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means a Shelf Take-Down as defined in </w:t>
      </w:r>
      <w:r>
        <w:rPr>
          <w:rFonts w:ascii="Arial" w:cs="Arial" w:eastAsia="Arial" w:hAnsi="Arial"/>
          <w:sz w:val="18"/>
          <w:szCs w:val="18"/>
          <w:u w:val="single" w:color="auto"/>
          <w:color w:val="auto"/>
        </w:rPr>
        <w:t>Section 2.1(d)(ii)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means The NASDAQ Capital Market, the NASDAQ Global Market or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Shelf Registration Statement</w:t>
      </w:r>
      <w:r>
        <w:rPr>
          <w:rFonts w:ascii="Arial" w:cs="Arial" w:eastAsia="Arial" w:hAnsi="Arial"/>
          <w:sz w:val="18"/>
          <w:szCs w:val="18"/>
          <w:color w:val="auto"/>
        </w:rPr>
        <w:t xml:space="preserve">” means a Subsequent Shelf Registration Statement as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Event</w:t>
      </w:r>
      <w:r>
        <w:rPr>
          <w:rFonts w:ascii="Arial" w:cs="Arial" w:eastAsia="Arial" w:hAnsi="Arial"/>
          <w:sz w:val="18"/>
          <w:szCs w:val="18"/>
          <w:color w:val="auto"/>
        </w:rPr>
        <w:t xml:space="preserve">” means a Suspension Event as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Notice</w:t>
      </w:r>
      <w:r>
        <w:rPr>
          <w:rFonts w:ascii="Arial" w:cs="Arial" w:eastAsia="Arial" w:hAnsi="Arial"/>
          <w:sz w:val="18"/>
          <w:szCs w:val="18"/>
          <w:color w:val="auto"/>
        </w:rPr>
        <w:t xml:space="preserve">” means a Suspension Notice as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a securities dealer who purchases any Registrable Securities as principal and not as part of such dealer’s market-making activities.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sale, on the Company’s or any Holder’s behalf, of Ordinary Shares or Ordinary Share Equivalents by the Company or a Holder to an Underwriter for reoffering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means an Underwritten Shelf Take-Down as defined in </w:t>
      </w:r>
      <w:r>
        <w:rPr>
          <w:rFonts w:ascii="Arial" w:cs="Arial" w:eastAsia="Arial" w:hAnsi="Arial"/>
          <w:sz w:val="18"/>
          <w:szCs w:val="18"/>
          <w:u w:val="single" w:color="auto"/>
          <w:color w:val="auto"/>
        </w:rPr>
        <w:t>Section 2.1(d)(iii)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xml:space="preserve">” means an Underwritten Shelf Take-Down Notice as defined in </w:t>
      </w:r>
      <w:r>
        <w:rPr>
          <w:rFonts w:ascii="Arial" w:cs="Arial" w:eastAsia="Arial" w:hAnsi="Arial"/>
          <w:sz w:val="18"/>
          <w:szCs w:val="18"/>
          <w:u w:val="single" w:color="auto"/>
          <w:color w:val="auto"/>
        </w:rPr>
        <w:t>Section 2.1(d)(iii)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40" w:name="page1141"/>
    <w:bookmarkEnd w:id="1140"/>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455" w:val="left"/>
        </w:tabs>
        <w:numPr>
          <w:ilvl w:val="0"/>
          <w:numId w:val="1198"/>
        </w:numPr>
        <w:rPr>
          <w:rFonts w:ascii="Arial" w:cs="Arial" w:eastAsia="Arial" w:hAnsi="Arial"/>
          <w:sz w:val="17"/>
          <w:szCs w:val="17"/>
          <w:color w:val="auto"/>
        </w:rPr>
      </w:pPr>
      <w:r>
        <w:rPr>
          <w:rFonts w:ascii="Arial" w:cs="Arial" w:eastAsia="Arial" w:hAnsi="Arial"/>
          <w:sz w:val="17"/>
          <w:szCs w:val="17"/>
          <w:u w:val="single" w:color="auto"/>
          <w:color w:val="auto"/>
        </w:rPr>
        <w:t>Preparation and Filing of Initial Shelf Registration Statement</w:t>
      </w:r>
      <w:r>
        <w:rPr>
          <w:rFonts w:ascii="Arial" w:cs="Arial" w:eastAsia="Arial" w:hAnsi="Arial"/>
          <w:sz w:val="17"/>
          <w:szCs w:val="17"/>
          <w:color w:val="auto"/>
        </w:rPr>
        <w:t>. On or before the date that is the later of (i) seventy-five (75) days after the Emergence Date and (ii) March 30, 2020, the Company shall (x) prepare and file a “shelf” registration statement with respect to the offer and resale of Registrable Securities, on Form S-1 (or other such appropriate form, including Form S-3) for the offering and subsequent resale thereof, to be made on a delayed or continuous basis pursuant to Rule 415 under the Securities Act (the “</w:t>
      </w:r>
      <w:r>
        <w:rPr>
          <w:rFonts w:ascii="Arial" w:cs="Arial" w:eastAsia="Arial" w:hAnsi="Arial"/>
          <w:sz w:val="17"/>
          <w:szCs w:val="17"/>
          <w:u w:val="single" w:color="auto"/>
          <w:color w:val="auto"/>
        </w:rPr>
        <w:t>Initial Shelf Registration Statement</w:t>
      </w:r>
      <w:r>
        <w:rPr>
          <w:rFonts w:ascii="Arial" w:cs="Arial" w:eastAsia="Arial" w:hAnsi="Arial"/>
          <w:sz w:val="17"/>
          <w:szCs w:val="17"/>
          <w:color w:val="auto"/>
        </w:rPr>
        <w:t>”) and (y) cause the Initial Shelf Registration Statement to be declared effective by the Commission as promptly as reasonably practicable thereafter and maintain it for use for the offer and resale of Registrable Securities as an effective registration statement under the Securities Act, until the earlier of (i) the sale of all Registrable Securities registered thereunder or (ii) the replacement of the Initial Shelf Registration Statement with a Subsequent Shelf Registration Statement (as defined below). For the avoidance of doubt, the Company shall use its reasonable best efforts to cause any financial statements or pro forma financial information that includes “fresh start” accounting financial information as may be required to be included in any Initial Shelf Registration Statement, as the case may be, to be available and included in such Initial Shelf Registration Statement as soon as reasonably practicable.</w:t>
      </w:r>
    </w:p>
    <w:p>
      <w:pPr>
        <w:spacing w:after="0" w:line="177" w:lineRule="exact"/>
        <w:rPr>
          <w:rFonts w:ascii="Arial" w:cs="Arial" w:eastAsia="Arial" w:hAnsi="Arial"/>
          <w:sz w:val="17"/>
          <w:szCs w:val="17"/>
          <w:color w:val="auto"/>
        </w:rPr>
      </w:pPr>
    </w:p>
    <w:p>
      <w:pPr>
        <w:jc w:val="both"/>
        <w:ind w:firstLine="656"/>
        <w:spacing w:after="0" w:line="271" w:lineRule="auto"/>
        <w:tabs>
          <w:tab w:leader="none" w:pos="1353" w:val="left"/>
        </w:tabs>
        <w:numPr>
          <w:ilvl w:val="0"/>
          <w:numId w:val="1198"/>
        </w:numPr>
        <w:rPr>
          <w:rFonts w:ascii="Arial" w:cs="Arial" w:eastAsia="Arial" w:hAnsi="Arial"/>
          <w:sz w:val="17"/>
          <w:szCs w:val="17"/>
          <w:color w:val="auto"/>
        </w:rPr>
      </w:pPr>
      <w:r>
        <w:rPr>
          <w:rFonts w:ascii="Arial" w:cs="Arial" w:eastAsia="Arial" w:hAnsi="Arial"/>
          <w:sz w:val="17"/>
          <w:szCs w:val="17"/>
          <w:u w:val="single" w:color="auto"/>
          <w:color w:val="auto"/>
        </w:rPr>
        <w:t>Preparation and Filing of Subsequent Shelf Registration Statement</w:t>
      </w:r>
      <w:r>
        <w:rPr>
          <w:rFonts w:ascii="Arial" w:cs="Arial" w:eastAsia="Arial" w:hAnsi="Arial"/>
          <w:sz w:val="17"/>
          <w:szCs w:val="17"/>
          <w:color w:val="auto"/>
        </w:rPr>
        <w:t>. Upon the Company becoming eligible to file a registration statement on Form S-3, and only if the Initial Shelf Registration Statement is not already on Form S-3, the Company shall use its commercially reasonable efforts to promptly (x) prepare and file a “shelf” registration statement with respect to the offer and resale of Registrable Securities, on Form S-3 for the offering and subsequent resale thereof, to be made on a delayed or continuous basis pursuant to Rule 415 under the Securities Act (the “</w:t>
      </w:r>
      <w:r>
        <w:rPr>
          <w:rFonts w:ascii="Arial" w:cs="Arial" w:eastAsia="Arial" w:hAnsi="Arial"/>
          <w:sz w:val="17"/>
          <w:szCs w:val="17"/>
          <w:u w:val="single" w:color="auto"/>
          <w:color w:val="auto"/>
        </w:rPr>
        <w:t>Subsequent Shelf 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together with the Initial Shelf Registration Statement, the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to replace the then existing Initial Shelf Registration Statement, if any, and (y) cause the Subsequent Shelf Registration Statement to be declared effective by the Commission as promptly as reasonably practicable thereafter and maintain it for use for the offer and resale of Registrable Securities as an effective registration statement under the Securities Act, until the sale of all Registrable Securities registered thereunder.</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397" w:val="left"/>
        </w:tabs>
        <w:numPr>
          <w:ilvl w:val="0"/>
          <w:numId w:val="1198"/>
        </w:numPr>
        <w:rPr>
          <w:rFonts w:ascii="Arial" w:cs="Arial" w:eastAsia="Arial" w:hAnsi="Arial"/>
          <w:sz w:val="18"/>
          <w:szCs w:val="18"/>
          <w:color w:val="auto"/>
        </w:rPr>
      </w:pPr>
      <w:r>
        <w:rPr>
          <w:rFonts w:ascii="Arial" w:cs="Arial" w:eastAsia="Arial" w:hAnsi="Arial"/>
          <w:sz w:val="18"/>
          <w:szCs w:val="18"/>
          <w:color w:val="auto"/>
        </w:rPr>
        <w:t>At any time after the filing of a Shelf Registration Statement, each Holder may request any additional Registrable Securities be registered on such Shelf Registration Statement, and the Company shall thereafter use its commercially reasonable efforts to effect such increase for such Shelf Registration Statement as promptly as practicable thereafter.</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198"/>
        </w:numPr>
        <w:rPr>
          <w:rFonts w:ascii="Arial" w:cs="Arial" w:eastAsia="Arial" w:hAnsi="Arial"/>
          <w:sz w:val="18"/>
          <w:szCs w:val="18"/>
          <w:color w:val="auto"/>
        </w:rPr>
      </w:pPr>
      <w:r>
        <w:rPr>
          <w:rFonts w:ascii="Arial" w:cs="Arial" w:eastAsia="Arial" w:hAnsi="Arial"/>
          <w:sz w:val="18"/>
          <w:szCs w:val="18"/>
          <w:u w:val="single" w:color="auto"/>
          <w:color w:val="auto"/>
        </w:rPr>
        <w:t>Shelf Registration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5"/>
        <w:spacing w:after="0" w:line="270" w:lineRule="auto"/>
        <w:tabs>
          <w:tab w:leader="none" w:pos="2034" w:val="left"/>
        </w:tabs>
        <w:numPr>
          <w:ilvl w:val="1"/>
          <w:numId w:val="1198"/>
        </w:numPr>
        <w:rPr>
          <w:rFonts w:ascii="Arial" w:cs="Arial" w:eastAsia="Arial" w:hAnsi="Arial"/>
          <w:sz w:val="17"/>
          <w:szCs w:val="17"/>
          <w:color w:val="auto"/>
        </w:rPr>
      </w:pPr>
      <w:r>
        <w:rPr>
          <w:rFonts w:ascii="Arial" w:cs="Arial" w:eastAsia="Arial" w:hAnsi="Arial"/>
          <w:sz w:val="17"/>
          <w:szCs w:val="17"/>
          <w:color w:val="auto"/>
        </w:rPr>
        <w:t xml:space="preserve">At the time a Shelf Registration Statement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is declared effective, each Holder that has delivered a duly completed and executed Notice and Questionnaire to the Company on or prior to the date ten (10) Business Days prior to such time of effectiveness shall be named as a Selling Holder in the Shelf Registration Statement and the related prospectus in such a manner as to permit such Holder to deliver such prospectus to purchasers of Registrable Securities in accordance with applicable law. If required by applicable law, subject to the terms and conditions hereof, after effectiveness of the Shelf Registration Statement, the Company shall file a supplement to such prospectus or amendment to the Shelf Registration Statement not less frequently than once a quarter as necessary to name as Selling Holders therein any Holders that provide to the Company a duly completed and executed Notice and Questionnaire and shall use commercially reasonable efforts to cause any post-effective amendment to such Shelf Registration Statement filed for such purpose to be declared effective by the Commission as promptly as reasonably practicable after the filing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1" w:name="page1142"/>
    <w:bookmarkEnd w:id="1141"/>
    <w:p>
      <w:pPr>
        <w:jc w:val="both"/>
        <w:ind w:left="760" w:hanging="655"/>
        <w:spacing w:after="0" w:line="264" w:lineRule="auto"/>
        <w:tabs>
          <w:tab w:leader="none" w:pos="898" w:val="left"/>
        </w:tabs>
        <w:numPr>
          <w:ilvl w:val="0"/>
          <w:numId w:val="1199"/>
        </w:numPr>
        <w:rPr>
          <w:rFonts w:ascii="Arial" w:cs="Arial" w:eastAsia="Arial" w:hAnsi="Arial"/>
          <w:sz w:val="18"/>
          <w:szCs w:val="18"/>
          <w:color w:val="auto"/>
        </w:rPr>
      </w:pPr>
      <w:r>
        <w:rPr>
          <w:rFonts w:ascii="Arial" w:cs="Arial" w:eastAsia="Arial" w:hAnsi="Arial"/>
          <w:sz w:val="18"/>
          <w:szCs w:val="18"/>
          <w:color w:val="auto"/>
        </w:rPr>
        <w:t>Any Holder included in an effective Shelf Registration Statement as a Selling Holder may initiate an offering or sale (a “</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Take-Down</w:t>
      </w:r>
      <w:r>
        <w:rPr>
          <w:rFonts w:ascii="Arial" w:cs="Arial" w:eastAsia="Arial" w:hAnsi="Arial"/>
          <w:sz w:val="18"/>
          <w:szCs w:val="18"/>
          <w:color w:val="auto"/>
        </w:rPr>
        <w:t>”) of all or part of such Holder’s Ordinary Shares registered under such Shelf Registration Statement (the “</w:t>
      </w:r>
      <w:r>
        <w:rPr>
          <w:rFonts w:ascii="Arial" w:cs="Arial" w:eastAsia="Arial" w:hAnsi="Arial"/>
          <w:sz w:val="18"/>
          <w:szCs w:val="18"/>
          <w:u w:val="single" w:color="auto"/>
          <w:color w:val="auto"/>
        </w:rPr>
        <w:t>Requested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in which case the provisions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shall apply.</w:t>
      </w:r>
    </w:p>
    <w:p>
      <w:pPr>
        <w:spacing w:after="0" w:line="181" w:lineRule="exact"/>
        <w:rPr>
          <w:rFonts w:ascii="Arial" w:cs="Arial" w:eastAsia="Arial" w:hAnsi="Arial"/>
          <w:sz w:val="18"/>
          <w:szCs w:val="18"/>
          <w:color w:val="auto"/>
        </w:rPr>
      </w:pPr>
    </w:p>
    <w:p>
      <w:pPr>
        <w:jc w:val="both"/>
        <w:ind w:left="760" w:hanging="655"/>
        <w:spacing w:after="0" w:line="284" w:lineRule="auto"/>
        <w:tabs>
          <w:tab w:leader="none" w:pos="803" w:val="left"/>
        </w:tabs>
        <w:numPr>
          <w:ilvl w:val="0"/>
          <w:numId w:val="1199"/>
        </w:numPr>
        <w:rPr>
          <w:rFonts w:ascii="Arial" w:cs="Arial" w:eastAsia="Arial" w:hAnsi="Arial"/>
          <w:sz w:val="16"/>
          <w:szCs w:val="16"/>
          <w:color w:val="auto"/>
        </w:rPr>
      </w:pPr>
      <w:r>
        <w:rPr>
          <w:rFonts w:ascii="Arial" w:cs="Arial" w:eastAsia="Arial" w:hAnsi="Arial"/>
          <w:sz w:val="16"/>
          <w:szCs w:val="16"/>
          <w:color w:val="auto"/>
        </w:rPr>
        <w:t>Following such time as the Company has filed and had declared effective a Shelf Registration Statement on Form S-3, a Holder or Holders holding Registrable Securities may elect in a written request delivered to the Company (an “</w:t>
      </w:r>
      <w:r>
        <w:rPr>
          <w:rFonts w:ascii="Arial" w:cs="Arial" w:eastAsia="Arial" w:hAnsi="Arial"/>
          <w:sz w:val="16"/>
          <w:szCs w:val="16"/>
          <w:u w:val="single" w:color="auto"/>
          <w:color w:val="auto"/>
        </w:rPr>
        <w:t>Underwritten Shelf Take-Down Notice</w:t>
      </w:r>
      <w:r>
        <w:rPr>
          <w:rFonts w:ascii="Arial" w:cs="Arial" w:eastAsia="Arial" w:hAnsi="Arial"/>
          <w:sz w:val="16"/>
          <w:szCs w:val="16"/>
          <w:color w:val="auto"/>
        </w:rPr>
        <w:t>”) that a Shelf Take-Down be in the form of an Underwritten Offering (an “</w:t>
      </w:r>
      <w:r>
        <w:rPr>
          <w:rFonts w:ascii="Arial" w:cs="Arial" w:eastAsia="Arial" w:hAnsi="Arial"/>
          <w:sz w:val="16"/>
          <w:szCs w:val="16"/>
          <w:u w:val="single" w:color="auto"/>
          <w:color w:val="auto"/>
        </w:rPr>
        <w:t>Underwritten Shelf Take-Down</w:t>
      </w:r>
      <w:r>
        <w:rPr>
          <w:rFonts w:ascii="Arial" w:cs="Arial" w:eastAsia="Arial" w:hAnsi="Arial"/>
          <w:sz w:val="16"/>
          <w:szCs w:val="16"/>
          <w:color w:val="auto"/>
        </w:rPr>
        <w:t>”) and, if necessary, the Company shall file and effect an amendment or supplement to its Shelf Registration Statement for such purpose as soon as practicable; provided, however, the expected gross proceeds to be received by the initiating Holder or Holders (after deduction for underwriter’s discounts and expenses related to the issuance) must be equal to or greater than $30.0 million in the aggregate. Such initiating Holder or Holders shall indicate in such Underwritten Shelf Take-Down Notice whether it or they intend for such Underwritten Shelf Take-Down to involve a customary “road show” (including an “electronic road show”) or other marketing effort by the underwriters (a “</w:t>
      </w:r>
      <w:r>
        <w:rPr>
          <w:rFonts w:ascii="Arial" w:cs="Arial" w:eastAsia="Arial" w:hAnsi="Arial"/>
          <w:sz w:val="16"/>
          <w:szCs w:val="16"/>
          <w:u w:val="single" w:color="auto"/>
          <w:color w:val="auto"/>
        </w:rPr>
        <w:t>Marketed Underwritten Shelf Take-Down</w:t>
      </w:r>
      <w:r>
        <w:rPr>
          <w:rFonts w:ascii="Arial" w:cs="Arial" w:eastAsia="Arial" w:hAnsi="Arial"/>
          <w:sz w:val="16"/>
          <w:szCs w:val="16"/>
          <w:color w:val="auto"/>
        </w:rPr>
        <w:t xml:space="preserve">”). Upon receipt of an Underwritten Shelf Take-Down Notice indicating that such Underwritten Shelf Take-Down will be a Marketed Underwritten Shelf Take-Down, the Company shall promptly (but in any event no later than five days prior to the expected date of such Marketed Underwritten Shelf Take-Down) give written notice of such Marketed Underwritten Shelf Take-Down to all other Holders and shall permit the participation of all such Holders that request inclusion in such Marketed Underwritten Shelf Take-Down who respond in writing within five days after the receipt of such notice of their election to participate (but in any event no later than three days prior to the expected date of such Marketed Underwritten Shelf Take-Down). The provisions of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shall apply with respect to the rights of the Holders to participate in any Underwritten Shelf Take-Down (it being understood that the Company shall not be obligated to commence such Marketed Underwritten Shelf Take-Down until promptly following the expiration of such five-day period). Notwithstanding the foregoing, that the Company shall not be obligated to effect, or take any action to effect, an Underwritten Shelf Take-Down (i) within one hundred and eighty (180) days following the last date on which any previous Underwritten Offering was effected, (ii) during any lock-up period required by the Underwriters in any prior Underwritten Offering conducted by the Company on its own behalf or on behalf of selling stockholders, or (iii) during the period commencing with the date thirty (30) days prior to the Company’s good faith estimate of the date of filing of, and ending on a date ninety (90) days after the effective date of, a registration statement with respect to an Underwritten Offering by the Company.</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142" w:name="page1143"/>
    <w:bookmarkEnd w:id="1142"/>
    <w:p>
      <w:pPr>
        <w:jc w:val="both"/>
        <w:ind w:left="1960" w:hanging="655"/>
        <w:spacing w:after="0" w:line="293" w:lineRule="auto"/>
        <w:tabs>
          <w:tab w:leader="none" w:pos="1999" w:val="left"/>
        </w:tabs>
        <w:numPr>
          <w:ilvl w:val="1"/>
          <w:numId w:val="1200"/>
        </w:numPr>
        <w:rPr>
          <w:rFonts w:ascii="Arial" w:cs="Arial" w:eastAsia="Arial" w:hAnsi="Arial"/>
          <w:sz w:val="16"/>
          <w:szCs w:val="16"/>
          <w:color w:val="auto"/>
        </w:rPr>
      </w:pPr>
      <w:r>
        <w:rPr>
          <w:rFonts w:ascii="Arial" w:cs="Arial" w:eastAsia="Arial" w:hAnsi="Arial"/>
          <w:sz w:val="16"/>
          <w:szCs w:val="16"/>
          <w:color w:val="auto"/>
        </w:rPr>
        <w:t xml:space="preserve">The Holders of a majority of the Requested Shares shall select the Underwriter or Underwriters to serve as book-running manager or managers in connection with any such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managing Underwriter or Underwriters must be reasonably satisfactory to the Company. The Company may select any additional investment banks and managers to be used in connection with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additional investment bankers and managers must be reasonably satisfactory to the Holders of a majority of the Requested Shares, as applicable. Each Holder shall have the right to include in such offering up to each of their respective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their respective Registrable Securities in the manner described in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960" w:hanging="655"/>
        <w:spacing w:after="0" w:line="277" w:lineRule="auto"/>
        <w:tabs>
          <w:tab w:leader="none" w:pos="1990" w:val="left"/>
        </w:tabs>
        <w:numPr>
          <w:ilvl w:val="1"/>
          <w:numId w:val="1200"/>
        </w:numPr>
        <w:rPr>
          <w:rFonts w:ascii="Arial" w:cs="Arial" w:eastAsia="Arial" w:hAnsi="Arial"/>
          <w:sz w:val="18"/>
          <w:szCs w:val="18"/>
          <w:color w:val="auto"/>
        </w:rPr>
      </w:pPr>
      <w:r>
        <w:rPr>
          <w:rFonts w:ascii="Arial" w:cs="Arial" w:eastAsia="Arial" w:hAnsi="Arial"/>
          <w:sz w:val="18"/>
          <w:szCs w:val="18"/>
          <w:color w:val="auto"/>
        </w:rPr>
        <w:t>In no event shall the Company be obligated to consummate an Underwritten Shelf Take-Down more than once in any one hundred and eighty (180) day period or within ninety (90) days of any previous Underwritten Offering.</w:t>
      </w:r>
    </w:p>
    <w:p>
      <w:pPr>
        <w:spacing w:after="0" w:line="170" w:lineRule="exact"/>
        <w:rPr>
          <w:rFonts w:ascii="Arial" w:cs="Arial" w:eastAsia="Arial" w:hAnsi="Arial"/>
          <w:sz w:val="18"/>
          <w:szCs w:val="18"/>
          <w:color w:val="auto"/>
        </w:rPr>
      </w:pPr>
    </w:p>
    <w:p>
      <w:pPr>
        <w:jc w:val="both"/>
        <w:ind w:left="1960" w:hanging="655"/>
        <w:spacing w:after="0" w:line="286" w:lineRule="auto"/>
        <w:tabs>
          <w:tab w:leader="none" w:pos="2205" w:val="left"/>
        </w:tabs>
        <w:numPr>
          <w:ilvl w:val="1"/>
          <w:numId w:val="1200"/>
        </w:numPr>
        <w:rPr>
          <w:rFonts w:ascii="Arial" w:cs="Arial" w:eastAsia="Arial" w:hAnsi="Arial"/>
          <w:sz w:val="17"/>
          <w:szCs w:val="17"/>
          <w:color w:val="auto"/>
        </w:rPr>
      </w:pPr>
      <w:r>
        <w:rPr>
          <w:rFonts w:ascii="Arial" w:cs="Arial" w:eastAsia="Arial" w:hAnsi="Arial"/>
          <w:sz w:val="17"/>
          <w:szCs w:val="17"/>
          <w:color w:val="auto"/>
        </w:rPr>
        <w:t>All determinations as to whether to complete any distribution pursuant to an Underwritten Shelf Take-Down that does not constitute a Marketed Underwritten Shelf Take-Down (a “</w:t>
      </w:r>
      <w:r>
        <w:rPr>
          <w:rFonts w:ascii="Arial" w:cs="Arial" w:eastAsia="Arial" w:hAnsi="Arial"/>
          <w:sz w:val="17"/>
          <w:szCs w:val="17"/>
          <w:u w:val="single" w:color="auto"/>
          <w:color w:val="auto"/>
        </w:rPr>
        <w:t>Non-Marketed Shelf Take-Down</w:t>
      </w:r>
      <w:r>
        <w:rPr>
          <w:rFonts w:ascii="Arial" w:cs="Arial" w:eastAsia="Arial" w:hAnsi="Arial"/>
          <w:sz w:val="17"/>
          <w:szCs w:val="17"/>
          <w:color w:val="auto"/>
        </w:rPr>
        <w:t>”) and as to the timing, manner, price and other terms of any Non-Marketed Shelf Take-Down shall be at the discretion of the applicable Holder or Holders.</w:t>
      </w:r>
    </w:p>
    <w:p>
      <w:pPr>
        <w:spacing w:after="0" w:line="165" w:lineRule="exact"/>
        <w:rPr>
          <w:rFonts w:ascii="Arial" w:cs="Arial" w:eastAsia="Arial" w:hAnsi="Arial"/>
          <w:sz w:val="17"/>
          <w:szCs w:val="17"/>
          <w:color w:val="auto"/>
        </w:rPr>
      </w:pPr>
    </w:p>
    <w:p>
      <w:pPr>
        <w:jc w:val="both"/>
        <w:ind w:firstLine="656"/>
        <w:spacing w:after="0" w:line="276" w:lineRule="auto"/>
        <w:tabs>
          <w:tab w:leader="none" w:pos="1343" w:val="left"/>
        </w:tabs>
        <w:numPr>
          <w:ilvl w:val="0"/>
          <w:numId w:val="1201"/>
        </w:numPr>
        <w:rPr>
          <w:rFonts w:ascii="Arial" w:cs="Arial" w:eastAsia="Arial" w:hAnsi="Arial"/>
          <w:sz w:val="17"/>
          <w:szCs w:val="17"/>
          <w:color w:val="auto"/>
        </w:rPr>
      </w:pPr>
      <w:r>
        <w:rPr>
          <w:rFonts w:ascii="Arial" w:cs="Arial" w:eastAsia="Arial" w:hAnsi="Arial"/>
          <w:sz w:val="17"/>
          <w:szCs w:val="17"/>
          <w:u w:val="single" w:color="auto"/>
          <w:color w:val="auto"/>
        </w:rPr>
        <w:t>Filing of Additional Registration Statements</w:t>
      </w:r>
      <w:r>
        <w:rPr>
          <w:rFonts w:ascii="Arial" w:cs="Arial" w:eastAsia="Arial" w:hAnsi="Arial"/>
          <w:sz w:val="17"/>
          <w:szCs w:val="17"/>
          <w:color w:val="auto"/>
        </w:rPr>
        <w:t xml:space="preserve">. The Company shall prepare and file such additional registration statements as necessary every three (3) years (or such other period that may be applicable under the rules and regulations promulgated pursuant to the Securities Act) and use its commercially reasonable efforts to cause such registration statements to be declared effective by the Commission so that the registration statement remains continuously effective with respect to resales of Registrable Securities as of and for the periods required under </w:t>
      </w:r>
      <w:r>
        <w:rPr>
          <w:rFonts w:ascii="Arial" w:cs="Arial" w:eastAsia="Arial" w:hAnsi="Arial"/>
          <w:sz w:val="17"/>
          <w:szCs w:val="17"/>
          <w:u w:val="single" w:color="auto"/>
          <w:color w:val="auto"/>
        </w:rPr>
        <w:t>Section 2.1(d)</w:t>
      </w:r>
      <w:r>
        <w:rPr>
          <w:rFonts w:ascii="Arial" w:cs="Arial" w:eastAsia="Arial" w:hAnsi="Arial"/>
          <w:sz w:val="17"/>
          <w:szCs w:val="17"/>
          <w:color w:val="auto"/>
        </w:rPr>
        <w:t>, as applicable, such subsequent registration statements to constitute a Shelf Registration Statement, as the case may be, hereunder.</w:t>
      </w:r>
    </w:p>
    <w:p>
      <w:pPr>
        <w:spacing w:after="0" w:line="172" w:lineRule="exact"/>
        <w:rPr>
          <w:rFonts w:ascii="Arial" w:cs="Arial" w:eastAsia="Arial" w:hAnsi="Arial"/>
          <w:sz w:val="17"/>
          <w:szCs w:val="17"/>
          <w:color w:val="auto"/>
        </w:rPr>
      </w:pPr>
    </w:p>
    <w:p>
      <w:pPr>
        <w:jc w:val="both"/>
        <w:ind w:firstLine="656"/>
        <w:spacing w:after="0" w:line="279" w:lineRule="auto"/>
        <w:tabs>
          <w:tab w:leader="none" w:pos="1485" w:val="left"/>
        </w:tabs>
        <w:numPr>
          <w:ilvl w:val="0"/>
          <w:numId w:val="1201"/>
        </w:numPr>
        <w:rPr>
          <w:rFonts w:ascii="Arial" w:cs="Arial" w:eastAsia="Arial" w:hAnsi="Arial"/>
          <w:sz w:val="17"/>
          <w:szCs w:val="17"/>
          <w:color w:val="auto"/>
        </w:rPr>
      </w:pPr>
      <w:r>
        <w:rPr>
          <w:rFonts w:ascii="Arial" w:cs="Arial" w:eastAsia="Arial" w:hAnsi="Arial"/>
          <w:sz w:val="17"/>
          <w:szCs w:val="17"/>
          <w:u w:val="single" w:color="auto"/>
          <w:color w:val="auto"/>
        </w:rPr>
        <w:t>Selling Holders Become Party to Agreement</w:t>
      </w:r>
      <w:r>
        <w:rPr>
          <w:rFonts w:ascii="Arial" w:cs="Arial" w:eastAsia="Arial" w:hAnsi="Arial"/>
          <w:sz w:val="17"/>
          <w:szCs w:val="17"/>
          <w:color w:val="auto"/>
        </w:rPr>
        <w:t xml:space="preserve">. Each Holder acknowledges that by participating in its registration rights pursuant to this Agreement, such Holder will be deemed a party to this Agreement and will be bound by its terms, notwithstanding such Holder’s failure to deliver a Notice and Questionnaire; </w:t>
      </w:r>
      <w:r>
        <w:rPr>
          <w:rFonts w:ascii="Arial" w:cs="Arial" w:eastAsia="Arial" w:hAnsi="Arial"/>
          <w:sz w:val="17"/>
          <w:szCs w:val="17"/>
          <w:u w:val="single" w:color="auto"/>
          <w:color w:val="auto"/>
        </w:rPr>
        <w:t>provided</w:t>
      </w:r>
      <w:r>
        <w:rPr>
          <w:rFonts w:ascii="Arial" w:cs="Arial" w:eastAsia="Arial" w:hAnsi="Arial"/>
          <w:sz w:val="17"/>
          <w:szCs w:val="17"/>
          <w:color w:val="auto"/>
        </w:rPr>
        <w:t>, that any Holder that has not delivered a duly completed and executed Notice and Questionnaire shall not be entitled to be named as a Selling Holder in, or have the Registrable Securities held by it covered by, a Shelf Registration Statement.</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If the Company proposes to file a registration statement under the Securities Act with respect to any underwritten public offering of its Ordinary Shares for its own account or for the account of any of its respective securityholders (other than (a) a registration statement on Form S-4 or S-8 (or any substitute form that may be adopted by the Commission), (b) a registration statement filed in connection with an exchange offer or offering of securities solely to the Company’s existing securityholders, (c) a registration incidental to an issuance of debt securities under Rule 144A or (d) a registration of securities solely relating to an offering and sale to employees or directors of the Company pursuant to any employee stock plan or other employee benefit plan arrangement, a dividend reinvestment plan, or a merger or consolidation) (a “</w:t>
      </w:r>
      <w:r>
        <w:rPr>
          <w:rFonts w:ascii="Arial" w:cs="Arial" w:eastAsia="Arial" w:hAnsi="Arial"/>
          <w:sz w:val="17"/>
          <w:szCs w:val="17"/>
          <w:u w:val="single" w:color="auto"/>
          <w:color w:val="auto"/>
        </w:rPr>
        <w:t>Company Public Sale</w:t>
      </w:r>
      <w:r>
        <w:rPr>
          <w:rFonts w:ascii="Arial" w:cs="Arial" w:eastAsia="Arial" w:hAnsi="Arial"/>
          <w:sz w:val="17"/>
          <w:szCs w:val="17"/>
          <w:color w:val="auto"/>
        </w:rPr>
        <w:t>”), then the Company shall give written notice of such proposed filing to the Holders of Registrable Securities as soon as practicable (but in no event less than ten (10) Business Days before the anticipated filing date), and such notice shall offer such Holders the opportunity to register such number of shares of Registrable Securities as each such Holder may request (a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Company shall include in such registration statement all such Registrable Securities that are requested to be included therein within fifteen (15) days after the receipt by such Holders of any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that if at any time after giving written notice of its intention to register any securities and prior to the effective date of the registration statement filed in connection with such registration, the Company or selling securityholders shall determine for any reason not to register or to delay registration of such securities, the Company shall give written notice of such determination to each Holder and, thereupon, (i) in the case of a determination not to register, shall be relieved of its obligation to register any Registrable Securities in connection with such registration (but not from its obligation to pay the Registration Expenses in connection therewith) and (ii) in the case of a determination to delay registering shall be permitted to delay registering any Registrable Securities, for the same period as the delay in registering such other securities. The Company shall use its commercially reasonable efforts to cause the managing Underwriter or Underwriters of a proposed underwritten offering to permit the Registrable Securities requested to be included in a Piggy-Back Registration to be included on the same terms and conditions as any similar securities of the Company or initiating selling securityholders included therein. Each Holder shall be permitted to withdraw all or part of its Registrable Securities from a Piggy-Back Registration at any time prior to the effectiveness of such registration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3" w:name="page1144"/>
    <w:bookmarkEnd w:id="1143"/>
    <w:p>
      <w:pPr>
        <w:jc w:val="both"/>
        <w:ind w:firstLine="648"/>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xml:space="preserve">. Notwithstanding anything contained herein, if the managing Underwriter or Underwriters of an offering described in </w:t>
      </w:r>
      <w:r>
        <w:rPr>
          <w:rFonts w:ascii="Arial" w:cs="Arial" w:eastAsia="Arial" w:hAnsi="Arial"/>
          <w:sz w:val="18"/>
          <w:szCs w:val="18"/>
          <w:u w:val="single" w:color="auto"/>
          <w:color w:val="auto"/>
        </w:rPr>
        <w:t>Sections 2.1(e)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(or, in the case of an offering of Registrable Securities pursuant to a Shelf Registration Statement, in each case, not being underwritten, the majority of the Holders) advise the Company and the Holders of the Registrable Securities included in such offering, or if such managing Underwriter or Underwriters are unwilling to so advise, if the Company and the Holders of the Registrable Securities included in such offering conclude after consultation with such managing Underwriter or Underwriters that (i) the size of the offering that the Holders, the Company and such other persons intend to make or (ii) in the case of a Piggy-Back Registration only, the kind of securities that the Holders, the Company and/or any other Persons intend to include in such offering are such that the success of the offering would be materially and adversely affected by inclusion of the Registrable Securities requested to be included, then:</w:t>
      </w:r>
    </w:p>
    <w:p>
      <w:pPr>
        <w:spacing w:after="0" w:line="192" w:lineRule="exact"/>
        <w:rPr>
          <w:sz w:val="20"/>
          <w:szCs w:val="20"/>
          <w:color w:val="auto"/>
        </w:rPr>
      </w:pPr>
    </w:p>
    <w:p>
      <w:pPr>
        <w:jc w:val="both"/>
        <w:ind w:firstLine="656"/>
        <w:spacing w:after="0" w:line="267" w:lineRule="auto"/>
        <w:tabs>
          <w:tab w:leader="none" w:pos="1478" w:val="left"/>
        </w:tabs>
        <w:numPr>
          <w:ilvl w:val="0"/>
          <w:numId w:val="1202"/>
        </w:numPr>
        <w:rPr>
          <w:rFonts w:ascii="Arial" w:cs="Arial" w:eastAsia="Arial" w:hAnsi="Arial"/>
          <w:sz w:val="17"/>
          <w:szCs w:val="17"/>
          <w:color w:val="auto"/>
        </w:rPr>
      </w:pPr>
      <w:r>
        <w:rPr>
          <w:rFonts w:ascii="Arial" w:cs="Arial" w:eastAsia="Arial" w:hAnsi="Arial"/>
          <w:sz w:val="17"/>
          <w:szCs w:val="17"/>
          <w:color w:val="auto"/>
        </w:rPr>
        <w:t xml:space="preserve">if the size of the offering is the basis of such determination, the amount of securities to be offered for the accounts of Holders shall be reduced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the Registrable Securities proposed for registration) to the extent necessary to reduce the total amount of securities to be included in such offering to the amount recommended by such managing Underwriter or Underwriters (or, in the case of an offering of Registrable Securities pursuant to a Shelf Registration Statement, in each case, not being underwritten, the majority of the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pursuant to a Shelf Registration Statement, the securities to be included in such Shelf Registration Statement shall be allocated, (x) first, 100%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of the Registrable Securities that have requested to participate in such a Shelf Registration Statement, as applicable, based on the relative number of Registrable Securities then held by each such Holder, (y) next, and only if all the securities referred to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have been included, the number of securities that the Company proposes to include in such Shelf Registration Statement that, in the opinion of the managing Underwriter or Underwriters (or, in the case of an offering of Registrable Securities pursuant to a Shelf Registration Statement, in each case, not being underwritten, the majority of the Holders) can be sold without having such significant adverse effect, and (z) last, only if all of the Registrable Securities referred to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have been included in such registration, any other securities eligible for inclusion in such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of a Piggy-Back Registration, the securities to be included in such Piggy-Back Registration shall be allocated, (A) first, 100% of the securities proposed to be sold in such Piggy-Back Registration by the Company or any Person (other than a Holder) exercising a contractual right to demand registration, as the case may be, proposes to sell, (B) second, and only if all the securities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have been included, the number of Registrable Securities that, in the opinion of such managing Underwriter or Underwriters (or, in the case of an offering of Registrable Securities pursuant to a Shelf Registration Statement, in each case, not being underwritten, the majority of the Holders), can be sold without having such adverse effect, with such number to be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that have requested to participate in such registration based on the relative number of Registrable Securities then held by each such Holder and (C) third, and only if all of the Registrable Securities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have been included in such registration, any other securities eligible for inclusion in such registration;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44" w:name="page1145"/>
    <w:bookmarkEnd w:id="1144"/>
    <w:p>
      <w:pPr>
        <w:jc w:val="both"/>
        <w:ind w:firstLine="656"/>
        <w:spacing w:after="0" w:line="257" w:lineRule="auto"/>
        <w:tabs>
          <w:tab w:leader="none" w:pos="1407" w:val="left"/>
        </w:tabs>
        <w:numPr>
          <w:ilvl w:val="0"/>
          <w:numId w:val="1203"/>
        </w:numPr>
        <w:rPr>
          <w:rFonts w:ascii="Arial" w:cs="Arial" w:eastAsia="Arial" w:hAnsi="Arial"/>
          <w:sz w:val="18"/>
          <w:szCs w:val="18"/>
          <w:color w:val="auto"/>
        </w:rPr>
      </w:pPr>
      <w:r>
        <w:rPr>
          <w:rFonts w:ascii="Arial" w:cs="Arial" w:eastAsia="Arial" w:hAnsi="Arial"/>
          <w:sz w:val="18"/>
          <w:szCs w:val="18"/>
          <w:color w:val="auto"/>
        </w:rPr>
        <w:t>if the kind of securities to be offered is the basis of such determination, (i) the Registrable Securities to be included in such offering shall be reduced as described in clause (a) above or, (ii) if the actions described in clause (i) would, in the good faith, best judgment of the managing Underwriter (or, in the case of an offering of Registrable Securities pursuant to a Shelf Registration Statement, in each case, not being underwritten, the majority of the Holders), be insufficient to substantially eliminate the adverse effect that inclusion of the Registrable Securities requested to be included would have on such offering, such Registrable Securities will be excluded from such offering.</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Black-Out Periods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4" w:lineRule="auto"/>
        <w:tabs>
          <w:tab w:leader="none" w:pos="1406" w:val="left"/>
        </w:tabs>
        <w:numPr>
          <w:ilvl w:val="0"/>
          <w:numId w:val="1204"/>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Sections 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2.1(e)</w:t>
      </w:r>
      <w:r>
        <w:rPr>
          <w:rFonts w:ascii="Arial" w:cs="Arial" w:eastAsia="Arial" w:hAnsi="Arial"/>
          <w:sz w:val="16"/>
          <w:szCs w:val="16"/>
          <w:color w:val="auto"/>
        </w:rPr>
        <w:t xml:space="preserve">, the Company shall be permitted to postpone the filing of any Shelf Registration Statement filed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from time to time to require the Holders not to sell Registrable Securities under any such Shelf Registration Statement or other registration statement or to suspend the effectiveness thereof, for such times as the Company reasonably may determine is necessary and advisable, if any of the following events shall occur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(i) a majority of the members of the board of directors of the Company determines in good faith that (A) the offer or sale of any Registrable Securities would materially impede, delay or interfere with any proposed material financing, material acquisition, corporate reorganization or other material transaction involving the Company or (B)(x) the Company has a bona fide business purpose for preserving the confidentiality of a material transaction that would otherwise be required to be disclosed due to such registration, (y) disclosure would have a material adverse effect on the Company or the Company’s ability to consummate such a material transaction or (z) such a material transaction renders the Company unable to comply with Commission requirements, in each case under circumstances that would make it impractical or inadvisable, to cause the Shelf Registration Statement or other registration statement (or such filings) to become effective or to promptly amend or supplement the Shelf Registration Statement or other registration statement on a post-effective basis, as applicable; (ii) a majority of the members of the board of directors of the Company determines in good faith that it is in the Company’s best interest or it is required by law, rule or regulation to supplement the Shelf Registration Statement or other registration statement or file a post-effective amendment to such Shelf Registration Statement or other registration statement in order to ensure that the prospectus included in the Shelf Registration Statement or other registration statement (1) contains the information required by the form on which such Shelf Registration Statement or other registration statement was filed or (2) discloses any facts or events arising after the effective date of the Shelf Registration Statement or other registration statement (or of the most recent post-effective amendment) that, individually or in the aggregate, represents a fundamental change in the information set forth therein; or (iii) if the Company is subject to any of its customary suspension or blackout periods, for all or part of such period. Upon the occurrence of any such suspension, the Company shall use its commercially reasonable efforts to cause the Shelf Registration Statement or other registration statement to become effective or to amend or supplement the Shelf Registration Statement or other registration statement on a post-effective basis or to take such action as is necessary to permit resumed use of the Shelf Registration Statement or other registration statement or filing thereof as soon as reasonably possible following the conclusion of the applicable Suspension Event and its effect.</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will provide written notice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xml:space="preserve">”) to the Holders of the occurrence of any Suspension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permitted to exercise a suspension pursuant to this </w:t>
      </w:r>
      <w:r>
        <w:rPr>
          <w:rFonts w:ascii="Arial" w:cs="Arial" w:eastAsia="Arial" w:hAnsi="Arial"/>
          <w:sz w:val="16"/>
          <w:szCs w:val="16"/>
          <w:u w:val="single" w:color="auto"/>
          <w:color w:val="auto"/>
        </w:rPr>
        <w:t>Section 2.4(a) (i)</w:t>
      </w:r>
      <w:r>
        <w:rPr>
          <w:rFonts w:ascii="Arial" w:cs="Arial" w:eastAsia="Arial" w:hAnsi="Arial"/>
          <w:sz w:val="16"/>
          <w:szCs w:val="16"/>
          <w:color w:val="auto"/>
        </w:rPr>
        <w:t xml:space="preserve"> more than twice during any twelve (12)-month period, or</w:t>
      </w:r>
    </w:p>
    <w:p>
      <w:pPr>
        <w:jc w:val="both"/>
        <w:ind w:firstLine="8"/>
        <w:spacing w:after="0" w:line="281" w:lineRule="auto"/>
        <w:tabs>
          <w:tab w:leader="none" w:pos="275" w:val="left"/>
        </w:tabs>
        <w:numPr>
          <w:ilvl w:val="0"/>
          <w:numId w:val="1205"/>
        </w:numPr>
        <w:rPr>
          <w:rFonts w:ascii="Arial" w:cs="Arial" w:eastAsia="Arial" w:hAnsi="Arial"/>
          <w:sz w:val="16"/>
          <w:szCs w:val="16"/>
          <w:color w:val="auto"/>
        </w:rPr>
      </w:pPr>
      <w:r>
        <w:rPr>
          <w:rFonts w:ascii="Arial" w:cs="Arial" w:eastAsia="Arial" w:hAnsi="Arial"/>
          <w:sz w:val="16"/>
          <w:szCs w:val="16"/>
          <w:color w:val="auto"/>
        </w:rPr>
        <w:t>for a period exceeding sixty (60) days in the aggregate during such twelve (12)-month period. Upon receipt of a Suspension Notice, each Holder agrees that it will (i) immediately discontinue offers and sales of the Registrable Securities under the Shelf Registration Statement or other registration statement and</w:t>
      </w:r>
    </w:p>
    <w:p>
      <w:pPr>
        <w:spacing w:after="0" w:line="1" w:lineRule="exact"/>
        <w:rPr>
          <w:rFonts w:ascii="Arial" w:cs="Arial" w:eastAsia="Arial" w:hAnsi="Arial"/>
          <w:sz w:val="16"/>
          <w:szCs w:val="16"/>
          <w:color w:val="auto"/>
        </w:rPr>
      </w:pPr>
    </w:p>
    <w:p>
      <w:pPr>
        <w:jc w:val="both"/>
        <w:ind w:firstLine="8"/>
        <w:spacing w:after="0" w:line="292" w:lineRule="auto"/>
        <w:tabs>
          <w:tab w:leader="none" w:pos="293" w:val="left"/>
        </w:tabs>
        <w:numPr>
          <w:ilvl w:val="0"/>
          <w:numId w:val="1206"/>
        </w:numPr>
        <w:rPr>
          <w:rFonts w:ascii="Arial" w:cs="Arial" w:eastAsia="Arial" w:hAnsi="Arial"/>
          <w:sz w:val="16"/>
          <w:szCs w:val="16"/>
          <w:color w:val="auto"/>
        </w:rPr>
      </w:pPr>
      <w:r>
        <w:rPr>
          <w:rFonts w:ascii="Arial" w:cs="Arial" w:eastAsia="Arial" w:hAnsi="Arial"/>
          <w:sz w:val="16"/>
          <w:szCs w:val="16"/>
          <w:color w:val="auto"/>
        </w:rPr>
        <w:t>maintain the confidentiality of any information included in the Suspension Notice unless otherwise required by law or subpoena. The Holders may recommence effecting offers and sales of the Registrable Securities pursuant to the Shelf Registration Statement or other registration statement (or such filings) following further written notice to such effect (an “</w:t>
      </w:r>
      <w:r>
        <w:rPr>
          <w:rFonts w:ascii="Arial" w:cs="Arial" w:eastAsia="Arial" w:hAnsi="Arial"/>
          <w:sz w:val="16"/>
          <w:szCs w:val="16"/>
          <w:u w:val="single" w:color="auto"/>
          <w:color w:val="auto"/>
        </w:rPr>
        <w:t>End of Suspension Notice</w:t>
      </w:r>
      <w:r>
        <w:rPr>
          <w:rFonts w:ascii="Arial" w:cs="Arial" w:eastAsia="Arial" w:hAnsi="Arial"/>
          <w:sz w:val="16"/>
          <w:szCs w:val="16"/>
          <w:color w:val="auto"/>
        </w:rPr>
        <w:t xml:space="preserve">”) from the Company, which End of Suspension Notice shall be given by the Company to the Holders promptly following the conclusion of any Suspension Event and its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agree that they will only effect such offers and sales pursuant to any supplemental or amended prospectus that has been provided to them by the Company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45" w:name="page1146"/>
    <w:bookmarkEnd w:id="1145"/>
    <w:p>
      <w:pPr>
        <w:jc w:val="both"/>
        <w:ind w:firstLine="656"/>
        <w:spacing w:after="0" w:line="272" w:lineRule="auto"/>
        <w:tabs>
          <w:tab w:leader="none" w:pos="1321" w:val="left"/>
        </w:tabs>
        <w:numPr>
          <w:ilvl w:val="0"/>
          <w:numId w:val="1207"/>
        </w:numPr>
        <w:rPr>
          <w:rFonts w:ascii="Arial" w:cs="Arial" w:eastAsia="Arial" w:hAnsi="Arial"/>
          <w:sz w:val="17"/>
          <w:szCs w:val="17"/>
          <w:color w:val="auto"/>
        </w:rPr>
      </w:pPr>
      <w:r>
        <w:rPr>
          <w:rFonts w:ascii="Arial" w:cs="Arial" w:eastAsia="Arial" w:hAnsi="Arial"/>
          <w:sz w:val="17"/>
          <w:szCs w:val="17"/>
          <w:color w:val="auto"/>
        </w:rPr>
        <w:t xml:space="preserve">Notwithstanding any provision herein to the contrary, if the Company shall give a Suspension Notice with respect to any Shelf Registration Statement or other registration statement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the Company agrees that it shall extend the period of time during which such Shelf Registration Statement or other registration statement shall be maintained effective (including the period referred to in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by the number of days during the period from the date of receipt by the Holders of the Suspension Notice to and including the date of receipt by the Holders of the End of Suspension Notice and promptly provide copies of the supplemented or amended prospectus necessary to resume offers and sales, with respect to each Suspension Event;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period of time shall not be extended beyond the date that the Ordinary Shares covered by such Shelf Registration Statement or other registration statement are no longer Registrable Securities.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Registration Procedures; Filings; Information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in connection with any Shelf Registration Statement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Piggy-Back Registration under </w:t>
      </w:r>
      <w:r>
        <w:rPr>
          <w:rFonts w:ascii="Arial" w:cs="Arial" w:eastAsia="Arial" w:hAnsi="Arial"/>
          <w:sz w:val="16"/>
          <w:szCs w:val="16"/>
          <w:u w:val="single" w:color="auto"/>
          <w:color w:val="auto"/>
        </w:rPr>
        <w:t>Section 2.2</w:t>
      </w:r>
      <w:r>
        <w:rPr>
          <w:rFonts w:ascii="Arial" w:cs="Arial" w:eastAsia="Arial" w:hAnsi="Arial"/>
          <w:sz w:val="16"/>
          <w:szCs w:val="16"/>
          <w:color w:val="auto"/>
        </w:rPr>
        <w:t>, the Company will use its commercially reasonable efforts to effect the registration and the sale of such Registrable Securities in accordance with the intended method of disposition thereof as quickly as practicable, and in connection with any such request:</w:t>
      </w:r>
    </w:p>
    <w:p>
      <w:pPr>
        <w:spacing w:after="0" w:line="147" w:lineRule="exact"/>
        <w:rPr>
          <w:sz w:val="20"/>
          <w:szCs w:val="20"/>
          <w:color w:val="auto"/>
        </w:rPr>
      </w:pPr>
    </w:p>
    <w:p>
      <w:pPr>
        <w:jc w:val="both"/>
        <w:ind w:firstLine="656"/>
        <w:spacing w:after="0" w:line="257" w:lineRule="auto"/>
        <w:tabs>
          <w:tab w:leader="none" w:pos="1424" w:val="left"/>
        </w:tabs>
        <w:numPr>
          <w:ilvl w:val="0"/>
          <w:numId w:val="1208"/>
        </w:numPr>
        <w:rPr>
          <w:rFonts w:ascii="Arial" w:cs="Arial" w:eastAsia="Arial" w:hAnsi="Arial"/>
          <w:sz w:val="18"/>
          <w:szCs w:val="18"/>
          <w:color w:val="auto"/>
        </w:rPr>
      </w:pPr>
      <w:r>
        <w:rPr>
          <w:rFonts w:ascii="Arial" w:cs="Arial" w:eastAsia="Arial" w:hAnsi="Arial"/>
          <w:sz w:val="18"/>
          <w:szCs w:val="18"/>
          <w:color w:val="auto"/>
        </w:rPr>
        <w:t>The Company will as expeditiously as possible prepare and file with the Commission a registration statement on any form for which the Company then qualifies or which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and available for use for the offer and resale of Registrable Securities in accordance with this Agreement.</w:t>
      </w:r>
    </w:p>
    <w:p>
      <w:pPr>
        <w:spacing w:after="0" w:line="188" w:lineRule="exact"/>
        <w:rPr>
          <w:rFonts w:ascii="Arial" w:cs="Arial" w:eastAsia="Arial" w:hAnsi="Arial"/>
          <w:sz w:val="18"/>
          <w:szCs w:val="18"/>
          <w:color w:val="auto"/>
        </w:rPr>
      </w:pPr>
    </w:p>
    <w:p>
      <w:pPr>
        <w:jc w:val="both"/>
        <w:ind w:firstLine="656"/>
        <w:spacing w:after="0" w:line="287" w:lineRule="auto"/>
        <w:tabs>
          <w:tab w:leader="none" w:pos="1389" w:val="left"/>
        </w:tabs>
        <w:numPr>
          <w:ilvl w:val="0"/>
          <w:numId w:val="1208"/>
        </w:numPr>
        <w:rPr>
          <w:rFonts w:ascii="Arial" w:cs="Arial" w:eastAsia="Arial" w:hAnsi="Arial"/>
          <w:sz w:val="16"/>
          <w:szCs w:val="16"/>
          <w:color w:val="auto"/>
        </w:rPr>
      </w:pPr>
      <w:r>
        <w:rPr>
          <w:rFonts w:ascii="Arial" w:cs="Arial" w:eastAsia="Arial" w:hAnsi="Arial"/>
          <w:sz w:val="16"/>
          <w:szCs w:val="16"/>
          <w:color w:val="auto"/>
        </w:rPr>
        <w:t xml:space="preserve">The Company will, at least five (5) Business Days prior to filing a registration statement or prospectus or any amendment or supplement thereto, furnish to each Selling Holder and each Underwriter, if any, of the Registrable Securities covered by such registration statement copies of such registration statement as proposed to be filed with copies of all documents proposed to be filed, which documents shall be subject to the review and opportunity to comment by such Selling Holder and Underwriter, if any, and their respective counsel and, except in the case of a registration statement under </w:t>
      </w:r>
      <w:r>
        <w:rPr>
          <w:rFonts w:ascii="Arial" w:cs="Arial" w:eastAsia="Arial" w:hAnsi="Arial"/>
          <w:sz w:val="16"/>
          <w:szCs w:val="16"/>
          <w:u w:val="single" w:color="auto"/>
          <w:color w:val="auto"/>
        </w:rPr>
        <w:t>Section 2.2</w:t>
      </w:r>
      <w:r>
        <w:rPr>
          <w:rFonts w:ascii="Arial" w:cs="Arial" w:eastAsia="Arial" w:hAnsi="Arial"/>
          <w:sz w:val="16"/>
          <w:szCs w:val="16"/>
          <w:color w:val="auto"/>
        </w:rPr>
        <w:t>, not file any registration statement or amendments or supplements thereto to which the Underwriter, if any, shall reasonably object. The Company shall thereafter furnish to such Selling Holder and Underwriter, if any, such number of conformed copies of such registration statement, each amendment and supplement thereto (and upon request, all exhibits thereto and documents incorporated by reference therein), the prospectus included in such registration statement (including each preliminary prospectus) and such other documents as such Selling Holder or Underwriter may reasonably request in order to facilitate the disposition of the Registrable Securities owned by such Selling Holder and provide counsel to the Selling Holder with a reasonable opportunity to review and comment on all such documents of no less than five (5) Business Days, and upon request, a copy of any and all transmittal letters or other correspondence to or received from, the Commission or any other governmental authority relating to such offer.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46" w:name="page1147"/>
    <w:bookmarkEnd w:id="1146"/>
    <w:p>
      <w:pPr>
        <w:ind w:right="20" w:firstLine="656"/>
        <w:spacing w:after="0" w:line="308" w:lineRule="auto"/>
        <w:tabs>
          <w:tab w:leader="none" w:pos="1653" w:val="left"/>
        </w:tabs>
        <w:numPr>
          <w:ilvl w:val="0"/>
          <w:numId w:val="1209"/>
        </w:numPr>
        <w:rPr>
          <w:rFonts w:ascii="Arial" w:cs="Arial" w:eastAsia="Arial" w:hAnsi="Arial"/>
          <w:sz w:val="17"/>
          <w:szCs w:val="17"/>
          <w:color w:val="auto"/>
        </w:rPr>
      </w:pPr>
      <w:r>
        <w:rPr>
          <w:rFonts w:ascii="Arial" w:cs="Arial" w:eastAsia="Arial" w:hAnsi="Arial"/>
          <w:sz w:val="17"/>
          <w:szCs w:val="17"/>
          <w:color w:val="auto"/>
        </w:rPr>
        <w:t>Notify each Selling Holder of Registrable Securities, promptly after the Company receives notice thereof, of the time when such registration statement has been declared effective or a supplement to any prospectus forming a part of such registration statement has been filed.</w:t>
      </w:r>
    </w:p>
    <w:p>
      <w:pPr>
        <w:spacing w:after="0" w:line="146" w:lineRule="exact"/>
        <w:rPr>
          <w:rFonts w:ascii="Arial" w:cs="Arial" w:eastAsia="Arial" w:hAnsi="Arial"/>
          <w:sz w:val="17"/>
          <w:szCs w:val="17"/>
          <w:color w:val="auto"/>
        </w:rPr>
      </w:pPr>
    </w:p>
    <w:p>
      <w:pPr>
        <w:jc w:val="both"/>
        <w:ind w:firstLine="656"/>
        <w:spacing w:after="0" w:line="293" w:lineRule="auto"/>
        <w:tabs>
          <w:tab w:leader="none" w:pos="1434" w:val="left"/>
        </w:tabs>
        <w:numPr>
          <w:ilvl w:val="0"/>
          <w:numId w:val="1209"/>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will promptly notify each Selling Holder of Registrable Securities covered by such registration statement of (i) any stop order issued or threatened by the Commission or any order by the Commission or any other regulatory authority preventing or suspending the use of any preliminary or final prospectus or the initiation or threatening of any proceedings for such purposes, (ii) any written comments by the Commission or any request by the Commission or any other federal or state governmental authority for amendments or supplements to such registration statement or for additional information or (iii) the receipt by the Company of any notification with respect to the suspension of the qualification of the Registrable Securities for offering or sale in any jurisdiction or the initiation or threatening of any proceeding for such purpose.</w:t>
      </w:r>
    </w:p>
    <w:p>
      <w:pPr>
        <w:spacing w:after="0" w:line="164" w:lineRule="exact"/>
        <w:rPr>
          <w:rFonts w:ascii="Arial" w:cs="Arial" w:eastAsia="Arial" w:hAnsi="Arial"/>
          <w:sz w:val="16"/>
          <w:szCs w:val="16"/>
          <w:color w:val="auto"/>
        </w:rPr>
      </w:pPr>
    </w:p>
    <w:p>
      <w:pPr>
        <w:ind w:right="20" w:firstLine="656"/>
        <w:spacing w:after="0" w:line="277" w:lineRule="auto"/>
        <w:tabs>
          <w:tab w:leader="none" w:pos="1491" w:val="left"/>
        </w:tabs>
        <w:numPr>
          <w:ilvl w:val="0"/>
          <w:numId w:val="1209"/>
        </w:numPr>
        <w:rPr>
          <w:rFonts w:ascii="Arial" w:cs="Arial" w:eastAsia="Arial" w:hAnsi="Arial"/>
          <w:sz w:val="18"/>
          <w:szCs w:val="18"/>
          <w:color w:val="auto"/>
        </w:rPr>
      </w:pPr>
      <w:r>
        <w:rPr>
          <w:rFonts w:ascii="Arial" w:cs="Arial" w:eastAsia="Arial" w:hAnsi="Arial"/>
          <w:sz w:val="18"/>
          <w:szCs w:val="18"/>
          <w:color w:val="auto"/>
        </w:rPr>
        <w:t>The Company will promptly take all reasonable actions required to prevent, or obtain the withdrawal of, any stop order or other order suspending the use of any preliminary or final registration statement.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382" w:val="left"/>
        </w:tabs>
        <w:numPr>
          <w:ilvl w:val="0"/>
          <w:numId w:val="1209"/>
        </w:numPr>
        <w:rPr>
          <w:rFonts w:ascii="Arial" w:cs="Arial" w:eastAsia="Arial" w:hAnsi="Arial"/>
          <w:sz w:val="18"/>
          <w:szCs w:val="18"/>
          <w:color w:val="auto"/>
        </w:rPr>
      </w:pPr>
      <w:r>
        <w:rPr>
          <w:rFonts w:ascii="Arial" w:cs="Arial" w:eastAsia="Arial" w:hAnsi="Arial"/>
          <w:sz w:val="18"/>
          <w:szCs w:val="18"/>
          <w:color w:val="auto"/>
        </w:rPr>
        <w:t xml:space="preserve">The Company will use its commercially reasonable efforts to (i) register or qualify the Registrable Securities under such other securities or blue sky laws of such jurisdictions in the United States (where an exemption does not apply) as any Selling Holder or managing Underwriter or Underwriters, if any, reasonably (in light of such Selling Holder’s intended plan of distribution)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Selling Holder to consummate the disposition of the Registrable Securities owned by such Selling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not be required to (A) qualify generally to do business in any jurisdiction where it would not otherwise be required to qualify but for this paragraph (f), (B) subject itself to taxation in any such jurisdiction or (C) consent to general service of process in any such jurisdiction.</w:t>
      </w:r>
    </w:p>
    <w:p>
      <w:pPr>
        <w:spacing w:after="0" w:line="192" w:lineRule="exact"/>
        <w:rPr>
          <w:rFonts w:ascii="Arial" w:cs="Arial" w:eastAsia="Arial" w:hAnsi="Arial"/>
          <w:sz w:val="18"/>
          <w:szCs w:val="18"/>
          <w:color w:val="auto"/>
        </w:rPr>
      </w:pPr>
    </w:p>
    <w:p>
      <w:pPr>
        <w:jc w:val="both"/>
        <w:ind w:firstLine="656"/>
        <w:spacing w:after="0" w:line="287" w:lineRule="auto"/>
        <w:tabs>
          <w:tab w:leader="none" w:pos="1416" w:val="left"/>
        </w:tabs>
        <w:numPr>
          <w:ilvl w:val="0"/>
          <w:numId w:val="1209"/>
        </w:numPr>
        <w:rPr>
          <w:rFonts w:ascii="Arial" w:cs="Arial" w:eastAsia="Arial" w:hAnsi="Arial"/>
          <w:sz w:val="16"/>
          <w:szCs w:val="16"/>
          <w:color w:val="auto"/>
        </w:rPr>
      </w:pPr>
      <w:r>
        <w:rPr>
          <w:rFonts w:ascii="Arial" w:cs="Arial" w:eastAsia="Arial" w:hAnsi="Arial"/>
          <w:sz w:val="16"/>
          <w:szCs w:val="16"/>
          <w:color w:val="auto"/>
        </w:rPr>
        <w:t>The Company will promptly notify each Selling Holder of such Registrable Securities, at any time when a prospectus relating thereto is required to be delivered under the Securities Act, of (i) the Company’s receipt of any notification of the suspension of the qualification of any Registrable Securities covered by a Shelf Registration Statement for sale in any jurisdiction, (ii)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in light of the circumstances under which they were made, not misleading and promptly prepare and make available to each Selling Holder any such supplement or amendment and (iii) deliver to each Selling Holder and each Underwriter, if any, without charge, as many copies of the applicable prospectus (including each preliminary prospectus), any amendment or supplement thereto as may be necessary so that, as thereafter delivered to each Selling Holder and each Underwriter, if any, such prospectus will not contain an untrue statement of a material fact or omit to state any material fact required to be stated therein or necessary to make the statements therein, in light of the circumstances under which they were made, not misleading, and such other documents useful to facilitate the disposition of the Registrable Securities as such Selling Holder or Underwriter may reasonably request.</w:t>
      </w:r>
    </w:p>
    <w:p>
      <w:pPr>
        <w:spacing w:after="0" w:line="172" w:lineRule="exact"/>
        <w:rPr>
          <w:rFonts w:ascii="Arial" w:cs="Arial" w:eastAsia="Arial" w:hAnsi="Arial"/>
          <w:sz w:val="16"/>
          <w:szCs w:val="16"/>
          <w:color w:val="auto"/>
        </w:rPr>
      </w:pPr>
    </w:p>
    <w:p>
      <w:pPr>
        <w:jc w:val="both"/>
        <w:ind w:firstLine="656"/>
        <w:spacing w:after="0" w:line="255" w:lineRule="auto"/>
        <w:tabs>
          <w:tab w:leader="none" w:pos="1393" w:val="left"/>
        </w:tabs>
        <w:numPr>
          <w:ilvl w:val="0"/>
          <w:numId w:val="1209"/>
        </w:numPr>
        <w:rPr>
          <w:rFonts w:ascii="Arial" w:cs="Arial" w:eastAsia="Arial" w:hAnsi="Arial"/>
          <w:sz w:val="18"/>
          <w:szCs w:val="18"/>
          <w:color w:val="auto"/>
        </w:rPr>
      </w:pPr>
      <w:r>
        <w:rPr>
          <w:rFonts w:ascii="Arial" w:cs="Arial" w:eastAsia="Arial" w:hAnsi="Arial"/>
          <w:sz w:val="18"/>
          <w:szCs w:val="18"/>
          <w:color w:val="auto"/>
        </w:rPr>
        <w:t>The Company will promptly (i) incorporate in a prospectus supplement or post-effective amendment such information as the Underwriter, if any, reasonably believes should be included therein relating to the plan of distribution with respect to such Registrable Securities, and make all required filings of such prospectus supplement or post-effective amendment, (ii) furnish to each Selling Holder and each Underwriter, if any, without charge, as many conformed copies as such Selling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47" w:name="page1148"/>
    <w:bookmarkEnd w:id="1147"/>
    <w:p>
      <w:pPr>
        <w:jc w:val="both"/>
        <w:ind w:firstLine="656"/>
        <w:spacing w:after="0" w:line="287" w:lineRule="auto"/>
        <w:tabs>
          <w:tab w:leader="none" w:pos="1547" w:val="left"/>
        </w:tabs>
        <w:numPr>
          <w:ilvl w:val="0"/>
          <w:numId w:val="1210"/>
        </w:numPr>
        <w:rPr>
          <w:rFonts w:ascii="Arial" w:cs="Arial" w:eastAsia="Arial" w:hAnsi="Arial"/>
          <w:sz w:val="16"/>
          <w:szCs w:val="16"/>
          <w:color w:val="auto"/>
        </w:rPr>
      </w:pPr>
      <w:r>
        <w:rPr>
          <w:rFonts w:ascii="Arial" w:cs="Arial" w:eastAsia="Arial" w:hAnsi="Arial"/>
          <w:sz w:val="16"/>
          <w:szCs w:val="16"/>
          <w:color w:val="auto"/>
        </w:rPr>
        <w:t>The Company will enter into customary agreements (including an underwriting agreement and indemnification agreements, if any, in customary forms) and use commercially reasonable efforts to take such other actions as the Underwriters, if any, reasonably request or that are reasonably required in order to expedite or facilitate the disposition of such Registrable Securities, including, without limitation, (A) obtain for delivery to the Selling Holders and to the Underwriters, if any, an opinion or opinions from counsel for the Company dated the effective date of the applicable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 (B) in the case of an underwritten offering, obtain for delivery to the Company and the managing Underwriter or Underwriters, with copies to the Selling Holders,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closing under the underwriting agreement and (C) cooperate with each Selling Holder and each Underwriter, if any, participating in the disposition of such Registrable Securities and their respective counsel in connection with any filings required to be made with FINRA.</w:t>
      </w:r>
    </w:p>
    <w:p>
      <w:pPr>
        <w:spacing w:after="0" w:line="172" w:lineRule="exact"/>
        <w:rPr>
          <w:rFonts w:ascii="Arial" w:cs="Arial" w:eastAsia="Arial" w:hAnsi="Arial"/>
          <w:sz w:val="16"/>
          <w:szCs w:val="16"/>
          <w:color w:val="auto"/>
        </w:rPr>
      </w:pPr>
    </w:p>
    <w:p>
      <w:pPr>
        <w:jc w:val="both"/>
        <w:ind w:firstLine="656"/>
        <w:spacing w:after="0" w:line="293" w:lineRule="auto"/>
        <w:tabs>
          <w:tab w:leader="none" w:pos="1466" w:val="left"/>
        </w:tabs>
        <w:numPr>
          <w:ilvl w:val="0"/>
          <w:numId w:val="1210"/>
        </w:numPr>
        <w:rPr>
          <w:rFonts w:ascii="Arial" w:cs="Arial" w:eastAsia="Arial" w:hAnsi="Arial"/>
          <w:sz w:val="16"/>
          <w:szCs w:val="16"/>
          <w:color w:val="auto"/>
        </w:rPr>
      </w:pPr>
      <w:r>
        <w:rPr>
          <w:rFonts w:ascii="Arial" w:cs="Arial" w:eastAsia="Arial" w:hAnsi="Arial"/>
          <w:sz w:val="16"/>
          <w:szCs w:val="16"/>
          <w:color w:val="auto"/>
        </w:rPr>
        <w:t>The Company will make available for inspection by any Selling Holder of such Registrable Securities, if such Selling Holder has a due diligence defense under the Securities Act, any Underwriter participating in any disposition pursuant to such registration statement and any attorney, accountant or other professional retained by any such Selling Holder or Underwriter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all financial and other records, pertinent corporate documents and properties of the Company as shall be reasonably necessary to enable them to exercise their due diligence responsibility, and cause the Company’s officers, directors and employees to supply all information reasonably requested by any Inspector in connection with such registration statement, subject to entry by each such Inspector into a customary confidentiality agreement in a form reasonably acceptable to the Company.</w:t>
      </w:r>
    </w:p>
    <w:p>
      <w:pPr>
        <w:spacing w:after="0" w:line="164" w:lineRule="exact"/>
        <w:rPr>
          <w:rFonts w:ascii="Arial" w:cs="Arial" w:eastAsia="Arial" w:hAnsi="Arial"/>
          <w:sz w:val="16"/>
          <w:szCs w:val="16"/>
          <w:color w:val="auto"/>
        </w:rPr>
      </w:pPr>
    </w:p>
    <w:p>
      <w:pPr>
        <w:jc w:val="both"/>
        <w:ind w:firstLine="656"/>
        <w:spacing w:after="0" w:line="273" w:lineRule="auto"/>
        <w:tabs>
          <w:tab w:leader="none" w:pos="1704" w:val="left"/>
        </w:tabs>
        <w:numPr>
          <w:ilvl w:val="0"/>
          <w:numId w:val="1210"/>
        </w:numPr>
        <w:rPr>
          <w:rFonts w:ascii="Arial" w:cs="Arial" w:eastAsia="Arial" w:hAnsi="Arial"/>
          <w:sz w:val="17"/>
          <w:szCs w:val="17"/>
          <w:color w:val="auto"/>
        </w:rPr>
      </w:pPr>
      <w:r>
        <w:rPr>
          <w:rFonts w:ascii="Arial" w:cs="Arial" w:eastAsia="Arial" w:hAnsi="Arial"/>
          <w:sz w:val="17"/>
          <w:szCs w:val="17"/>
          <w:color w:val="auto"/>
        </w:rPr>
        <w:t>The Company will otherwise use its commercially reasonable efforts to comply with all applicable rules and regulations of the Commission, and make available to its securityholders, as soon as reasonably practicable, an earnings statement covering a period of 12 months, beginning within three months after the effective date of the registration statement, which earnings statement shall satisfy the provisions of Section 11(a) of the Securities Act and Rule 158 of the Commission promulgated thereunder (or any successor rule or regulation hereafter adopted by the Commission) and which requirement will be deemed satisfied if the Company timely files complete and accurate information on Form 10-Q and Form 10-K and Current Reports on Form 8-K under the Exchange Act and otherwise complies with Rule 158 under the Securities Act.</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381" w:val="left"/>
        </w:tabs>
        <w:numPr>
          <w:ilvl w:val="0"/>
          <w:numId w:val="1210"/>
        </w:numPr>
        <w:rPr>
          <w:rFonts w:ascii="Arial" w:cs="Arial" w:eastAsia="Arial" w:hAnsi="Arial"/>
          <w:sz w:val="17"/>
          <w:szCs w:val="17"/>
          <w:color w:val="auto"/>
        </w:rPr>
      </w:pPr>
      <w:r>
        <w:rPr>
          <w:rFonts w:ascii="Arial" w:cs="Arial" w:eastAsia="Arial" w:hAnsi="Arial"/>
          <w:sz w:val="17"/>
          <w:szCs w:val="17"/>
          <w:color w:val="auto"/>
        </w:rPr>
        <w:t>The Company may require each Selling Holder of Registrable Securities to promptly furnish in writing to the Company such information regarding such Selling Holder, the Registrable Securities held by it and the intended method of distribution of the Registrable Securities as the Company may from time to time reasonably request and such other information as may be legally required in connection with such registration. No Holder may include Registrable Securities in any registration statement pursuant to this Agreement unless and until such Holder has furnished to the Company such information. Each Holder further agrees to furnish as soon as reasonably practicable to the Company all information required to be disclosed in order to make information previously furnished to the Company by such Holder not materially misleading.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8" w:name="page1149"/>
    <w:bookmarkEnd w:id="1148"/>
    <w:p>
      <w:pPr>
        <w:jc w:val="both"/>
        <w:ind w:firstLine="656"/>
        <w:spacing w:after="0" w:line="268" w:lineRule="auto"/>
        <w:tabs>
          <w:tab w:leader="none" w:pos="1493" w:val="left"/>
        </w:tabs>
        <w:numPr>
          <w:ilvl w:val="0"/>
          <w:numId w:val="1211"/>
        </w:numPr>
        <w:rPr>
          <w:rFonts w:ascii="Arial" w:cs="Arial" w:eastAsia="Arial" w:hAnsi="Arial"/>
          <w:sz w:val="17"/>
          <w:szCs w:val="17"/>
          <w:color w:val="auto"/>
        </w:rPr>
      </w:pPr>
      <w:r>
        <w:rPr>
          <w:rFonts w:ascii="Arial" w:cs="Arial" w:eastAsia="Arial" w:hAnsi="Arial"/>
          <w:sz w:val="17"/>
          <w:szCs w:val="17"/>
          <w:color w:val="auto"/>
        </w:rPr>
        <w:t xml:space="preserve">Each Selling Holder agrees that, upon receipt of any notice from the Company of the happening of any event of the kind described in </w:t>
      </w:r>
      <w:r>
        <w:rPr>
          <w:rFonts w:ascii="Arial" w:cs="Arial" w:eastAsia="Arial" w:hAnsi="Arial"/>
          <w:sz w:val="17"/>
          <w:szCs w:val="17"/>
          <w:u w:val="single" w:color="auto"/>
          <w:color w:val="auto"/>
        </w:rPr>
        <w:t>Section 2.5(g)</w:t>
      </w:r>
      <w:r>
        <w:rPr>
          <w:rFonts w:ascii="Arial" w:cs="Arial" w:eastAsia="Arial" w:hAnsi="Arial"/>
          <w:sz w:val="17"/>
          <w:szCs w:val="17"/>
          <w:color w:val="auto"/>
        </w:rPr>
        <w:t xml:space="preserve">, such Selling Holder will forthwith discontinue disposition of Registrable Securities pursuant to the registration statement covering such Registrable Securities until such Selling Holder’s receipt of written notice from the Company that such disposition may be made and, in the case of clause (ii) of </w:t>
      </w:r>
      <w:r>
        <w:rPr>
          <w:rFonts w:ascii="Arial" w:cs="Arial" w:eastAsia="Arial" w:hAnsi="Arial"/>
          <w:sz w:val="17"/>
          <w:szCs w:val="17"/>
          <w:u w:val="single" w:color="auto"/>
          <w:color w:val="auto"/>
        </w:rPr>
        <w:t>Section 2.5(g)</w:t>
      </w:r>
      <w:r>
        <w:rPr>
          <w:rFonts w:ascii="Arial" w:cs="Arial" w:eastAsia="Arial" w:hAnsi="Arial"/>
          <w:sz w:val="17"/>
          <w:szCs w:val="17"/>
          <w:color w:val="auto"/>
        </w:rPr>
        <w:t xml:space="preserve">, copies of the supplemented or amended prospectus contemplated by clause (ii) of </w:t>
      </w:r>
      <w:r>
        <w:rPr>
          <w:rFonts w:ascii="Arial" w:cs="Arial" w:eastAsia="Arial" w:hAnsi="Arial"/>
          <w:sz w:val="17"/>
          <w:szCs w:val="17"/>
          <w:u w:val="single" w:color="auto"/>
          <w:color w:val="auto"/>
        </w:rPr>
        <w:t>Section 2.5(g)</w:t>
      </w:r>
      <w:r>
        <w:rPr>
          <w:rFonts w:ascii="Arial" w:cs="Arial" w:eastAsia="Arial" w:hAnsi="Arial"/>
          <w:sz w:val="17"/>
          <w:szCs w:val="17"/>
          <w:color w:val="auto"/>
        </w:rPr>
        <w:t xml:space="preserve">. Each Selling Holder of Registrable Securities agrees that it will promptly notify the Company at any time when a prospectus relating to the registration of such Registrable Securities is required to be delivered under the Securities Act of the happening of an event as a result of which information previously furnished by such Selling Holder to the Company in writing for inclusion in such prospectus contains an untrue statement of a material fact or omits to state any material fact required to be stated therein or necessary to make the statements therein not misleading in light of the circumstances in which they were made. In the event the Company shall give such notice, the Company shall extend the period during which such registration statement shall be maintained effective (including the period referred to in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by the number of days during the period from and including the date of the giving of notice pursuant to </w:t>
      </w:r>
      <w:r>
        <w:rPr>
          <w:rFonts w:ascii="Arial" w:cs="Arial" w:eastAsia="Arial" w:hAnsi="Arial"/>
          <w:sz w:val="17"/>
          <w:szCs w:val="17"/>
          <w:u w:val="single" w:color="auto"/>
          <w:color w:val="auto"/>
        </w:rPr>
        <w:t>Section 2.5(g)</w:t>
      </w:r>
      <w:r>
        <w:rPr>
          <w:rFonts w:ascii="Arial" w:cs="Arial" w:eastAsia="Arial" w:hAnsi="Arial"/>
          <w:sz w:val="17"/>
          <w:szCs w:val="17"/>
          <w:color w:val="auto"/>
        </w:rPr>
        <w:t xml:space="preserve"> to the date when the Company shall provide written notice that such dispositions may be made and, in the case of clause (ii) of </w:t>
      </w:r>
      <w:r>
        <w:rPr>
          <w:rFonts w:ascii="Arial" w:cs="Arial" w:eastAsia="Arial" w:hAnsi="Arial"/>
          <w:sz w:val="17"/>
          <w:szCs w:val="17"/>
          <w:u w:val="single" w:color="auto"/>
          <w:color w:val="auto"/>
        </w:rPr>
        <w:t>Section 2.5(g)</w:t>
      </w:r>
      <w:r>
        <w:rPr>
          <w:rFonts w:ascii="Arial" w:cs="Arial" w:eastAsia="Arial" w:hAnsi="Arial"/>
          <w:sz w:val="17"/>
          <w:szCs w:val="17"/>
          <w:color w:val="auto"/>
        </w:rPr>
        <w:t xml:space="preserve">, make available to the Selling Holders of Registrable Securities covered by such registration statement a prospectus supplemented or amended to conform with the requirements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2.5(g)</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jc w:val="both"/>
        <w:ind w:firstLine="656"/>
        <w:spacing w:after="0" w:line="257" w:lineRule="auto"/>
        <w:tabs>
          <w:tab w:leader="none" w:pos="1542"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In the case of an underwritten offering, the Company will cooperate in all marketing efforts, including, without limitation, providing information and materials and causing senior executive officers of the Company to participate in meetings, customary “road show” presentations and/or investor conference calls to market the Registrable Securities that may be reasonably requested by the managing Underwriter or Underwriters in any such underwritten offering and otherwise to facilitate, cooperate with, and participate in each proposed offering contemplated herein and customary selling efforts related thereto.</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75"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 xml:space="preserve">With respect to any notice of a filing of or copies of a registration statement provided by the Company to a Holder prior to the filing of a registration statement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each of the Holders receiving such notice and information shall maintain the confidentiality until the Company’s public disclosure of and comply with applicable law with respect to any such information, including the Company’s intention to file the registration statement.</w:t>
      </w:r>
    </w:p>
    <w:p>
      <w:pPr>
        <w:spacing w:after="0" w:line="186" w:lineRule="exact"/>
        <w:rPr>
          <w:rFonts w:ascii="Arial" w:cs="Arial" w:eastAsia="Arial" w:hAnsi="Arial"/>
          <w:sz w:val="18"/>
          <w:szCs w:val="18"/>
          <w:color w:val="auto"/>
        </w:rPr>
      </w:pPr>
    </w:p>
    <w:p>
      <w:pPr>
        <w:ind w:firstLine="656"/>
        <w:spacing w:after="0" w:line="277" w:lineRule="auto"/>
        <w:tabs>
          <w:tab w:leader="none" w:pos="1380"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the Registrable Securities included in a registration statement no later than the effective date thereof.</w:t>
      </w:r>
    </w:p>
    <w:p>
      <w:pPr>
        <w:spacing w:after="0" w:line="170" w:lineRule="exact"/>
        <w:rPr>
          <w:rFonts w:ascii="Arial" w:cs="Arial" w:eastAsia="Arial" w:hAnsi="Arial"/>
          <w:sz w:val="18"/>
          <w:szCs w:val="18"/>
          <w:color w:val="auto"/>
        </w:rPr>
      </w:pPr>
    </w:p>
    <w:p>
      <w:pPr>
        <w:ind w:firstLine="656"/>
        <w:spacing w:after="0" w:line="277" w:lineRule="auto"/>
        <w:tabs>
          <w:tab w:leader="none" w:pos="1511" w:val="left"/>
        </w:tabs>
        <w:numPr>
          <w:ilvl w:val="0"/>
          <w:numId w:val="1211"/>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take all other steps necessary to effect the registration of Registrable Securities contemplated by this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In connection with any registration statement required to be filed hereunder, the Company shall pay the following registration expenses incurred in connection with the registration hereunder (the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regardless of whether such registration statement is declared effective by the Commission: (a) all registration and filing fees, and any other fees and expenses associated with filings required to be made with the SEC or FINRA, (b) fees and expenses of compliance with securities or blue sky laws (including reasonable fees and disbursements of counsel in connection with blue sky qualifications of the Registrable Securities), (c) all printing, duplicating, word processing, messenger, telephone, facsimile and delivery expenses (including expenses of printing certificates for the Registrable Securities in a form eligible for deposit with The Depository Trust Company and of printing prospectuses), (d) internal expenses (including, without limitation, all salaries and expenses of its officers and employees performing legal or accounting duties), (e) the fees and expenses incurred in connection with the listing of the Registrable Securities, (f) reasonable fees and disbursements of counsel for the Company and customary fees and expenses for independent certified public accountants retained by the Company (including the expenses of any comfort letters or costs associated with the delivery by independent certified public accountants of a comfort letter or comfort letters requested pursuant to </w:t>
      </w:r>
      <w:r>
        <w:rPr>
          <w:rFonts w:ascii="Arial" w:cs="Arial" w:eastAsia="Arial" w:hAnsi="Arial"/>
          <w:sz w:val="16"/>
          <w:szCs w:val="16"/>
          <w:u w:val="single" w:color="auto"/>
          <w:color w:val="auto"/>
        </w:rPr>
        <w:t>Section 2.5(h)</w:t>
      </w:r>
      <w:r>
        <w:rPr>
          <w:rFonts w:ascii="Arial" w:cs="Arial" w:eastAsia="Arial" w:hAnsi="Arial"/>
          <w:sz w:val="16"/>
          <w:szCs w:val="16"/>
          <w:color w:val="auto"/>
        </w:rPr>
        <w:t>), (g) the reasonable fees and expenses of any special experts retained by the Company in connection with such registration, (h) reasonable fees and disbursements of one (1) legal counsel plus any regulatory counsel and local or foreign counsel, as appropriate, for all Selling Holders participating in such registration, and (i) any reasonable fees and disbursements of the Underwriters, if any, customarily paid by issuers or sellers of securities. The Company shall have no obligation to pay any underwriting fees, discounts or commissions attributable to the sale of Registrable Securities or any transfer taxes relating to the registration or sale of the Registrable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9" w:name="page1150"/>
    <w:bookmarkEnd w:id="1149"/>
    <w:p>
      <w:pPr>
        <w:jc w:val="both"/>
        <w:ind w:firstLine="648"/>
        <w:spacing w:after="0" w:line="285"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Selling Holder of Registrable Securities, each member, limited partner or general partner thereof, each member, limited partner or general partner of each such member, limited or general partner, each of their respective Affiliates, officers, directors, stockholders, employees, advisors, and agents and each Person, if any, who controls such Persons within the meaning of Section 15 of the Securities Act or Section 20 of the Exchange Act and each of their respective Representatives from and against any and all losses, penalties, judgments, suits, costs, claims, damages, liabilities and expenses (including reasonable costs of investigation and legal expenses) (each, a “</w:t>
      </w:r>
      <w:r>
        <w:rPr>
          <w:rFonts w:ascii="Arial" w:cs="Arial" w:eastAsia="Arial" w:hAnsi="Arial"/>
          <w:sz w:val="16"/>
          <w:szCs w:val="16"/>
          <w:u w:val="single" w:color="auto"/>
          <w:color w:val="auto"/>
        </w:rPr>
        <w:t>Loss</w:t>
      </w:r>
      <w:r>
        <w:rPr>
          <w:rFonts w:ascii="Arial" w:cs="Arial" w:eastAsia="Arial" w:hAnsi="Arial"/>
          <w:sz w:val="16"/>
          <w:szCs w:val="16"/>
          <w:color w:val="auto"/>
        </w:rPr>
        <w:t>”, and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that arise out of or are based upon any untrue statement or alleged untrue statement of a material fact contained in any registration statement or prospectus relating to such Registrable Securities, or any amendment or supplement thereto, or any preliminary prospectus, or that arise out of or are based upon any omission or alleged omission to state therein a material fact required to be stated therein or necessary to make the statements therein, in light of the circumstances under which they were made, not misleading, except to the extent, but only to the extent that such Losses that arise out of or are based upon any such untrue statement or omission or alleged untrue statement or omission with respect to information relating to such Selling Holder included in reliance upon and in conformity with information furnished in writing to the Company by such Selling Holder or on such Selling Holder’s behalf expressly for inclusion in such registration statement, prospectus, amendment or supplement, as the case may be. This indemnity shall be in addition to any liability the Company may otherwise have. Such indemnity shall remain in full force and effect regardless of any investigation made by or on behalf of such Selling Holder or any Indemnified Party and shall survive the transfer of such securities by such Selling Holder. The Company also agrees to indemnify any Underwriters of the Registrable Securities, their officers and directors and each Person who controls such underwriters within the meaning of Section 15 of the Securities Act or Section 20 of the Exchange Act and each of their respective Representatives on substantially the same basis as that of the indemnification of the Selling Holders provided in this Section 2.7.</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xml:space="preserve">. Each Selling Holder agrees, severally but not jointly, to indemnify and hold harmless the Company, its officers, directors and agents and each Person, if any, who controls the Company within the meaning of either Section 15 of the Securities Act or Section 20 of the Exchange Act and each of their respective Representatives to the same extent as the foregoing indemnity from the Company to such Selling Holder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but only with respect to written information relating to such Selling Holder included in reliance upon and in conformity with information furnished in writing by such Selling Holder or on such Selling Holder’s behalf expressly for use in any registration statement or prospectus relating to the Registrable Securities of such Selling Holder, or any amendment or supplement thereto, or any preliminary prospectus. In case any action or proceeding shall be brought against the Company or its officers, directors or agents or any such controlling person, in respect of which indemnity may be sought against such Selling Holder, such Selling Holder shall have the rights and duties given to the Company, and the Company or its officers, directors or agents or such controlling person shall have the rights and duties given to such Selling Holder, by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Notwithstanding the foregoing, in no event will the liability of a Selling Holder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otherwise hereunder exceed the net proceeds actually received by such Selling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50" w:name="page1151"/>
    <w:bookmarkEnd w:id="1150"/>
    <w:p>
      <w:pPr>
        <w:jc w:val="both"/>
        <w:ind w:firstLine="648"/>
        <w:spacing w:after="0" w:line="284"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In case any proceeding (including any governmental investigation) shall be instituted involving any Person in respect of which indemnity may be sought pursuant to </w:t>
      </w:r>
      <w:r>
        <w:rPr>
          <w:rFonts w:ascii="Arial" w:cs="Arial" w:eastAsia="Arial" w:hAnsi="Arial"/>
          <w:sz w:val="16"/>
          <w:szCs w:val="16"/>
          <w:u w:val="single" w:color="auto"/>
          <w:color w:val="auto"/>
        </w:rPr>
        <w:t>Sections 2.7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2.8</w:t>
      </w:r>
      <w:r>
        <w:rPr>
          <w:rFonts w:ascii="Arial" w:cs="Arial" w:eastAsia="Arial" w:hAnsi="Arial"/>
          <w:sz w:val="16"/>
          <w:szCs w:val="16"/>
          <w:color w:val="auto"/>
        </w:rPr>
        <w:t>, such Person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to give such notice will not relieve such Indemnifying Party of its obligations under </w:t>
      </w:r>
      <w:r>
        <w:rPr>
          <w:rFonts w:ascii="Arial" w:cs="Arial" w:eastAsia="Arial" w:hAnsi="Arial"/>
          <w:sz w:val="16"/>
          <w:szCs w:val="16"/>
          <w:u w:val="single" w:color="auto"/>
          <w:color w:val="auto"/>
        </w:rPr>
        <w:t>Sections 2.7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as applicable, except to the extent such Indemnifying Party is materially prejudiced by such failure. In any such proceeding, any Indemnified Party shall have the right to retain its own counsel, but the fees and expenses of such counsel shall be at the expense of such Indemnified Party unless (a) the Indemnifying Party and the Indemnified Party shall have mutually agreed to the retention of such counsel or (b) the named parties to any such proceeding (including any impleaded parties) include both the Indemnified Party and the Indemnifying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of attorneys (in addition to any local counsel) at any time for all such Indemnified Parties relating to the same class of Ordinary Shares, and that all such fees and expenses shall be reimbursed as they are incurred. In the case of any such separate firm for the Indemnified Parties relating to the same class of Ordinary Shares, such firm shall be designated in writing by (i) in the case of Persons indemnified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Selling Holders which owned a majority of the Registrable Securities sold under the applicable registration statement and (ii) in the case of Persons indemnified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the Company. The Indemnifying Party shall not be liable for any settlement of any proceeding effected without its written consent, which consent shall not be unreasonably withheld, but if settled with such consent, or if there be a final judgment for the plaintiff, the Indemnifying Party shall indemnify and hold harmless such Indemnified Parties from and against any loss or liability (to the extent stated above) by reason of such settlement or judgment. No Indemnifying Party shall, without the prior written consent of the Indemnified Party (which consent shall not be unreasonably withheld, conditioned or delayed), effect any settlement of any pending or threatened proceeding in respect of with any Indemnified Party is or could have been a party and indemnity could have been sought hereunder by such Indemnified Party, unless such settlement includes an unconditional release of such Indemnified Party from all liability arising out of such proceeding without any admission of liability by such Indemnified Party.</w:t>
      </w:r>
    </w:p>
    <w:p>
      <w:pPr>
        <w:spacing w:after="0" w:line="39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w:t>
      </w:r>
      <w:r>
        <w:rPr>
          <w:rFonts w:ascii="Arial" w:cs="Arial" w:eastAsia="Arial" w:hAnsi="Arial"/>
          <w:sz w:val="16"/>
          <w:szCs w:val="16"/>
          <w:u w:val="single" w:color="auto"/>
          <w:color w:val="auto"/>
        </w:rPr>
        <w:t>Sections 2.7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is held by a court of competent jurisdiction to be unavailable to an Indemnified Party or insufficient in respect of any losses, claims, damages or liabilities referred to herein, then each such Indemnifying Party, in lieu of indemnifying such Indemnified Party, shall contribute to the amount paid or payable by such Indemnified Party as a result of such losses, claims, damages or liabilities (a) as between the Company and the Selling Holders on the one hand and the Underwriters on the other, in such proportion as is appropriate to reflect the relative benefits received by the Company and the Selling Holders on the one hand and the Underwriters on the other from the offering of the securities, or if such allocation is not permitted by applicable law, in such proportion as is appropriate to reflect not only the relative benefits but also the relative fault of the Company and the Selling Holders on the one hand and of the Underwriters on the other in connection with the statements or omissions which resulted in such losses, claims, damages or liabilities, as well as any other relevant equitable considerations and (b) between the Company on the one hand and each Selling Holder on the other, in such proportion as is appropriate to reflect the relative fault of the Company and of each Selling Holder in connection with such statements or omissions which resulted in such losses, claims, damages or liabilities, as well as any other relevant equitable considerations. The relative benefits received by the Company and the Selling Holders on the one hand and the Underwriters on the other shall be deemed to be in the same proportion as the total proceeds from the offering (net of underwriting discounts and commissions but before deducting expenses) received by the Company and the Selling Holders bear to the total underwriting discounts and commissions received by the Underwriters, in each case as set forth in the table on the cover page of the prospectus. The relative fault of the Company and the Selling Holders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and the Selling Holders or by the Underwriters. The relative fault of the Company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51" w:name="page1152"/>
    <w:bookmarkEnd w:id="1151"/>
    <w:p>
      <w:pPr>
        <w:jc w:val="both"/>
        <w:ind w:firstLine="648"/>
        <w:spacing w:after="0" w:line="268" w:lineRule="auto"/>
        <w:rPr>
          <w:sz w:val="20"/>
          <w:szCs w:val="20"/>
          <w:color w:val="auto"/>
        </w:rPr>
      </w:pPr>
      <w:r>
        <w:rPr>
          <w:rFonts w:ascii="Arial" w:cs="Arial" w:eastAsia="Arial" w:hAnsi="Arial"/>
          <w:sz w:val="17"/>
          <w:szCs w:val="17"/>
          <w:color w:val="auto"/>
        </w:rPr>
        <w:t xml:space="preserve">The Company and the Selling Holders agree that it would not be just and equitable if contribution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were determined by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allocation (even if the Underwriters were treated as one entity for such purpose) or by any other method of allocation which does not take account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and no Selling Holder shall be required to contribute any amount in excess of the amount by which the total price at which the securities of such Selling Holder were offered to the public exceeds the amount of any damages which such Selling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Selling Holder’s obligations to contribute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are several in such proportion that the proceeds of the offering received by such Selling Holder bears to the total proceeds of the offering received by all the Selling Holders, and not joint. For the avoidance of doubt,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applies in the case of a “shelf” registration and an underwritten offering.</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Participation in Underwritten Offerings</w:t>
      </w:r>
      <w:r>
        <w:rPr>
          <w:rFonts w:ascii="Arial" w:cs="Arial" w:eastAsia="Arial" w:hAnsi="Arial"/>
          <w:sz w:val="16"/>
          <w:szCs w:val="16"/>
          <w:color w:val="auto"/>
        </w:rPr>
        <w:t xml:space="preserve">. No Person may participate in any underwritten offering hereunder unless such Person (a) agrees to sell such Person’s securities on the basis provided in any underwriting arrangements approved by the Persons entitled hereunder to approve such arrangements and (b) completes and executes all customary questionnaires, powers of attorney, indemnities, underwriting agreements and other documents reasonably required under the terms of such customary underwriting arrangements and the registration rights provided for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Rules 144, 144A, 903 and 904; Other Exemptions</w:t>
      </w:r>
      <w:r>
        <w:rPr>
          <w:rFonts w:ascii="Arial" w:cs="Arial" w:eastAsia="Arial" w:hAnsi="Arial"/>
          <w:sz w:val="17"/>
          <w:szCs w:val="17"/>
          <w:color w:val="auto"/>
        </w:rPr>
        <w:t>. With a view to making available to the Holders of Registrable Securities the benefits of Rule 144 and Rule 144A and other rules and regulations of the Commission that may at any time permit a Holder of Registrable Securities to sell securities of the Company without registration, until such time as when no Registrable Securities remain outstanding, the Company covenants that it will file in a timely manner all reports and other documents required, if any, to be filed by it under the Securities Act and the Exchange Act and the rules and regulations adopted thereunder, and that it will take such further action as any Holder may reasonably request, to the extent required from time to time to enable such Holder to sell Registrable Securities without registration under the Securities Act within the limitation of the exemptions provided by (x) Section 4(a)(7) of the Securities Act and Rule 144, Rule 144A and Regulation S promulgated under the Securities Act (if available with respect to resales of the Registrable Securities), as such rules may be amended from time to time or (y) any other rules or regulations now existing or hereafter adopted by the Commission. Upon the reasonable request of any Holder of Registrable Securities, the Company will deliver to such Holder a written statement as to whether it has complied with such information requirements, and, if not, the specific reasons for non-compliance.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52" w:name="page1153"/>
    <w:bookmarkEnd w:id="1152"/>
    <w:p>
      <w:pPr>
        <w:ind w:left="6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Holdback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3" w:lineRule="auto"/>
        <w:tabs>
          <w:tab w:leader="none" w:pos="1428" w:val="left"/>
        </w:tabs>
        <w:numPr>
          <w:ilvl w:val="1"/>
          <w:numId w:val="1212"/>
        </w:numPr>
        <w:rPr>
          <w:rFonts w:ascii="Arial" w:cs="Arial" w:eastAsia="Arial" w:hAnsi="Arial"/>
          <w:sz w:val="16"/>
          <w:szCs w:val="16"/>
          <w:color w:val="auto"/>
        </w:rPr>
      </w:pPr>
      <w:r>
        <w:rPr>
          <w:rFonts w:ascii="Arial" w:cs="Arial" w:eastAsia="Arial" w:hAnsi="Arial"/>
          <w:sz w:val="16"/>
          <w:szCs w:val="16"/>
          <w:u w:val="single" w:color="auto"/>
          <w:color w:val="auto"/>
        </w:rPr>
        <w:t>Restrictions on Public Sale by Holder of Registrable Securities</w:t>
      </w:r>
      <w:r>
        <w:rPr>
          <w:rFonts w:ascii="Arial" w:cs="Arial" w:eastAsia="Arial" w:hAnsi="Arial"/>
          <w:sz w:val="16"/>
          <w:szCs w:val="16"/>
          <w:color w:val="auto"/>
        </w:rPr>
        <w:t>. To the extent not inconsistent with applicable law, in connection with any underwritten public offering, each Holder who is participating in such offering or who “beneficially owns” (as such term is defined under the Exchange act) five percent (5%) or more of the Ordinary Shares agrees not to effect any public sale or distribution of the Ordinary Shares being registered or a similar security of the Company, or any securities convertible into or exchangeable or exercisable for such securities, during the seven (7) days prior to, and during the sixty (60)-day period beginning on, the pricing date of such underwritten public offering (such period, the “</w:t>
      </w:r>
      <w:r>
        <w:rPr>
          <w:rFonts w:ascii="Arial" w:cs="Arial" w:eastAsia="Arial" w:hAnsi="Arial"/>
          <w:sz w:val="16"/>
          <w:szCs w:val="16"/>
          <w:u w:val="single" w:color="auto"/>
          <w:color w:val="auto"/>
        </w:rPr>
        <w:t>Lockup Period</w:t>
      </w:r>
      <w:r>
        <w:rPr>
          <w:rFonts w:ascii="Arial" w:cs="Arial" w:eastAsia="Arial" w:hAnsi="Arial"/>
          <w:sz w:val="16"/>
          <w:szCs w:val="16"/>
          <w:color w:val="auto"/>
        </w:rPr>
        <w:t xml:space="preserve">”) (except as part of such underwritten public offering), if and to the extent requested in writing by the managing Underwriter or Underwriters (such agreement to be in the form of lock-up agreement provided by the managing Underwriter or Underwriters);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Lockup Period is applicable on terms that are customary and substantially similar to those applicable to the Company and the executive officers and directors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restrictions set forth in this Section 2.13 shall not apply to (x) any Holder who does not have the right to participate in such offering, (y) any Holder whose Registrable Securities are not included in such offering after such Holder makes a request to participate in such offering in accordance with the terms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w:t>
      </w:r>
    </w:p>
    <w:p>
      <w:pPr>
        <w:spacing w:after="0" w:line="5" w:lineRule="exact"/>
        <w:rPr>
          <w:rFonts w:ascii="Arial" w:cs="Arial" w:eastAsia="Arial" w:hAnsi="Arial"/>
          <w:sz w:val="16"/>
          <w:szCs w:val="16"/>
          <w:color w:val="auto"/>
        </w:rPr>
      </w:pPr>
    </w:p>
    <w:p>
      <w:pPr>
        <w:jc w:val="both"/>
        <w:ind w:firstLine="8"/>
        <w:spacing w:after="0" w:line="252" w:lineRule="auto"/>
        <w:tabs>
          <w:tab w:leader="none" w:pos="273" w:val="left"/>
        </w:tabs>
        <w:numPr>
          <w:ilvl w:val="0"/>
          <w:numId w:val="1213"/>
        </w:numPr>
        <w:rPr>
          <w:rFonts w:ascii="Arial" w:cs="Arial" w:eastAsia="Arial" w:hAnsi="Arial"/>
          <w:sz w:val="18"/>
          <w:szCs w:val="18"/>
          <w:color w:val="auto"/>
        </w:rPr>
      </w:pPr>
      <w:r>
        <w:rPr>
          <w:rFonts w:ascii="Arial" w:cs="Arial" w:eastAsia="Arial" w:hAnsi="Arial"/>
          <w:sz w:val="18"/>
          <w:szCs w:val="18"/>
          <w:color w:val="auto"/>
        </w:rPr>
        <w:t xml:space="preserve">any Registrable Securities that are included in such offering by such Holder;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nothing herein will prevent any Holder that is a partnership or corporation from making a distribution of Registrable Securities to the partners, stockholders or beneficial owners thereof or a transfer to an Affiliate that is otherwise in compliance with applicable securities laws, so long as such distributees or transferees agree to be bound by the restrictions set forth in this </w:t>
      </w:r>
      <w:r>
        <w:rPr>
          <w:rFonts w:ascii="Arial" w:cs="Arial" w:eastAsia="Arial" w:hAnsi="Arial"/>
          <w:sz w:val="18"/>
          <w:szCs w:val="18"/>
          <w:u w:val="single" w:color="auto"/>
          <w:color w:val="auto"/>
        </w:rPr>
        <w:t>Section 2.13(a)</w:t>
      </w:r>
      <w:r>
        <w:rPr>
          <w:rFonts w:ascii="Arial" w:cs="Arial" w:eastAsia="Arial" w:hAnsi="Arial"/>
          <w:sz w:val="18"/>
          <w:szCs w:val="18"/>
          <w:color w:val="auto"/>
        </w:rPr>
        <w:t>. Each Holder shall receive the benefit of any shorter Lockup Period or permitted exceptions (on a pro rata basis) agreed to by the managing Underwriter or Underwriters irrespective of whether such Holder participated in the underwritten public offering. This Section 2.13(a) will no longer apply to a Holder once such Holder ceases to hold Registrable Securities.</w:t>
      </w:r>
    </w:p>
    <w:p>
      <w:pPr>
        <w:spacing w:after="0" w:line="194" w:lineRule="exact"/>
        <w:rPr>
          <w:rFonts w:ascii="Arial" w:cs="Arial" w:eastAsia="Arial" w:hAnsi="Arial"/>
          <w:sz w:val="18"/>
          <w:szCs w:val="18"/>
          <w:color w:val="auto"/>
        </w:rPr>
      </w:pPr>
    </w:p>
    <w:p>
      <w:pPr>
        <w:jc w:val="both"/>
        <w:ind w:firstLine="656"/>
        <w:spacing w:after="0" w:line="270" w:lineRule="auto"/>
        <w:tabs>
          <w:tab w:leader="none" w:pos="1601" w:val="left"/>
        </w:tabs>
        <w:numPr>
          <w:ilvl w:val="1"/>
          <w:numId w:val="1213"/>
        </w:numPr>
        <w:rPr>
          <w:rFonts w:ascii="Arial" w:cs="Arial" w:eastAsia="Arial" w:hAnsi="Arial"/>
          <w:sz w:val="17"/>
          <w:szCs w:val="17"/>
          <w:color w:val="auto"/>
        </w:rPr>
      </w:pPr>
      <w:r>
        <w:rPr>
          <w:rFonts w:ascii="Arial" w:cs="Arial" w:eastAsia="Arial" w:hAnsi="Arial"/>
          <w:sz w:val="17"/>
          <w:szCs w:val="17"/>
          <w:u w:val="single" w:color="auto"/>
          <w:color w:val="auto"/>
        </w:rPr>
        <w:t>Restrictions on Public Sale by the Company and Others</w:t>
      </w:r>
      <w:r>
        <w:rPr>
          <w:rFonts w:ascii="Arial" w:cs="Arial" w:eastAsia="Arial" w:hAnsi="Arial"/>
          <w:sz w:val="17"/>
          <w:szCs w:val="17"/>
          <w:color w:val="auto"/>
        </w:rPr>
        <w:t xml:space="preserve">. The Company agrees that any agreement entered into after the date of this Agreement pursuant to which the Company issues or agrees to issue any privately placed securities shall contain a provision under which holders of such securities agree not to effect any sale or distribution of any securities of the same class or convertible into securities of the same class as those being sold in connection with an underwritten public offering in accordance with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or any securities convertible into or exchangeable or exercisable for such securities, during the seven (7) days prior to, and during the 90-day period beginning on, the pricing date of such underwritten public offering (except as part of such underwritten public offering where the Holders of a majority of the Registrable Securities to be included in such underwritten public offering consent or as part of registration statements filed as set forth in </w:t>
      </w:r>
      <w:r>
        <w:rPr>
          <w:rFonts w:ascii="Arial" w:cs="Arial" w:eastAsia="Arial" w:hAnsi="Arial"/>
          <w:sz w:val="17"/>
          <w:szCs w:val="17"/>
          <w:u w:val="single" w:color="auto"/>
          <w:color w:val="auto"/>
        </w:rPr>
        <w:t>Sections 2.2(a)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if and to the extent requested in writing by the managing Underwriter or Underwriters (such agreement to be in the form of lock-up agreement provided by the managing Underwriter or Underwriters), in each case including a sale pursuant to Rule 144 (except as part of any such registration, if permitted);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of this paragraph (b) shall not prevent the conversion or exchange of any securities pursuant to their terms into or for other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3" w:name="page1154"/>
    <w:bookmarkEnd w:id="1153"/>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Company shall use its commercially reasonable efforts to cause any Registrable Securities to be listed on a Stock Exchange.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In addition to being entitled to exercise all rights provided herein and granted by law, including recovery of damages, the Holders shall be entitled to specific performance of the rights under this Agreement. The Company agrees that monetary damages would not be adequate compensation for any loss incurred by reason of a breach by it of the provisions of this Agreement and hereby agrees to waive the defense in any action for specific performance that a remedy at law would be adequate. Notwithstanding the foregoing, specific performance shall not be available with respect to the rights and obligations of the parties pursuant to </w:t>
      </w:r>
      <w:r>
        <w:rPr>
          <w:rFonts w:ascii="Arial" w:cs="Arial" w:eastAsia="Arial" w:hAnsi="Arial"/>
          <w:sz w:val="18"/>
          <w:szCs w:val="18"/>
          <w:u w:val="single" w:color="auto"/>
          <w:color w:val="auto"/>
        </w:rPr>
        <w:t>Sections 2.14(a)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In the event that a given Holder ceases to “beneficially own” (as such term is defined under the Exchange act) one percent (1%) or more of the Ordinary Shares, all of such Holder’s rights and obligations under this Agreement shall expire and such Holder will cease to be a “Holder” for all purposes hereunder without any further action of the Company or any other party hereto. This Agreement shall terminate upon the earlier of December 13, 2023 and such time as there are no Registrable Securities outstanding.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in each case without the written consent of the Company and the Holders of a majority of the Registrable Securities. No failure or delay by any party to insist upon the strict performance of any covenant, duty, agreement or condition of this Agreement or to exercise any right or remedy consequent upon any breach thereof shall constitute waiver of any such breach or any other covenant, duty, agreement or condition.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hereunder to any party hereto shall be deemed to be sufficient if contained in a written instrument delivered in person or sent by facsimile, electronic mail, nationally recognized overnight courier, or first class registered or certified mail, return receipt requested, postage prepaid, addressed to such party at the address set forth below:</w:t>
      </w:r>
    </w:p>
    <w:p>
      <w:pPr>
        <w:spacing w:after="0" w:line="181" w:lineRule="exact"/>
        <w:rPr>
          <w:sz w:val="20"/>
          <w:szCs w:val="20"/>
          <w:color w:val="auto"/>
        </w:rPr>
      </w:pPr>
    </w:p>
    <w:p>
      <w:pPr>
        <w:ind w:firstLine="656"/>
        <w:spacing w:after="0" w:line="277" w:lineRule="auto"/>
        <w:tabs>
          <w:tab w:leader="none" w:pos="1356" w:val="left"/>
        </w:tabs>
        <w:numPr>
          <w:ilvl w:val="0"/>
          <w:numId w:val="1214"/>
        </w:numPr>
        <w:rPr>
          <w:rFonts w:ascii="Arial" w:cs="Arial" w:eastAsia="Arial" w:hAnsi="Arial"/>
          <w:sz w:val="18"/>
          <w:szCs w:val="18"/>
          <w:color w:val="auto"/>
        </w:rPr>
      </w:pPr>
      <w:r>
        <w:rPr>
          <w:rFonts w:ascii="Arial" w:cs="Arial" w:eastAsia="Arial" w:hAnsi="Arial"/>
          <w:sz w:val="18"/>
          <w:szCs w:val="18"/>
          <w:color w:val="auto"/>
        </w:rPr>
        <w:t xml:space="preserve">if to a Holder, initially to the address, email and facsimile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opposite such Holder’s name or to such other address and to such other Persons as such Holder may hereafter specify in writing; and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21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Christina Ibrahim, EVP, General Counsel &amp; Chief Compliance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(713) 836-4000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pursuant to a sale of Ordinary Shares and except as expressly provided in this Agreement, the rights and obligations of the Holders under this Agreement shall not be assignable by any Holder to any Person that is not a Holder (including any Person that becomes a Holder by means of purchase of Ordinary Shares from a Holder as of the date hereof). All rights hereunder shall be assignable in connection with a transfer of Registrable Securities. This Agreement shall be binding upon the parties hereto and their respective successors, assigns and transferees.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4" w:name="page1155"/>
    <w:bookmarkEnd w:id="1154"/>
    <w:p>
      <w:pPr>
        <w:jc w:val="both"/>
        <w:ind w:firstLine="648"/>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and separate counterparts, each of which when so executed and delivered, shall be deemed an original, and all of which, when taken together, shall constitute one and the same instrument. Delivery of an executed counterpart of a signature page to this Agreement by electronic means shall be effective as delivery of a manually executed counterpart of this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Choice of Laws; Submission to Jurisdiction; Waiver of Jury Trial</w:t>
      </w:r>
      <w:r>
        <w:rPr>
          <w:rFonts w:ascii="Arial" w:cs="Arial" w:eastAsia="Arial" w:hAnsi="Arial"/>
          <w:sz w:val="18"/>
          <w:szCs w:val="18"/>
          <w:color w:val="auto"/>
        </w:rPr>
        <w:t>. The validity of this Agreement, the construction, interpretation, and enforcement hereof, and the rights of the parties hereto with respect to all matters arising hereunder or related hereto shall be determined under, governed by, and construed and enforced in accordance with the internal laws of the State of New York without regard to any conflicts of laws principles (but including and giving effect to Sections 5-1401 and 5-1402 of the New York General Obligations Law) that would result in the application of the law of another jurisdiction. Each party to this Agreement agrees that, in connection with any legal suit or proceeding arising with respect to this Agreement, it shall submit to the non-exclusive jurisdiction of the United States District Court for the Southern District of New York or the applicable New York state court located in New York County and agrees to venue in such courts. EACH OF THE PARTIES HERETO HEREBY IRREVOCABLY WAIVES ANY AND ALL RIGHT TO TRIAL BY JURY IN ANY LEGAL PROCEEDING ARISING OUT OF OR RELATED TO THIS AGREEMENT OR THE TRANSACTIONS CONTEMPLATED HEREBY.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Securities. This Agreement supersedes all prior agreements and understandings between the parties with respect to such subject matter.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of this Agreement are for convenience of reference only and shall not, for any purpose, be deemed to be part of this Agreement or otherwise affect the interpretation of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Nothing express or implied herein is intended or shall be construed to confer upon any person or entity, other than the parties hereto and their respective successors and assigns and all Indemnified Parties, any rights, remedies or other benefits under or by reason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5" w:name="page1156"/>
    <w:bookmarkEnd w:id="1155"/>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WEATHERFORD INTERNATIONAL PLC</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Stuart Fraser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-130810</wp:posOffset>
            </wp:positionV>
            <wp:extent cx="3456305"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320"/>
        <w:spacing w:after="0"/>
        <w:tabs>
          <w:tab w:leader="none" w:pos="58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156" w:name="page1157"/>
    <w:bookmarkEnd w:id="1156"/>
    <w:p>
      <w:pPr>
        <w:jc w:val="center"/>
        <w:spacing w:after="0"/>
        <w:rPr>
          <w:sz w:val="20"/>
          <w:szCs w:val="20"/>
          <w:color w:val="auto"/>
        </w:rPr>
      </w:pPr>
      <w:r>
        <w:rPr>
          <w:rFonts w:ascii="Arial" w:cs="Arial" w:eastAsia="Arial" w:hAnsi="Arial"/>
          <w:sz w:val="16"/>
          <w:szCs w:val="16"/>
          <w:color w:val="auto"/>
        </w:rPr>
        <w:t>[Noteholder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157" w:name="page1158"/>
    <w:bookmarkEnd w:id="115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AND QUESTIONNAIRE</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beneficial holder of shares of Ordinary Shares, par value $0.001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Weatherford International plc (the “</w:t>
      </w:r>
      <w:r>
        <w:rPr>
          <w:rFonts w:ascii="Arial" w:cs="Arial" w:eastAsia="Arial" w:hAnsi="Arial"/>
          <w:sz w:val="17"/>
          <w:szCs w:val="17"/>
          <w:u w:val="single" w:color="auto"/>
          <w:color w:val="auto"/>
        </w:rPr>
        <w:t>Company</w:t>
      </w:r>
      <w:r>
        <w:rPr>
          <w:rFonts w:ascii="Arial" w:cs="Arial" w:eastAsia="Arial" w:hAnsi="Arial"/>
          <w:sz w:val="17"/>
          <w:szCs w:val="17"/>
          <w:color w:val="auto"/>
        </w:rPr>
        <w:t>”), understands that the Company has filed or intends to file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one or more registration statements, including registration statements on Form S-1 and Form S-3, as applicable (collectively, the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for the registration and resale under Rule 415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the Registrable Securities in accordance with the terms of the Registration Rights Agreement, dated December 13, 2019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among the Company and the holders party thereto.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Each beneficial owner of Registrable Securities is entitled to the benefits of the Registration Rights Agreement. In order to sell or otherwise dispose of any Registrable Securities pursuant to the Shelf Registration Statement, a beneficial owner of Registrable Securities generally will be required to be named as a selling security holder in the related prospectus, deliver a prospectus to purchasers of Registrable Securities and be bound by those provisions of the Registration Rights Agreement applicable to such beneficial owner (including certain indemnification provisions as described below). </w:t>
      </w:r>
      <w:r>
        <w:rPr>
          <w:rFonts w:ascii="Arial" w:cs="Arial" w:eastAsia="Arial" w:hAnsi="Arial"/>
          <w:sz w:val="16"/>
          <w:szCs w:val="16"/>
          <w:b w:val="1"/>
          <w:bCs w:val="1"/>
          <w:color w:val="auto"/>
        </w:rPr>
        <w:t>To be included in the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Shelf Registration Statement, this Notice and Questionnaire must be completed, executed and delivered to the Company at the address set forth herein on or prior to the tenth business day before the effectiveness of the Shelf Registration Statement</w:t>
      </w:r>
      <w:r>
        <w:rPr>
          <w:rFonts w:ascii="Arial" w:cs="Arial" w:eastAsia="Arial" w:hAnsi="Arial"/>
          <w:sz w:val="17"/>
          <w:szCs w:val="17"/>
          <w:color w:val="auto"/>
        </w:rPr>
        <w:t>. We will give notice of the filing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effectiveness of the initial Shelf Registration Statement by mailing a notice to the holders at their addresses set forth in the register of the registrar.</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Beneficial owners that do not complete this Notice and Questionnaire and deliver it to the Company as provided below will not be named as selling security holders in the prospectus and therefore will not be permitted to sell any Registrable Securities pursuant to the Shelf Registration Statement. Beneficial owners are encouraged to complete and deliver this Notice and Questionnaire prior to the effectiveness of the initial Shelf Registration Statement so that such beneficial owners may be named as selling security holders in the related prospectus at the time of effectiveness. Upon receipt of a completed Notice and Questionnaire from a beneficial owner following the effectiveness of the initial Shelf Registration Statement, in accordance with the Registration Rights Agreement, the Company will file such amendments to the initial Shelf Registration Statement or additional shelf registration statements or supplements to the related prospectus as are necessary to permit such holder to deliver such prospectus to purchasers of Registrable Securities.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legal consequences arise from being named as selling security holders in the Shelf Registration Statement and the related prospectus. Accordingly, holders and beneficial owners of Registrable Securities are advised to consult their own securities law counsel regarding the consequences of being named or not being named as a selling security holder in the Shelf Registration Statement and the related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8" w:name="page1159"/>
    <w:bookmarkEnd w:id="1158"/>
    <w:p>
      <w:pPr>
        <w:jc w:val="center"/>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Security Holder</w:t>
      </w:r>
      <w:r>
        <w:rPr>
          <w:rFonts w:ascii="Arial" w:cs="Arial" w:eastAsia="Arial" w:hAnsi="Arial"/>
          <w:sz w:val="18"/>
          <w:szCs w:val="18"/>
          <w:color w:val="auto"/>
        </w:rPr>
        <w:t>”) of Registrable Securities hereby elects to include in the prospectus forming a part of the Shelf Registration Statement the Registrable Securities beneficially owned by it and listed below in Item 3 (unless otherwise specified under Item 3). The undersigned, by signing and returning this Notice and Questionnaire, understands that it will be bound by the terms and conditions of this Notice and Questionnaire and the Registration Rights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Registration Rights Agreement, the undersigned has agreed to indemnify and hold harmless the Company and its directors, officers and each person, if any, who controls the Company within the meaning of either Section 15 of the Securities Act or Section 20 of the Exchange Act, from and against certain losses arising in connection with statements concerning the undersigned made in the Shelf Registration Statement or the related prospectus in reliance upon the information provided in this Notice and Questionnaire.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hereby provides the following information to the Company and represents and warrants to the Company that such information is accurate and complete: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QUESTIONNAIRE</w:t>
      </w:r>
    </w:p>
    <w:p>
      <w:pPr>
        <w:spacing w:after="0" w:line="229" w:lineRule="exact"/>
        <w:rPr>
          <w:sz w:val="20"/>
          <w:szCs w:val="20"/>
          <w:color w:val="auto"/>
        </w:rPr>
      </w:pPr>
    </w:p>
    <w:p>
      <w:pPr>
        <w:ind w:left="640" w:hanging="632"/>
        <w:spacing w:after="0"/>
        <w:tabs>
          <w:tab w:leader="none" w:pos="64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(a) Full Legal Name of Selling Security Holder: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215"/>
        </w:numPr>
        <w:rPr>
          <w:rFonts w:ascii="Arial" w:cs="Arial" w:eastAsia="Arial" w:hAnsi="Arial"/>
          <w:sz w:val="17"/>
          <w:szCs w:val="17"/>
          <w:color w:val="auto"/>
        </w:rPr>
      </w:pPr>
      <w:r>
        <w:rPr>
          <w:rFonts w:ascii="Arial" w:cs="Arial" w:eastAsia="Arial" w:hAnsi="Arial"/>
          <w:sz w:val="17"/>
          <w:szCs w:val="17"/>
          <w:color w:val="auto"/>
        </w:rPr>
        <w:t>Full Legal Name of registered holder (if not the same as (a) above) through which Registrable Securities listed in Item (3) below are held:</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1"/>
          <w:numId w:val="1215"/>
        </w:numPr>
        <w:rPr>
          <w:rFonts w:ascii="Arial" w:cs="Arial" w:eastAsia="Arial" w:hAnsi="Arial"/>
          <w:sz w:val="16"/>
          <w:szCs w:val="16"/>
          <w:color w:val="auto"/>
        </w:rPr>
      </w:pPr>
      <w:r>
        <w:rPr>
          <w:rFonts w:ascii="Arial" w:cs="Arial" w:eastAsia="Arial" w:hAnsi="Arial"/>
          <w:sz w:val="16"/>
          <w:szCs w:val="16"/>
          <w:color w:val="auto"/>
        </w:rPr>
        <w:t>Full Legal Name of DTC Participant (if applicable and if not the same as (b) above) through which Registrable Securities listed in Item (3) below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held:</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1"/>
          <w:numId w:val="1215"/>
        </w:numPr>
        <w:rPr>
          <w:rFonts w:ascii="Arial" w:cs="Arial" w:eastAsia="Arial" w:hAnsi="Arial"/>
          <w:sz w:val="16"/>
          <w:szCs w:val="16"/>
          <w:color w:val="auto"/>
        </w:rPr>
      </w:pPr>
      <w:r>
        <w:rPr>
          <w:rFonts w:ascii="Arial" w:cs="Arial" w:eastAsia="Arial" w:hAnsi="Arial"/>
          <w:sz w:val="16"/>
          <w:szCs w:val="16"/>
          <w:color w:val="auto"/>
        </w:rPr>
        <w:t>List below the individual or individuals who exercise voting and/or dispositive powers with respect to the Registrable Securities listed in Item (3)</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0" w:lineRule="exact"/>
        <w:rPr>
          <w:rFonts w:ascii="Arial" w:cs="Arial" w:eastAsia="Arial" w:hAnsi="Arial"/>
          <w:sz w:val="16"/>
          <w:szCs w:val="16"/>
          <w:color w:val="auto"/>
        </w:rPr>
      </w:pPr>
    </w:p>
    <w:p>
      <w:pPr>
        <w:ind w:left="620" w:hanging="612"/>
        <w:spacing w:after="0"/>
        <w:tabs>
          <w:tab w:leader="none" w:pos="62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Address for Notices to Selling Security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Contact Person:</w:t>
      </w:r>
    </w:p>
    <w:p>
      <w:pPr>
        <w:spacing w:after="0" w:line="211" w:lineRule="exact"/>
        <w:rPr>
          <w:sz w:val="20"/>
          <w:szCs w:val="20"/>
          <w:color w:val="auto"/>
        </w:rPr>
      </w:pPr>
    </w:p>
    <w:p>
      <w:pPr>
        <w:ind w:left="640" w:hanging="632"/>
        <w:spacing w:after="0"/>
        <w:tabs>
          <w:tab w:leader="none" w:pos="640" w:val="left"/>
        </w:tabs>
        <w:numPr>
          <w:ilvl w:val="0"/>
          <w:numId w:val="1216"/>
        </w:numPr>
        <w:rPr>
          <w:rFonts w:ascii="Arial" w:cs="Arial" w:eastAsia="Arial" w:hAnsi="Arial"/>
          <w:sz w:val="18"/>
          <w:szCs w:val="18"/>
          <w:color w:val="auto"/>
        </w:rPr>
      </w:pPr>
      <w:r>
        <w:rPr>
          <w:rFonts w:ascii="Arial" w:cs="Arial" w:eastAsia="Arial" w:hAnsi="Arial"/>
          <w:sz w:val="18"/>
          <w:szCs w:val="18"/>
          <w:color w:val="auto"/>
        </w:rPr>
        <w:t>Beneficial Ownership of Registrable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Type of Registrable Securities beneficially owned, and number of shares of Ordinary Shares beneficially owned:</w:t>
      </w:r>
    </w:p>
    <w:p>
      <w:pPr>
        <w:spacing w:after="0" w:line="225" w:lineRule="exact"/>
        <w:rPr>
          <w:sz w:val="20"/>
          <w:szCs w:val="20"/>
          <w:color w:val="auto"/>
        </w:rPr>
      </w:pPr>
    </w:p>
    <w:p>
      <w:pPr>
        <w:ind w:left="640" w:hanging="632"/>
        <w:spacing w:after="0"/>
        <w:tabs>
          <w:tab w:leader="none" w:pos="640" w:val="left"/>
        </w:tabs>
        <w:numPr>
          <w:ilvl w:val="0"/>
          <w:numId w:val="1217"/>
        </w:numPr>
        <w:rPr>
          <w:rFonts w:ascii="Arial" w:cs="Arial" w:eastAsia="Arial" w:hAnsi="Arial"/>
          <w:sz w:val="18"/>
          <w:szCs w:val="18"/>
          <w:color w:val="auto"/>
        </w:rPr>
      </w:pPr>
      <w:r>
        <w:rPr>
          <w:rFonts w:ascii="Arial" w:cs="Arial" w:eastAsia="Arial" w:hAnsi="Arial"/>
          <w:sz w:val="18"/>
          <w:szCs w:val="18"/>
          <w:color w:val="auto"/>
        </w:rPr>
        <w:t>Beneficial Ownership of Securities of the Company Owned by the Selling Security Holder: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Except as set forth below in this Item (4), the undersigned is not the beneficial or registered owner of any </w:t>
      </w:r>
      <w:r>
        <w:rPr>
          <w:rFonts w:ascii="Arial" w:cs="Arial" w:eastAsia="Arial" w:hAnsi="Arial"/>
          <w:sz w:val="18"/>
          <w:szCs w:val="18"/>
          <w:color w:val="auto"/>
        </w:rPr>
        <w:t>securities of the Company,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listed above in Item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Type and amount of other securities beneficially owned by the Selling Security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9" w:name="page1160"/>
    <w:bookmarkEnd w:id="1159"/>
    <w:p>
      <w:pPr>
        <w:ind w:left="460" w:hanging="452"/>
        <w:spacing w:after="0"/>
        <w:tabs>
          <w:tab w:leader="none" w:pos="460" w:val="left"/>
        </w:tabs>
        <w:numPr>
          <w:ilvl w:val="0"/>
          <w:numId w:val="1218"/>
        </w:numPr>
        <w:rPr>
          <w:rFonts w:ascii="Arial" w:cs="Arial" w:eastAsia="Arial" w:hAnsi="Arial"/>
          <w:sz w:val="18"/>
          <w:szCs w:val="18"/>
          <w:color w:val="auto"/>
        </w:rPr>
      </w:pPr>
      <w:r>
        <w:rPr>
          <w:rFonts w:ascii="Arial" w:cs="Arial" w:eastAsia="Arial" w:hAnsi="Arial"/>
          <w:sz w:val="18"/>
          <w:szCs w:val="18"/>
          <w:color w:val="auto"/>
        </w:rPr>
        <w:t>Relationship with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forth below, neither the undersigned nor any of its affiliates, officers, directors or principal equity holders (5% or more) has held any position or office or has had any other material relationship with the Company (or its predecessors or affiliates) during the past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State any exceptions here:</w:t>
      </w:r>
    </w:p>
    <w:p>
      <w:pPr>
        <w:spacing w:after="0" w:line="225" w:lineRule="exact"/>
        <w:rPr>
          <w:sz w:val="20"/>
          <w:szCs w:val="20"/>
          <w:color w:val="auto"/>
        </w:rPr>
      </w:pPr>
    </w:p>
    <w:p>
      <w:pPr>
        <w:ind w:left="720" w:hanging="712"/>
        <w:spacing w:after="0"/>
        <w:tabs>
          <w:tab w:leader="none" w:pos="720" w:val="left"/>
        </w:tabs>
        <w:numPr>
          <w:ilvl w:val="0"/>
          <w:numId w:val="1219"/>
        </w:numPr>
        <w:rPr>
          <w:rFonts w:ascii="Arial" w:cs="Arial" w:eastAsia="Arial" w:hAnsi="Arial"/>
          <w:sz w:val="18"/>
          <w:szCs w:val="18"/>
          <w:color w:val="auto"/>
        </w:rPr>
      </w:pPr>
      <w:r>
        <w:rPr>
          <w:rFonts w:ascii="Arial" w:cs="Arial" w:eastAsia="Arial" w:hAnsi="Arial"/>
          <w:sz w:val="18"/>
          <w:szCs w:val="18"/>
          <w:color w:val="auto"/>
        </w:rPr>
        <w:t>Plan of Distribution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Except as set forth below, the undersigned (including its donees or pledgees) intends to distribute the Registrable Securities listed above in Item (3) pursuant to the Shelf Registration Statement only as follows and will not be offering any of such Registrable Securities pursuant to an agreement, arrangement or understanding entered into with a broker or dealer </w:t>
      </w:r>
      <w:r>
        <w:rPr>
          <w:rFonts w:ascii="Arial" w:cs="Arial" w:eastAsia="Arial" w:hAnsi="Arial"/>
          <w:sz w:val="16"/>
          <w:szCs w:val="16"/>
          <w:i w:val="1"/>
          <w:iCs w:val="1"/>
          <w:u w:val="single" w:color="auto"/>
          <w:color w:val="auto"/>
        </w:rPr>
        <w:t>prior to the effective date</w:t>
      </w:r>
      <w:r>
        <w:rPr>
          <w:rFonts w:ascii="Arial" w:cs="Arial" w:eastAsia="Arial" w:hAnsi="Arial"/>
          <w:sz w:val="16"/>
          <w:szCs w:val="16"/>
          <w:i w:val="1"/>
          <w:iCs w:val="1"/>
          <w:color w:val="auto"/>
        </w:rPr>
        <w:t xml:space="preserve"> of the Shelf Registration Statement. Such Registrable Securities may be sold from time to time directly by the undersigned or, alternatively, through underwriters or broker-dealers or agents. If the Registrable Securities are sold through underwriters or broker-dealers, the Selling Security Holder will be responsible for underwriting discounts or commissions or agent’s commissions.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w:t>
      </w:r>
    </w:p>
    <w:p>
      <w:pPr>
        <w:spacing w:after="0" w:line="167" w:lineRule="exact"/>
        <w:rPr>
          <w:sz w:val="20"/>
          <w:szCs w:val="20"/>
          <w:color w:val="auto"/>
        </w:rPr>
      </w:pPr>
    </w:p>
    <w:p>
      <w:pPr>
        <w:ind w:left="880" w:hanging="224"/>
        <w:spacing w:after="0"/>
        <w:tabs>
          <w:tab w:leader="none" w:pos="880" w:val="left"/>
        </w:tabs>
        <w:numPr>
          <w:ilvl w:val="0"/>
          <w:numId w:val="1220"/>
        </w:numPr>
        <w:rPr>
          <w:rFonts w:ascii="Arial" w:cs="Arial" w:eastAsia="Arial" w:hAnsi="Arial"/>
          <w:sz w:val="17"/>
          <w:szCs w:val="17"/>
          <w:color w:val="auto"/>
        </w:rPr>
      </w:pPr>
      <w:r>
        <w:rPr>
          <w:rFonts w:ascii="Arial" w:cs="Arial" w:eastAsia="Arial" w:hAnsi="Arial"/>
          <w:sz w:val="17"/>
          <w:szCs w:val="17"/>
          <w:color w:val="auto"/>
        </w:rPr>
        <w:t>on any national securities exchange or quotation service on which the Registrable Securities may be listed or quoted at the time of sale;</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22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2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 or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220"/>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sales of the Registrable Securities or otherwise, the undersigned may enter into hedging transactions with broker-dealers, which may in turn engage in short sales of the Registrable Securities and deliver Registrable Securities to close out such short positions, or loan or pledge Registrable Securities to broker-dealers that in turn may sell such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any exceptions here:</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Note: In no event may such method(s) of distribution take the form of an underwritten offering of the Registrable Securities without the prior written agreement of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acknowledges that it understands its obligation to comply with the provisions of the Securities Exchange Act of 1934, as amended, and the rules thereunder relating to stock manipulation, particularly Regulation M thereunder (or any successor rules or regulations), in connection with any offering of Registrable Securities pursuant to the Registration Rights Agreement. The undersigned agrees that neither it nor any person acting on its behalf will engage in any transaction in violation of such provisions.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Selling Security Holder hereby acknowledges its obligations under the Registration Rights Agreement to indemnify and hold harmless certain persons set forth therein. Pursuant to the Registration Rights Agreement, the Company has agreed under certain circumstances to indemnify the Selling Security Holders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60" w:name="page1161"/>
    <w:bookmarkEnd w:id="1160"/>
    <w:p>
      <w:pPr>
        <w:jc w:val="both"/>
        <w:ind w:firstLine="648"/>
        <w:spacing w:after="0" w:line="279" w:lineRule="auto"/>
        <w:rPr>
          <w:sz w:val="20"/>
          <w:szCs w:val="20"/>
          <w:color w:val="auto"/>
        </w:rPr>
      </w:pPr>
      <w:r>
        <w:rPr>
          <w:rFonts w:ascii="Arial" w:cs="Arial" w:eastAsia="Arial" w:hAnsi="Arial"/>
          <w:sz w:val="17"/>
          <w:szCs w:val="17"/>
          <w:color w:val="auto"/>
        </w:rPr>
        <w:t>In accordance with the undersigned’s obligation under the Registration Rights Agreement to provide such information as may be required by law for inclusion in the Shelf Registration Statement, the undersigned agrees to promptly notify the Company of any inaccuracies or changes in the information provided herein that may occur subsequent to the date hereof at any time while the Shelf Registration Statement remains effective. All notices hereunder and pursuant to the Registration Rights Agreement shall be made in writing at the address set forth below.</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that the undersigned transfers all or any portion of the Registrable Securities listed in Item 3 above after the date on which such information is provided to the Company, the undersigned agrees to notify the transferee(s) at the time of transfer of its rights and obligations under this Notice and Questionnaire and the Registration Rights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this Notice and Questionnaire, the undersigned consents to the disclosure of the information contained herein in its answers to Items (1) through (6) above and the inclusion of such information in the Shelf Registration Statement and the related prospectus. The undersigned understands that such information will be relied upon by the Company in connection with the preparation or amendment of the Shelf Registration Statement and the related prospectus.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Once this Notice and Questionnaire is executed by the Selling Security Holder and received by the Company, the terms of this Notice and Questionnaire and the representations and warranties contained herein shall be binding on, shall insure to the benefit of and shall be enforceable by the respective successors, heirs, personal representatives and assigns of the Company and the Selling Security Holder with respect to the Registrable Securities beneficially owned by such Selling Security Holder and listed in Item 3 above.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Notice and Questionnaire shall be governed by, and construed in accordance with, the laws of the State of New York.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Beneficial Owner</w:t>
            </w:r>
          </w:p>
        </w:tc>
      </w:tr>
      <w:tr>
        <w:trPr>
          <w:trHeight w:val="432"/>
        </w:trPr>
        <w:tc>
          <w:tcPr>
            <w:tcW w:w="56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4"/>
                <w:szCs w:val="24"/>
                <w:color w:val="auto"/>
              </w:rPr>
            </w:pPr>
          </w:p>
        </w:tc>
      </w:tr>
      <w:tr>
        <w:trPr>
          <w:trHeight w:val="182"/>
        </w:trPr>
        <w:tc>
          <w:tcPr>
            <w:tcW w:w="5620" w:type="dxa"/>
            <w:vAlign w:val="bottom"/>
          </w:tcPr>
          <w:p>
            <w:pPr>
              <w:spacing w:after="0"/>
              <w:rPr>
                <w:sz w:val="15"/>
                <w:szCs w:val="15"/>
                <w:color w:val="auto"/>
              </w:rPr>
            </w:pPr>
          </w:p>
        </w:tc>
        <w:tc>
          <w:tcPr>
            <w:tcW w:w="580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Name:</w:t>
            </w:r>
          </w:p>
        </w:tc>
      </w:tr>
      <w:tr>
        <w:trPr>
          <w:trHeight w:val="216"/>
        </w:trPr>
        <w:tc>
          <w:tcPr>
            <w:tcW w:w="5620" w:type="dxa"/>
            <w:vAlign w:val="bottom"/>
          </w:tcPr>
          <w:p>
            <w:pPr>
              <w:spacing w:after="0"/>
              <w:rPr>
                <w:sz w:val="18"/>
                <w:szCs w:val="18"/>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Title:</w:t>
            </w:r>
          </w:p>
        </w:tc>
      </w:tr>
      <w:tr>
        <w:trPr>
          <w:trHeight w:val="230"/>
        </w:trPr>
        <w:tc>
          <w:tcPr>
            <w:tcW w:w="5620" w:type="dxa"/>
            <w:vAlign w:val="bottom"/>
          </w:tcPr>
          <w:p>
            <w:pPr>
              <w:spacing w:after="0"/>
              <w:rPr>
                <w:sz w:val="20"/>
                <w:szCs w:val="20"/>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Dated:</w:t>
            </w: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w w:val="91"/>
              </w:rPr>
              <w:t>Please return the completed and executed Notice and Questionnaire to:</w:t>
            </w:r>
          </w:p>
        </w:tc>
        <w:tc>
          <w:tcPr>
            <w:tcW w:w="4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Weatherford International plc</w:t>
            </w: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Fax: (713) 836-5032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2000 St. James Place</w:t>
            </w: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E-mail: Christina.Ibrahim@Weatherford.com</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Houston, Texas 77056</w:t>
            </w: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4"/>
              </w:rPr>
              <w:t>Attn: Christina Ibrahim, EVP, General Counsel &amp; Chief Compliance Officer</w:t>
            </w:r>
          </w:p>
        </w:tc>
        <w:tc>
          <w:tcPr>
            <w:tcW w:w="4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Phone: (713) 836-4000</w:t>
            </w: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675"/>
        </w:trPr>
        <w:tc>
          <w:tcPr>
            <w:tcW w:w="5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61" w:name="page1162"/>
    <w:bookmarkEnd w:id="1161"/>
    <w:p>
      <w:pPr>
        <w:ind w:left="10440"/>
        <w:spacing w:after="0"/>
        <w:rPr>
          <w:sz w:val="20"/>
          <w:szCs w:val="20"/>
          <w:color w:val="auto"/>
        </w:rPr>
      </w:pPr>
      <w:r>
        <w:rPr>
          <w:rFonts w:ascii="Arial" w:cs="Arial" w:eastAsia="Arial" w:hAnsi="Arial"/>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CHANGE IN CONTROL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dated [____], 2019 and effective as of the Effective Date (as defined below)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that certain change in control</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agreement dated as of [___], 20[_] (the “</w:t>
      </w:r>
      <w:r>
        <w:rPr>
          <w:rFonts w:ascii="Arial" w:cs="Arial" w:eastAsia="Arial" w:hAnsi="Arial"/>
          <w:sz w:val="16"/>
          <w:szCs w:val="16"/>
          <w:u w:val="single" w:color="auto"/>
          <w:color w:val="auto"/>
        </w:rPr>
        <w:t>Change in Control Agreement</w:t>
      </w:r>
      <w:r>
        <w:rPr>
          <w:rFonts w:ascii="Arial" w:cs="Arial" w:eastAsia="Arial" w:hAnsi="Arial"/>
          <w:sz w:val="16"/>
          <w:szCs w:val="16"/>
          <w:color w:val="auto"/>
        </w:rPr>
        <w:t>”), by and between Weatherford International plc, an Irish public limited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individual signing as “Executive” on the signature page hereto (the “</w:t>
      </w:r>
      <w:r>
        <w:rPr>
          <w:rFonts w:ascii="Arial" w:cs="Arial" w:eastAsia="Arial" w:hAnsi="Arial"/>
          <w:sz w:val="16"/>
          <w:szCs w:val="16"/>
          <w:u w:val="single" w:color="auto"/>
          <w:color w:val="auto"/>
        </w:rPr>
        <w:t>Executive</w:t>
      </w:r>
      <w:r>
        <w:rPr>
          <w:rFonts w:ascii="Arial" w:cs="Arial" w:eastAsia="Arial" w:hAnsi="Arial"/>
          <w:sz w:val="16"/>
          <w:szCs w:val="16"/>
          <w:color w:val="auto"/>
        </w:rPr>
        <w:t>”), is made by and between the Executive and the Company. Capitalized terms used but not otherwise defined herein shall have the respective meanings ascribed to them in the Change in Control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14(f) and 14(h) of the Change in Control Agreement, the Change in Control Agreement may be amended at any time and from time to time, in writing, signed by the Executive and a duly authorized officer of the Company;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have agreed to amend the Change in Control Agreement as set forth herein;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BE IT RESOLVED, that, subject to the Chapter 11 Plan for the Company being consummated and the effective date occurring under such Chapter 11 Plan (such effective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the Change in Control Agreement is hereby amended as follows:</w:t>
      </w:r>
    </w:p>
    <w:p>
      <w:pPr>
        <w:spacing w:after="0" w:line="147" w:lineRule="exact"/>
        <w:rPr>
          <w:sz w:val="20"/>
          <w:szCs w:val="20"/>
          <w:color w:val="auto"/>
        </w:rPr>
      </w:pPr>
    </w:p>
    <w:p>
      <w:pPr>
        <w:ind w:right="20" w:firstLine="656"/>
        <w:spacing w:after="0" w:line="308" w:lineRule="auto"/>
        <w:tabs>
          <w:tab w:leader="none" w:pos="1121" w:val="left"/>
        </w:tabs>
        <w:numPr>
          <w:ilvl w:val="0"/>
          <w:numId w:val="1221"/>
        </w:numPr>
        <w:rPr>
          <w:rFonts w:ascii="Arial" w:cs="Arial" w:eastAsia="Arial" w:hAnsi="Arial"/>
          <w:sz w:val="17"/>
          <w:szCs w:val="17"/>
          <w:color w:val="auto"/>
        </w:rPr>
      </w:pPr>
      <w:r>
        <w:rPr>
          <w:rFonts w:ascii="Arial" w:cs="Arial" w:eastAsia="Arial" w:hAnsi="Arial"/>
          <w:sz w:val="17"/>
          <w:szCs w:val="17"/>
          <w:color w:val="auto"/>
        </w:rPr>
        <w:t>Section 1(x)(i) of the Change in Control Agreement is hereby amended by deleting the words “any material adverse change in duties or status as a result of the securities of the Company ceasing to be publicly traded or of the Company becoming a subsidiary of another entity, or”.</w:t>
      </w:r>
    </w:p>
    <w:p>
      <w:pPr>
        <w:spacing w:after="0" w:line="146" w:lineRule="exact"/>
        <w:rPr>
          <w:rFonts w:ascii="Arial" w:cs="Arial" w:eastAsia="Arial" w:hAnsi="Arial"/>
          <w:sz w:val="17"/>
          <w:szCs w:val="17"/>
          <w:color w:val="auto"/>
        </w:rPr>
      </w:pPr>
    </w:p>
    <w:p>
      <w:pPr>
        <w:ind w:firstLine="656"/>
        <w:spacing w:after="0" w:line="308" w:lineRule="auto"/>
        <w:tabs>
          <w:tab w:leader="none" w:pos="1196" w:val="left"/>
        </w:tabs>
        <w:numPr>
          <w:ilvl w:val="0"/>
          <w:numId w:val="1221"/>
        </w:numPr>
        <w:rPr>
          <w:rFonts w:ascii="Arial" w:cs="Arial" w:eastAsia="Arial" w:hAnsi="Arial"/>
          <w:sz w:val="17"/>
          <w:szCs w:val="17"/>
          <w:color w:val="auto"/>
        </w:rPr>
      </w:pPr>
      <w:r>
        <w:rPr>
          <w:rFonts w:ascii="Arial" w:cs="Arial" w:eastAsia="Arial" w:hAnsi="Arial"/>
          <w:sz w:val="17"/>
          <w:szCs w:val="17"/>
          <w:color w:val="auto"/>
        </w:rPr>
        <w:t>Section 1(x)(ii) of the Change in Control Agreement is hereby amended by replacing the language “compensation or benefits, inclusive of bonuses and equity awards” with “Total Annual Target Direct Compensation, as established by the Compensation Committee of the Board”.</w:t>
      </w:r>
    </w:p>
    <w:p>
      <w:pPr>
        <w:spacing w:after="0" w:line="146" w:lineRule="exact"/>
        <w:rPr>
          <w:rFonts w:ascii="Arial" w:cs="Arial" w:eastAsia="Arial" w:hAnsi="Arial"/>
          <w:sz w:val="17"/>
          <w:szCs w:val="17"/>
          <w:color w:val="auto"/>
        </w:rPr>
      </w:pPr>
    </w:p>
    <w:p>
      <w:pPr>
        <w:jc w:val="both"/>
        <w:ind w:firstLine="656"/>
        <w:spacing w:after="0" w:line="297" w:lineRule="auto"/>
        <w:tabs>
          <w:tab w:leader="none" w:pos="1199" w:val="left"/>
        </w:tabs>
        <w:numPr>
          <w:ilvl w:val="0"/>
          <w:numId w:val="1221"/>
        </w:numPr>
        <w:rPr>
          <w:rFonts w:ascii="Arial" w:cs="Arial" w:eastAsia="Arial" w:hAnsi="Arial"/>
          <w:sz w:val="16"/>
          <w:szCs w:val="16"/>
          <w:color w:val="auto"/>
        </w:rPr>
      </w:pPr>
      <w:r>
        <w:rPr>
          <w:rFonts w:ascii="Arial" w:cs="Arial" w:eastAsia="Arial" w:hAnsi="Arial"/>
          <w:sz w:val="16"/>
          <w:szCs w:val="16"/>
          <w:color w:val="auto"/>
        </w:rPr>
        <w:t>The term “Total Annual Target Direct Compensation” is hereby added as a new defined term in Section 1(pp), defined as: “the sum of (i) annual base salary, (ii) annual short-term incentive opportunity at target and (iii) annual long-term incentive opportunity at target; provided, however, that with respect to the 2019 fiscal year, Total Annual Target Direct Compensation shall be defined as the sum of (i) annual base salary, (ii) annual short-term incentive opportunity at target under the Company’s 2019 Executive Bonus Plan and (iii) any cash retention award paid pursuant to that certain retention award letter from the Company to the Executive, dated March 27, 2019”, and “Vesting Date” is hereby renumbered as Subsection 1(qq).</w:t>
      </w:r>
    </w:p>
    <w:p>
      <w:pPr>
        <w:spacing w:after="0" w:line="158" w:lineRule="exact"/>
        <w:rPr>
          <w:rFonts w:ascii="Arial" w:cs="Arial" w:eastAsia="Arial" w:hAnsi="Arial"/>
          <w:sz w:val="16"/>
          <w:szCs w:val="16"/>
          <w:color w:val="auto"/>
        </w:rPr>
      </w:pPr>
    </w:p>
    <w:p>
      <w:pPr>
        <w:jc w:val="both"/>
        <w:ind w:firstLine="656"/>
        <w:spacing w:after="0" w:line="257" w:lineRule="auto"/>
        <w:tabs>
          <w:tab w:leader="none" w:pos="1259"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Section 2(a)(ii) of the Change in Control Agreement is hereby amended by adding the following proviso at the end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subsequent Change in Control (other than a Change in Control in connection with a bankruptcy pursuant to Chapter 7 or Chapter 11 of the United States Bankruptcy Code) occurs during the two-year period beginning on the date of a previous Change in Control that shall have occurred in the time period set forth in clause (A) or (B) of this Section 2(a)(ii), the Term shall extend until the last day of the two-year period beginning on the date on which such subsequent Change in Control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2" w:name="page1163"/>
    <w:bookmarkEnd w:id="1162"/>
    <w:p>
      <w:pPr>
        <w:ind w:left="1160" w:hanging="504"/>
        <w:spacing w:after="0"/>
        <w:tabs>
          <w:tab w:leader="none" w:pos="1160" w:val="left"/>
        </w:tabs>
        <w:numPr>
          <w:ilvl w:val="0"/>
          <w:numId w:val="1222"/>
        </w:numPr>
        <w:rPr>
          <w:rFonts w:ascii="Arial" w:cs="Arial" w:eastAsia="Arial" w:hAnsi="Arial"/>
          <w:sz w:val="16"/>
          <w:szCs w:val="16"/>
          <w:color w:val="auto"/>
        </w:rPr>
      </w:pPr>
      <w:r>
        <w:rPr>
          <w:rFonts w:ascii="Arial" w:cs="Arial" w:eastAsia="Arial" w:hAnsi="Arial"/>
          <w:sz w:val="16"/>
          <w:szCs w:val="16"/>
          <w:color w:val="auto"/>
        </w:rPr>
        <w:t>Section 4(a)(iii) of the Change in Control Agreement is hereby amended by adding the following language immediately prior to the proviso</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therein: “excluding, for purposes of such calculation in this clause (B) the 2019 fiscal year and the Annual Bonus paid under the 2019 Executive Bonus Plan in respect of the 2019 fiscal year (whether paid in the 2019 fiscal year or the 2020 fiscal year).”</w:t>
      </w:r>
    </w:p>
    <w:p>
      <w:pPr>
        <w:spacing w:after="0" w:line="183" w:lineRule="exact"/>
        <w:rPr>
          <w:rFonts w:ascii="Arial" w:cs="Arial" w:eastAsia="Arial" w:hAnsi="Arial"/>
          <w:sz w:val="16"/>
          <w:szCs w:val="16"/>
          <w:color w:val="auto"/>
        </w:rPr>
      </w:pPr>
    </w:p>
    <w:p>
      <w:pPr>
        <w:jc w:val="both"/>
        <w:ind w:firstLine="656"/>
        <w:spacing w:after="0" w:line="264" w:lineRule="auto"/>
        <w:tabs>
          <w:tab w:leader="none" w:pos="1146" w:val="left"/>
        </w:tabs>
        <w:numPr>
          <w:ilvl w:val="0"/>
          <w:numId w:val="1222"/>
        </w:numPr>
        <w:rPr>
          <w:rFonts w:ascii="Arial" w:cs="Arial" w:eastAsia="Arial" w:hAnsi="Arial"/>
          <w:sz w:val="18"/>
          <w:szCs w:val="18"/>
          <w:color w:val="auto"/>
        </w:rPr>
      </w:pPr>
      <w:r>
        <w:rPr>
          <w:rFonts w:ascii="Arial" w:cs="Arial" w:eastAsia="Arial" w:hAnsi="Arial"/>
          <w:sz w:val="18"/>
          <w:szCs w:val="18"/>
          <w:color w:val="auto"/>
        </w:rPr>
        <w:t>Section 4(b) of the Change in Control Agreement is hereby amended by replacing the words “reduced by” with “without duplication of” and adding the following language at the end of such Section: “or otherwise, including, without limitation, amounts received and/or owing to Executive under the Company’s 2019 Executive Bonus Plan pursuant to the terms thereof without regard to this Agreement.”</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1222"/>
        </w:numPr>
        <w:rPr>
          <w:rFonts w:ascii="Arial" w:cs="Arial" w:eastAsia="Arial" w:hAnsi="Arial"/>
          <w:sz w:val="17"/>
          <w:szCs w:val="17"/>
          <w:color w:val="auto"/>
        </w:rPr>
      </w:pPr>
      <w:r>
        <w:rPr>
          <w:rFonts w:ascii="Arial" w:cs="Arial" w:eastAsia="Arial" w:hAnsi="Arial"/>
          <w:sz w:val="17"/>
          <w:szCs w:val="17"/>
          <w:color w:val="auto"/>
        </w:rPr>
        <w:t>Except as modified by the foregoing, the terms and conditions of the Change in Control Agreement shall remain in full force and effect.</w:t>
      </w:r>
    </w:p>
    <w:p>
      <w:pPr>
        <w:spacing w:after="0" w:line="236" w:lineRule="exact"/>
        <w:rPr>
          <w:rFonts w:ascii="Arial" w:cs="Arial" w:eastAsia="Arial" w:hAnsi="Arial"/>
          <w:sz w:val="17"/>
          <w:szCs w:val="17"/>
          <w:color w:val="auto"/>
        </w:rPr>
      </w:pPr>
    </w:p>
    <w:p>
      <w:pPr>
        <w:jc w:val="both"/>
        <w:ind w:firstLine="656"/>
        <w:spacing w:after="0" w:line="264" w:lineRule="auto"/>
        <w:tabs>
          <w:tab w:leader="none" w:pos="1257" w:val="left"/>
        </w:tabs>
        <w:numPr>
          <w:ilvl w:val="0"/>
          <w:numId w:val="1222"/>
        </w:numPr>
        <w:rPr>
          <w:rFonts w:ascii="Arial" w:cs="Arial" w:eastAsia="Arial" w:hAnsi="Arial"/>
          <w:sz w:val="18"/>
          <w:szCs w:val="18"/>
          <w:color w:val="auto"/>
        </w:rPr>
      </w:pPr>
      <w:r>
        <w:rPr>
          <w:rFonts w:ascii="Arial" w:cs="Arial" w:eastAsia="Arial" w:hAnsi="Arial"/>
          <w:sz w:val="18"/>
          <w:szCs w:val="18"/>
          <w:color w:val="auto"/>
        </w:rPr>
        <w:t>This Amendment may be executed by the parties hereto in counterparts, and all of such counterparts taken together shall be deemed to constitute one and the same instrument. The delivery of signed counterparts by electronic transmission (including email and .pdf) that includes a copy of the sending party’s signature is as effective as signing and delivering the counterpart in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3" w:name="page1164"/>
    <w:bookmarkEnd w:id="1163"/>
    <w:p>
      <w:pPr>
        <w:spacing w:after="0"/>
        <w:rPr>
          <w:sz w:val="20"/>
          <w:szCs w:val="20"/>
          <w:color w:val="auto"/>
        </w:rPr>
      </w:pPr>
      <w:r>
        <w:rPr>
          <w:rFonts w:ascii="Arial" w:cs="Arial" w:eastAsia="Arial" w:hAnsi="Arial"/>
          <w:sz w:val="16"/>
          <w:szCs w:val="16"/>
          <w:color w:val="auto"/>
        </w:rPr>
        <w:t>IN WITNESS WHEREOF, the parties hereto have executed this Amendment effective as of the Effective Date.</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6350</wp:posOffset>
            </wp:positionV>
            <wp:extent cx="3413125"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6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6350</wp:posOffset>
            </wp:positionV>
            <wp:extent cx="341312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6350</wp:posOffset>
            </wp:positionV>
            <wp:extent cx="331914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6350</wp:posOffset>
            </wp:positionV>
            <wp:extent cx="3378835"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[Signature Page to Amendment to Change in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461010</wp:posOffset>
            </wp:positionV>
            <wp:extent cx="724662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10" w:right="1440" w:bottom="1440" w:gutter="0" w:footer="0" w:header="0"/>
        </w:sectPr>
      </w:pPr>
    </w:p>
    <w:bookmarkStart w:id="1164" w:name="page1165"/>
    <w:bookmarkEnd w:id="1164"/>
    <w:p>
      <w:pPr>
        <w:jc w:val="right"/>
        <w:spacing w:after="0"/>
        <w:rPr>
          <w:sz w:val="20"/>
          <w:szCs w:val="20"/>
          <w:color w:val="auto"/>
        </w:rPr>
      </w:pPr>
      <w:r>
        <w:rPr>
          <w:rFonts w:ascii="Arial" w:cs="Arial" w:eastAsia="Arial" w:hAnsi="Arial"/>
          <w:sz w:val="22"/>
          <w:szCs w:val="22"/>
          <w:b w:val="1"/>
          <w:bCs w:val="1"/>
          <w:color w:val="auto"/>
        </w:rPr>
        <w:t>Exhibit 10.8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7" w:lineRule="exact"/>
        <w:rPr>
          <w:sz w:val="20"/>
          <w:szCs w:val="20"/>
          <w:color w:val="auto"/>
        </w:rPr>
      </w:pPr>
    </w:p>
    <w:p>
      <w:pPr>
        <w:ind w:left="640" w:hanging="632"/>
        <w:spacing w:after="0"/>
        <w:tabs>
          <w:tab w:leader="none" w:pos="640" w:val="left"/>
        </w:tabs>
        <w:numPr>
          <w:ilvl w:val="0"/>
          <w:numId w:val="1223"/>
        </w:numPr>
        <w:rPr>
          <w:rFonts w:ascii="Arial" w:cs="Arial" w:eastAsia="Arial" w:hAnsi="Arial"/>
          <w:sz w:val="18"/>
          <w:szCs w:val="18"/>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spacing w:after="0" w:line="183" w:lineRule="exact"/>
        <w:rPr>
          <w:sz w:val="20"/>
          <w:szCs w:val="20"/>
          <w:color w:val="auto"/>
        </w:rPr>
      </w:pPr>
    </w:p>
    <w:p>
      <w:pPr>
        <w:ind w:left="640" w:hanging="632"/>
        <w:spacing w:after="0"/>
        <w:tabs>
          <w:tab w:leader="none" w:pos="640" w:val="left"/>
        </w:tabs>
        <w:numPr>
          <w:ilvl w:val="0"/>
          <w:numId w:val="122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capitalized terms used in the Plan have the respective meanings set forth in this Section 2, unless the context clearly indicates otherwise. The singular pronoun shall include the plural where the context so indicates.</w:t>
      </w:r>
    </w:p>
    <w:p>
      <w:pPr>
        <w:spacing w:after="0" w:line="170" w:lineRule="exact"/>
        <w:rPr>
          <w:sz w:val="20"/>
          <w:szCs w:val="20"/>
          <w:color w:val="auto"/>
        </w:rPr>
      </w:pPr>
    </w:p>
    <w:p>
      <w:pPr>
        <w:ind w:left="1360" w:hanging="704"/>
        <w:spacing w:after="0"/>
        <w:tabs>
          <w:tab w:leader="none" w:pos="1360" w:val="left"/>
        </w:tabs>
        <w:numPr>
          <w:ilvl w:val="0"/>
          <w:numId w:val="1225"/>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xml:space="preserve"> : the Companies Act 2014 of Ireland, as amended.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74" w:val="left"/>
        </w:tabs>
        <w:numPr>
          <w:ilvl w:val="0"/>
          <w:numId w:val="1225"/>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545" w:val="left"/>
        </w:tabs>
        <w:numPr>
          <w:ilvl w:val="0"/>
          <w:numId w:val="1225"/>
        </w:numPr>
        <w:rPr>
          <w:rFonts w:ascii="Arial" w:cs="Arial" w:eastAsia="Arial" w:hAnsi="Arial"/>
          <w:sz w:val="18"/>
          <w:szCs w:val="18"/>
          <w:color w:val="auto"/>
        </w:rPr>
      </w:pP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xml:space="preserve"> :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416" w:val="left"/>
        </w:tabs>
        <w:numPr>
          <w:ilvl w:val="0"/>
          <w:numId w:val="1225"/>
        </w:numPr>
        <w:rPr>
          <w:rFonts w:ascii="Arial" w:cs="Arial" w:eastAsia="Arial" w:hAnsi="Arial"/>
          <w:sz w:val="18"/>
          <w:szCs w:val="18"/>
          <w:color w:val="auto"/>
        </w:rPr>
      </w:pPr>
      <w:r>
        <w:rPr>
          <w:rFonts w:ascii="Arial" w:cs="Arial" w:eastAsia="Arial" w:hAnsi="Arial"/>
          <w:sz w:val="18"/>
          <w:szCs w:val="18"/>
          <w:u w:val="single" w:color="auto"/>
          <w:color w:val="auto"/>
        </w:rPr>
        <w:t>Applicable Laws</w:t>
      </w:r>
      <w:r>
        <w:rPr>
          <w:rFonts w:ascii="Arial" w:cs="Arial" w:eastAsia="Arial" w:hAnsi="Arial"/>
          <w:sz w:val="18"/>
          <w:szCs w:val="18"/>
          <w:color w:val="auto"/>
        </w:rPr>
        <w:t xml:space="preserve"> :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1225"/>
        </w:numPr>
        <w:rPr>
          <w:rFonts w:ascii="Arial" w:cs="Arial" w:eastAsia="Arial" w:hAnsi="Arial"/>
          <w:sz w:val="18"/>
          <w:szCs w:val="18"/>
          <w:color w:val="auto"/>
        </w:rPr>
      </w:pPr>
      <w:r>
        <w:rPr>
          <w:rFonts w:ascii="Arial" w:cs="Arial" w:eastAsia="Arial" w:hAnsi="Arial"/>
          <w:sz w:val="18"/>
          <w:szCs w:val="18"/>
          <w:u w:val="single" w:color="auto"/>
          <w:color w:val="auto"/>
        </w:rPr>
        <w:t>Associate</w:t>
      </w:r>
      <w:r>
        <w:rPr>
          <w:rFonts w:ascii="Arial" w:cs="Arial" w:eastAsia="Arial" w:hAnsi="Arial"/>
          <w:sz w:val="18"/>
          <w:szCs w:val="18"/>
          <w:color w:val="auto"/>
        </w:rPr>
        <w:t xml:space="preserve"> : With respect to a specified Person, means:</w:t>
      </w:r>
    </w:p>
    <w:p>
      <w:pPr>
        <w:spacing w:after="0" w:line="225" w:lineRule="exact"/>
        <w:rPr>
          <w:sz w:val="20"/>
          <w:szCs w:val="20"/>
          <w:color w:val="auto"/>
        </w:rPr>
      </w:pPr>
    </w:p>
    <w:p>
      <w:pPr>
        <w:ind w:left="1360" w:hanging="704"/>
        <w:spacing w:after="0"/>
        <w:tabs>
          <w:tab w:leader="none" w:pos="1360"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any company, corporation, partnership, or other organization of which such specified Person is an officer or partner;</w:t>
      </w:r>
    </w:p>
    <w:p>
      <w:pPr>
        <w:spacing w:after="0" w:line="225" w:lineRule="exact"/>
        <w:rPr>
          <w:rFonts w:ascii="Arial" w:cs="Arial" w:eastAsia="Arial" w:hAnsi="Arial"/>
          <w:sz w:val="18"/>
          <w:szCs w:val="18"/>
          <w:color w:val="auto"/>
        </w:rPr>
      </w:pPr>
    </w:p>
    <w:p>
      <w:pPr>
        <w:ind w:firstLine="656"/>
        <w:spacing w:after="0" w:line="277" w:lineRule="auto"/>
        <w:tabs>
          <w:tab w:leader="none" w:pos="1417"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any trust or other estate in which such specified Person has a substantial beneficial interest or as to which such specified Person serves as trustee or in a similar fiduciary capacity;</w:t>
      </w:r>
    </w:p>
    <w:p>
      <w:pPr>
        <w:spacing w:after="0" w:line="170" w:lineRule="exact"/>
        <w:rPr>
          <w:rFonts w:ascii="Arial" w:cs="Arial" w:eastAsia="Arial" w:hAnsi="Arial"/>
          <w:sz w:val="18"/>
          <w:szCs w:val="18"/>
          <w:color w:val="auto"/>
        </w:rPr>
      </w:pPr>
    </w:p>
    <w:p>
      <w:pPr>
        <w:ind w:firstLine="656"/>
        <w:spacing w:after="0" w:line="277" w:lineRule="auto"/>
        <w:tabs>
          <w:tab w:leader="none" w:pos="1395"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any relative or spouse of such specified Person, or any relative of such spouse who has the same home as such specified Person, or who is a director or officer of the Company or any of its Subsidiaries;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358"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any Person who is a director, officer, or partner of such specified Person or of any company (other than the Company or any wholly-owned Subsidiary), corporation, partnership or other entity which is an Affiliate of such specified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165" w:name="page1166"/>
    <w:bookmarkEnd w:id="1165"/>
    <w:p>
      <w:pPr>
        <w:ind w:firstLine="656"/>
        <w:spacing w:after="0" w:line="277" w:lineRule="auto"/>
        <w:tabs>
          <w:tab w:leader="none" w:pos="1449" w:val="left"/>
        </w:tabs>
        <w:numPr>
          <w:ilvl w:val="0"/>
          <w:numId w:val="1227"/>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xml:space="preserve"> : An Option, Restricted Share, Restricted Share Unit, Share Appreciation Right, Other Share-Based Award or Performance-Based Award granted pursuant to the Plan.</w:t>
      </w:r>
    </w:p>
    <w:p>
      <w:pPr>
        <w:spacing w:after="0" w:line="170" w:lineRule="exact"/>
        <w:rPr>
          <w:rFonts w:ascii="Arial" w:cs="Arial" w:eastAsia="Arial" w:hAnsi="Arial"/>
          <w:sz w:val="18"/>
          <w:szCs w:val="18"/>
          <w:color w:val="auto"/>
        </w:rPr>
      </w:pPr>
    </w:p>
    <w:p>
      <w:pPr>
        <w:ind w:firstLine="656"/>
        <w:spacing w:after="0" w:line="277" w:lineRule="auto"/>
        <w:tabs>
          <w:tab w:leader="none" w:pos="1434" w:val="left"/>
        </w:tabs>
        <w:numPr>
          <w:ilvl w:val="0"/>
          <w:numId w:val="1227"/>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xml:space="preserve"> : Any written agreement, contract, or other instrument or document evidencing the terms and conditions of an Award, including through electronic medium.</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80" w:val="left"/>
        </w:tabs>
        <w:numPr>
          <w:ilvl w:val="0"/>
          <w:numId w:val="1227"/>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xml:space="preserve"> :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186" w:lineRule="exact"/>
        <w:rPr>
          <w:rFonts w:ascii="Arial" w:cs="Arial" w:eastAsia="Arial" w:hAnsi="Arial"/>
          <w:sz w:val="18"/>
          <w:szCs w:val="18"/>
          <w:color w:val="auto"/>
        </w:rPr>
      </w:pPr>
    </w:p>
    <w:p>
      <w:pPr>
        <w:ind w:firstLine="656"/>
        <w:spacing w:after="0" w:line="277" w:lineRule="auto"/>
        <w:tabs>
          <w:tab w:leader="none" w:pos="1615" w:val="left"/>
        </w:tabs>
        <w:numPr>
          <w:ilvl w:val="0"/>
          <w:numId w:val="1227"/>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xml:space="preserve"> : All employee benefit and compensation plans, agreements, arrangements, programs, policies, practices, contracts or agreements of the Company and its Affiliates.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227"/>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 The Board of Directors of the Company.</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22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The date any event set forth in any one of the following paragraphs shall have occurred:</w:t>
      </w:r>
    </w:p>
    <w:p>
      <w:pPr>
        <w:spacing w:after="0" w:line="225" w:lineRule="exact"/>
        <w:rPr>
          <w:sz w:val="20"/>
          <w:szCs w:val="20"/>
          <w:color w:val="auto"/>
        </w:rPr>
      </w:pPr>
    </w:p>
    <w:p>
      <w:pPr>
        <w:jc w:val="both"/>
        <w:ind w:firstLine="656"/>
        <w:spacing w:after="0" w:line="279" w:lineRule="auto"/>
        <w:tabs>
          <w:tab w:leader="none" w:pos="1372" w:val="left"/>
        </w:tabs>
        <w:numPr>
          <w:ilvl w:val="0"/>
          <w:numId w:val="1228"/>
        </w:numPr>
        <w:rPr>
          <w:rFonts w:ascii="Arial" w:cs="Arial" w:eastAsia="Arial" w:hAnsi="Arial"/>
          <w:sz w:val="17"/>
          <w:szCs w:val="17"/>
          <w:color w:val="auto"/>
        </w:rPr>
      </w:pPr>
      <w:r>
        <w:rPr>
          <w:rFonts w:ascii="Arial" w:cs="Arial" w:eastAsia="Arial" w:hAnsi="Arial"/>
          <w:sz w:val="17"/>
          <w:szCs w:val="17"/>
          <w:color w:val="auto"/>
        </w:rPr>
        <w:t>any Person (other than Permitted Holders) is or becomes the Beneficial Owner, directly or indirectly, of 30% or more of either (A) the then outstanding Shares of the Company (the “</w:t>
      </w:r>
      <w:r>
        <w:rPr>
          <w:rFonts w:ascii="Arial" w:cs="Arial" w:eastAsia="Arial" w:hAnsi="Arial"/>
          <w:sz w:val="17"/>
          <w:szCs w:val="17"/>
          <w:u w:val="single" w:color="auto"/>
          <w:color w:val="auto"/>
        </w:rPr>
        <w:t>Outstanding Ordinary Shares</w:t>
      </w:r>
      <w:r>
        <w:rPr>
          <w:rFonts w:ascii="Arial" w:cs="Arial" w:eastAsia="Arial" w:hAnsi="Arial"/>
          <w:sz w:val="17"/>
          <w:szCs w:val="17"/>
          <w:color w:val="auto"/>
        </w:rPr>
        <w:t>”) or (B)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Voting Securities</w:t>
      </w:r>
      <w:r>
        <w:rPr>
          <w:rFonts w:ascii="Arial" w:cs="Arial" w:eastAsia="Arial" w:hAnsi="Arial"/>
          <w:sz w:val="17"/>
          <w:szCs w:val="17"/>
          <w:color w:val="auto"/>
        </w:rPr>
        <w:t>”), excluding any Person who becomes such a Beneficial Owner in connection with a transaction that complies with clauses (A), (B) and (C) of paragraph (iii) below;</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552"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611" w:val="left"/>
        </w:tabs>
        <w:numPr>
          <w:ilvl w:val="0"/>
          <w:numId w:val="1228"/>
        </w:numPr>
        <w:rPr>
          <w:rFonts w:ascii="Arial" w:cs="Arial" w:eastAsia="Arial" w:hAnsi="Arial"/>
          <w:sz w:val="16"/>
          <w:szCs w:val="16"/>
          <w:color w:val="auto"/>
        </w:rPr>
      </w:pPr>
      <w:r>
        <w:rPr>
          <w:rFonts w:ascii="Arial" w:cs="Arial" w:eastAsia="Arial" w:hAnsi="Arial"/>
          <w:sz w:val="16"/>
          <w:szCs w:val="16"/>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(other than Permitted Holders)(excluding any Entity resulting from such Corporate Transaction or any Benefit Plan (or related trust) of the Company or such Entity resulting from such Corporate Transaction) beneficially owns, directly or indirectly, 30%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or</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66" w:name="page1167"/>
    <w:bookmarkEnd w:id="1166"/>
    <w:p>
      <w:pPr>
        <w:jc w:val="both"/>
        <w:ind w:firstLine="656"/>
        <w:spacing w:after="0" w:line="264" w:lineRule="auto"/>
        <w:tabs>
          <w:tab w:leader="none" w:pos="1398"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approval or adoption by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(A), (B) and (C) of paragraph (iii) above.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foregoing, a transaction shall not constitute a Change in Control (i)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and (ii)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Section 2(k)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left="1420" w:hanging="764"/>
        <w:spacing w:after="0"/>
        <w:tabs>
          <w:tab w:leader="none" w:pos="1420" w:val="left"/>
        </w:tabs>
        <w:numPr>
          <w:ilvl w:val="0"/>
          <w:numId w:val="1230"/>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 The U.S. Internal Revenue Code of 1986, as amended, or any successor thereto, and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jc w:val="both"/>
        <w:ind w:firstLine="656"/>
        <w:spacing w:after="0" w:line="264" w:lineRule="auto"/>
        <w:tabs>
          <w:tab w:leader="none" w:pos="1642" w:val="left"/>
        </w:tabs>
        <w:numPr>
          <w:ilvl w:val="0"/>
          <w:numId w:val="1230"/>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 The Compensation Committee of the Board (or a subcommittee thereof), or the delegate to which the Board or the Compensation Committee has delegated its authority pursuant to Section 4(a) hereof, or such other committee of the Board to which the Board has delegated power to act under or pursuant to the provisions of the Plan.</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230"/>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Weatherford International plc, an Irish public limited company and any successor thereto.</w:t>
      </w:r>
    </w:p>
    <w:p>
      <w:pPr>
        <w:spacing w:after="0" w:line="225" w:lineRule="exact"/>
        <w:rPr>
          <w:rFonts w:ascii="Arial" w:cs="Arial" w:eastAsia="Arial" w:hAnsi="Arial"/>
          <w:sz w:val="18"/>
          <w:szCs w:val="18"/>
          <w:color w:val="auto"/>
        </w:rPr>
      </w:pPr>
    </w:p>
    <w:p>
      <w:pPr>
        <w:ind w:firstLine="656"/>
        <w:spacing w:after="0" w:line="277" w:lineRule="auto"/>
        <w:tabs>
          <w:tab w:leader="none" w:pos="1623" w:val="left"/>
        </w:tabs>
        <w:numPr>
          <w:ilvl w:val="0"/>
          <w:numId w:val="1230"/>
        </w:numPr>
        <w:rPr>
          <w:rFonts w:ascii="Arial" w:cs="Arial" w:eastAsia="Arial" w:hAnsi="Arial"/>
          <w:sz w:val="18"/>
          <w:szCs w:val="18"/>
          <w:color w:val="auto"/>
        </w:rPr>
      </w:pPr>
      <w:r>
        <w:rPr>
          <w:rFonts w:ascii="Arial" w:cs="Arial" w:eastAsia="Arial" w:hAnsi="Arial"/>
          <w:sz w:val="18"/>
          <w:szCs w:val="18"/>
          <w:u w:val="single" w:color="auto"/>
          <w:color w:val="auto"/>
        </w:rPr>
        <w:t>Company Assets</w:t>
      </w:r>
      <w:r>
        <w:rPr>
          <w:rFonts w:ascii="Arial" w:cs="Arial" w:eastAsia="Arial" w:hAnsi="Arial"/>
          <w:sz w:val="18"/>
          <w:szCs w:val="18"/>
          <w:color w:val="auto"/>
        </w:rPr>
        <w:t xml:space="preserve"> : Shall mean the assets (of any kind) owned by the Company, including, without limitation, the securities of the Company’s Subsidiaries and any of the assets owned by the Company’s Subsidiaries.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461" w:val="left"/>
        </w:tabs>
        <w:numPr>
          <w:ilvl w:val="0"/>
          <w:numId w:val="1230"/>
        </w:numPr>
        <w:rPr>
          <w:rFonts w:ascii="Arial" w:cs="Arial" w:eastAsia="Arial" w:hAnsi="Arial"/>
          <w:sz w:val="17"/>
          <w:szCs w:val="17"/>
          <w:color w:val="auto"/>
        </w:rPr>
      </w:pP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Any consultant or advisor if (a) the consultant or advisor renders bona fide service to the Company or any Affiliate, (b) the services rendered by the consultant or advisor are not in connection with the offer or sale of a securities in a capital-raising transaction and do not directly or indirectly promote or maintain a market for the Company's securities, and (iii) the consultant or advisor is a natural person.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67" w:name="page1168"/>
    <w:bookmarkEnd w:id="1167"/>
    <w:p>
      <w:pPr>
        <w:ind w:left="1360" w:hanging="704"/>
        <w:spacing w:after="0"/>
        <w:tabs>
          <w:tab w:leader="none" w:pos="1360" w:val="left"/>
        </w:tabs>
        <w:numPr>
          <w:ilvl w:val="0"/>
          <w:numId w:val="1231"/>
        </w:numPr>
        <w:rPr>
          <w:rFonts w:ascii="Arial" w:cs="Arial" w:eastAsia="Arial" w:hAnsi="Arial"/>
          <w:sz w:val="18"/>
          <w:szCs w:val="18"/>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xml:space="preserve"> : A member of the Board.</w:t>
      </w:r>
    </w:p>
    <w:p>
      <w:pPr>
        <w:spacing w:after="0" w:line="225" w:lineRule="exact"/>
        <w:rPr>
          <w:rFonts w:ascii="Arial" w:cs="Arial" w:eastAsia="Arial" w:hAnsi="Arial"/>
          <w:sz w:val="18"/>
          <w:szCs w:val="18"/>
          <w:color w:val="auto"/>
        </w:rPr>
      </w:pPr>
    </w:p>
    <w:p>
      <w:pPr>
        <w:jc w:val="both"/>
        <w:ind w:firstLine="656"/>
        <w:spacing w:after="0" w:line="290" w:lineRule="auto"/>
        <w:tabs>
          <w:tab w:leader="none" w:pos="1436" w:val="left"/>
        </w:tabs>
        <w:numPr>
          <w:ilvl w:val="0"/>
          <w:numId w:val="123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495" w:val="left"/>
        </w:tabs>
        <w:numPr>
          <w:ilvl w:val="0"/>
          <w:numId w:val="1231"/>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xml:space="preserve"> : A right to receive the equivalent value of dividends paid on the Shares with respect to Shares underlying Restricted Share Units or an Other Share-Based Award that is a Full Value Award prior to vesting of the Award, subject to the additional requirements of Section 10(b) hereof. Such Dividend Equivalent Right shall be converted to cash or additional Shares, or a combination of cash and Shares, by such formula and at such time and subject to such limitations as may be determined by the Committee.</w:t>
      </w:r>
    </w:p>
    <w:p>
      <w:pPr>
        <w:spacing w:after="0" w:line="186" w:lineRule="exact"/>
        <w:rPr>
          <w:rFonts w:ascii="Arial" w:cs="Arial" w:eastAsia="Arial" w:hAnsi="Arial"/>
          <w:sz w:val="18"/>
          <w:szCs w:val="18"/>
          <w:color w:val="auto"/>
        </w:rPr>
      </w:pPr>
    </w:p>
    <w:p>
      <w:pPr>
        <w:ind w:left="1340" w:hanging="684"/>
        <w:spacing w:after="0"/>
        <w:tabs>
          <w:tab w:leader="none" w:pos="1340" w:val="left"/>
        </w:tabs>
        <w:numPr>
          <w:ilvl w:val="0"/>
          <w:numId w:val="123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The date immediately following the date that the Company emerges from bankruptcy.</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528" w:val="left"/>
        </w:tabs>
        <w:numPr>
          <w:ilvl w:val="0"/>
          <w:numId w:val="1231"/>
        </w:numPr>
        <w:rPr>
          <w:rFonts w:ascii="Arial" w:cs="Arial" w:eastAsia="Arial" w:hAnsi="Arial"/>
          <w:sz w:val="18"/>
          <w:szCs w:val="18"/>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spacing w:after="0" w:line="181" w:lineRule="exact"/>
        <w:rPr>
          <w:rFonts w:ascii="Arial" w:cs="Arial" w:eastAsia="Arial" w:hAnsi="Arial"/>
          <w:sz w:val="18"/>
          <w:szCs w:val="18"/>
          <w:color w:val="auto"/>
        </w:rPr>
      </w:pPr>
    </w:p>
    <w:p>
      <w:pPr>
        <w:ind w:firstLine="656"/>
        <w:spacing w:after="0" w:line="277" w:lineRule="auto"/>
        <w:tabs>
          <w:tab w:leader="none" w:pos="1488" w:val="left"/>
        </w:tabs>
        <w:numPr>
          <w:ilvl w:val="0"/>
          <w:numId w:val="1231"/>
        </w:numPr>
        <w:rPr>
          <w:rFonts w:ascii="Arial" w:cs="Arial" w:eastAsia="Arial" w:hAnsi="Arial"/>
          <w:sz w:val="18"/>
          <w:szCs w:val="18"/>
          <w:color w:val="auto"/>
        </w:rPr>
      </w:pPr>
      <w:r>
        <w:rPr>
          <w:rFonts w:ascii="Arial" w:cs="Arial" w:eastAsia="Arial" w:hAnsi="Arial"/>
          <w:sz w:val="18"/>
          <w:szCs w:val="18"/>
          <w:u w:val="single" w:color="auto"/>
          <w:color w:val="auto"/>
        </w:rPr>
        <w:t>Entity</w:t>
      </w:r>
      <w:r>
        <w:rPr>
          <w:rFonts w:ascii="Arial" w:cs="Arial" w:eastAsia="Arial" w:hAnsi="Arial"/>
          <w:sz w:val="18"/>
          <w:szCs w:val="18"/>
          <w:color w:val="auto"/>
        </w:rPr>
        <w:t xml:space="preserve"> : Any corporation, partnership, association, joint-stock company, limited liability company, trust, unincorporated organization or other business entity.</w:t>
      </w:r>
    </w:p>
    <w:p>
      <w:pPr>
        <w:spacing w:after="0" w:line="170" w:lineRule="exact"/>
        <w:rPr>
          <w:rFonts w:ascii="Arial" w:cs="Arial" w:eastAsia="Arial" w:hAnsi="Arial"/>
          <w:sz w:val="18"/>
          <w:szCs w:val="18"/>
          <w:color w:val="auto"/>
        </w:rPr>
      </w:pPr>
    </w:p>
    <w:p>
      <w:pPr>
        <w:ind w:firstLine="656"/>
        <w:spacing w:after="0" w:line="277" w:lineRule="auto"/>
        <w:tabs>
          <w:tab w:leader="none" w:pos="1681" w:val="left"/>
        </w:tabs>
        <w:numPr>
          <w:ilvl w:val="0"/>
          <w:numId w:val="1231"/>
        </w:numPr>
        <w:rPr>
          <w:rFonts w:ascii="Arial" w:cs="Arial" w:eastAsia="Arial" w:hAnsi="Arial"/>
          <w:sz w:val="18"/>
          <w:szCs w:val="18"/>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The U.S. Securities Exchange Act of 1934, as amended, or any successor thereto, and the rules and regulations promulgated thereunder.</w:t>
      </w:r>
    </w:p>
    <w:p>
      <w:pPr>
        <w:spacing w:after="0" w:line="170" w:lineRule="exact"/>
        <w:rPr>
          <w:rFonts w:ascii="Arial" w:cs="Arial" w:eastAsia="Arial" w:hAnsi="Arial"/>
          <w:sz w:val="18"/>
          <w:szCs w:val="18"/>
          <w:color w:val="auto"/>
        </w:rPr>
      </w:pPr>
    </w:p>
    <w:p>
      <w:pPr>
        <w:jc w:val="both"/>
        <w:ind w:firstLine="656"/>
        <w:spacing w:after="0" w:line="290" w:lineRule="auto"/>
        <w:tabs>
          <w:tab w:leader="none" w:pos="1475" w:val="left"/>
        </w:tabs>
        <w:numPr>
          <w:ilvl w:val="0"/>
          <w:numId w:val="1231"/>
        </w:numPr>
        <w:rPr>
          <w:rFonts w:ascii="Arial" w:cs="Arial" w:eastAsia="Arial" w:hAnsi="Arial"/>
          <w:sz w:val="16"/>
          <w:szCs w:val="16"/>
          <w:color w:val="auto"/>
        </w:rPr>
      </w:pPr>
      <w:r>
        <w:rPr>
          <w:rFonts w:ascii="Arial" w:cs="Arial" w:eastAsia="Arial" w:hAnsi="Arial"/>
          <w:sz w:val="16"/>
          <w:szCs w:val="16"/>
          <w:color w:val="auto"/>
        </w:rPr>
        <w:t>Fair Market Value : On a given date, (i) if there should be a public market for the Shares on such date, the closing price of the Shares as reported on such date on the principal national securities exchange on which such Shares are listed or admitted to trading, or, if no sale occurred on such date, the first trading date immediately prior to such date during which a sale occurred; or (ii) if the Shares are not listed or admitted on any national securities exchange but are regularly quoted on a national market or other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there should not be a public market for the Shares on such date,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68" w:name="page1169"/>
    <w:bookmarkEnd w:id="1168"/>
    <w:p>
      <w:pPr>
        <w:jc w:val="both"/>
        <w:ind w:firstLine="656"/>
        <w:spacing w:after="0" w:line="264" w:lineRule="auto"/>
        <w:tabs>
          <w:tab w:leader="none" w:pos="1407" w:val="left"/>
        </w:tabs>
        <w:numPr>
          <w:ilvl w:val="0"/>
          <w:numId w:val="1232"/>
        </w:numPr>
        <w:rPr>
          <w:rFonts w:ascii="Arial" w:cs="Arial" w:eastAsia="Arial" w:hAnsi="Arial"/>
          <w:sz w:val="18"/>
          <w:szCs w:val="18"/>
          <w:color w:val="auto"/>
        </w:rPr>
      </w:pPr>
      <w:r>
        <w:rPr>
          <w:rFonts w:ascii="Arial" w:cs="Arial" w:eastAsia="Arial" w:hAnsi="Arial"/>
          <w:sz w:val="18"/>
          <w:szCs w:val="18"/>
          <w:u w:val="single" w:color="auto"/>
          <w:color w:val="auto"/>
        </w:rPr>
        <w:t>Full Value Awards</w:t>
      </w:r>
      <w:r>
        <w:rPr>
          <w:rFonts w:ascii="Arial" w:cs="Arial" w:eastAsia="Arial" w:hAnsi="Arial"/>
          <w:sz w:val="18"/>
          <w:szCs w:val="18"/>
          <w:color w:val="auto"/>
        </w:rPr>
        <w:t xml:space="preserve"> :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232"/>
        </w:numPr>
        <w:rPr>
          <w:rFonts w:ascii="Arial" w:cs="Arial" w:eastAsia="Arial" w:hAnsi="Arial"/>
          <w:sz w:val="18"/>
          <w:szCs w:val="18"/>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 An Option that is also an incentive stock option granted pursuant to Section 7(e) of the Plan.</w:t>
      </w:r>
    </w:p>
    <w:p>
      <w:pPr>
        <w:spacing w:after="0" w:line="225" w:lineRule="exact"/>
        <w:rPr>
          <w:sz w:val="20"/>
          <w:szCs w:val="20"/>
          <w:color w:val="auto"/>
        </w:rPr>
      </w:pPr>
    </w:p>
    <w:p>
      <w:pPr>
        <w:ind w:left="1340" w:hanging="684"/>
        <w:spacing w:after="0"/>
        <w:tabs>
          <w:tab w:leader="none" w:pos="1340" w:val="left"/>
        </w:tabs>
        <w:numPr>
          <w:ilvl w:val="1"/>
          <w:numId w:val="1233"/>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 An option granted pursuant to Section 7 of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233"/>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 The purchase price per Share of an Option, as determined pursuant to Section 7(b) of the Plan.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1233"/>
        </w:numPr>
        <w:rPr>
          <w:rFonts w:ascii="Arial" w:cs="Arial" w:eastAsia="Arial" w:hAnsi="Arial"/>
          <w:sz w:val="18"/>
          <w:szCs w:val="18"/>
          <w:color w:val="auto"/>
        </w:rPr>
      </w:pPr>
      <w:r>
        <w:rPr>
          <w:rFonts w:ascii="Arial" w:cs="Arial" w:eastAsia="Arial" w:hAnsi="Arial"/>
          <w:sz w:val="18"/>
          <w:szCs w:val="18"/>
          <w:u w:val="single" w:color="auto"/>
          <w:color w:val="auto"/>
        </w:rPr>
        <w:t>Other Share-Based Awards</w:t>
      </w:r>
      <w:r>
        <w:rPr>
          <w:rFonts w:ascii="Arial" w:cs="Arial" w:eastAsia="Arial" w:hAnsi="Arial"/>
          <w:sz w:val="18"/>
          <w:szCs w:val="18"/>
          <w:color w:val="auto"/>
        </w:rPr>
        <w:t xml:space="preserve"> : Awards granted pursuant to Section 9 of the Plan.</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1233"/>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 An Employee, Consultant, or Director who is selected by the Committee to participate in the Plan.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1233"/>
        </w:numPr>
        <w:rPr>
          <w:rFonts w:ascii="Arial" w:cs="Arial" w:eastAsia="Arial" w:hAnsi="Arial"/>
          <w:sz w:val="17"/>
          <w:szCs w:val="17"/>
          <w:color w:val="auto"/>
        </w:rPr>
      </w:pPr>
      <w:r>
        <w:rPr>
          <w:rFonts w:ascii="Arial" w:cs="Arial" w:eastAsia="Arial" w:hAnsi="Arial"/>
          <w:sz w:val="17"/>
          <w:szCs w:val="17"/>
          <w:u w:val="single" w:color="auto"/>
          <w:color w:val="auto"/>
        </w:rPr>
        <w:t>Performance-Based Award</w:t>
      </w:r>
      <w:r>
        <w:rPr>
          <w:rFonts w:ascii="Arial" w:cs="Arial" w:eastAsia="Arial" w:hAnsi="Arial"/>
          <w:sz w:val="17"/>
          <w:szCs w:val="17"/>
          <w:color w:val="auto"/>
        </w:rPr>
        <w:t xml:space="preserve"> : A Full-Value Award that vests, in whole or in part, based on the attainment of a Performance Goal.</w:t>
      </w:r>
    </w:p>
    <w:p>
      <w:pPr>
        <w:spacing w:after="0" w:line="236" w:lineRule="exact"/>
        <w:rPr>
          <w:rFonts w:ascii="Arial" w:cs="Arial" w:eastAsia="Arial" w:hAnsi="Arial"/>
          <w:sz w:val="17"/>
          <w:szCs w:val="17"/>
          <w:color w:val="auto"/>
        </w:rPr>
      </w:pPr>
    </w:p>
    <w:p>
      <w:pPr>
        <w:jc w:val="both"/>
        <w:ind w:firstLine="656"/>
        <w:spacing w:after="0" w:line="286" w:lineRule="auto"/>
        <w:tabs>
          <w:tab w:leader="none" w:pos="1348" w:val="left"/>
        </w:tabs>
        <w:numPr>
          <w:ilvl w:val="1"/>
          <w:numId w:val="1233"/>
        </w:numPr>
        <w:rPr>
          <w:rFonts w:ascii="Arial" w:cs="Arial" w:eastAsia="Arial" w:hAnsi="Arial"/>
          <w:sz w:val="16"/>
          <w:szCs w:val="16"/>
          <w:color w:val="auto"/>
        </w:rPr>
      </w:pPr>
      <w:r>
        <w:rPr>
          <w:rFonts w:ascii="Arial" w:cs="Arial" w:eastAsia="Arial" w:hAnsi="Arial"/>
          <w:sz w:val="16"/>
          <w:szCs w:val="16"/>
          <w:u w:val="single" w:color="auto"/>
          <w:color w:val="auto"/>
        </w:rPr>
        <w:t>Performance Criteria</w:t>
      </w:r>
      <w:r>
        <w:rPr>
          <w:rFonts w:ascii="Arial" w:cs="Arial" w:eastAsia="Arial" w:hAnsi="Arial"/>
          <w:sz w:val="16"/>
          <w:szCs w:val="16"/>
          <w:color w:val="auto"/>
        </w:rPr>
        <w:t xml:space="preserve"> : The criteria that the Committee selects for purposes of establishing the Performance Goal(s) for a Participant during a Performance Period. The Performance Criteria that will be used to establish Performance Goals may include, but are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234"/>
        </w:numPr>
        <w:rPr>
          <w:rFonts w:ascii="Arial" w:cs="Arial" w:eastAsia="Arial" w:hAnsi="Arial"/>
          <w:sz w:val="16"/>
          <w:szCs w:val="16"/>
          <w:color w:val="auto"/>
        </w:rPr>
      </w:pPr>
      <w:r>
        <w:rPr>
          <w:rFonts w:ascii="Arial" w:cs="Arial" w:eastAsia="Arial" w:hAnsi="Arial"/>
          <w:sz w:val="16"/>
          <w:szCs w:val="16"/>
          <w:color w:val="auto"/>
        </w:rPr>
        <w:t>expense management; (x) return on invested capital; (xi) improvements in capital structure; (xii) profitability of an identifiable business unit or product;</w:t>
      </w:r>
    </w:p>
    <w:p>
      <w:pPr>
        <w:spacing w:after="0" w:line="32" w:lineRule="exact"/>
        <w:rPr>
          <w:rFonts w:ascii="Arial" w:cs="Arial" w:eastAsia="Arial" w:hAnsi="Arial"/>
          <w:sz w:val="16"/>
          <w:szCs w:val="16"/>
          <w:color w:val="auto"/>
        </w:rPr>
      </w:pPr>
    </w:p>
    <w:p>
      <w:pPr>
        <w:jc w:val="both"/>
        <w:ind w:firstLine="8"/>
        <w:spacing w:after="0" w:line="255" w:lineRule="auto"/>
        <w:tabs>
          <w:tab w:leader="none" w:pos="418" w:val="left"/>
        </w:tabs>
        <w:numPr>
          <w:ilvl w:val="0"/>
          <w:numId w:val="1235"/>
        </w:numPr>
        <w:rPr>
          <w:rFonts w:ascii="Arial" w:cs="Arial" w:eastAsia="Arial" w:hAnsi="Arial"/>
          <w:sz w:val="18"/>
          <w:szCs w:val="18"/>
          <w:color w:val="auto"/>
        </w:rPr>
      </w:pPr>
      <w:r>
        <w:rPr>
          <w:rFonts w:ascii="Arial" w:cs="Arial" w:eastAsia="Arial" w:hAnsi="Arial"/>
          <w:sz w:val="18"/>
          <w:szCs w:val="18"/>
          <w:color w:val="auto"/>
        </w:rPr>
        <w:t>maintenance or improvement of profit margins or revenue; (xiv) Share price; (xv) market share; (xvi) revenues or sales; (xvii) costs; (xviii) available cash flow; (xix) working capital; (xx) return on assets; (xxi) total shareholder return, (xxii) productivity ratios, and (xxiii) economic value added. The Performance Criteria may be calculated in accordance with Applicable Accounting Standards or on an adjusted basis.</w:t>
      </w:r>
    </w:p>
    <w:p>
      <w:pPr>
        <w:spacing w:after="0" w:line="190" w:lineRule="exact"/>
        <w:rPr>
          <w:rFonts w:ascii="Arial" w:cs="Arial" w:eastAsia="Arial" w:hAnsi="Arial"/>
          <w:sz w:val="18"/>
          <w:szCs w:val="18"/>
          <w:color w:val="auto"/>
        </w:rPr>
      </w:pPr>
    </w:p>
    <w:p>
      <w:pPr>
        <w:jc w:val="both"/>
        <w:ind w:firstLine="656"/>
        <w:spacing w:after="0" w:line="269" w:lineRule="auto"/>
        <w:tabs>
          <w:tab w:leader="none" w:pos="1394" w:val="left"/>
        </w:tabs>
        <w:numPr>
          <w:ilvl w:val="1"/>
          <w:numId w:val="1235"/>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either in absolute or relative terms. The Committee, in its sole discretion, may provide that one or more adjustments shall be made to one or more of the Performance Goals.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9" w:name="page1170"/>
    <w:bookmarkEnd w:id="1169"/>
    <w:p>
      <w:pPr>
        <w:jc w:val="both"/>
        <w:ind w:firstLine="656"/>
        <w:spacing w:after="0" w:line="264" w:lineRule="auto"/>
        <w:tabs>
          <w:tab w:leader="none" w:pos="1367" w:val="left"/>
        </w:tabs>
        <w:numPr>
          <w:ilvl w:val="1"/>
          <w:numId w:val="1236"/>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181" w:lineRule="exact"/>
        <w:rPr>
          <w:rFonts w:ascii="Arial" w:cs="Arial" w:eastAsia="Arial" w:hAnsi="Arial"/>
          <w:sz w:val="18"/>
          <w:szCs w:val="18"/>
          <w:color w:val="auto"/>
        </w:rPr>
      </w:pPr>
    </w:p>
    <w:p>
      <w:pPr>
        <w:ind w:firstLine="656"/>
        <w:spacing w:after="0" w:line="277" w:lineRule="auto"/>
        <w:tabs>
          <w:tab w:leader="none" w:pos="1417" w:val="left"/>
        </w:tabs>
        <w:numPr>
          <w:ilvl w:val="1"/>
          <w:numId w:val="1236"/>
        </w:numPr>
        <w:rPr>
          <w:rFonts w:ascii="Arial" w:cs="Arial" w:eastAsia="Arial" w:hAnsi="Arial"/>
          <w:sz w:val="18"/>
          <w:szCs w:val="18"/>
          <w:color w:val="auto"/>
        </w:rPr>
      </w:pP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 Capital Research and Management Company and its affiliates, on behalf of certain managed funds and accounts, and Franklin Advisers, Inc., as investment manager on behalf of certain funds and accounts.</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498" w:val="left"/>
        </w:tabs>
        <w:numPr>
          <w:ilvl w:val="1"/>
          <w:numId w:val="1236"/>
        </w:numPr>
        <w:rPr>
          <w:rFonts w:ascii="Arial" w:cs="Arial" w:eastAsia="Arial" w:hAnsi="Arial"/>
          <w:sz w:val="16"/>
          <w:szCs w:val="16"/>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xml:space="preserve"> : A "person" as such term is used for purposes of Section 3(a)(9) of the Exchange Act, as modified and used in Sections 13(d) thereof, except that such term shall not include (i) the Company or any of its Affiliates, (ii) a trustee or other fiduciary holding securities under a Benefit Plan,</w:t>
      </w:r>
    </w:p>
    <w:p>
      <w:pPr>
        <w:ind w:right="20" w:firstLine="8"/>
        <w:spacing w:after="0" w:line="261" w:lineRule="auto"/>
        <w:tabs>
          <w:tab w:leader="none" w:pos="316" w:val="left"/>
        </w:tabs>
        <w:numPr>
          <w:ilvl w:val="0"/>
          <w:numId w:val="1237"/>
        </w:numPr>
        <w:rPr>
          <w:rFonts w:ascii="Arial" w:cs="Arial" w:eastAsia="Arial" w:hAnsi="Arial"/>
          <w:sz w:val="18"/>
          <w:szCs w:val="18"/>
          <w:color w:val="auto"/>
        </w:rPr>
      </w:pPr>
      <w:r>
        <w:rPr>
          <w:rFonts w:ascii="Arial" w:cs="Arial" w:eastAsia="Arial" w:hAnsi="Arial"/>
          <w:sz w:val="18"/>
          <w:szCs w:val="18"/>
          <w:color w:val="auto"/>
        </w:rPr>
        <w:t>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1"/>
          <w:numId w:val="1237"/>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 This Weatherford International plc 2019 Equity Incentive Plan, as from time to time amended and then in effect.</w:t>
      </w:r>
    </w:p>
    <w:p>
      <w:pPr>
        <w:spacing w:after="0" w:line="225" w:lineRule="exact"/>
        <w:rPr>
          <w:rFonts w:ascii="Arial" w:cs="Arial" w:eastAsia="Arial" w:hAnsi="Arial"/>
          <w:sz w:val="18"/>
          <w:szCs w:val="18"/>
          <w:color w:val="auto"/>
        </w:rPr>
      </w:pPr>
    </w:p>
    <w:p>
      <w:pPr>
        <w:ind w:firstLine="656"/>
        <w:spacing w:after="0" w:line="277" w:lineRule="auto"/>
        <w:tabs>
          <w:tab w:leader="none" w:pos="1377" w:val="left"/>
        </w:tabs>
        <w:numPr>
          <w:ilvl w:val="1"/>
          <w:numId w:val="1237"/>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 xml:space="preserve"> : Shares awarded to a Participant pursuant to Section 6 of the Plan that shall be subject to certain restrictions and may be subject to risk of forfeiture.</w:t>
      </w:r>
    </w:p>
    <w:p>
      <w:pPr>
        <w:spacing w:after="0" w:line="170" w:lineRule="exact"/>
        <w:rPr>
          <w:rFonts w:ascii="Arial" w:cs="Arial" w:eastAsia="Arial" w:hAnsi="Arial"/>
          <w:sz w:val="18"/>
          <w:szCs w:val="18"/>
          <w:color w:val="auto"/>
        </w:rPr>
      </w:pPr>
    </w:p>
    <w:p>
      <w:pPr>
        <w:ind w:firstLine="656"/>
        <w:spacing w:after="0" w:line="277" w:lineRule="auto"/>
        <w:tabs>
          <w:tab w:leader="none" w:pos="1363" w:val="left"/>
        </w:tabs>
        <w:numPr>
          <w:ilvl w:val="1"/>
          <w:numId w:val="1237"/>
        </w:numPr>
        <w:rPr>
          <w:rFonts w:ascii="Arial" w:cs="Arial" w:eastAsia="Arial" w:hAnsi="Arial"/>
          <w:sz w:val="18"/>
          <w:szCs w:val="18"/>
          <w:color w:val="auto"/>
        </w:rPr>
      </w:pPr>
      <w:r>
        <w:rPr>
          <w:rFonts w:ascii="Arial" w:cs="Arial" w:eastAsia="Arial" w:hAnsi="Arial"/>
          <w:sz w:val="18"/>
          <w:szCs w:val="18"/>
          <w:u w:val="single" w:color="auto"/>
          <w:color w:val="auto"/>
        </w:rPr>
        <w:t>Restricted Share Unit</w:t>
      </w:r>
      <w:r>
        <w:rPr>
          <w:rFonts w:ascii="Arial" w:cs="Arial" w:eastAsia="Arial" w:hAnsi="Arial"/>
          <w:sz w:val="18"/>
          <w:szCs w:val="18"/>
          <w:color w:val="auto"/>
        </w:rPr>
        <w:t xml:space="preserve"> : An Award granted pursuant to Section 5 of the Plan that shall be evidenced by a bookkeeping entry representing the equivalent of one Share.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237"/>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 U.S. Code Section 409A, as amended, or any successor thereto, and the rules and regulations promulgated thereunder.</w:t>
      </w:r>
    </w:p>
    <w:p>
      <w:pPr>
        <w:spacing w:after="0" w:line="248" w:lineRule="exact"/>
        <w:rPr>
          <w:rFonts w:ascii="Arial" w:cs="Arial" w:eastAsia="Arial" w:hAnsi="Arial"/>
          <w:sz w:val="16"/>
          <w:szCs w:val="16"/>
          <w:color w:val="auto"/>
        </w:rPr>
      </w:pPr>
    </w:p>
    <w:p>
      <w:pPr>
        <w:ind w:left="1580" w:hanging="924"/>
        <w:spacing w:after="0"/>
        <w:tabs>
          <w:tab w:leader="none" w:pos="1580" w:val="left"/>
        </w:tabs>
        <w:numPr>
          <w:ilvl w:val="1"/>
          <w:numId w:val="1237"/>
        </w:numPr>
        <w:rPr>
          <w:rFonts w:ascii="Arial" w:cs="Arial" w:eastAsia="Arial" w:hAnsi="Arial"/>
          <w:sz w:val="17"/>
          <w:szCs w:val="17"/>
          <w:color w:val="auto"/>
        </w:rPr>
      </w:pP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 The U.S. Securities Act of 1933, as amended, or any successor thereto, and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jc w:val="both"/>
        <w:ind w:firstLine="656"/>
        <w:spacing w:after="0" w:line="271" w:lineRule="auto"/>
        <w:tabs>
          <w:tab w:leader="none" w:pos="1421" w:val="left"/>
        </w:tabs>
        <w:numPr>
          <w:ilvl w:val="1"/>
          <w:numId w:val="1237"/>
        </w:numPr>
        <w:rPr>
          <w:rFonts w:ascii="Arial" w:cs="Arial" w:eastAsia="Arial" w:hAnsi="Arial"/>
          <w:sz w:val="17"/>
          <w:szCs w:val="17"/>
          <w:color w:val="auto"/>
        </w:rPr>
      </w:pPr>
      <w:r>
        <w:rPr>
          <w:rFonts w:ascii="Arial" w:cs="Arial" w:eastAsia="Arial" w:hAnsi="Arial"/>
          <w:sz w:val="17"/>
          <w:szCs w:val="17"/>
          <w:u w:val="single" w:color="auto"/>
          <w:color w:val="auto"/>
        </w:rPr>
        <w:t>Service</w:t>
      </w:r>
      <w:r>
        <w:rPr>
          <w:rFonts w:ascii="Arial" w:cs="Arial" w:eastAsia="Arial" w:hAnsi="Arial"/>
          <w:sz w:val="17"/>
          <w:szCs w:val="17"/>
          <w:color w:val="auto"/>
        </w:rPr>
        <w:t xml:space="preserve"> : Except as otherwise determined by the Committee in its sole discretion, a Participant’s Service terminates 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spacing w:after="0" w:line="178" w:lineRule="exact"/>
        <w:rPr>
          <w:rFonts w:ascii="Arial" w:cs="Arial" w:eastAsia="Arial" w:hAnsi="Arial"/>
          <w:sz w:val="17"/>
          <w:szCs w:val="17"/>
          <w:color w:val="auto"/>
        </w:rPr>
      </w:pPr>
    </w:p>
    <w:p>
      <w:pPr>
        <w:ind w:firstLine="656"/>
        <w:spacing w:after="0" w:line="277" w:lineRule="auto"/>
        <w:tabs>
          <w:tab w:leader="none" w:pos="1367" w:val="left"/>
        </w:tabs>
        <w:numPr>
          <w:ilvl w:val="1"/>
          <w:numId w:val="1237"/>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 Ordinary shares in the capital of the Company, nominal value $0.001 per ordinary share, and such other securities of the Company that may be substituted for the Shares pursuant to Section 11 of the Plan.</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1"/>
          <w:numId w:val="1237"/>
        </w:numPr>
        <w:rPr>
          <w:rFonts w:ascii="Arial" w:cs="Arial" w:eastAsia="Arial" w:hAnsi="Arial"/>
          <w:sz w:val="18"/>
          <w:szCs w:val="18"/>
          <w:color w:val="auto"/>
        </w:rPr>
      </w:pP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xml:space="preserve"> : A share appreciation right granted pursuant to Section 8 of the Plan.</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394" w:val="left"/>
        </w:tabs>
        <w:numPr>
          <w:ilvl w:val="1"/>
          <w:numId w:val="1237"/>
        </w:numPr>
        <w:rPr>
          <w:rFonts w:ascii="Arial" w:cs="Arial" w:eastAsia="Arial" w:hAnsi="Arial"/>
          <w:sz w:val="17"/>
          <w:szCs w:val="17"/>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Any Affiliate which is a subsidiary of the Company within the meaning of Section 7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spacing w:after="0" w:line="38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0" w:name="page1171"/>
    <w:bookmarkEnd w:id="1170"/>
    <w:p>
      <w:pPr>
        <w:ind w:right="20" w:firstLine="656"/>
        <w:spacing w:after="0" w:line="342" w:lineRule="auto"/>
        <w:tabs>
          <w:tab w:leader="none" w:pos="1390" w:val="left"/>
        </w:tabs>
        <w:numPr>
          <w:ilvl w:val="1"/>
          <w:numId w:val="1238"/>
        </w:numPr>
        <w:rPr>
          <w:rFonts w:ascii="Arial" w:cs="Arial" w:eastAsia="Arial" w:hAnsi="Arial"/>
          <w:sz w:val="16"/>
          <w:szCs w:val="16"/>
          <w:color w:val="auto"/>
        </w:rPr>
      </w:pPr>
      <w:r>
        <w:rPr>
          <w:rFonts w:ascii="Arial" w:cs="Arial" w:eastAsia="Arial" w:hAnsi="Arial"/>
          <w:sz w:val="16"/>
          <w:szCs w:val="16"/>
          <w:u w:val="single" w:color="auto"/>
          <w:color w:val="auto"/>
        </w:rPr>
        <w:t>Substitute Award</w:t>
      </w:r>
      <w:r>
        <w:rPr>
          <w:rFonts w:ascii="Arial" w:cs="Arial" w:eastAsia="Arial" w:hAnsi="Arial"/>
          <w:sz w:val="16"/>
          <w:szCs w:val="16"/>
          <w:color w:val="auto"/>
        </w:rPr>
        <w:t xml:space="preserve"> : An Award granted under the Plan in assumption of, or in substitution or exchange for, an outstanding award previously granted by an entity directly or indirectly acquired by the Company or any Subsidiary or with which the Company or any Subsidiary combines.</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497" w:val="left"/>
        </w:tabs>
        <w:numPr>
          <w:ilvl w:val="1"/>
          <w:numId w:val="1238"/>
        </w:numPr>
        <w:rPr>
          <w:rFonts w:ascii="Arial" w:cs="Arial" w:eastAsia="Arial" w:hAnsi="Arial"/>
          <w:sz w:val="18"/>
          <w:szCs w:val="18"/>
          <w:color w:val="auto"/>
        </w:rPr>
      </w:pPr>
      <w:r>
        <w:rPr>
          <w:rFonts w:ascii="Arial" w:cs="Arial" w:eastAsia="Arial" w:hAnsi="Arial"/>
          <w:sz w:val="18"/>
          <w:szCs w:val="18"/>
          <w:u w:val="single" w:color="auto"/>
          <w:color w:val="auto"/>
        </w:rPr>
        <w:t>Tax-Related Items</w:t>
      </w:r>
      <w:r>
        <w:rPr>
          <w:rFonts w:ascii="Arial" w:cs="Arial" w:eastAsia="Arial" w:hAnsi="Arial"/>
          <w:sz w:val="18"/>
          <w:szCs w:val="18"/>
          <w:color w:val="auto"/>
        </w:rPr>
        <w:t xml:space="preserve"> :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1238"/>
        </w:numPr>
        <w:rPr>
          <w:rFonts w:ascii="Arial" w:cs="Arial" w:eastAsia="Arial" w:hAnsi="Arial"/>
          <w:sz w:val="18"/>
          <w:szCs w:val="18"/>
          <w:color w:val="auto"/>
        </w:rPr>
      </w:pPr>
      <w:r>
        <w:rPr>
          <w:rFonts w:ascii="Arial" w:cs="Arial" w:eastAsia="Arial" w:hAnsi="Arial"/>
          <w:sz w:val="18"/>
          <w:szCs w:val="18"/>
          <w:u w:val="single" w:color="auto"/>
          <w:color w:val="auto"/>
        </w:rPr>
        <w:t>Weatherford Group</w:t>
      </w:r>
      <w:r>
        <w:rPr>
          <w:rFonts w:ascii="Arial" w:cs="Arial" w:eastAsia="Arial" w:hAnsi="Arial"/>
          <w:sz w:val="18"/>
          <w:szCs w:val="18"/>
          <w:color w:val="auto"/>
        </w:rPr>
        <w:t xml:space="preserve"> : The Company and its Subsidiaries.</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1239"/>
        </w:numPr>
        <w:rPr>
          <w:rFonts w:ascii="Arial" w:cs="Arial" w:eastAsia="Arial" w:hAnsi="Arial"/>
          <w:sz w:val="18"/>
          <w:szCs w:val="18"/>
          <w:color w:val="auto"/>
        </w:rPr>
      </w:pPr>
      <w:r>
        <w:rPr>
          <w:rFonts w:ascii="Arial" w:cs="Arial" w:eastAsia="Arial" w:hAnsi="Arial"/>
          <w:sz w:val="18"/>
          <w:szCs w:val="18"/>
          <w:b w:val="1"/>
          <w:bCs w:val="1"/>
          <w:color w:val="auto"/>
        </w:rPr>
        <w:t>Shares Subject to the Plan and Limitation on Issuable Shares</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39"/>
        </w:numPr>
        <w:rPr>
          <w:rFonts w:ascii="Arial" w:cs="Arial" w:eastAsia="Arial" w:hAnsi="Arial"/>
          <w:sz w:val="18"/>
          <w:szCs w:val="18"/>
          <w:color w:val="auto"/>
        </w:rPr>
      </w:pPr>
      <w:r>
        <w:rPr>
          <w:rFonts w:ascii="Arial" w:cs="Arial" w:eastAsia="Arial" w:hAnsi="Arial"/>
          <w:sz w:val="18"/>
          <w:szCs w:val="18"/>
          <w:u w:val="single" w:color="auto"/>
          <w:color w:val="auto"/>
        </w:rPr>
        <w:t>Number of Shares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Section 11, and as of the Effective Date, the total number of Shares which may be issued under the Plan is 4,075,000, and the maximum number of Shares for which ISOs may be granted is 4,075,000. Except as provided below in Section 3(b) or 3(c),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spacing w:after="0" w:line="171" w:lineRule="exact"/>
        <w:rPr>
          <w:sz w:val="20"/>
          <w:szCs w:val="20"/>
          <w:color w:val="auto"/>
        </w:rPr>
      </w:pPr>
    </w:p>
    <w:p>
      <w:pPr>
        <w:ind w:left="1360" w:hanging="704"/>
        <w:spacing w:after="0"/>
        <w:tabs>
          <w:tab w:leader="none" w:pos="1360" w:val="left"/>
        </w:tabs>
        <w:numPr>
          <w:ilvl w:val="0"/>
          <w:numId w:val="1240"/>
        </w:numPr>
        <w:rPr>
          <w:rFonts w:ascii="Arial" w:cs="Arial" w:eastAsia="Arial" w:hAnsi="Arial"/>
          <w:sz w:val="18"/>
          <w:szCs w:val="18"/>
          <w:color w:val="auto"/>
        </w:rPr>
      </w:pPr>
      <w:r>
        <w:rPr>
          <w:rFonts w:ascii="Arial" w:cs="Arial" w:eastAsia="Arial" w:hAnsi="Arial"/>
          <w:sz w:val="18"/>
          <w:szCs w:val="18"/>
          <w:u w:val="single" w:color="auto"/>
          <w:color w:val="auto"/>
        </w:rPr>
        <w:t>Shares Reissuable Under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Shares shall again be available for the grant of an Award pursuant to the Plan: (i) Shares that are not issued as a result of the termination, cancellation, forfeiture, expiration or lapsing of any Award for any reason; (ii) Shares subject to a Full Value Award that are not issued because the Award is settled in cash; (iii) Shares covered by a Full Value Award that are retained or are otherwise not issued by the Company to the Participant in order to satisfy tax withholding obligations in connection with Full Value Awards.</w:t>
      </w:r>
    </w:p>
    <w:p>
      <w:pPr>
        <w:spacing w:after="0" w:line="187" w:lineRule="exact"/>
        <w:rPr>
          <w:sz w:val="20"/>
          <w:szCs w:val="20"/>
          <w:color w:val="auto"/>
        </w:rPr>
      </w:pPr>
    </w:p>
    <w:p>
      <w:pPr>
        <w:ind w:left="1360" w:hanging="704"/>
        <w:spacing w:after="0"/>
        <w:tabs>
          <w:tab w:leader="none" w:pos="1360" w:val="left"/>
        </w:tabs>
        <w:numPr>
          <w:ilvl w:val="0"/>
          <w:numId w:val="1241"/>
        </w:numPr>
        <w:rPr>
          <w:rFonts w:ascii="Arial" w:cs="Arial" w:eastAsia="Arial" w:hAnsi="Arial"/>
          <w:sz w:val="18"/>
          <w:szCs w:val="18"/>
          <w:color w:val="auto"/>
        </w:rPr>
      </w:pPr>
      <w:r>
        <w:rPr>
          <w:rFonts w:ascii="Arial" w:cs="Arial" w:eastAsia="Arial" w:hAnsi="Arial"/>
          <w:sz w:val="18"/>
          <w:szCs w:val="18"/>
          <w:u w:val="single" w:color="auto"/>
          <w:color w:val="auto"/>
        </w:rPr>
        <w:t>Shares Not Reissuable Under Plan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the following Shares shall be counted against the maximum number of Shares available for issuance pursuant to Section 3(a) and shall not be returned to the Plan: (i) Shares subject to an Option or Share Appreciation Right that are retained or otherwise not issued by the Company in order to satisfy tax withholding obligations in connection with Options or Share Appreciation Rights or in payment of the exercise or purchase price of Options; (ii) Shares that are not issued or delivered as a result of the net-settlement of an outstanding Option or Share Appreciation Right; or (iii) Shares that are repurchased or redeemed on the open market with the proceeds of the exercise of an Option.</w:t>
      </w:r>
    </w:p>
    <w:p>
      <w:pPr>
        <w:spacing w:after="0" w:line="173" w:lineRule="exact"/>
        <w:rPr>
          <w:sz w:val="20"/>
          <w:szCs w:val="20"/>
          <w:color w:val="auto"/>
        </w:rPr>
      </w:pPr>
    </w:p>
    <w:p>
      <w:pPr>
        <w:ind w:left="1360" w:hanging="704"/>
        <w:spacing w:after="0"/>
        <w:tabs>
          <w:tab w:leader="none" w:pos="1360" w:val="left"/>
        </w:tabs>
        <w:numPr>
          <w:ilvl w:val="0"/>
          <w:numId w:val="1242"/>
        </w:numPr>
        <w:rPr>
          <w:rFonts w:ascii="Arial" w:cs="Arial" w:eastAsia="Arial" w:hAnsi="Arial"/>
          <w:sz w:val="18"/>
          <w:szCs w:val="18"/>
          <w:color w:val="auto"/>
        </w:rPr>
      </w:pPr>
      <w:r>
        <w:rPr>
          <w:rFonts w:ascii="Arial" w:cs="Arial" w:eastAsia="Arial" w:hAnsi="Arial"/>
          <w:sz w:val="18"/>
          <w:szCs w:val="18"/>
          <w:u w:val="single" w:color="auto"/>
          <w:color w:val="auto"/>
        </w:rPr>
        <w:t>Shares Not Counted Against Share Pool Reserve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anything contained in Section 3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71" w:name="page1172"/>
    <w:bookmarkEnd w:id="1171"/>
    <w:p>
      <w:pPr>
        <w:ind w:left="1360" w:hanging="704"/>
        <w:spacing w:after="0"/>
        <w:tabs>
          <w:tab w:leader="none" w:pos="1360" w:val="left"/>
        </w:tabs>
        <w:numPr>
          <w:ilvl w:val="0"/>
          <w:numId w:val="1243"/>
        </w:numPr>
        <w:rPr>
          <w:rFonts w:ascii="Arial" w:cs="Arial" w:eastAsia="Arial" w:hAnsi="Arial"/>
          <w:sz w:val="18"/>
          <w:szCs w:val="18"/>
          <w:color w:val="auto"/>
        </w:rPr>
      </w:pPr>
      <w:r>
        <w:rPr>
          <w:rFonts w:ascii="Arial" w:cs="Arial" w:eastAsia="Arial" w:hAnsi="Arial"/>
          <w:sz w:val="18"/>
          <w:szCs w:val="18"/>
          <w:u w:val="single" w:color="auto"/>
          <w:color w:val="auto"/>
        </w:rPr>
        <w:t>Non-Employee Director Award Limit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spacing w:after="0" w:line="188" w:lineRule="exact"/>
        <w:rPr>
          <w:sz w:val="20"/>
          <w:szCs w:val="20"/>
          <w:color w:val="auto"/>
        </w:rPr>
      </w:pPr>
    </w:p>
    <w:p>
      <w:pPr>
        <w:ind w:left="1380" w:hanging="724"/>
        <w:spacing w:after="0"/>
        <w:tabs>
          <w:tab w:leader="none" w:pos="1380" w:val="left"/>
        </w:tabs>
        <w:numPr>
          <w:ilvl w:val="0"/>
          <w:numId w:val="1244"/>
        </w:numPr>
        <w:rPr>
          <w:rFonts w:ascii="Arial" w:cs="Arial" w:eastAsia="Arial" w:hAnsi="Arial"/>
          <w:sz w:val="18"/>
          <w:szCs w:val="18"/>
          <w:color w:val="auto"/>
        </w:rPr>
      </w:pPr>
      <w:r>
        <w:rPr>
          <w:rFonts w:ascii="Arial" w:cs="Arial" w:eastAsia="Arial" w:hAnsi="Arial"/>
          <w:sz w:val="18"/>
          <w:szCs w:val="18"/>
          <w:u w:val="single" w:color="auto"/>
          <w:color w:val="auto"/>
        </w:rPr>
        <w:t>Award Limits for Employees and Consultants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maximum number of Shares that may be subject to Options or Share Appreciation Awards that are granted to any Employee or any Consultant during any calendar year shall not exceed 400,000 Shares, subject to adjustment as provided in Section 11 hereof. The maximum amount with respect to one or more Performance-Based Awards that may be granted to any Employee or any Consultant during any calendar year shall not exceed $25,000,000 calculated based on the Fair Market Value of the number of Shares subject to the Performance-Based Award on the date of grant.</w:t>
      </w:r>
    </w:p>
    <w:p>
      <w:pPr>
        <w:spacing w:after="0" w:line="167" w:lineRule="exact"/>
        <w:rPr>
          <w:sz w:val="20"/>
          <w:szCs w:val="20"/>
          <w:color w:val="auto"/>
        </w:rPr>
      </w:pPr>
    </w:p>
    <w:p>
      <w:pPr>
        <w:ind w:left="640" w:hanging="632"/>
        <w:spacing w:after="0"/>
        <w:tabs>
          <w:tab w:leader="none" w:pos="640" w:val="left"/>
        </w:tabs>
        <w:numPr>
          <w:ilvl w:val="0"/>
          <w:numId w:val="1245"/>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left="1360" w:hanging="704"/>
        <w:spacing w:after="0"/>
        <w:tabs>
          <w:tab w:leader="none" w:pos="1360" w:val="left"/>
        </w:tabs>
        <w:numPr>
          <w:ilvl w:val="0"/>
          <w:numId w:val="1246"/>
        </w:numPr>
        <w:rPr>
          <w:rFonts w:ascii="Arial" w:cs="Arial" w:eastAsia="Arial" w:hAnsi="Arial"/>
          <w:sz w:val="18"/>
          <w:szCs w:val="18"/>
          <w:color w:val="auto"/>
        </w:rPr>
      </w:pPr>
      <w:r>
        <w:rPr>
          <w:rFonts w:ascii="Arial" w:cs="Arial" w:eastAsia="Arial" w:hAnsi="Arial"/>
          <w:sz w:val="18"/>
          <w:szCs w:val="18"/>
          <w:u w:val="single" w:color="auto"/>
          <w:color w:val="auto"/>
        </w:rPr>
        <w:t>Committee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Plan shall be administered by the Committee, which may delegate its duties and powers in whole or in part to any subcommittee thereof consisting solely of at least two individuals who are intended to qualify as “Non-Employee Directors” within the meaning of Rule 16b-3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the authority to take any of the actions set forth in Section 4(b), including the authority to grant Awards under the Plan to any Employee or group of Employees of the Company or an Affiliate; provided that such delegation, including to grant Awards, is consistent with Applicable Laws and guidelines established by the Committee from time to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72" w:name="page1173"/>
    <w:bookmarkEnd w:id="1172"/>
    <w:p>
      <w:pPr>
        <w:ind w:left="1320" w:hanging="664"/>
        <w:spacing w:after="0"/>
        <w:tabs>
          <w:tab w:leader="none" w:pos="1320" w:val="left"/>
        </w:tabs>
        <w:numPr>
          <w:ilvl w:val="0"/>
          <w:numId w:val="1247"/>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has the exclusive power, authority and discretion to:</w:t>
      </w:r>
    </w:p>
    <w:p>
      <w:pPr>
        <w:spacing w:after="0" w:line="225" w:lineRule="exact"/>
        <w:rPr>
          <w:sz w:val="20"/>
          <w:szCs w:val="20"/>
          <w:color w:val="auto"/>
        </w:rPr>
      </w:pPr>
    </w:p>
    <w:p>
      <w:pPr>
        <w:ind w:left="1360" w:hanging="704"/>
        <w:spacing w:after="0"/>
        <w:tabs>
          <w:tab w:leader="none" w:pos="136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4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without limitation, the Option Price, grant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and any provisions related to non-competition and recapture of gain on an Award, based in each case on such considerations as the Committee in its sole discretion determines;</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93"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 an Award may be settled in, or the exercise price of an Award may be paid in, cash, Shares, other Awards, or other property, (B) the vesting, exercisability or forfeiture restrictions applicable to an Award may be accelerated or waived, including, without limitation, in connection with the Participant’s retirement or other termination or other event, or (C) an Award may be cancelled, forfeited, or surrendered;</w:t>
      </w:r>
    </w:p>
    <w:p>
      <w:pPr>
        <w:spacing w:after="0" w:line="186" w:lineRule="exact"/>
        <w:rPr>
          <w:rFonts w:ascii="Arial" w:cs="Arial" w:eastAsia="Arial" w:hAnsi="Arial"/>
          <w:sz w:val="18"/>
          <w:szCs w:val="18"/>
          <w:color w:val="auto"/>
        </w:rPr>
      </w:pPr>
    </w:p>
    <w:p>
      <w:pPr>
        <w:ind w:firstLine="656"/>
        <w:spacing w:after="0" w:line="277" w:lineRule="auto"/>
        <w:tabs>
          <w:tab w:leader="none" w:pos="1439"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 and may vary for Participants within and outside of the United States;</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Allot and issue any Shares which are to be allotted and issued upon the vesting or exercise of any Award;</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39"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Construe and interpret the terms of, and any matter arising pursuant to, the Plan, or any Award Agreement;</w:t>
      </w:r>
    </w:p>
    <w:p>
      <w:pPr>
        <w:spacing w:after="0" w:line="225" w:lineRule="exact"/>
        <w:rPr>
          <w:rFonts w:ascii="Arial" w:cs="Arial" w:eastAsia="Arial" w:hAnsi="Arial"/>
          <w:sz w:val="18"/>
          <w:szCs w:val="18"/>
          <w:color w:val="auto"/>
        </w:rPr>
      </w:pPr>
    </w:p>
    <w:p>
      <w:pPr>
        <w:ind w:firstLine="656"/>
        <w:spacing w:after="0" w:line="277" w:lineRule="auto"/>
        <w:tabs>
          <w:tab w:leader="none" w:pos="1371"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Correct any defect or supply any omission or reconcile any inconsistency in the Plan in the manner and to the extent the Committee deems necessary or desirable; and</w:t>
      </w:r>
    </w:p>
    <w:p>
      <w:pPr>
        <w:spacing w:after="0" w:line="170" w:lineRule="exact"/>
        <w:rPr>
          <w:rFonts w:ascii="Arial" w:cs="Arial" w:eastAsia="Arial" w:hAnsi="Arial"/>
          <w:sz w:val="18"/>
          <w:szCs w:val="18"/>
          <w:color w:val="auto"/>
        </w:rPr>
      </w:pPr>
    </w:p>
    <w:p>
      <w:pPr>
        <w:ind w:firstLine="656"/>
        <w:spacing w:after="0" w:line="277" w:lineRule="auto"/>
        <w:tabs>
          <w:tab w:leader="none" w:pos="1363" w:val="left"/>
        </w:tabs>
        <w:numPr>
          <w:ilvl w:val="0"/>
          <w:numId w:val="124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170" w:lineRule="exact"/>
        <w:rPr>
          <w:sz w:val="20"/>
          <w:szCs w:val="20"/>
          <w:color w:val="auto"/>
        </w:rPr>
      </w:pPr>
    </w:p>
    <w:p>
      <w:pPr>
        <w:ind w:left="1360" w:hanging="704"/>
        <w:spacing w:after="0"/>
        <w:tabs>
          <w:tab w:leader="none" w:pos="1360" w:val="left"/>
        </w:tabs>
        <w:numPr>
          <w:ilvl w:val="0"/>
          <w:numId w:val="1249"/>
        </w:numPr>
        <w:rPr>
          <w:rFonts w:ascii="Arial" w:cs="Arial" w:eastAsia="Arial" w:hAnsi="Arial"/>
          <w:sz w:val="18"/>
          <w:szCs w:val="18"/>
          <w:color w:val="auto"/>
        </w:rPr>
      </w:pPr>
      <w:r>
        <w:rPr>
          <w:rFonts w:ascii="Arial" w:cs="Arial" w:eastAsia="Arial" w:hAnsi="Arial"/>
          <w:sz w:val="18"/>
          <w:szCs w:val="18"/>
          <w:u w:val="single" w:color="auto"/>
          <w:color w:val="auto"/>
        </w:rPr>
        <w:t>Decisions Binding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decision of the Committee or its delegate pursuant to Section 4(a) hereof shall lie within its sole and absolute discretion and shall be final, conclusive and binding on all parties concerned (including, but not limited to, Participants and their beneficiaries or successors).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73" w:name="page1174"/>
    <w:bookmarkEnd w:id="1173"/>
    <w:p>
      <w:pPr>
        <w:ind w:left="640" w:hanging="632"/>
        <w:spacing w:after="0"/>
        <w:tabs>
          <w:tab w:leader="none" w:pos="640" w:val="left"/>
        </w:tabs>
        <w:numPr>
          <w:ilvl w:val="0"/>
          <w:numId w:val="1250"/>
        </w:numPr>
        <w:rPr>
          <w:rFonts w:ascii="Arial" w:cs="Arial" w:eastAsia="Arial" w:hAnsi="Arial"/>
          <w:sz w:val="18"/>
          <w:szCs w:val="18"/>
          <w:color w:val="auto"/>
        </w:rPr>
      </w:pPr>
      <w:r>
        <w:rPr>
          <w:rFonts w:ascii="Arial" w:cs="Arial" w:eastAsia="Arial" w:hAnsi="Arial"/>
          <w:sz w:val="18"/>
          <w:szCs w:val="18"/>
          <w:b w:val="1"/>
          <w:bCs w:val="1"/>
          <w:color w:val="auto"/>
        </w:rPr>
        <w:t>Terms and Conditions of Restricted Share Units</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50"/>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Committee is authorized to grant Restricted Share Units to Participants in such amounts and subject to such terms and conditions not inconsistent with the Plan as the Committee shall determine.</w:t>
      </w:r>
    </w:p>
    <w:p>
      <w:pPr>
        <w:spacing w:after="0" w:line="170" w:lineRule="exact"/>
        <w:rPr>
          <w:sz w:val="20"/>
          <w:szCs w:val="20"/>
          <w:color w:val="auto"/>
        </w:rPr>
      </w:pPr>
    </w:p>
    <w:p>
      <w:pPr>
        <w:ind w:left="1360" w:hanging="704"/>
        <w:spacing w:after="0"/>
        <w:tabs>
          <w:tab w:leader="none" w:pos="1360" w:val="left"/>
        </w:tabs>
        <w:numPr>
          <w:ilvl w:val="0"/>
          <w:numId w:val="1251"/>
        </w:numPr>
        <w:rPr>
          <w:rFonts w:ascii="Arial" w:cs="Arial" w:eastAsia="Arial" w:hAnsi="Arial"/>
          <w:sz w:val="18"/>
          <w:szCs w:val="18"/>
          <w:color w:val="auto"/>
        </w:rPr>
      </w:pPr>
      <w:r>
        <w:rPr>
          <w:rFonts w:ascii="Arial" w:cs="Arial" w:eastAsia="Arial" w:hAnsi="Arial"/>
          <w:sz w:val="18"/>
          <w:szCs w:val="18"/>
          <w:u w:val="single" w:color="auto"/>
          <w:color w:val="auto"/>
        </w:rPr>
        <w:t>Vesting Restrictions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spacing w:after="0" w:line="181" w:lineRule="exact"/>
        <w:rPr>
          <w:sz w:val="20"/>
          <w:szCs w:val="20"/>
          <w:color w:val="auto"/>
        </w:rPr>
      </w:pPr>
    </w:p>
    <w:p>
      <w:pPr>
        <w:ind w:left="1360" w:hanging="704"/>
        <w:spacing w:after="0"/>
        <w:tabs>
          <w:tab w:leader="none" w:pos="1360" w:val="left"/>
        </w:tabs>
        <w:numPr>
          <w:ilvl w:val="0"/>
          <w:numId w:val="1252"/>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Section 20 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Section 20 hereof). Until a Restricted Share Unit is settled, the number of Restricted Share Units shall be subject to adjustment pursuant to Section 11 hereof.</w:t>
      </w:r>
    </w:p>
    <w:p>
      <w:pPr>
        <w:spacing w:after="0" w:line="192" w:lineRule="exact"/>
        <w:rPr>
          <w:sz w:val="20"/>
          <w:szCs w:val="20"/>
          <w:color w:val="auto"/>
        </w:rPr>
      </w:pPr>
    </w:p>
    <w:p>
      <w:pPr>
        <w:ind w:left="1360" w:hanging="704"/>
        <w:spacing w:after="0"/>
        <w:tabs>
          <w:tab w:leader="none" w:pos="1360" w:val="left"/>
        </w:tabs>
        <w:numPr>
          <w:ilvl w:val="0"/>
          <w:numId w:val="1253"/>
        </w:numPr>
        <w:rPr>
          <w:rFonts w:ascii="Arial" w:cs="Arial" w:eastAsia="Arial" w:hAnsi="Arial"/>
          <w:sz w:val="18"/>
          <w:szCs w:val="18"/>
          <w:color w:val="auto"/>
        </w:rPr>
      </w:pPr>
      <w:r>
        <w:rPr>
          <w:rFonts w:ascii="Arial" w:cs="Arial" w:eastAsia="Arial" w:hAnsi="Arial"/>
          <w:sz w:val="18"/>
          <w:szCs w:val="18"/>
          <w:u w:val="single" w:color="auto"/>
          <w:color w:val="auto"/>
        </w:rPr>
        <w:t>Forfeiture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determined by the Committee at the time of the grant of the Award or thereafter, any Restricted Share Units that are not vested as of the date of the Participant’s termination of Service shall be forfeited.</w:t>
      </w:r>
    </w:p>
    <w:p>
      <w:pPr>
        <w:spacing w:after="0" w:line="170" w:lineRule="exact"/>
        <w:rPr>
          <w:sz w:val="20"/>
          <w:szCs w:val="20"/>
          <w:color w:val="auto"/>
        </w:rPr>
      </w:pPr>
    </w:p>
    <w:p>
      <w:pPr>
        <w:ind w:left="1360" w:hanging="704"/>
        <w:spacing w:after="0"/>
        <w:tabs>
          <w:tab w:leader="none" w:pos="1360" w:val="left"/>
        </w:tabs>
        <w:numPr>
          <w:ilvl w:val="0"/>
          <w:numId w:val="1254"/>
        </w:numPr>
        <w:rPr>
          <w:rFonts w:ascii="Arial" w:cs="Arial" w:eastAsia="Arial" w:hAnsi="Arial"/>
          <w:sz w:val="18"/>
          <w:szCs w:val="18"/>
          <w:color w:val="auto"/>
        </w:rPr>
      </w:pPr>
      <w:r>
        <w:rPr>
          <w:rFonts w:ascii="Arial" w:cs="Arial" w:eastAsia="Arial" w:hAnsi="Arial"/>
          <w:sz w:val="18"/>
          <w:szCs w:val="18"/>
          <w:u w:val="single" w:color="auto"/>
          <w:color w:val="auto"/>
        </w:rPr>
        <w:t>General Creditors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spacing w:after="0" w:line="177" w:lineRule="exact"/>
        <w:rPr>
          <w:sz w:val="20"/>
          <w:szCs w:val="20"/>
          <w:color w:val="auto"/>
        </w:rPr>
      </w:pPr>
    </w:p>
    <w:p>
      <w:pPr>
        <w:ind w:left="640" w:hanging="632"/>
        <w:spacing w:after="0"/>
        <w:tabs>
          <w:tab w:leader="none" w:pos="640" w:val="left"/>
        </w:tabs>
        <w:numPr>
          <w:ilvl w:val="0"/>
          <w:numId w:val="1255"/>
        </w:numPr>
        <w:rPr>
          <w:rFonts w:ascii="Arial" w:cs="Arial" w:eastAsia="Arial" w:hAnsi="Arial"/>
          <w:sz w:val="18"/>
          <w:szCs w:val="18"/>
          <w:color w:val="auto"/>
        </w:rPr>
      </w:pPr>
      <w:r>
        <w:rPr>
          <w:rFonts w:ascii="Arial" w:cs="Arial" w:eastAsia="Arial" w:hAnsi="Arial"/>
          <w:sz w:val="18"/>
          <w:szCs w:val="18"/>
          <w:b w:val="1"/>
          <w:bCs w:val="1"/>
          <w:color w:val="auto"/>
        </w:rPr>
        <w:t>Terms and Conditions of Restricted Share Awards</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55"/>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Committee is authorized to grant Restricted Shares to Participants selected by the Committee in such amounts and subject to such terms and conditions not inconsistent with the Plan as the Committee shall determine.</w:t>
      </w:r>
    </w:p>
    <w:p>
      <w:pPr>
        <w:spacing w:after="0" w:line="170" w:lineRule="exact"/>
        <w:rPr>
          <w:sz w:val="20"/>
          <w:szCs w:val="20"/>
          <w:color w:val="auto"/>
        </w:rPr>
      </w:pPr>
    </w:p>
    <w:p>
      <w:pPr>
        <w:ind w:left="1360" w:hanging="704"/>
        <w:spacing w:after="0"/>
        <w:tabs>
          <w:tab w:leader="none" w:pos="1360" w:val="left"/>
        </w:tabs>
        <w:numPr>
          <w:ilvl w:val="0"/>
          <w:numId w:val="1256"/>
        </w:numPr>
        <w:rPr>
          <w:rFonts w:ascii="Arial" w:cs="Arial" w:eastAsia="Arial" w:hAnsi="Arial"/>
          <w:sz w:val="18"/>
          <w:szCs w:val="18"/>
          <w:color w:val="auto"/>
        </w:rPr>
      </w:pPr>
      <w:r>
        <w:rPr>
          <w:rFonts w:ascii="Arial" w:cs="Arial" w:eastAsia="Arial" w:hAnsi="Arial"/>
          <w:sz w:val="18"/>
          <w:szCs w:val="18"/>
          <w:u w:val="single" w:color="auto"/>
          <w:color w:val="auto"/>
        </w:rPr>
        <w:t>Purchase Price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of the grant of Restricted Shares, the Committee shall determine the price, if any, to be paid by the Participant for each Share subject to the Award. The purchase price of Shares acquired pursuant to the Award shall be paid: (i) in cash at the time of purchase; (ii) at the sole discretion of the Committee, by Service rendered or to be rendered to the Company or an Affiliate; or (iii) in any other form of legal consideration that may be acceptable to the Committee in its sole discretion and in compliance with Applicable Laws.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74" w:name="page1175"/>
    <w:bookmarkEnd w:id="1174"/>
    <w:p>
      <w:pPr>
        <w:ind w:left="1360" w:hanging="704"/>
        <w:spacing w:after="0"/>
        <w:tabs>
          <w:tab w:leader="none" w:pos="1360" w:val="left"/>
        </w:tabs>
        <w:numPr>
          <w:ilvl w:val="0"/>
          <w:numId w:val="1257"/>
        </w:numPr>
        <w:rPr>
          <w:rFonts w:ascii="Arial" w:cs="Arial" w:eastAsia="Arial" w:hAnsi="Arial"/>
          <w:sz w:val="18"/>
          <w:szCs w:val="18"/>
          <w:color w:val="auto"/>
        </w:rPr>
      </w:pPr>
      <w:r>
        <w:rPr>
          <w:rFonts w:ascii="Arial" w:cs="Arial" w:eastAsia="Arial" w:hAnsi="Arial"/>
          <w:sz w:val="18"/>
          <w:szCs w:val="18"/>
          <w:u w:val="single" w:color="auto"/>
          <w:color w:val="auto"/>
        </w:rPr>
        <w:t>Issuance and Restrictions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spacing w:after="0" w:line="188" w:lineRule="exact"/>
        <w:rPr>
          <w:sz w:val="20"/>
          <w:szCs w:val="20"/>
          <w:color w:val="auto"/>
        </w:rPr>
      </w:pPr>
    </w:p>
    <w:p>
      <w:pPr>
        <w:ind w:left="1360" w:hanging="704"/>
        <w:spacing w:after="0"/>
        <w:tabs>
          <w:tab w:leader="none" w:pos="1360" w:val="left"/>
        </w:tabs>
        <w:numPr>
          <w:ilvl w:val="0"/>
          <w:numId w:val="1258"/>
        </w:numPr>
        <w:rPr>
          <w:rFonts w:ascii="Arial" w:cs="Arial" w:eastAsia="Arial" w:hAnsi="Arial"/>
          <w:sz w:val="18"/>
          <w:szCs w:val="18"/>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dividends that are distributed with respect to Restricted Shares shall be paid in accordance with the applicable Award Agreement, subject to the provisions of Section 10(b)(ii) hereof.</w:t>
      </w:r>
    </w:p>
    <w:p>
      <w:pPr>
        <w:spacing w:after="0" w:line="170" w:lineRule="exact"/>
        <w:rPr>
          <w:sz w:val="20"/>
          <w:szCs w:val="20"/>
          <w:color w:val="auto"/>
        </w:rPr>
      </w:pPr>
    </w:p>
    <w:p>
      <w:pPr>
        <w:ind w:left="1360" w:hanging="704"/>
        <w:spacing w:after="0"/>
        <w:tabs>
          <w:tab w:leader="none" w:pos="1360" w:val="left"/>
        </w:tabs>
        <w:numPr>
          <w:ilvl w:val="0"/>
          <w:numId w:val="1259"/>
        </w:numPr>
        <w:rPr>
          <w:rFonts w:ascii="Arial" w:cs="Arial" w:eastAsia="Arial" w:hAnsi="Arial"/>
          <w:sz w:val="18"/>
          <w:szCs w:val="18"/>
          <w:color w:val="auto"/>
        </w:rPr>
      </w:pPr>
      <w:r>
        <w:rPr>
          <w:rFonts w:ascii="Arial" w:cs="Arial" w:eastAsia="Arial" w:hAnsi="Arial"/>
          <w:sz w:val="18"/>
          <w:szCs w:val="18"/>
          <w:u w:val="single" w:color="auto"/>
          <w:color w:val="auto"/>
        </w:rPr>
        <w:t>Forfeiture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determined by the Committee at the time of the grant of the Award or thereafter, upon termination of Service during the applicable restriction period, Restricted Shares that are at that time subject to restrictions shall be forfeited.</w:t>
      </w:r>
    </w:p>
    <w:p>
      <w:pPr>
        <w:spacing w:after="0" w:line="170" w:lineRule="exact"/>
        <w:rPr>
          <w:sz w:val="20"/>
          <w:szCs w:val="20"/>
          <w:color w:val="auto"/>
        </w:rPr>
      </w:pPr>
    </w:p>
    <w:p>
      <w:pPr>
        <w:ind w:left="1380" w:hanging="724"/>
        <w:spacing w:after="0"/>
        <w:tabs>
          <w:tab w:leader="none" w:pos="1380" w:val="left"/>
        </w:tabs>
        <w:numPr>
          <w:ilvl w:val="0"/>
          <w:numId w:val="1260"/>
        </w:numPr>
        <w:rPr>
          <w:rFonts w:ascii="Arial" w:cs="Arial" w:eastAsia="Arial" w:hAnsi="Arial"/>
          <w:sz w:val="18"/>
          <w:szCs w:val="18"/>
          <w:color w:val="auto"/>
        </w:rPr>
      </w:pPr>
      <w:r>
        <w:rPr>
          <w:rFonts w:ascii="Arial" w:cs="Arial" w:eastAsia="Arial" w:hAnsi="Arial"/>
          <w:sz w:val="18"/>
          <w:szCs w:val="18"/>
          <w:u w:val="single" w:color="auto"/>
          <w:color w:val="auto"/>
        </w:rPr>
        <w:t>Certificates for Restricted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Shares granted pursuant to the Plan may be evidenced in such manner as the Committee shall determine. If certificates representing Restricted Shares are registered in the name of the Participant, certificates shall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3" w:lineRule="exact"/>
        <w:rPr>
          <w:sz w:val="20"/>
          <w:szCs w:val="20"/>
          <w:color w:val="auto"/>
        </w:rPr>
      </w:pPr>
    </w:p>
    <w:p>
      <w:pPr>
        <w:ind w:left="640" w:hanging="632"/>
        <w:spacing w:after="0"/>
        <w:tabs>
          <w:tab w:leader="none" w:pos="640" w:val="left"/>
        </w:tabs>
        <w:numPr>
          <w:ilvl w:val="0"/>
          <w:numId w:val="1261"/>
        </w:numPr>
        <w:rPr>
          <w:rFonts w:ascii="Arial" w:cs="Arial" w:eastAsia="Arial" w:hAnsi="Arial"/>
          <w:sz w:val="18"/>
          <w:szCs w:val="18"/>
          <w:color w:val="auto"/>
        </w:rPr>
      </w:pPr>
      <w:r>
        <w:rPr>
          <w:rFonts w:ascii="Arial" w:cs="Arial" w:eastAsia="Arial" w:hAnsi="Arial"/>
          <w:sz w:val="18"/>
          <w:szCs w:val="18"/>
          <w:b w:val="1"/>
          <w:bCs w:val="1"/>
          <w:color w:val="auto"/>
        </w:rPr>
        <w:t>Terms and Conditions of Options</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61"/>
        </w:numPr>
        <w:rPr>
          <w:rFonts w:ascii="Arial" w:cs="Arial" w:eastAsia="Arial" w:hAnsi="Arial"/>
          <w:sz w:val="18"/>
          <w:szCs w:val="18"/>
          <w:color w:val="auto"/>
        </w:rPr>
      </w:pPr>
      <w:r>
        <w:rPr>
          <w:rFonts w:ascii="Arial" w:cs="Arial" w:eastAsia="Arial" w:hAnsi="Arial"/>
          <w:sz w:val="18"/>
          <w:szCs w:val="18"/>
          <w:u w:val="single" w:color="auto"/>
          <w:color w:val="auto"/>
        </w:rPr>
        <w:t>Option Type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spacing w:after="0" w:line="181" w:lineRule="exact"/>
        <w:rPr>
          <w:sz w:val="20"/>
          <w:szCs w:val="20"/>
          <w:color w:val="auto"/>
        </w:rPr>
      </w:pPr>
    </w:p>
    <w:p>
      <w:pPr>
        <w:ind w:left="1360" w:hanging="704"/>
        <w:spacing w:after="0"/>
        <w:tabs>
          <w:tab w:leader="none" w:pos="1360" w:val="left"/>
        </w:tabs>
        <w:numPr>
          <w:ilvl w:val="0"/>
          <w:numId w:val="1262"/>
        </w:numPr>
        <w:rPr>
          <w:rFonts w:ascii="Arial" w:cs="Arial" w:eastAsia="Arial" w:hAnsi="Arial"/>
          <w:sz w:val="18"/>
          <w:szCs w:val="18"/>
          <w:color w:val="auto"/>
        </w:rPr>
      </w:pPr>
      <w:r>
        <w:rPr>
          <w:rFonts w:ascii="Arial" w:cs="Arial" w:eastAsia="Arial" w:hAnsi="Arial"/>
          <w:sz w:val="18"/>
          <w:szCs w:val="18"/>
          <w:u w:val="single" w:color="auto"/>
          <w:color w:val="auto"/>
        </w:rPr>
        <w:t>Option Price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Option Price per Share shall be determined by the Committee, but shall not be less than the lower of (i) 100% of the Fair Market Value of a Share on the date an Option is granted (other than in the case of Substitute Awards) and (ii) the nominal value of a Share.</w:t>
      </w:r>
    </w:p>
    <w:p>
      <w:pPr>
        <w:spacing w:after="0" w:line="170" w:lineRule="exact"/>
        <w:rPr>
          <w:sz w:val="20"/>
          <w:szCs w:val="20"/>
          <w:color w:val="auto"/>
        </w:rPr>
      </w:pPr>
    </w:p>
    <w:p>
      <w:pPr>
        <w:ind w:left="1360" w:hanging="704"/>
        <w:spacing w:after="0"/>
        <w:tabs>
          <w:tab w:leader="none" w:pos="1360" w:val="left"/>
        </w:tabs>
        <w:numPr>
          <w:ilvl w:val="0"/>
          <w:numId w:val="1263"/>
        </w:numPr>
        <w:rPr>
          <w:rFonts w:ascii="Arial" w:cs="Arial" w:eastAsia="Arial" w:hAnsi="Arial"/>
          <w:sz w:val="18"/>
          <w:szCs w:val="18"/>
          <w:color w:val="auto"/>
        </w:rPr>
      </w:pPr>
      <w:r>
        <w:rPr>
          <w:rFonts w:ascii="Arial" w:cs="Arial" w:eastAsia="Arial" w:hAnsi="Arial"/>
          <w:sz w:val="18"/>
          <w:szCs w:val="18"/>
          <w:u w:val="single" w:color="auto"/>
          <w:color w:val="auto"/>
        </w:rPr>
        <w:t>Exercisability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75" w:name="page1176"/>
    <w:bookmarkEnd w:id="1175"/>
    <w:p>
      <w:pPr>
        <w:ind w:left="1360" w:hanging="704"/>
        <w:spacing w:after="0"/>
        <w:tabs>
          <w:tab w:leader="none" w:pos="1360" w:val="left"/>
        </w:tabs>
        <w:numPr>
          <w:ilvl w:val="0"/>
          <w:numId w:val="1264"/>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Except as otherwise provided in the Plan or in an Award Agreement, an Option may be exercised for all, or from time to time any part, of the Shares for which it is then exercisable. For purposes of Section 7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purchase price for the Shares as to which an Option is exercised shall be paid to the Company as designated by the Committee (including pursuant to any applicable Award Agreement), pursuant to one or more of the following methods: (i) in cash or its equivalent (e.g., by personal check), (ii) if there is a public market for the Shares underlying the Options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(iii) any other method of payment authorized by the Committee. No fractional Shares will be issued upon exercise of an Option, but instead the number of Shares will be rounded downward to the next whole Share.</w:t>
      </w:r>
    </w:p>
    <w:p>
      <w:pPr>
        <w:spacing w:after="0" w:line="178" w:lineRule="exact"/>
        <w:rPr>
          <w:sz w:val="20"/>
          <w:szCs w:val="20"/>
          <w:color w:val="auto"/>
        </w:rPr>
      </w:pPr>
    </w:p>
    <w:p>
      <w:pPr>
        <w:ind w:left="1360" w:hanging="704"/>
        <w:spacing w:after="0"/>
        <w:tabs>
          <w:tab w:leader="none" w:pos="1360" w:val="left"/>
        </w:tabs>
        <w:numPr>
          <w:ilvl w:val="0"/>
          <w:numId w:val="1265"/>
        </w:numPr>
        <w:rPr>
          <w:rFonts w:ascii="Arial" w:cs="Arial" w:eastAsia="Arial" w:hAnsi="Arial"/>
          <w:sz w:val="18"/>
          <w:szCs w:val="18"/>
          <w:color w:val="auto"/>
        </w:rPr>
      </w:pPr>
      <w:r>
        <w:rPr>
          <w:rFonts w:ascii="Arial" w:cs="Arial" w:eastAsia="Arial" w:hAnsi="Arial"/>
          <w:sz w:val="18"/>
          <w:szCs w:val="18"/>
          <w:u w:val="single" w:color="auto"/>
          <w:color w:val="auto"/>
        </w:rPr>
        <w:t>ISOs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169" w:lineRule="exact"/>
        <w:rPr>
          <w:sz w:val="20"/>
          <w:szCs w:val="20"/>
          <w:color w:val="auto"/>
        </w:rPr>
      </w:pPr>
    </w:p>
    <w:p>
      <w:pPr>
        <w:ind w:left="1380" w:hanging="724"/>
        <w:spacing w:after="0"/>
        <w:tabs>
          <w:tab w:leader="none" w:pos="1380" w:val="left"/>
        </w:tabs>
        <w:numPr>
          <w:ilvl w:val="0"/>
          <w:numId w:val="1266"/>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Participant shall have any rights to dividends or other rights of a shareholder with respect to Shares subject to an Option until the Participant has given written notice of exercise of the Option, paid in full for such Shares and, if applicable, has satisfied any other conditions imposed by the Committee pursuant to the Plan and applicable Award Agreement.</w:t>
      </w:r>
    </w:p>
    <w:p>
      <w:pPr>
        <w:spacing w:after="0" w:line="177" w:lineRule="exact"/>
        <w:rPr>
          <w:sz w:val="20"/>
          <w:szCs w:val="20"/>
          <w:color w:val="auto"/>
        </w:rPr>
      </w:pPr>
    </w:p>
    <w:p>
      <w:pPr>
        <w:ind w:left="640" w:hanging="632"/>
        <w:spacing w:after="0"/>
        <w:tabs>
          <w:tab w:leader="none" w:pos="640" w:val="left"/>
        </w:tabs>
        <w:numPr>
          <w:ilvl w:val="0"/>
          <w:numId w:val="1267"/>
        </w:numPr>
        <w:rPr>
          <w:rFonts w:ascii="Arial" w:cs="Arial" w:eastAsia="Arial" w:hAnsi="Arial"/>
          <w:sz w:val="18"/>
          <w:szCs w:val="18"/>
          <w:color w:val="auto"/>
        </w:rPr>
      </w:pPr>
      <w:r>
        <w:rPr>
          <w:rFonts w:ascii="Arial" w:cs="Arial" w:eastAsia="Arial" w:hAnsi="Arial"/>
          <w:sz w:val="18"/>
          <w:szCs w:val="18"/>
          <w:b w:val="1"/>
          <w:bCs w:val="1"/>
          <w:color w:val="auto"/>
        </w:rPr>
        <w:t>Terms and Conditions of Share Appreciation Rights</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67"/>
        </w:numPr>
        <w:rPr>
          <w:rFonts w:ascii="Arial" w:cs="Arial" w:eastAsia="Arial" w:hAnsi="Arial"/>
          <w:sz w:val="18"/>
          <w:szCs w:val="18"/>
          <w:color w:val="auto"/>
        </w:rPr>
      </w:pPr>
      <w:r>
        <w:rPr>
          <w:rFonts w:ascii="Arial" w:cs="Arial" w:eastAsia="Arial" w:hAnsi="Arial"/>
          <w:sz w:val="18"/>
          <w:szCs w:val="18"/>
          <w:u w:val="single" w:color="auto"/>
          <w:color w:val="auto"/>
        </w:rPr>
        <w:t>Grants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covered by an Option (or such lesser number of Shares as the Committee may determine) and</w:t>
      </w:r>
    </w:p>
    <w:p>
      <w:pPr>
        <w:ind w:firstLine="8"/>
        <w:spacing w:after="0" w:line="290" w:lineRule="auto"/>
        <w:tabs>
          <w:tab w:leader="none" w:pos="301" w:val="left"/>
        </w:tabs>
        <w:numPr>
          <w:ilvl w:val="0"/>
          <w:numId w:val="1268"/>
        </w:numPr>
        <w:rPr>
          <w:rFonts w:ascii="Arial" w:cs="Arial" w:eastAsia="Arial" w:hAnsi="Arial"/>
          <w:sz w:val="17"/>
          <w:szCs w:val="17"/>
          <w:color w:val="auto"/>
        </w:rPr>
      </w:pPr>
      <w:r>
        <w:rPr>
          <w:rFonts w:ascii="Arial" w:cs="Arial" w:eastAsia="Arial" w:hAnsi="Arial"/>
          <w:sz w:val="17"/>
          <w:szCs w:val="17"/>
          <w:color w:val="auto"/>
        </w:rPr>
        <w:t>shall be subject to the same terms and conditions as such Option except for such additional limitations as are contemplated by this Section 8 (or such additional limitations as may be included in an Award Agreement). Payment shall be made in Shares or cash, at the discretion of the Committee.</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6" w:name="page1177"/>
    <w:bookmarkEnd w:id="1176"/>
    <w:p>
      <w:pPr>
        <w:ind w:left="1320" w:hanging="664"/>
        <w:spacing w:after="0"/>
        <w:tabs>
          <w:tab w:leader="none" w:pos="1320" w:val="left"/>
        </w:tabs>
        <w:numPr>
          <w:ilvl w:val="0"/>
          <w:numId w:val="1269"/>
        </w:numPr>
        <w:rPr>
          <w:rFonts w:ascii="Arial" w:cs="Arial" w:eastAsia="Arial" w:hAnsi="Arial"/>
          <w:sz w:val="18"/>
          <w:szCs w:val="18"/>
          <w:color w:val="auto"/>
        </w:rPr>
      </w:pPr>
      <w:r>
        <w:rPr>
          <w:rFonts w:ascii="Arial" w:cs="Arial" w:eastAsia="Arial" w:hAnsi="Arial"/>
          <w:sz w:val="18"/>
          <w:szCs w:val="18"/>
          <w:u w:val="single" w:color="auto"/>
          <w:color w:val="auto"/>
        </w:rPr>
        <w:t>Terms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exercise price per Share of a Share Appreciation Right shall be an amount determined by the Committee but in no event shall such amount be less than the Fair Market Value of a Share on the date the Share Appreciation Right is granted (other than in the case of Substitute Awards); provided, that in the case of a Share Appreciation Right granted in conjunction with an Option, or a portion thereof, the exercise price may not be less than the Option Price of the related Option. Each Share Appreciation Right granted independent of an Option shall entitle a Participant upon exercise to a number of Shares equal to an amount that is (i) the excess of (A) the opening price of the Shares on the exercise date of one Share (the “Opening Price”) over (B) the exercise price per Share, multiplied by (ii) the number of Shares covered by the Share Appreciation Right; provided that if the Share Appreciation Right is settled in Shares, such amount shall be divided by the Opening Price.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Opening Price over (B) the Option Price per Share, multiplied by (ii) the number of Shares covered by the Option, or portion thereof, which is surrendered; provided, that if the Share Appreciation Right is settled in Shares, such amount shall be divided by the Opening Price.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78" w:lineRule="exact"/>
        <w:rPr>
          <w:sz w:val="20"/>
          <w:szCs w:val="20"/>
          <w:color w:val="auto"/>
        </w:rPr>
      </w:pPr>
    </w:p>
    <w:p>
      <w:pPr>
        <w:ind w:left="1360" w:hanging="704"/>
        <w:spacing w:after="0"/>
        <w:tabs>
          <w:tab w:leader="none" w:pos="1360" w:val="left"/>
        </w:tabs>
        <w:numPr>
          <w:ilvl w:val="0"/>
          <w:numId w:val="1270"/>
        </w:numPr>
        <w:rPr>
          <w:rFonts w:ascii="Arial" w:cs="Arial" w:eastAsia="Arial" w:hAnsi="Arial"/>
          <w:sz w:val="18"/>
          <w:szCs w:val="18"/>
          <w:color w:val="auto"/>
        </w:rPr>
      </w:pPr>
      <w:r>
        <w:rPr>
          <w:rFonts w:ascii="Arial" w:cs="Arial" w:eastAsia="Arial" w:hAnsi="Arial"/>
          <w:sz w:val="18"/>
          <w:szCs w:val="18"/>
          <w:u w:val="single" w:color="auto"/>
          <w:color w:val="auto"/>
        </w:rPr>
        <w:t>Limitations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impose, in its discretion, such conditions regarding the exercisability of Share Appreciation Rights as it may deem fit, but in no event shall a Share Appreciation Right be exercisable more than ten years after the date it is granted.</w:t>
      </w:r>
    </w:p>
    <w:p>
      <w:pPr>
        <w:spacing w:after="0" w:line="166" w:lineRule="exact"/>
        <w:rPr>
          <w:sz w:val="20"/>
          <w:szCs w:val="20"/>
          <w:color w:val="auto"/>
        </w:rPr>
      </w:pPr>
    </w:p>
    <w:p>
      <w:pPr>
        <w:ind w:left="640" w:hanging="632"/>
        <w:spacing w:after="0"/>
        <w:tabs>
          <w:tab w:leader="none" w:pos="640" w:val="left"/>
        </w:tabs>
        <w:numPr>
          <w:ilvl w:val="0"/>
          <w:numId w:val="1271"/>
        </w:numPr>
        <w:rPr>
          <w:rFonts w:ascii="Arial" w:cs="Arial" w:eastAsia="Arial" w:hAnsi="Arial"/>
          <w:sz w:val="18"/>
          <w:szCs w:val="18"/>
          <w:color w:val="auto"/>
        </w:rPr>
      </w:pPr>
      <w:r>
        <w:rPr>
          <w:rFonts w:ascii="Arial" w:cs="Arial" w:eastAsia="Arial" w:hAnsi="Arial"/>
          <w:sz w:val="18"/>
          <w:szCs w:val="18"/>
          <w:b w:val="1"/>
          <w:bCs w:val="1"/>
          <w:color w:val="auto"/>
        </w:rPr>
        <w:t>Other Share-Based Awards</w:t>
      </w:r>
    </w:p>
    <w:p>
      <w:pPr>
        <w:spacing w:after="0" w:line="229" w:lineRule="exact"/>
        <w:rPr>
          <w:sz w:val="20"/>
          <w:szCs w:val="20"/>
          <w:color w:val="auto"/>
        </w:rPr>
      </w:pPr>
    </w:p>
    <w:p>
      <w:pPr>
        <w:ind w:left="1360" w:hanging="704"/>
        <w:spacing w:after="0"/>
        <w:tabs>
          <w:tab w:leader="none" w:pos="1360" w:val="left"/>
        </w:tabs>
        <w:numPr>
          <w:ilvl w:val="0"/>
          <w:numId w:val="1272"/>
        </w:numPr>
        <w:rPr>
          <w:rFonts w:ascii="Arial" w:cs="Arial" w:eastAsia="Arial" w:hAnsi="Arial"/>
          <w:sz w:val="18"/>
          <w:szCs w:val="18"/>
          <w:color w:val="auto"/>
        </w:rPr>
      </w:pPr>
      <w:r>
        <w:rPr>
          <w:rFonts w:ascii="Arial" w:cs="Arial" w:eastAsia="Arial" w:hAnsi="Arial"/>
          <w:sz w:val="18"/>
          <w:szCs w:val="18"/>
          <w:u w:val="single" w:color="auto"/>
          <w:color w:val="auto"/>
        </w:rPr>
        <w:t>Grants of Other Share-Based Awards and Performance-Based Awards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Section 9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7" w:name="page1178"/>
    <w:bookmarkEnd w:id="1177"/>
    <w:p>
      <w:pPr>
        <w:ind w:left="1360" w:hanging="704"/>
        <w:spacing w:after="0"/>
        <w:tabs>
          <w:tab w:leader="none" w:pos="1360" w:val="left"/>
        </w:tabs>
        <w:numPr>
          <w:ilvl w:val="0"/>
          <w:numId w:val="1273"/>
        </w:numPr>
        <w:rPr>
          <w:rFonts w:ascii="Arial" w:cs="Arial" w:eastAsia="Arial" w:hAnsi="Arial"/>
          <w:sz w:val="18"/>
          <w:szCs w:val="18"/>
          <w:color w:val="auto"/>
        </w:rPr>
      </w:pPr>
      <w:r>
        <w:rPr>
          <w:rFonts w:ascii="Arial" w:cs="Arial" w:eastAsia="Arial" w:hAnsi="Arial"/>
          <w:sz w:val="18"/>
          <w:szCs w:val="18"/>
          <w:u w:val="single" w:color="auto"/>
          <w:color w:val="auto"/>
        </w:rPr>
        <w:t>Form of Payment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Payments with respect to any Awards granted under Section 9 shall be made in cash or cash equivalent, in Shares or any combination of the foregoing, as determined by the Committee.</w:t>
      </w:r>
    </w:p>
    <w:p>
      <w:pPr>
        <w:spacing w:after="0" w:line="170" w:lineRule="exact"/>
        <w:rPr>
          <w:sz w:val="20"/>
          <w:szCs w:val="20"/>
          <w:color w:val="auto"/>
        </w:rPr>
      </w:pPr>
    </w:p>
    <w:p>
      <w:pPr>
        <w:ind w:left="1360" w:hanging="704"/>
        <w:spacing w:after="0"/>
        <w:tabs>
          <w:tab w:leader="none" w:pos="1360" w:val="left"/>
        </w:tabs>
        <w:numPr>
          <w:ilvl w:val="0"/>
          <w:numId w:val="1274"/>
        </w:numPr>
        <w:rPr>
          <w:rFonts w:ascii="Arial" w:cs="Arial" w:eastAsia="Arial" w:hAnsi="Arial"/>
          <w:sz w:val="18"/>
          <w:szCs w:val="18"/>
          <w:color w:val="auto"/>
        </w:rPr>
      </w:pPr>
      <w:r>
        <w:rPr>
          <w:rFonts w:ascii="Arial" w:cs="Arial" w:eastAsia="Arial" w:hAnsi="Arial"/>
          <w:sz w:val="18"/>
          <w:szCs w:val="18"/>
          <w:u w:val="single" w:color="auto"/>
          <w:color w:val="auto"/>
        </w:rPr>
        <w:t>Vesting Conditions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specify the date or dates on which the Awards granted pursuant to this Section 9 shall become fully vested and nonforfeitable, and may specify such conditions to vesting as it deems appropriate. The vesting conditions may be based on, among other vesting conditions, a Participant’s continued Service or the attainment of Performance Goals.</w:t>
      </w:r>
    </w:p>
    <w:p>
      <w:pPr>
        <w:spacing w:after="0" w:line="181" w:lineRule="exact"/>
        <w:rPr>
          <w:sz w:val="20"/>
          <w:szCs w:val="20"/>
          <w:color w:val="auto"/>
        </w:rPr>
      </w:pPr>
    </w:p>
    <w:p>
      <w:pPr>
        <w:ind w:left="1360" w:hanging="704"/>
        <w:spacing w:after="0"/>
        <w:tabs>
          <w:tab w:leader="none" w:pos="1360" w:val="left"/>
        </w:tabs>
        <w:numPr>
          <w:ilvl w:val="0"/>
          <w:numId w:val="127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provided herein, the term of any Award granted pursuant to this Section 9 shall be set by the Committee in its discretion; provided, that the term of any Award granted pursuant to this Section 9 shall not exceed 10 years.</w:t>
      </w:r>
    </w:p>
    <w:p>
      <w:pPr>
        <w:spacing w:after="0" w:line="166" w:lineRule="exact"/>
        <w:rPr>
          <w:sz w:val="20"/>
          <w:szCs w:val="20"/>
          <w:color w:val="auto"/>
        </w:rPr>
      </w:pPr>
    </w:p>
    <w:p>
      <w:pPr>
        <w:ind w:left="640" w:hanging="632"/>
        <w:spacing w:after="0"/>
        <w:tabs>
          <w:tab w:leader="none" w:pos="640" w:val="left"/>
        </w:tabs>
        <w:numPr>
          <w:ilvl w:val="0"/>
          <w:numId w:val="1276"/>
        </w:numPr>
        <w:rPr>
          <w:rFonts w:ascii="Arial" w:cs="Arial" w:eastAsia="Arial" w:hAnsi="Arial"/>
          <w:sz w:val="18"/>
          <w:szCs w:val="18"/>
          <w:color w:val="auto"/>
        </w:rPr>
      </w:pPr>
      <w:r>
        <w:rPr>
          <w:rFonts w:ascii="Arial" w:cs="Arial" w:eastAsia="Arial" w:hAnsi="Arial"/>
          <w:sz w:val="18"/>
          <w:szCs w:val="18"/>
          <w:b w:val="1"/>
          <w:bCs w:val="1"/>
          <w:color w:val="auto"/>
        </w:rPr>
        <w:t>Provisions Applicable to All Awards</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76"/>
        </w:numPr>
        <w:rPr>
          <w:rFonts w:ascii="Arial" w:cs="Arial" w:eastAsia="Arial" w:hAnsi="Arial"/>
          <w:sz w:val="18"/>
          <w:szCs w:val="18"/>
          <w:color w:val="auto"/>
        </w:rPr>
      </w:pPr>
      <w:r>
        <w:rPr>
          <w:rFonts w:ascii="Arial" w:cs="Arial" w:eastAsia="Arial" w:hAnsi="Arial"/>
          <w:sz w:val="18"/>
          <w:szCs w:val="18"/>
          <w:u w:val="single" w:color="auto"/>
          <w:color w:val="auto"/>
        </w:rPr>
        <w:t>Award Agreement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181" w:lineRule="exact"/>
        <w:rPr>
          <w:sz w:val="20"/>
          <w:szCs w:val="20"/>
          <w:color w:val="auto"/>
        </w:rPr>
      </w:pPr>
    </w:p>
    <w:p>
      <w:pPr>
        <w:ind w:left="1360" w:hanging="704"/>
        <w:spacing w:after="0"/>
        <w:tabs>
          <w:tab w:leader="none" w:pos="1360" w:val="left"/>
        </w:tabs>
        <w:numPr>
          <w:ilvl w:val="0"/>
          <w:numId w:val="1277"/>
        </w:numPr>
        <w:rPr>
          <w:rFonts w:ascii="Arial" w:cs="Arial" w:eastAsia="Arial" w:hAnsi="Arial"/>
          <w:sz w:val="18"/>
          <w:szCs w:val="18"/>
          <w:color w:val="auto"/>
        </w:rPr>
      </w:pPr>
      <w:r>
        <w:rPr>
          <w:rFonts w:ascii="Arial" w:cs="Arial" w:eastAsia="Arial" w:hAnsi="Arial"/>
          <w:sz w:val="18"/>
          <w:szCs w:val="18"/>
          <w:u w:val="single" w:color="auto"/>
          <w:color w:val="auto"/>
        </w:rPr>
        <w:t>Dividends and Dividend Equivalent Rights</w:t>
      </w:r>
    </w:p>
    <w:p>
      <w:pPr>
        <w:spacing w:after="0" w:line="225" w:lineRule="exact"/>
        <w:rPr>
          <w:sz w:val="20"/>
          <w:szCs w:val="20"/>
          <w:color w:val="auto"/>
        </w:rPr>
      </w:pPr>
    </w:p>
    <w:p>
      <w:pPr>
        <w:ind w:firstLine="656"/>
        <w:spacing w:after="0" w:line="308" w:lineRule="auto"/>
        <w:tabs>
          <w:tab w:leader="none" w:pos="1372" w:val="left"/>
        </w:tabs>
        <w:numPr>
          <w:ilvl w:val="1"/>
          <w:numId w:val="1278"/>
        </w:numPr>
        <w:rPr>
          <w:rFonts w:ascii="Arial" w:cs="Arial" w:eastAsia="Arial" w:hAnsi="Arial"/>
          <w:sz w:val="17"/>
          <w:szCs w:val="17"/>
          <w:color w:val="auto"/>
        </w:rPr>
      </w:pPr>
      <w:r>
        <w:rPr>
          <w:rFonts w:ascii="Arial" w:cs="Arial" w:eastAsia="Arial" w:hAnsi="Arial"/>
          <w:sz w:val="17"/>
          <w:szCs w:val="17"/>
          <w:color w:val="auto"/>
        </w:rPr>
        <w:t>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spacing w:after="0" w:line="146" w:lineRule="exact"/>
        <w:rPr>
          <w:rFonts w:ascii="Arial" w:cs="Arial" w:eastAsia="Arial" w:hAnsi="Arial"/>
          <w:sz w:val="17"/>
          <w:szCs w:val="17"/>
          <w:color w:val="auto"/>
        </w:rPr>
      </w:pPr>
    </w:p>
    <w:p>
      <w:pPr>
        <w:ind w:left="1420" w:hanging="764"/>
        <w:spacing w:after="0"/>
        <w:tabs>
          <w:tab w:leader="none" w:pos="1420" w:val="left"/>
        </w:tabs>
        <w:numPr>
          <w:ilvl w:val="1"/>
          <w:numId w:val="1278"/>
        </w:numPr>
        <w:rPr>
          <w:rFonts w:ascii="Arial" w:cs="Arial" w:eastAsia="Arial" w:hAnsi="Arial"/>
          <w:sz w:val="16"/>
          <w:szCs w:val="16"/>
          <w:color w:val="auto"/>
        </w:rPr>
      </w:pPr>
      <w:r>
        <w:rPr>
          <w:rFonts w:ascii="Arial" w:cs="Arial" w:eastAsia="Arial" w:hAnsi="Arial"/>
          <w:sz w:val="16"/>
          <w:szCs w:val="16"/>
          <w:color w:val="auto"/>
        </w:rPr>
        <w:t>Any Dividend Equivalent Rights provided in connection with an Award that is subject to vesting shall either (i) not be paid or credited or</w:t>
      </w:r>
    </w:p>
    <w:p>
      <w:pPr>
        <w:spacing w:after="0" w:line="46" w:lineRule="exact"/>
        <w:rPr>
          <w:rFonts w:ascii="Arial" w:cs="Arial" w:eastAsia="Arial" w:hAnsi="Arial"/>
          <w:sz w:val="16"/>
          <w:szCs w:val="16"/>
          <w:color w:val="auto"/>
        </w:rPr>
      </w:pPr>
    </w:p>
    <w:p>
      <w:pPr>
        <w:ind w:firstLine="8"/>
        <w:spacing w:after="0" w:line="261" w:lineRule="auto"/>
        <w:tabs>
          <w:tab w:leader="none" w:pos="296"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spacing w:after="0" w:line="184" w:lineRule="exact"/>
        <w:rPr>
          <w:sz w:val="20"/>
          <w:szCs w:val="20"/>
          <w:color w:val="auto"/>
        </w:rPr>
      </w:pPr>
    </w:p>
    <w:p>
      <w:pPr>
        <w:ind w:left="1360" w:hanging="704"/>
        <w:spacing w:after="0"/>
        <w:tabs>
          <w:tab w:leader="none" w:pos="1360" w:val="left"/>
        </w:tabs>
        <w:numPr>
          <w:ilvl w:val="0"/>
          <w:numId w:val="1280"/>
        </w:numPr>
        <w:rPr>
          <w:rFonts w:ascii="Arial" w:cs="Arial" w:eastAsia="Arial" w:hAnsi="Arial"/>
          <w:sz w:val="18"/>
          <w:szCs w:val="18"/>
          <w:color w:val="auto"/>
        </w:rPr>
      </w:pPr>
      <w:r>
        <w:rPr>
          <w:rFonts w:ascii="Arial" w:cs="Arial" w:eastAsia="Arial" w:hAnsi="Arial"/>
          <w:sz w:val="18"/>
          <w:szCs w:val="18"/>
          <w:u w:val="single" w:color="auto"/>
          <w:color w:val="auto"/>
        </w:rPr>
        <w:t>Limits on Transfer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78" w:name="page1179"/>
    <w:bookmarkEnd w:id="1178"/>
    <w:p>
      <w:pPr>
        <w:ind w:left="1360" w:hanging="704"/>
        <w:spacing w:after="0"/>
        <w:tabs>
          <w:tab w:leader="none" w:pos="1360" w:val="left"/>
        </w:tabs>
        <w:numPr>
          <w:ilvl w:val="0"/>
          <w:numId w:val="1281"/>
        </w:numPr>
        <w:rPr>
          <w:rFonts w:ascii="Arial" w:cs="Arial" w:eastAsia="Arial" w:hAnsi="Arial"/>
          <w:sz w:val="18"/>
          <w:szCs w:val="18"/>
          <w:color w:val="auto"/>
        </w:rPr>
      </w:pPr>
      <w:r>
        <w:rPr>
          <w:rFonts w:ascii="Arial" w:cs="Arial" w:eastAsia="Arial" w:hAnsi="Arial"/>
          <w:sz w:val="18"/>
          <w:szCs w:val="18"/>
          <w:u w:val="single" w:color="auto"/>
          <w:color w:val="auto"/>
        </w:rPr>
        <w:t>Minimum Vesting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in the event of a Change in Control. Notwithstanding the foregoing, up to 5% of the aggregate number of Shares authorized for issuance under this Plan (as described in Section 3) may be issued pursuant to Awards subject to any or no vesting conditions (including with regard to such one-year vesting limitation described in the preceding sentence), as the Committee determines appropriate.</w:t>
      </w:r>
    </w:p>
    <w:p>
      <w:pPr>
        <w:spacing w:after="0" w:line="173" w:lineRule="exact"/>
        <w:rPr>
          <w:sz w:val="20"/>
          <w:szCs w:val="20"/>
          <w:color w:val="auto"/>
        </w:rPr>
      </w:pPr>
    </w:p>
    <w:p>
      <w:pPr>
        <w:ind w:left="1360" w:hanging="704"/>
        <w:spacing w:after="0"/>
        <w:tabs>
          <w:tab w:leader="none" w:pos="1360" w:val="left"/>
        </w:tabs>
        <w:numPr>
          <w:ilvl w:val="0"/>
          <w:numId w:val="1282"/>
        </w:numPr>
        <w:rPr>
          <w:rFonts w:ascii="Arial" w:cs="Arial" w:eastAsia="Arial" w:hAnsi="Arial"/>
          <w:sz w:val="18"/>
          <w:szCs w:val="18"/>
          <w:color w:val="auto"/>
        </w:rPr>
      </w:pPr>
      <w:r>
        <w:rPr>
          <w:rFonts w:ascii="Arial" w:cs="Arial" w:eastAsia="Arial" w:hAnsi="Arial"/>
          <w:sz w:val="18"/>
          <w:szCs w:val="18"/>
          <w:u w:val="single" w:color="auto"/>
          <w:color w:val="auto"/>
        </w:rPr>
        <w:t>Paperless Administration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81" w:lineRule="exact"/>
        <w:rPr>
          <w:sz w:val="20"/>
          <w:szCs w:val="20"/>
          <w:color w:val="auto"/>
        </w:rPr>
      </w:pPr>
    </w:p>
    <w:p>
      <w:pPr>
        <w:ind w:left="1380" w:hanging="724"/>
        <w:spacing w:after="0"/>
        <w:tabs>
          <w:tab w:leader="none" w:pos="1380" w:val="left"/>
        </w:tabs>
        <w:numPr>
          <w:ilvl w:val="0"/>
          <w:numId w:val="1283"/>
        </w:numPr>
        <w:rPr>
          <w:rFonts w:ascii="Arial" w:cs="Arial" w:eastAsia="Arial" w:hAnsi="Arial"/>
          <w:sz w:val="18"/>
          <w:szCs w:val="18"/>
          <w:color w:val="auto"/>
        </w:rPr>
      </w:pPr>
      <w:r>
        <w:rPr>
          <w:rFonts w:ascii="Arial" w:cs="Arial" w:eastAsia="Arial" w:hAnsi="Arial"/>
          <w:sz w:val="18"/>
          <w:szCs w:val="18"/>
          <w:u w:val="single" w:color="auto"/>
          <w:color w:val="auto"/>
        </w:rPr>
        <w:t>Nominal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any other provision in this Plan, no Share shall be allotted or issued pursuant to the exercise of vesting of an Award, or as an Award, unless it is fully paid-up to at least its nominal value.</w:t>
      </w:r>
    </w:p>
    <w:p>
      <w:pPr>
        <w:spacing w:after="0" w:line="166" w:lineRule="exact"/>
        <w:rPr>
          <w:sz w:val="20"/>
          <w:szCs w:val="20"/>
          <w:color w:val="auto"/>
        </w:rPr>
      </w:pPr>
    </w:p>
    <w:p>
      <w:pPr>
        <w:ind w:left="640" w:hanging="632"/>
        <w:spacing w:after="0"/>
        <w:tabs>
          <w:tab w:leader="none" w:pos="640" w:val="left"/>
        </w:tabs>
        <w:numPr>
          <w:ilvl w:val="0"/>
          <w:numId w:val="1284"/>
        </w:numPr>
        <w:rPr>
          <w:rFonts w:ascii="Arial" w:cs="Arial" w:eastAsia="Arial" w:hAnsi="Arial"/>
          <w:sz w:val="18"/>
          <w:szCs w:val="18"/>
          <w:color w:val="auto"/>
        </w:rPr>
      </w:pPr>
      <w:r>
        <w:rPr>
          <w:rFonts w:ascii="Arial" w:cs="Arial" w:eastAsia="Arial" w:hAnsi="Arial"/>
          <w:sz w:val="18"/>
          <w:szCs w:val="18"/>
          <w:b w:val="1"/>
          <w:bCs w:val="1"/>
          <w:color w:val="auto"/>
        </w:rPr>
        <w:t>Adjustments Upon Certain Events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Notwithstanding any other provisions in the Plan to the contrary, the following provisions shall apply to all Awards granted under the Plan:</w:t>
      </w:r>
    </w:p>
    <w:p>
      <w:pPr>
        <w:spacing w:after="0" w:line="237" w:lineRule="exact"/>
        <w:rPr>
          <w:sz w:val="20"/>
          <w:szCs w:val="20"/>
          <w:color w:val="auto"/>
        </w:rPr>
      </w:pPr>
    </w:p>
    <w:p>
      <w:pPr>
        <w:ind w:left="1360" w:hanging="704"/>
        <w:spacing w:after="0"/>
        <w:tabs>
          <w:tab w:leader="none" w:pos="1360" w:val="left"/>
        </w:tabs>
        <w:numPr>
          <w:ilvl w:val="0"/>
          <w:numId w:val="1285"/>
        </w:numPr>
        <w:rPr>
          <w:rFonts w:ascii="Arial" w:cs="Arial" w:eastAsia="Arial" w:hAnsi="Arial"/>
          <w:sz w:val="18"/>
          <w:szCs w:val="18"/>
          <w:color w:val="auto"/>
        </w:rPr>
      </w:pPr>
      <w:r>
        <w:rPr>
          <w:rFonts w:ascii="Arial" w:cs="Arial" w:eastAsia="Arial" w:hAnsi="Arial"/>
          <w:sz w:val="18"/>
          <w:szCs w:val="18"/>
          <w:u w:val="single" w:color="auto"/>
          <w:color w:val="auto"/>
        </w:rPr>
        <w:t>Generally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exercise price of any Share Appreciation Right,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spacing w:after="0" w:line="169" w:lineRule="exact"/>
        <w:rPr>
          <w:sz w:val="20"/>
          <w:szCs w:val="20"/>
          <w:color w:val="auto"/>
        </w:rPr>
      </w:pPr>
    </w:p>
    <w:p>
      <w:pPr>
        <w:ind w:left="1360" w:hanging="704"/>
        <w:spacing w:after="0"/>
        <w:tabs>
          <w:tab w:leader="none" w:pos="1360" w:val="left"/>
        </w:tabs>
        <w:numPr>
          <w:ilvl w:val="0"/>
          <w:numId w:val="128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11(b) shall apply in the event of a Change in Control.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79" w:name="page1180"/>
    <w:bookmarkEnd w:id="1179"/>
    <w:p>
      <w:pPr>
        <w:jc w:val="both"/>
        <w:ind w:firstLine="656"/>
        <w:spacing w:after="0" w:line="288" w:lineRule="auto"/>
        <w:tabs>
          <w:tab w:leader="none" w:pos="1385" w:val="left"/>
        </w:tabs>
        <w:numPr>
          <w:ilvl w:val="0"/>
          <w:numId w:val="1287"/>
        </w:numPr>
        <w:rPr>
          <w:rFonts w:ascii="Arial" w:cs="Arial" w:eastAsia="Arial" w:hAnsi="Arial"/>
          <w:sz w:val="16"/>
          <w:szCs w:val="16"/>
          <w:color w:val="auto"/>
        </w:rPr>
      </w:pPr>
      <w:r>
        <w:rPr>
          <w:rFonts w:ascii="Arial" w:cs="Arial" w:eastAsia="Arial" w:hAnsi="Arial"/>
          <w:sz w:val="16"/>
          <w:szCs w:val="16"/>
          <w:u w:val="single" w:color="auto"/>
          <w:color w:val="auto"/>
        </w:rPr>
        <w:t>Additional Vesting of Time-Based Awards</w:t>
      </w:r>
      <w:r>
        <w:rPr>
          <w:rFonts w:ascii="Arial" w:cs="Arial" w:eastAsia="Arial" w:hAnsi="Arial"/>
          <w:sz w:val="16"/>
          <w:szCs w:val="16"/>
          <w:color w:val="auto"/>
        </w:rPr>
        <w:t xml:space="preserve"> Notwithstanding Section 11(a) hereof, if a Change in Control occurs and a Participant’s Awards that vest based solely on the Participant’s continued Service are not converted, assumed, substituted or replaced by a successor or survivor corporation, or a parent or subsidiary thereof, then immediately prior to the Change in Control such Awards shall become fully vested and, to the extent applicable, exercisable and all forfeiture restrictions and other conditions or limitations on such Awards shall lapse. Where Awards described in the foregoing sentence are assumed or continued after a Change in Control, the Committee may provide that one or more Awards will automatically accelerate upon an involuntary termination of the Participant’s employment or service within a designated period following the effective date of such Change in Control. Any such Award shall, accordingly, upon an involuntary termination of the Participant’s employment or service following a Change in Control, become fully vested and, to the extent applicable, exercisable and all forfeiture restrictions on such Award shall lapse. With respect to any ISOs, the portion of any ISO accelerated in connection with a Change in Control shall remain exercisable as an ISO only to the extent the applicable $100,000 limitation is not exceeded. To the extent such U.S. dollar limitation is exceeded, the accelerated portion of such Option shall not be exercisable as an ISO under the U.S. federal tax laws.</w:t>
      </w:r>
    </w:p>
    <w:p>
      <w:pPr>
        <w:spacing w:after="0" w:line="169" w:lineRule="exact"/>
        <w:rPr>
          <w:rFonts w:ascii="Arial" w:cs="Arial" w:eastAsia="Arial" w:hAnsi="Arial"/>
          <w:sz w:val="16"/>
          <w:szCs w:val="16"/>
          <w:color w:val="auto"/>
        </w:rPr>
      </w:pPr>
    </w:p>
    <w:p>
      <w:pPr>
        <w:jc w:val="both"/>
        <w:ind w:firstLine="656"/>
        <w:spacing w:after="0" w:line="291" w:lineRule="auto"/>
        <w:tabs>
          <w:tab w:leader="none" w:pos="1647" w:val="left"/>
        </w:tabs>
        <w:numPr>
          <w:ilvl w:val="0"/>
          <w:numId w:val="1287"/>
        </w:numPr>
        <w:rPr>
          <w:rFonts w:ascii="Arial" w:cs="Arial" w:eastAsia="Arial" w:hAnsi="Arial"/>
          <w:sz w:val="16"/>
          <w:szCs w:val="16"/>
          <w:color w:val="auto"/>
        </w:rPr>
      </w:pPr>
      <w:r>
        <w:rPr>
          <w:rFonts w:ascii="Arial" w:cs="Arial" w:eastAsia="Arial" w:hAnsi="Arial"/>
          <w:sz w:val="16"/>
          <w:szCs w:val="16"/>
          <w:u w:val="single" w:color="auto"/>
          <w:color w:val="auto"/>
        </w:rPr>
        <w:t>Additional Vesting of Performance-Based Awards</w:t>
      </w:r>
      <w:r>
        <w:rPr>
          <w:rFonts w:ascii="Arial" w:cs="Arial" w:eastAsia="Arial" w:hAnsi="Arial"/>
          <w:sz w:val="16"/>
          <w:szCs w:val="16"/>
          <w:color w:val="auto"/>
        </w:rPr>
        <w:t xml:space="preserve"> With respect to Awards that vest based on the attainment of performance-based conditions, in the Committee’s sole discretion, and on such terms and conditions as it deems appropriate, either by the terms of Award Agreement or by action taken by the Committee in connection with the Change in Control, the Award shall vest (A) at the target level, pro-rated to reflect the period the Participant was in Service during the performance period or (B) the actual performance level attained, as determined on the most recent practicable date as of which performance may be measured prior to the date of the Change in Control. Unless otherwise converted, assumed, substituted or replaced by a successor or survivor corporation, or a parent or subsidiary thereof, any such Performance-Based Awards that have not either previously vested in accordance with the terms of such Award or in accordance with this Section 11(b) (ii) shall terminate and cease to be outstanding as of the Change in Control.</w:t>
      </w:r>
    </w:p>
    <w:p>
      <w:pPr>
        <w:spacing w:after="0" w:line="167" w:lineRule="exact"/>
        <w:rPr>
          <w:rFonts w:ascii="Arial" w:cs="Arial" w:eastAsia="Arial" w:hAnsi="Arial"/>
          <w:sz w:val="16"/>
          <w:szCs w:val="16"/>
          <w:color w:val="auto"/>
        </w:rPr>
      </w:pPr>
    </w:p>
    <w:p>
      <w:pPr>
        <w:jc w:val="both"/>
        <w:ind w:firstLine="656"/>
        <w:spacing w:after="0" w:line="287" w:lineRule="auto"/>
        <w:tabs>
          <w:tab w:leader="none" w:pos="1395" w:val="left"/>
        </w:tabs>
        <w:numPr>
          <w:ilvl w:val="0"/>
          <w:numId w:val="1287"/>
        </w:numPr>
        <w:rPr>
          <w:rFonts w:ascii="Arial" w:cs="Arial" w:eastAsia="Arial" w:hAnsi="Arial"/>
          <w:sz w:val="16"/>
          <w:szCs w:val="16"/>
          <w:color w:val="auto"/>
        </w:rPr>
      </w:pPr>
      <w:r>
        <w:rPr>
          <w:rFonts w:ascii="Arial" w:cs="Arial" w:eastAsia="Arial" w:hAnsi="Arial"/>
          <w:sz w:val="16"/>
          <w:szCs w:val="16"/>
          <w:u w:val="single" w:color="auto"/>
          <w:color w:val="auto"/>
        </w:rPr>
        <w:t>Cancellation of Awards</w:t>
      </w:r>
      <w:r>
        <w:rPr>
          <w:rFonts w:ascii="Arial" w:cs="Arial" w:eastAsia="Arial" w:hAnsi="Arial"/>
          <w:sz w:val="16"/>
          <w:szCs w:val="16"/>
          <w:color w:val="auto"/>
        </w:rPr>
        <w:t xml:space="preserve"> In connection with any Change in Control, the Committee may, in its sole discretion, but shall not be obligated to, provide for cancellation of any one or more outstanding Awards and payment to the holders of such Awards that are vested as of such cancellation (including, without limitation, any Awards that would vest in accordance with the terms of such Award or in accordance with Section 11(b) (i) or (ii) hereof, as applicable),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exercise price of such Option or Share Appreciation Right (it being understood that, in such event, any Option or Share Appreciation Right having a per share exercise price equal to, or in excess of, the Fair Market Value of a Share subject thereto may be canceled and terminated without any payment or consideration therefor). Payments to holders pursuant to this Section 11(iii)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covered by the Award at such time (less any applicable exercise price).</w:t>
      </w:r>
    </w:p>
    <w:p>
      <w:pPr>
        <w:spacing w:after="0" w:line="169" w:lineRule="exact"/>
        <w:rPr>
          <w:sz w:val="20"/>
          <w:szCs w:val="20"/>
          <w:color w:val="auto"/>
        </w:rPr>
      </w:pPr>
    </w:p>
    <w:p>
      <w:pPr>
        <w:ind w:left="1360" w:hanging="704"/>
        <w:spacing w:after="0"/>
        <w:tabs>
          <w:tab w:leader="none" w:pos="1360" w:val="left"/>
        </w:tabs>
        <w:numPr>
          <w:ilvl w:val="0"/>
          <w:numId w:val="1288"/>
        </w:numPr>
        <w:rPr>
          <w:rFonts w:ascii="Arial" w:cs="Arial" w:eastAsia="Arial" w:hAnsi="Arial"/>
          <w:sz w:val="18"/>
          <w:szCs w:val="18"/>
          <w:color w:val="auto"/>
        </w:rPr>
      </w:pPr>
      <w:r>
        <w:rPr>
          <w:rFonts w:ascii="Arial" w:cs="Arial" w:eastAsia="Arial" w:hAnsi="Arial"/>
          <w:sz w:val="18"/>
          <w:szCs w:val="18"/>
          <w:u w:val="single" w:color="auto"/>
          <w:color w:val="auto"/>
        </w:rPr>
        <w:t>Other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any payment or adjustment contemplated under this Section 11,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spacing w:after="0" w:line="188" w:lineRule="exact"/>
        <w:rPr>
          <w:sz w:val="20"/>
          <w:szCs w:val="20"/>
          <w:color w:val="auto"/>
        </w:rPr>
      </w:pPr>
    </w:p>
    <w:p>
      <w:pPr>
        <w:ind w:left="1360" w:hanging="704"/>
        <w:spacing w:after="0"/>
        <w:tabs>
          <w:tab w:leader="none" w:pos="1360" w:val="left"/>
        </w:tabs>
        <w:numPr>
          <w:ilvl w:val="0"/>
          <w:numId w:val="128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adjustment provided under this Section 11 may provide for the elimination of any fractional share that might otherwise become subject to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80" w:name="page1181"/>
    <w:bookmarkEnd w:id="1180"/>
    <w:p>
      <w:pPr>
        <w:ind w:left="640" w:hanging="632"/>
        <w:spacing w:after="0"/>
        <w:tabs>
          <w:tab w:leader="none" w:pos="640" w:val="left"/>
        </w:tabs>
        <w:numPr>
          <w:ilvl w:val="0"/>
          <w:numId w:val="1290"/>
        </w:numPr>
        <w:rPr>
          <w:rFonts w:ascii="Arial" w:cs="Arial" w:eastAsia="Arial" w:hAnsi="Arial"/>
          <w:sz w:val="18"/>
          <w:szCs w:val="18"/>
          <w:color w:val="auto"/>
        </w:rPr>
      </w:pPr>
      <w:r>
        <w:rPr>
          <w:rFonts w:ascii="Arial" w:cs="Arial" w:eastAsia="Arial" w:hAnsi="Arial"/>
          <w:sz w:val="18"/>
          <w:szCs w:val="18"/>
          <w:b w:val="1"/>
          <w:bCs w:val="1"/>
          <w:color w:val="auto"/>
        </w:rPr>
        <w:t>No Right to Employment or Awards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69" w:lineRule="exact"/>
        <w:rPr>
          <w:sz w:val="20"/>
          <w:szCs w:val="20"/>
          <w:color w:val="auto"/>
        </w:rPr>
      </w:pPr>
    </w:p>
    <w:p>
      <w:pPr>
        <w:ind w:left="640" w:hanging="632"/>
        <w:spacing w:after="0"/>
        <w:tabs>
          <w:tab w:leader="none" w:pos="640" w:val="left"/>
        </w:tabs>
        <w:numPr>
          <w:ilvl w:val="0"/>
          <w:numId w:val="1291"/>
        </w:numPr>
        <w:rPr>
          <w:rFonts w:ascii="Arial" w:cs="Arial" w:eastAsia="Arial" w:hAnsi="Arial"/>
          <w:sz w:val="18"/>
          <w:szCs w:val="18"/>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20" w:lineRule="exact"/>
        <w:rPr>
          <w:sz w:val="20"/>
          <w:szCs w:val="20"/>
          <w:color w:val="auto"/>
        </w:rPr>
      </w:pPr>
    </w:p>
    <w:p>
      <w:pPr>
        <w:ind w:left="640" w:hanging="632"/>
        <w:spacing w:after="0"/>
        <w:tabs>
          <w:tab w:leader="none" w:pos="640" w:val="left"/>
        </w:tabs>
        <w:numPr>
          <w:ilvl w:val="0"/>
          <w:numId w:val="1292"/>
        </w:numPr>
        <w:rPr>
          <w:rFonts w:ascii="Arial" w:cs="Arial" w:eastAsia="Arial" w:hAnsi="Arial"/>
          <w:sz w:val="18"/>
          <w:szCs w:val="18"/>
          <w:color w:val="auto"/>
        </w:rPr>
      </w:pPr>
      <w:r>
        <w:rPr>
          <w:rFonts w:ascii="Arial" w:cs="Arial" w:eastAsia="Arial" w:hAnsi="Arial"/>
          <w:sz w:val="18"/>
          <w:szCs w:val="18"/>
          <w:b w:val="1"/>
          <w:bCs w:val="1"/>
          <w:color w:val="auto"/>
        </w:rPr>
        <w:t>Amendments or Termination</w:t>
      </w:r>
    </w:p>
    <w:p>
      <w:pPr>
        <w:spacing w:after="0" w:line="229" w:lineRule="exact"/>
        <w:rPr>
          <w:rFonts w:ascii="Arial" w:cs="Arial" w:eastAsia="Arial" w:hAnsi="Arial"/>
          <w:sz w:val="18"/>
          <w:szCs w:val="18"/>
          <w:color w:val="auto"/>
        </w:rPr>
      </w:pPr>
    </w:p>
    <w:p>
      <w:pPr>
        <w:ind w:left="1360" w:hanging="704"/>
        <w:spacing w:after="0"/>
        <w:tabs>
          <w:tab w:leader="none" w:pos="1360" w:val="left"/>
        </w:tabs>
        <w:numPr>
          <w:ilvl w:val="1"/>
          <w:numId w:val="129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Applicable Law, if (i) it would materially increase the number of securities which may be issued under the Plan or granted to any Participant (except for increases pursuant to Section 11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 Section 18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spacing w:after="0" w:line="182" w:lineRule="exact"/>
        <w:rPr>
          <w:sz w:val="20"/>
          <w:szCs w:val="20"/>
          <w:color w:val="auto"/>
        </w:rPr>
      </w:pPr>
    </w:p>
    <w:p>
      <w:pPr>
        <w:ind w:left="1360" w:hanging="704"/>
        <w:spacing w:after="0"/>
        <w:tabs>
          <w:tab w:leader="none" w:pos="1360" w:val="left"/>
        </w:tabs>
        <w:numPr>
          <w:ilvl w:val="0"/>
          <w:numId w:val="1293"/>
        </w:numPr>
        <w:rPr>
          <w:rFonts w:ascii="Arial" w:cs="Arial" w:eastAsia="Arial" w:hAnsi="Arial"/>
          <w:sz w:val="18"/>
          <w:szCs w:val="18"/>
          <w:color w:val="auto"/>
        </w:rPr>
      </w:pPr>
      <w:r>
        <w:rPr>
          <w:rFonts w:ascii="Arial" w:cs="Arial" w:eastAsia="Arial" w:hAnsi="Arial"/>
          <w:sz w:val="18"/>
          <w:szCs w:val="18"/>
          <w:u w:val="single" w:color="auto"/>
          <w:color w:val="auto"/>
        </w:rPr>
        <w:t>Amendment of Award Agreements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Section 18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1" w:name="page1182"/>
    <w:bookmarkEnd w:id="1181"/>
    <w:p>
      <w:pPr>
        <w:ind w:left="1360" w:hanging="704"/>
        <w:spacing w:after="0"/>
        <w:tabs>
          <w:tab w:leader="none" w:pos="1360" w:val="left"/>
        </w:tabs>
        <w:numPr>
          <w:ilvl w:val="0"/>
          <w:numId w:val="1294"/>
        </w:numPr>
        <w:rPr>
          <w:rFonts w:ascii="Arial" w:cs="Arial" w:eastAsia="Arial" w:hAnsi="Arial"/>
          <w:sz w:val="18"/>
          <w:szCs w:val="18"/>
          <w:color w:val="auto"/>
        </w:rPr>
      </w:pPr>
      <w:r>
        <w:rPr>
          <w:rFonts w:ascii="Arial" w:cs="Arial" w:eastAsia="Arial" w:hAnsi="Arial"/>
          <w:sz w:val="18"/>
          <w:szCs w:val="18"/>
          <w:u w:val="single" w:color="auto"/>
          <w:color w:val="auto"/>
        </w:rPr>
        <w:t>No Repricing of Awards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Subject to Section 11 of the Plan, in no event shall the Committee or the Board take any action without approval of the shareholders of the Company that would (i) reduce the exercise price of any Option or Share Appreciation Right, (ii) result in the cancellation of any outstanding Option or Share Appreciation Right and replacement with a new Option or Share Appreciation Right with a lower exercise price or with a cash payment or other Award at a time when the Option or Share Appreciation Right has a per Share exercise price that is higher than the Fair Market Value of a Share on the date of the replacement or (iii) result in any other action that would be considered a “repricing” for purposes of the shareholder approval rules of any stock exchange or inter-dealer quotation system on which the securities of the Company are listed or quoted.</w:t>
      </w:r>
    </w:p>
    <w:p>
      <w:pPr>
        <w:spacing w:after="0" w:line="174" w:lineRule="exact"/>
        <w:rPr>
          <w:sz w:val="20"/>
          <w:szCs w:val="20"/>
          <w:color w:val="auto"/>
        </w:rPr>
      </w:pPr>
    </w:p>
    <w:p>
      <w:pPr>
        <w:ind w:left="640" w:hanging="632"/>
        <w:spacing w:after="0"/>
        <w:tabs>
          <w:tab w:leader="none" w:pos="640" w:val="left"/>
        </w:tabs>
        <w:numPr>
          <w:ilvl w:val="0"/>
          <w:numId w:val="1295"/>
        </w:numPr>
        <w:rPr>
          <w:rFonts w:ascii="Arial" w:cs="Arial" w:eastAsia="Arial" w:hAnsi="Arial"/>
          <w:sz w:val="18"/>
          <w:szCs w:val="18"/>
          <w:color w:val="auto"/>
        </w:rPr>
      </w:pPr>
      <w:r>
        <w:rPr>
          <w:rFonts w:ascii="Arial" w:cs="Arial" w:eastAsia="Arial" w:hAnsi="Arial"/>
          <w:sz w:val="18"/>
          <w:szCs w:val="18"/>
          <w:b w:val="1"/>
          <w:bCs w:val="1"/>
          <w:color w:val="auto"/>
        </w:rPr>
        <w:t>Choice of Law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77" w:lineRule="exact"/>
        <w:rPr>
          <w:sz w:val="20"/>
          <w:szCs w:val="20"/>
          <w:color w:val="auto"/>
        </w:rPr>
      </w:pPr>
    </w:p>
    <w:p>
      <w:pPr>
        <w:ind w:left="640" w:hanging="632"/>
        <w:spacing w:after="0"/>
        <w:tabs>
          <w:tab w:leader="none" w:pos="640" w:val="left"/>
        </w:tabs>
        <w:numPr>
          <w:ilvl w:val="0"/>
          <w:numId w:val="1296"/>
        </w:numPr>
        <w:rPr>
          <w:rFonts w:ascii="Arial" w:cs="Arial" w:eastAsia="Arial" w:hAnsi="Arial"/>
          <w:sz w:val="18"/>
          <w:szCs w:val="18"/>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provision of the Plan or the application of any provision hereof to any Person or circumstance is held 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177" w:lineRule="exact"/>
        <w:rPr>
          <w:sz w:val="20"/>
          <w:szCs w:val="20"/>
          <w:color w:val="auto"/>
        </w:rPr>
      </w:pPr>
    </w:p>
    <w:p>
      <w:pPr>
        <w:ind w:left="640" w:hanging="632"/>
        <w:spacing w:after="0"/>
        <w:tabs>
          <w:tab w:leader="none" w:pos="640" w:val="left"/>
        </w:tabs>
        <w:numPr>
          <w:ilvl w:val="0"/>
          <w:numId w:val="1297"/>
        </w:numPr>
        <w:rPr>
          <w:rFonts w:ascii="Arial" w:cs="Arial" w:eastAsia="Arial" w:hAnsi="Arial"/>
          <w:sz w:val="18"/>
          <w:szCs w:val="18"/>
          <w:color w:val="auto"/>
        </w:rPr>
      </w:pPr>
      <w:r>
        <w:rPr>
          <w:rFonts w:ascii="Arial" w:cs="Arial" w:eastAsia="Arial" w:hAnsi="Arial"/>
          <w:sz w:val="18"/>
          <w:szCs w:val="18"/>
          <w:b w:val="1"/>
          <w:bCs w:val="1"/>
          <w:color w:val="auto"/>
        </w:rPr>
        <w:t>Effectiveness and Term of the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Plan shall be effective as of the Effective Date. The Plan shall terminate on the day before the tenth anniversary of the Effective Date and may be terminated on any earlier date pursuant to Section 14 of the Plan. The applicable provisions shall continue in effect with respect to an Award granted under the Plan for as long as such Award remains outstanding.</w:t>
      </w:r>
    </w:p>
    <w:p>
      <w:pPr>
        <w:spacing w:after="0" w:line="177" w:lineRule="exact"/>
        <w:rPr>
          <w:sz w:val="20"/>
          <w:szCs w:val="20"/>
          <w:color w:val="auto"/>
        </w:rPr>
      </w:pPr>
    </w:p>
    <w:p>
      <w:pPr>
        <w:ind w:left="640" w:hanging="632"/>
        <w:spacing w:after="0"/>
        <w:tabs>
          <w:tab w:leader="none" w:pos="640" w:val="left"/>
        </w:tabs>
        <w:numPr>
          <w:ilvl w:val="0"/>
          <w:numId w:val="1298"/>
        </w:numPr>
        <w:rPr>
          <w:rFonts w:ascii="Arial" w:cs="Arial" w:eastAsia="Arial" w:hAnsi="Arial"/>
          <w:sz w:val="18"/>
          <w:szCs w:val="18"/>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This Plan or an Award may be amended at any time, without the consent of any party, to avoid the application of Section 409A in a particular circumstance or that is necessary or desirable to satisfy any of the requirements under Section 409A, but the Company shall not be under any obligation to make any such amendment. The exercisability of an Option shall not be extended to the extent that such extension would subject the Participant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Participant.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Participant of such Award to be subject to taxation under Section 409A, the Company will make such payment on the first day that would not result in the Participant incurring any tax liability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2" w:name="page1183"/>
    <w:bookmarkEnd w:id="1182"/>
    <w:p>
      <w:pPr>
        <w:ind w:left="640" w:hanging="632"/>
        <w:spacing w:after="0"/>
        <w:tabs>
          <w:tab w:leader="none" w:pos="640" w:val="left"/>
        </w:tabs>
        <w:numPr>
          <w:ilvl w:val="0"/>
          <w:numId w:val="1299"/>
        </w:numPr>
        <w:rPr>
          <w:rFonts w:ascii="Arial" w:cs="Arial" w:eastAsia="Arial" w:hAnsi="Arial"/>
          <w:sz w:val="18"/>
          <w:szCs w:val="18"/>
          <w:color w:val="auto"/>
        </w:rPr>
      </w:pPr>
      <w:r>
        <w:rPr>
          <w:rFonts w:ascii="Arial" w:cs="Arial" w:eastAsia="Arial" w:hAnsi="Arial"/>
          <w:sz w:val="18"/>
          <w:szCs w:val="18"/>
          <w:b w:val="1"/>
          <w:bCs w:val="1"/>
          <w:color w:val="auto"/>
        </w:rPr>
        <w:t>Clawback/Recoupment Policy.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contained herein to the contrary, all Awards granted under the Plan shall be and remain subject to any incentive compensation clawback or recoupment policy currently in effect or as may be adopted by the Board and, in each case, as may be amended from time to time. No such policy adoption or amendment shall in any event require the prior consent of any Participant.</w:t>
      </w:r>
    </w:p>
    <w:p>
      <w:pPr>
        <w:spacing w:after="0" w:line="177" w:lineRule="exact"/>
        <w:rPr>
          <w:sz w:val="20"/>
          <w:szCs w:val="20"/>
          <w:color w:val="auto"/>
        </w:rPr>
      </w:pPr>
    </w:p>
    <w:p>
      <w:pPr>
        <w:ind w:left="640" w:hanging="632"/>
        <w:spacing w:after="0"/>
        <w:tabs>
          <w:tab w:leader="none" w:pos="640" w:val="left"/>
        </w:tabs>
        <w:numPr>
          <w:ilvl w:val="0"/>
          <w:numId w:val="1300"/>
        </w:numPr>
        <w:rPr>
          <w:rFonts w:ascii="Arial" w:cs="Arial" w:eastAsia="Arial" w:hAnsi="Arial"/>
          <w:sz w:val="18"/>
          <w:szCs w:val="18"/>
          <w:color w:val="auto"/>
        </w:rPr>
      </w:pPr>
      <w:r>
        <w:rPr>
          <w:rFonts w:ascii="Arial" w:cs="Arial" w:eastAsia="Arial" w:hAnsi="Arial"/>
          <w:sz w:val="18"/>
          <w:szCs w:val="18"/>
          <w:b w:val="1"/>
          <w:bCs w:val="1"/>
          <w:color w:val="auto"/>
        </w:rPr>
        <w:t>Tax-Related Items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or (c) in the Committee’s sole discretion, by withholding Shares otherwise issuable under an Award (or allowing the return of Shares) sufficient, as determined by the Committee in its sole discretion, to satisfy such Tax-Related Items. 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spacing w:after="0" w:line="179" w:lineRule="exact"/>
        <w:rPr>
          <w:sz w:val="20"/>
          <w:szCs w:val="20"/>
          <w:color w:val="auto"/>
        </w:rPr>
      </w:pPr>
    </w:p>
    <w:p>
      <w:pPr>
        <w:ind w:left="640" w:hanging="632"/>
        <w:spacing w:after="0"/>
        <w:tabs>
          <w:tab w:leader="none" w:pos="640" w:val="left"/>
        </w:tabs>
        <w:numPr>
          <w:ilvl w:val="0"/>
          <w:numId w:val="1301"/>
        </w:numPr>
        <w:rPr>
          <w:rFonts w:ascii="Arial" w:cs="Arial" w:eastAsia="Arial" w:hAnsi="Arial"/>
          <w:sz w:val="18"/>
          <w:szCs w:val="18"/>
          <w:color w:val="auto"/>
        </w:rPr>
      </w:pPr>
      <w:r>
        <w:rPr>
          <w:rFonts w:ascii="Arial" w:cs="Arial" w:eastAsia="Arial" w:hAnsi="Arial"/>
          <w:sz w:val="18"/>
          <w:szCs w:val="18"/>
          <w:b w:val="1"/>
          <w:bCs w:val="1"/>
          <w:color w:val="auto"/>
        </w:rPr>
        <w:t>Government and Other Regulations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3" w:name="page1184"/>
    <w:bookmarkEnd w:id="1183"/>
    <w:p>
      <w:pPr>
        <w:jc w:val="both"/>
        <w:ind w:firstLine="648"/>
        <w:spacing w:after="0" w:line="289" w:lineRule="auto"/>
        <w:rPr>
          <w:sz w:val="20"/>
          <w:szCs w:val="20"/>
          <w:color w:val="auto"/>
        </w:rPr>
      </w:pPr>
      <w:r>
        <w:rPr>
          <w:rFonts w:ascii="Arial" w:cs="Arial" w:eastAsia="Arial" w:hAnsi="Arial"/>
          <w:sz w:val="16"/>
          <w:szCs w:val="16"/>
          <w:color w:val="auto"/>
        </w:rPr>
        <w:t>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Section 21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spacing w:after="0" w:line="163" w:lineRule="exact"/>
        <w:rPr>
          <w:sz w:val="20"/>
          <w:szCs w:val="20"/>
          <w:color w:val="auto"/>
        </w:rPr>
      </w:pPr>
    </w:p>
    <w:p>
      <w:pPr>
        <w:ind w:left="640" w:hanging="632"/>
        <w:spacing w:after="0"/>
        <w:tabs>
          <w:tab w:leader="none" w:pos="640" w:val="left"/>
        </w:tabs>
        <w:numPr>
          <w:ilvl w:val="0"/>
          <w:numId w:val="1302"/>
        </w:numPr>
        <w:rPr>
          <w:rFonts w:ascii="Arial" w:cs="Arial" w:eastAsia="Arial" w:hAnsi="Arial"/>
          <w:sz w:val="18"/>
          <w:szCs w:val="18"/>
          <w:color w:val="auto"/>
        </w:rPr>
      </w:pPr>
      <w:r>
        <w:rPr>
          <w:rFonts w:ascii="Arial" w:cs="Arial" w:eastAsia="Arial" w:hAnsi="Arial"/>
          <w:sz w:val="18"/>
          <w:szCs w:val="18"/>
          <w:b w:val="1"/>
          <w:bCs w:val="1"/>
          <w:color w:val="auto"/>
        </w:rPr>
        <w:t>No Shareholders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expressly provided herein,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vesting of any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adopted by the Board of Directors of the Company on December 12, 2019 and effective as of the Effective Date.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sectPr>
      </w:pPr>
    </w:p>
    <w:bookmarkStart w:id="1184" w:name="page1185"/>
    <w:bookmarkEnd w:id="118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Case 19-33694 Document 483 Filed in TXSB on 12/13/19 Page 1 of 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SOUTHERN DISTRICT OF TEXAS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DIVISION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x</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 re:</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Chapter 11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WEATHERFORD INTERNATIONAL PLC,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w w:val="89"/>
              </w:rPr>
              <w:t>Case No. 19-33694 (DRJ)</w:t>
            </w:r>
          </w:p>
        </w:tc>
        <w:tc>
          <w:tcPr>
            <w:tcW w:w="0" w:type="dxa"/>
            <w:vAlign w:val="bottom"/>
          </w:tcPr>
          <w:p>
            <w:pPr>
              <w:spacing w:after="0"/>
              <w:rPr>
                <w:sz w:val="1"/>
                <w:szCs w:val="1"/>
                <w:color w:val="auto"/>
              </w:rPr>
            </w:pPr>
          </w:p>
        </w:tc>
      </w:tr>
      <w:tr>
        <w:trPr>
          <w:trHeight w:val="216"/>
        </w:trPr>
        <w:tc>
          <w:tcPr>
            <w:tcW w:w="4780" w:type="dxa"/>
            <w:vAlign w:val="bottom"/>
            <w:vMerge w:val="restart"/>
          </w:tcPr>
          <w:p>
            <w:pPr>
              <w:ind w:left="1460"/>
              <w:spacing w:after="0"/>
              <w:rPr>
                <w:sz w:val="20"/>
                <w:szCs w:val="20"/>
                <w:color w:val="auto"/>
              </w:rPr>
            </w:pPr>
            <w:r>
              <w:rPr>
                <w:rFonts w:ascii="Arial" w:cs="Arial" w:eastAsia="Arial" w:hAnsi="Arial"/>
                <w:sz w:val="18"/>
                <w:szCs w:val="18"/>
                <w:color w:val="auto"/>
              </w:rPr>
              <w:t>Debtors.</w:t>
            </w:r>
            <w:r>
              <w:rPr>
                <w:rFonts w:ascii="Arial" w:cs="Arial" w:eastAsia="Arial" w:hAnsi="Arial"/>
                <w:sz w:val="30"/>
                <w:szCs w:val="30"/>
                <w:color w:val="auto"/>
                <w:vertAlign w:val="superscript"/>
              </w:rPr>
              <w:t>1</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Pr>
          <w:p>
            <w:pPr>
              <w:ind w:left="160"/>
              <w:spacing w:after="0"/>
              <w:rPr>
                <w:sz w:val="20"/>
                <w:szCs w:val="20"/>
                <w:color w:val="auto"/>
              </w:rPr>
            </w:pPr>
            <w:r>
              <w:rPr>
                <w:rFonts w:ascii="Arial" w:cs="Arial" w:eastAsia="Arial" w:hAnsi="Arial"/>
                <w:sz w:val="18"/>
                <w:szCs w:val="18"/>
                <w:color w:val="auto"/>
              </w:rPr>
              <w:t>(Jointly Administered)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x</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 EFFECTIVE DATE AND (B) DEADLINE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PROFESSIONALS TO FILE FINAL FEE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CREDITORS, EQUITY INTEREST HOLDERS, AND OTHER PARTIES IN INTEREST: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PLEASE TAKE NOTICE </w:t>
      </w:r>
      <w:r>
        <w:rPr>
          <w:rFonts w:ascii="Arial" w:cs="Arial" w:eastAsia="Arial" w:hAnsi="Arial"/>
          <w:sz w:val="16"/>
          <w:szCs w:val="16"/>
          <w:color w:val="auto"/>
        </w:rPr>
        <w:t>that on September 11, 2019, the United States Bankruptcy Court for the Southern District of Texas (the “</w:t>
      </w:r>
      <w:r>
        <w:rPr>
          <w:rFonts w:ascii="Arial" w:cs="Arial" w:eastAsia="Arial" w:hAnsi="Arial"/>
          <w:sz w:val="16"/>
          <w:szCs w:val="16"/>
          <w:b w:val="1"/>
          <w:bCs w:val="1"/>
          <w:u w:val="single" w:color="auto"/>
          <w:color w:val="auto"/>
        </w:rPr>
        <w:t>Bankruptcy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Court</w:t>
      </w:r>
      <w:r>
        <w:rPr>
          <w:rFonts w:ascii="Arial" w:cs="Arial" w:eastAsia="Arial" w:hAnsi="Arial"/>
          <w:sz w:val="16"/>
          <w:szCs w:val="16"/>
          <w:color w:val="auto"/>
        </w:rPr>
        <w:t>”) entered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Order (I) Approving Debtors’ Disclosure Statement and (II) Confirming Second Amended Joint Prepackaged Plan of Reorganization for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Weatherford International plc and its Affiliate Debtors Under Chapter 11 of the Bankruptcy Code </w:t>
      </w:r>
      <w:r>
        <w:rPr>
          <w:rFonts w:ascii="Arial" w:cs="Arial" w:eastAsia="Arial" w:hAnsi="Arial"/>
          <w:sz w:val="16"/>
          <w:szCs w:val="16"/>
          <w:color w:val="auto"/>
        </w:rPr>
        <w:t>(the “</w:t>
      </w:r>
      <w:r>
        <w:rPr>
          <w:rFonts w:ascii="Arial" w:cs="Arial" w:eastAsia="Arial" w:hAnsi="Arial"/>
          <w:sz w:val="16"/>
          <w:szCs w:val="16"/>
          <w:b w:val="1"/>
          <w:bCs w:val="1"/>
          <w:u w:val="single" w:color="auto"/>
          <w:color w:val="auto"/>
        </w:rPr>
        <w:t>Confirmation Order</w:t>
      </w:r>
      <w:r>
        <w:rPr>
          <w:rFonts w:ascii="Arial" w:cs="Arial" w:eastAsia="Arial" w:hAnsi="Arial"/>
          <w:sz w:val="16"/>
          <w:szCs w:val="16"/>
          <w:color w:val="auto"/>
        </w:rPr>
        <w:t>”) [Docket No. 343]. Among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things, the Confirmation Order confirmed the </w:t>
      </w:r>
      <w:r>
        <w:rPr>
          <w:rFonts w:ascii="Arial" w:cs="Arial" w:eastAsia="Arial" w:hAnsi="Arial"/>
          <w:sz w:val="16"/>
          <w:szCs w:val="16"/>
          <w:i w:val="1"/>
          <w:iCs w:val="1"/>
          <w:color w:val="auto"/>
        </w:rPr>
        <w:t>Second Amended Joint Prepackaged Plan of Reorganization for Weatherford International plc and 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Affiliate Debtors Under Chapter 11 of the Bankruptcy Code </w:t>
      </w:r>
      <w:r>
        <w:rPr>
          <w:rFonts w:ascii="Arial" w:cs="Arial" w:eastAsia="Arial" w:hAnsi="Arial"/>
          <w:sz w:val="16"/>
          <w:szCs w:val="16"/>
          <w:color w:val="auto"/>
        </w:rPr>
        <w:t>dated September 9, 2019 (as amended, modified, or supplemented from time to time, the</w:t>
      </w:r>
    </w:p>
    <w:p>
      <w:pPr>
        <w:spacing w:after="0" w:line="2"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as satisfying the requirements of the Bankruptcy Code, thereby authorizing Weatherford International plc and its debtor affiliates (collectively, the “</w:t>
      </w:r>
      <w:r>
        <w:rPr>
          <w:rFonts w:ascii="Arial" w:cs="Arial" w:eastAsia="Arial" w:hAnsi="Arial"/>
          <w:sz w:val="18"/>
          <w:szCs w:val="18"/>
          <w:b w:val="1"/>
          <w:bCs w:val="1"/>
          <w:u w:val="single" w:color="auto"/>
          <w:color w:val="auto"/>
        </w:rPr>
        <w:t>Debtors</w:t>
      </w:r>
      <w:r>
        <w:rPr>
          <w:rFonts w:ascii="Arial" w:cs="Arial" w:eastAsia="Arial" w:hAnsi="Arial"/>
          <w:sz w:val="18"/>
          <w:szCs w:val="18"/>
          <w:color w:val="auto"/>
        </w:rPr>
        <w:t>”) to implement the Plan on the Effective Date.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PLEASE TAKE FURTHER NOTICE </w:t>
      </w:r>
      <w:r>
        <w:rPr>
          <w:rFonts w:ascii="Arial" w:cs="Arial" w:eastAsia="Arial" w:hAnsi="Arial"/>
          <w:sz w:val="18"/>
          <w:szCs w:val="18"/>
          <w:color w:val="auto"/>
        </w:rPr>
        <w:t>that on December 13, 2019, the Effective Date under the Plan occurred.</w:t>
      </w:r>
    </w:p>
    <w:p>
      <w:pPr>
        <w:spacing w:after="0" w:line="225" w:lineRule="exact"/>
        <w:rPr>
          <w:sz w:val="20"/>
          <w:szCs w:val="20"/>
          <w:color w:val="auto"/>
        </w:rPr>
      </w:pPr>
    </w:p>
    <w:p>
      <w:pPr>
        <w:jc w:val="both"/>
        <w:ind w:firstLine="707"/>
        <w:spacing w:after="0" w:line="281" w:lineRule="auto"/>
        <w:rPr>
          <w:sz w:val="20"/>
          <w:szCs w:val="20"/>
          <w:color w:val="auto"/>
        </w:rPr>
      </w:pPr>
      <w:r>
        <w:rPr>
          <w:rFonts w:ascii="Arial" w:cs="Arial" w:eastAsia="Arial" w:hAnsi="Arial"/>
          <w:sz w:val="17"/>
          <w:szCs w:val="17"/>
          <w:b w:val="1"/>
          <w:bCs w:val="1"/>
          <w:color w:val="auto"/>
        </w:rPr>
        <w:t xml:space="preserve">PLEASE TAKE FURTHER NOTICE </w:t>
      </w:r>
      <w:r>
        <w:rPr>
          <w:rFonts w:ascii="Arial" w:cs="Arial" w:eastAsia="Arial" w:hAnsi="Arial"/>
          <w:sz w:val="17"/>
          <w:szCs w:val="17"/>
          <w:color w:val="auto"/>
        </w:rPr>
        <w:t>that copies of the Confirmation Order may be examined by any party in interest during normal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hours at the Clerk of the United States Bankruptcy Court for the Southern District of Texas, 515 Rusk Street, Houston, Texas 77002. You may also obtain copies of the Confirmation Order or of any pleadings filed in these Chapter 11 Cases for a fee via PACER at: http://www.ecf.txsb.uscourts.gov or free of charge on the case information website of the Debtors’ Voting and Claims Agent, Prime Clerk LLC, at https://cases.primeclerk.com/weatherford/.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80975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09" w:lineRule="auto"/>
        <w:tabs>
          <w:tab w:leader="none" w:pos="126" w:val="left"/>
        </w:tabs>
        <w:numPr>
          <w:ilvl w:val="0"/>
          <w:numId w:val="1303"/>
        </w:numPr>
        <w:rPr>
          <w:rFonts w:ascii="Arial" w:cs="Arial" w:eastAsia="Arial" w:hAnsi="Arial"/>
          <w:sz w:val="30"/>
          <w:szCs w:val="30"/>
          <w:color w:val="auto"/>
          <w:vertAlign w:val="superscript"/>
        </w:rPr>
      </w:pPr>
      <w:r>
        <w:rPr>
          <w:rFonts w:ascii="Arial" w:cs="Arial" w:eastAsia="Arial" w:hAnsi="Arial"/>
          <w:sz w:val="18"/>
          <w:szCs w:val="18"/>
          <w:color w:val="auto"/>
        </w:rPr>
        <w:t>The Debtors in these cases, along with the last four digits of each Debtor’s federal tax identification number, are: Weatherford International plc (6750); Weatherford International Ltd. (1344); and Weatherford International, LLC (5019). The location of the Debtors’ U.S. corporate headquarters and the Debtors’ service address is: 2000 St. James Place, Houston, TX 77056.</w:t>
      </w:r>
    </w:p>
    <w:p>
      <w:pPr>
        <w:spacing w:after="0" w:line="175" w:lineRule="exact"/>
        <w:rPr>
          <w:sz w:val="20"/>
          <w:szCs w:val="20"/>
          <w:color w:val="auto"/>
        </w:rPr>
      </w:pPr>
    </w:p>
    <w:p>
      <w:pPr>
        <w:ind w:left="120" w:hanging="112"/>
        <w:spacing w:after="0"/>
        <w:tabs>
          <w:tab w:leader="none" w:pos="120" w:val="left"/>
        </w:tabs>
        <w:numPr>
          <w:ilvl w:val="0"/>
          <w:numId w:val="1304"/>
        </w:numPr>
        <w:rPr>
          <w:rFonts w:ascii="Arial" w:cs="Arial" w:eastAsia="Arial" w:hAnsi="Arial"/>
          <w:sz w:val="26"/>
          <w:szCs w:val="26"/>
          <w:color w:val="auto"/>
          <w:vertAlign w:val="superscript"/>
        </w:rPr>
      </w:pPr>
      <w:r>
        <w:rPr>
          <w:rFonts w:ascii="Arial" w:cs="Arial" w:eastAsia="Arial" w:hAnsi="Arial"/>
          <w:sz w:val="16"/>
          <w:szCs w:val="16"/>
          <w:color w:val="auto"/>
        </w:rPr>
        <w:t>Capitalized terms used but not otherwise defined herein shall have the meanings ascribed to them in the Plan or the Confirmation Order,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85" w:name="page1186"/>
    <w:bookmarkEnd w:id="1185"/>
    <w:p>
      <w:pPr>
        <w:jc w:val="center"/>
        <w:ind w:right="-19"/>
        <w:spacing w:after="0"/>
        <w:rPr>
          <w:sz w:val="20"/>
          <w:szCs w:val="20"/>
          <w:color w:val="auto"/>
        </w:rPr>
      </w:pPr>
      <w:r>
        <w:rPr>
          <w:rFonts w:ascii="Arial" w:cs="Arial" w:eastAsia="Arial" w:hAnsi="Arial"/>
          <w:sz w:val="18"/>
          <w:szCs w:val="18"/>
          <w:color w:val="auto"/>
        </w:rPr>
        <w:t>Case 19-33694 Document 483 Filed in TXSB on 12/13/19 Page 2 of 3</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PLEASE TAKE FURTHER NOTICE </w:t>
      </w:r>
      <w:r>
        <w:rPr>
          <w:rFonts w:ascii="Arial" w:cs="Arial" w:eastAsia="Arial" w:hAnsi="Arial"/>
          <w:sz w:val="18"/>
          <w:szCs w:val="18"/>
          <w:color w:val="auto"/>
        </w:rPr>
        <w:t>that all final requests for payment of Professional Fee Claims must be filed with the Bankruptcy Court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served on the Reorganized Debtors no later than January 27, 2020, which is the date that is 45 days after the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PLEASE TAKE FURTHER NOTICE </w:t>
      </w:r>
      <w:r>
        <w:rPr>
          <w:rFonts w:ascii="Arial" w:cs="Arial" w:eastAsia="Arial" w:hAnsi="Arial"/>
          <w:sz w:val="18"/>
          <w:szCs w:val="18"/>
          <w:color w:val="auto"/>
        </w:rPr>
        <w:t>that the Plan and its provisions are binding on the Debtors, the Reorganized Debtors, any Holder of a Claim</w:t>
      </w:r>
      <w:r>
        <w:rPr>
          <w:rFonts w:ascii="Arial" w:cs="Arial" w:eastAsia="Arial" w:hAnsi="Arial"/>
          <w:sz w:val="18"/>
          <w:szCs w:val="18"/>
          <w:b w:val="1"/>
          <w:bCs w:val="1"/>
          <w:color w:val="auto"/>
        </w:rPr>
        <w:t xml:space="preserve"> </w:t>
      </w:r>
      <w:r>
        <w:rPr>
          <w:rFonts w:ascii="Arial" w:cs="Arial" w:eastAsia="Arial" w:hAnsi="Arial"/>
          <w:sz w:val="18"/>
          <w:szCs w:val="18"/>
          <w:color w:val="auto"/>
        </w:rPr>
        <w:t>or Equity Interest, and such Holder’s respective successors and assigns, whether or not the Claim or Equity Interest of such Holder is Impaired under the Plan and whether or not such Holder voted to accept the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186" w:name="page1187"/>
    <w:bookmarkEnd w:id="1186"/>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7360" w:type="dxa"/>
            <w:vAlign w:val="bottom"/>
            <w:gridSpan w:val="2"/>
          </w:tcPr>
          <w:p>
            <w:pPr>
              <w:ind w:left="540"/>
              <w:spacing w:after="0"/>
              <w:rPr>
                <w:sz w:val="20"/>
                <w:szCs w:val="20"/>
                <w:color w:val="auto"/>
              </w:rPr>
            </w:pPr>
            <w:r>
              <w:rPr>
                <w:rFonts w:ascii="Arial" w:cs="Arial" w:eastAsia="Arial" w:hAnsi="Arial"/>
                <w:sz w:val="18"/>
                <w:szCs w:val="18"/>
                <w:color w:val="auto"/>
              </w:rPr>
              <w:t>Case 19-33694 Document 483 Filed in TXSB on 12/13/19 Page 3 of 3</w:t>
            </w:r>
          </w:p>
        </w:tc>
        <w:tc>
          <w:tcPr>
            <w:tcW w:w="0" w:type="dxa"/>
            <w:vAlign w:val="bottom"/>
          </w:tcPr>
          <w:p>
            <w:pPr>
              <w:spacing w:after="0"/>
              <w:rPr>
                <w:sz w:val="1"/>
                <w:szCs w:val="1"/>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Dated:   December 13, 2019</w:t>
            </w:r>
          </w:p>
        </w:tc>
        <w:tc>
          <w:tcPr>
            <w:tcW w:w="7360" w:type="dxa"/>
            <w:vAlign w:val="bottom"/>
            <w:gridSpan w:val="2"/>
          </w:tcPr>
          <w:p>
            <w:pPr>
              <w:ind w:left="3080"/>
              <w:spacing w:after="0"/>
              <w:rPr>
                <w:sz w:val="20"/>
                <w:szCs w:val="20"/>
                <w:color w:val="auto"/>
              </w:rPr>
            </w:pPr>
            <w:r>
              <w:rPr>
                <w:rFonts w:ascii="Arial" w:cs="Arial" w:eastAsia="Arial" w:hAnsi="Arial"/>
                <w:sz w:val="18"/>
                <w:szCs w:val="18"/>
                <w:color w:val="auto"/>
              </w:rPr>
              <w:t>BY ORDER OF THE COURT</w:t>
            </w:r>
          </w:p>
        </w:tc>
        <w:tc>
          <w:tcPr>
            <w:tcW w:w="0" w:type="dxa"/>
            <w:vAlign w:val="bottom"/>
          </w:tcPr>
          <w:p>
            <w:pPr>
              <w:spacing w:after="0"/>
              <w:rPr>
                <w:sz w:val="1"/>
                <w:szCs w:val="1"/>
                <w:color w:val="auto"/>
              </w:rPr>
            </w:pPr>
          </w:p>
        </w:tc>
      </w:tr>
      <w:tr>
        <w:trPr>
          <w:trHeight w:val="230"/>
        </w:trPr>
        <w:tc>
          <w:tcPr>
            <w:tcW w:w="2640" w:type="dxa"/>
            <w:vAlign w:val="bottom"/>
          </w:tcPr>
          <w:p>
            <w:pPr>
              <w:ind w:left="700"/>
              <w:spacing w:after="0"/>
              <w:rPr>
                <w:sz w:val="20"/>
                <w:szCs w:val="20"/>
                <w:color w:val="auto"/>
              </w:rPr>
            </w:pPr>
            <w:r>
              <w:rPr>
                <w:rFonts w:ascii="Arial" w:cs="Arial" w:eastAsia="Arial" w:hAnsi="Arial"/>
                <w:sz w:val="18"/>
                <w:szCs w:val="18"/>
                <w:color w:val="auto"/>
              </w:rPr>
              <w:t>Houston, Texas</w:t>
            </w:r>
          </w:p>
        </w:tc>
        <w:tc>
          <w:tcPr>
            <w:tcW w:w="7360" w:type="dxa"/>
            <w:vAlign w:val="bottom"/>
            <w:gridSpan w:val="2"/>
            <w:vMerge w:val="restart"/>
          </w:tcPr>
          <w:p>
            <w:pPr>
              <w:ind w:left="3080"/>
              <w:spacing w:after="0"/>
              <w:rPr>
                <w:sz w:val="20"/>
                <w:szCs w:val="20"/>
                <w:color w:val="auto"/>
              </w:rPr>
            </w:pPr>
            <w:r>
              <w:rPr>
                <w:rFonts w:ascii="Arial" w:cs="Arial" w:eastAsia="Arial" w:hAnsi="Arial"/>
                <w:sz w:val="18"/>
                <w:szCs w:val="18"/>
                <w:color w:val="auto"/>
                <w:w w:val="92"/>
              </w:rPr>
              <w:t>Timothy A. (“Tad”) Davidson II (Texas Bar No. 24012503)</w:t>
            </w: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7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7360" w:type="dxa"/>
            <w:vAlign w:val="bottom"/>
            <w:gridSpan w:val="2"/>
          </w:tcPr>
          <w:p>
            <w:pPr>
              <w:ind w:left="3080"/>
              <w:spacing w:after="0"/>
              <w:rPr>
                <w:sz w:val="20"/>
                <w:szCs w:val="20"/>
                <w:color w:val="auto"/>
              </w:rPr>
            </w:pPr>
            <w:r>
              <w:rPr>
                <w:rFonts w:ascii="Arial" w:cs="Arial" w:eastAsia="Arial" w:hAnsi="Arial"/>
                <w:sz w:val="18"/>
                <w:szCs w:val="18"/>
                <w:color w:val="auto"/>
              </w:rPr>
              <w:t>Ashley L. Harper (Texas Bar No. 24065272)</w:t>
            </w: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7360" w:type="dxa"/>
            <w:vAlign w:val="bottom"/>
            <w:gridSpan w:val="2"/>
          </w:tcPr>
          <w:p>
            <w:pPr>
              <w:ind w:left="3080"/>
              <w:spacing w:after="0"/>
              <w:rPr>
                <w:sz w:val="20"/>
                <w:szCs w:val="20"/>
                <w:color w:val="auto"/>
              </w:rPr>
            </w:pPr>
            <w:r>
              <w:rPr>
                <w:rFonts w:ascii="Arial" w:cs="Arial" w:eastAsia="Arial" w:hAnsi="Arial"/>
                <w:sz w:val="18"/>
                <w:szCs w:val="18"/>
                <w:b w:val="1"/>
                <w:bCs w:val="1"/>
                <w:color w:val="auto"/>
              </w:rPr>
              <w:t>HUNTON ANDREWS KURTH LLP</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360" w:type="dxa"/>
            <w:vAlign w:val="bottom"/>
            <w:gridSpan w:val="2"/>
          </w:tcPr>
          <w:p>
            <w:pPr>
              <w:ind w:left="3080"/>
              <w:spacing w:after="0"/>
              <w:rPr>
                <w:sz w:val="20"/>
                <w:szCs w:val="20"/>
                <w:color w:val="auto"/>
              </w:rPr>
            </w:pPr>
            <w:r>
              <w:rPr>
                <w:rFonts w:ascii="Arial" w:cs="Arial" w:eastAsia="Arial" w:hAnsi="Arial"/>
                <w:sz w:val="18"/>
                <w:szCs w:val="18"/>
                <w:color w:val="auto"/>
              </w:rPr>
              <w:t>600 Travis Street, Suite 4200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7360" w:type="dxa"/>
            <w:vAlign w:val="bottom"/>
            <w:gridSpan w:val="2"/>
          </w:tcPr>
          <w:p>
            <w:pPr>
              <w:ind w:left="3080"/>
              <w:spacing w:after="0"/>
              <w:rPr>
                <w:sz w:val="20"/>
                <w:szCs w:val="20"/>
                <w:color w:val="auto"/>
              </w:rPr>
            </w:pPr>
            <w:r>
              <w:rPr>
                <w:rFonts w:ascii="Arial" w:cs="Arial" w:eastAsia="Arial" w:hAnsi="Arial"/>
                <w:sz w:val="18"/>
                <w:szCs w:val="18"/>
                <w:color w:val="auto"/>
              </w:rPr>
              <w:t>Houston, Texas 77002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660" w:type="dxa"/>
            <w:vAlign w:val="bottom"/>
          </w:tcPr>
          <w:p>
            <w:pPr>
              <w:ind w:left="3080"/>
              <w:spacing w:after="0"/>
              <w:rPr>
                <w:sz w:val="20"/>
                <w:szCs w:val="20"/>
                <w:color w:val="auto"/>
              </w:rPr>
            </w:pPr>
            <w:r>
              <w:rPr>
                <w:rFonts w:ascii="Arial" w:cs="Arial" w:eastAsia="Arial" w:hAnsi="Arial"/>
                <w:sz w:val="18"/>
                <w:szCs w:val="18"/>
                <w:color w:val="auto"/>
              </w:rPr>
              <w:t>Tel:</w:t>
            </w:r>
          </w:p>
        </w:tc>
        <w:tc>
          <w:tcPr>
            <w:tcW w:w="3700" w:type="dxa"/>
            <w:vAlign w:val="bottom"/>
          </w:tcPr>
          <w:p>
            <w:pPr>
              <w:ind w:left="100"/>
              <w:spacing w:after="0"/>
              <w:rPr>
                <w:sz w:val="20"/>
                <w:szCs w:val="20"/>
                <w:color w:val="auto"/>
              </w:rPr>
            </w:pPr>
            <w:r>
              <w:rPr>
                <w:rFonts w:ascii="Arial" w:cs="Arial" w:eastAsia="Arial" w:hAnsi="Arial"/>
                <w:sz w:val="18"/>
                <w:szCs w:val="18"/>
                <w:color w:val="auto"/>
              </w:rPr>
              <w:t>713-220-4200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660" w:type="dxa"/>
            <w:vAlign w:val="bottom"/>
          </w:tcPr>
          <w:p>
            <w:pPr>
              <w:ind w:left="3080"/>
              <w:spacing w:after="0"/>
              <w:rPr>
                <w:sz w:val="20"/>
                <w:szCs w:val="20"/>
                <w:color w:val="auto"/>
              </w:rPr>
            </w:pPr>
            <w:r>
              <w:rPr>
                <w:rFonts w:ascii="Arial" w:cs="Arial" w:eastAsia="Arial" w:hAnsi="Arial"/>
                <w:sz w:val="18"/>
                <w:szCs w:val="18"/>
                <w:color w:val="auto"/>
              </w:rPr>
              <w:t>Fax:</w:t>
            </w:r>
          </w:p>
        </w:tc>
        <w:tc>
          <w:tcPr>
            <w:tcW w:w="3700" w:type="dxa"/>
            <w:vAlign w:val="bottom"/>
          </w:tcPr>
          <w:p>
            <w:pPr>
              <w:ind w:left="100"/>
              <w:spacing w:after="0"/>
              <w:rPr>
                <w:sz w:val="20"/>
                <w:szCs w:val="20"/>
                <w:color w:val="auto"/>
              </w:rPr>
            </w:pPr>
            <w:r>
              <w:rPr>
                <w:rFonts w:ascii="Arial" w:cs="Arial" w:eastAsia="Arial" w:hAnsi="Arial"/>
                <w:sz w:val="18"/>
                <w:szCs w:val="18"/>
                <w:color w:val="auto"/>
              </w:rPr>
              <w:t>713-220-4285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660" w:type="dxa"/>
            <w:vAlign w:val="bottom"/>
          </w:tcPr>
          <w:p>
            <w:pPr>
              <w:ind w:left="3080"/>
              <w:spacing w:after="0"/>
              <w:rPr>
                <w:sz w:val="20"/>
                <w:szCs w:val="20"/>
                <w:color w:val="auto"/>
              </w:rPr>
            </w:pPr>
            <w:r>
              <w:rPr>
                <w:rFonts w:ascii="Arial" w:cs="Arial" w:eastAsia="Arial" w:hAnsi="Arial"/>
                <w:sz w:val="18"/>
                <w:szCs w:val="18"/>
                <w:color w:val="auto"/>
              </w:rPr>
              <w:t>Email:</w:t>
            </w:r>
          </w:p>
        </w:tc>
        <w:tc>
          <w:tcPr>
            <w:tcW w:w="3700" w:type="dxa"/>
            <w:vAlign w:val="bottom"/>
          </w:tcPr>
          <w:p>
            <w:pPr>
              <w:ind w:left="100"/>
              <w:spacing w:after="0"/>
              <w:rPr>
                <w:sz w:val="20"/>
                <w:szCs w:val="20"/>
                <w:color w:val="auto"/>
              </w:rPr>
            </w:pPr>
            <w:r>
              <w:rPr>
                <w:rFonts w:ascii="Arial" w:cs="Arial" w:eastAsia="Arial" w:hAnsi="Arial"/>
                <w:sz w:val="18"/>
                <w:szCs w:val="18"/>
                <w:color w:val="auto"/>
              </w:rPr>
              <w:t>TadDavidson@HuntonAK.com</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AshleyHarper@HuntonAK.com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George A. Davis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Keith A. Simon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David A. Hammerman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Annemarie V. Reilly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Lisa K. Lansio (admitted </w:t>
      </w:r>
      <w:r>
        <w:rPr>
          <w:rFonts w:ascii="Arial" w:cs="Arial" w:eastAsia="Arial" w:hAnsi="Arial"/>
          <w:sz w:val="18"/>
          <w:szCs w:val="18"/>
          <w:i w:val="1"/>
          <w:iCs w:val="1"/>
          <w:color w:val="auto"/>
        </w:rPr>
        <w:t>pro hac vice</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212-906-1200</w:t>
      </w:r>
    </w:p>
    <w:p>
      <w:pPr>
        <w:spacing w:after="0" w:line="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212-751-4864</w:t>
      </w:r>
    </w:p>
    <w:p>
      <w:pPr>
        <w:spacing w:after="0" w:line="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Email:</w:t>
        <w:tab/>
        <w:t>george.davis@lw.com</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keith.simon@lw.com</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david.hammerman@lw.com</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annemarie.reilly@lw.com</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lisa.lansio@lw.com</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Counsel for the Debtors and Debtors in Possession</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7FC831"/>
    <w:multiLevelType w:val="hybridMultilevel"/>
    <w:lvl w:ilvl="0">
      <w:lvlJc w:val="left"/>
      <w:lvlText w:val="☐"/>
      <w:numFmt w:val="bullet"/>
      <w:start w:val="1"/>
    </w:lvl>
  </w:abstractNum>
  <w:abstractNum w:abstractNumId="1">
    <w:nsid w:val="34ADB582"/>
    <w:multiLevelType w:val="hybridMultilevel"/>
    <w:lvl w:ilvl="0">
      <w:lvlJc w:val="left"/>
      <w:lvlText w:val="·"/>
      <w:numFmt w:val="bullet"/>
      <w:start w:val="1"/>
    </w:lvl>
  </w:abstractNum>
  <w:abstractNum w:abstractNumId="2">
    <w:nsid w:val="4CB58EA4"/>
    <w:multiLevelType w:val="hybridMultilevel"/>
    <w:lvl w:ilvl="0">
      <w:lvlJc w:val="left"/>
      <w:lvlText w:val="·"/>
      <w:numFmt w:val="bullet"/>
      <w:start w:val="1"/>
    </w:lvl>
  </w:abstractNum>
  <w:abstractNum w:abstractNumId="3">
    <w:nsid w:val="39629FFA"/>
    <w:multiLevelType w:val="hybridMultilevel"/>
    <w:lvl w:ilvl="0">
      <w:lvlJc w:val="left"/>
      <w:lvlText w:val="·"/>
      <w:numFmt w:val="bullet"/>
      <w:start w:val="1"/>
    </w:lvl>
  </w:abstractNum>
  <w:abstractNum w:abstractNumId="4">
    <w:nsid w:val="71F94ADC"/>
    <w:multiLevelType w:val="hybridMultilevel"/>
    <w:lvl w:ilvl="0">
      <w:lvlJc w:val="left"/>
      <w:lvlText w:val="·"/>
      <w:numFmt w:val="bullet"/>
      <w:start w:val="1"/>
    </w:lvl>
  </w:abstractNum>
  <w:abstractNum w:abstractNumId="5">
    <w:nsid w:val="27FFB15A"/>
    <w:multiLevelType w:val="hybridMultilevel"/>
    <w:lvl w:ilvl="0">
      <w:lvlJc w:val="left"/>
      <w:lvlText w:val="·"/>
      <w:numFmt w:val="bullet"/>
      <w:start w:val="1"/>
    </w:lvl>
  </w:abstractNum>
  <w:abstractNum w:abstractNumId="6">
    <w:nsid w:val="48BE573"/>
    <w:multiLevelType w:val="hybridMultilevel"/>
    <w:lvl w:ilvl="0">
      <w:lvlJc w:val="left"/>
      <w:lvlText w:val="·"/>
      <w:numFmt w:val="bullet"/>
      <w:start w:val="1"/>
    </w:lvl>
  </w:abstractNum>
  <w:abstractNum w:abstractNumId="7">
    <w:nsid w:val="142AC06C"/>
    <w:multiLevelType w:val="hybridMultilevel"/>
    <w:lvl w:ilvl="0">
      <w:lvlJc w:val="left"/>
      <w:lvlText w:val="(%1)"/>
      <w:numFmt w:val="lowerLetter"/>
      <w:start w:val="4"/>
    </w:lvl>
  </w:abstractNum>
  <w:abstractNum w:abstractNumId="8">
    <w:nsid w:val="5FA54049"/>
    <w:multiLevelType w:val="hybridMultilevel"/>
    <w:lvl w:ilvl="0">
      <w:lvlJc w:val="left"/>
      <w:lvlText w:val="%1"/>
      <w:numFmt w:val="decimal"/>
      <w:start w:val="104"/>
    </w:lvl>
    <w:lvl w:ilvl="1">
      <w:lvlJc w:val="left"/>
      <w:lvlText w:val="*"/>
      <w:numFmt w:val="bullet"/>
      <w:start w:val="1"/>
    </w:lvl>
  </w:abstractNum>
  <w:abstractNum w:abstractNumId="9">
    <w:nsid w:val="2CBE7670"/>
    <w:multiLevelType w:val="hybridMultilevel"/>
    <w:lvl w:ilvl="0">
      <w:lvlJc w:val="left"/>
      <w:lvlText w:val="%1."/>
      <w:numFmt w:val="decimal"/>
      <w:start w:val="1"/>
    </w:lvl>
  </w:abstractNum>
  <w:abstractNum w:abstractNumId="10">
    <w:nsid w:val="5D86CF11"/>
    <w:multiLevelType w:val="hybridMultilevel"/>
    <w:lvl w:ilvl="0">
      <w:lvlJc w:val="left"/>
      <w:lvlText w:val="%1."/>
      <w:numFmt w:val="decimal"/>
      <w:start w:val="4"/>
    </w:lvl>
  </w:abstractNum>
  <w:abstractNum w:abstractNumId="11">
    <w:nsid w:val="69EF4674"/>
    <w:multiLevelType w:val="hybridMultilevel"/>
    <w:lvl w:ilvl="0">
      <w:lvlJc w:val="left"/>
      <w:lvlText w:val="%1."/>
      <w:numFmt w:val="decimal"/>
      <w:start w:val="1"/>
    </w:lvl>
  </w:abstractNum>
  <w:abstractNum w:abstractNumId="12">
    <w:nsid w:val="68ABEFB0"/>
    <w:multiLevelType w:val="hybridMultilevel"/>
    <w:lvl w:ilvl="0">
      <w:lvlJc w:val="left"/>
      <w:lvlText w:val="%1)"/>
      <w:numFmt w:val="lowerLetter"/>
      <w:start w:val="1"/>
    </w:lvl>
  </w:abstractNum>
  <w:abstractNum w:abstractNumId="13">
    <w:nsid w:val="326C3C76"/>
    <w:multiLevelType w:val="hybridMultilevel"/>
    <w:lvl w:ilvl="0">
      <w:lvlJc w:val="left"/>
      <w:lvlText w:val="%1."/>
      <w:numFmt w:val="decimal"/>
      <w:start w:val="3"/>
    </w:lvl>
  </w:abstractNum>
  <w:abstractNum w:abstractNumId="14">
    <w:nsid w:val="58A36FCA"/>
    <w:multiLevelType w:val="hybridMultilevel"/>
    <w:lvl w:ilvl="0">
      <w:lvlJc w:val="left"/>
      <w:lvlText w:val="%1."/>
      <w:numFmt w:val="decimal"/>
      <w:start w:val="5"/>
    </w:lvl>
  </w:abstractNum>
  <w:abstractNum w:abstractNumId="15">
    <w:nsid w:val="129B95F2"/>
    <w:multiLevelType w:val="hybridMultilevel"/>
    <w:lvl w:ilvl="0">
      <w:lvlJc w:val="left"/>
      <w:lvlText w:val="%1."/>
      <w:numFmt w:val="decimal"/>
      <w:start w:val="6"/>
    </w:lvl>
    <w:lvl w:ilvl="1">
      <w:lvlJc w:val="left"/>
      <w:lvlText w:val="(%2)"/>
      <w:numFmt w:val="lowerLetter"/>
      <w:start w:val="1"/>
    </w:lvl>
  </w:abstractNum>
  <w:abstractNum w:abstractNumId="16">
    <w:nsid w:val="309FB9AB"/>
    <w:multiLevelType w:val="hybridMultilevel"/>
    <w:lvl w:ilvl="0">
      <w:lvlJc w:val="left"/>
      <w:lvlText w:val="%1."/>
      <w:numFmt w:val="decimal"/>
      <w:start w:val="7"/>
    </w:lvl>
  </w:abstractNum>
  <w:abstractNum w:abstractNumId="17">
    <w:nsid w:val="782FF375"/>
    <w:multiLevelType w:val="hybridMultilevel"/>
    <w:lvl w:ilvl="0">
      <w:lvlJc w:val="left"/>
      <w:lvlText w:val="%1."/>
      <w:numFmt w:val="decimal"/>
      <w:start w:val="8"/>
    </w:lvl>
  </w:abstractNum>
  <w:abstractNum w:abstractNumId="18">
    <w:nsid w:val="2B8FA025"/>
    <w:multiLevelType w:val="hybridMultilevel"/>
    <w:lvl w:ilvl="0">
      <w:lvlJc w:val="left"/>
      <w:lvlText w:val="%1."/>
      <w:numFmt w:val="decimal"/>
      <w:start w:val="10"/>
    </w:lvl>
  </w:abstractNum>
  <w:abstractNum w:abstractNumId="19">
    <w:nsid w:val="40F9991C"/>
    <w:multiLevelType w:val="hybridMultilevel"/>
    <w:lvl w:ilvl="0">
      <w:lvlJc w:val="left"/>
      <w:lvlText w:val="%1."/>
      <w:numFmt w:val="decimal"/>
      <w:start w:val="12"/>
    </w:lvl>
  </w:abstractNum>
  <w:abstractNum w:abstractNumId="20">
    <w:nsid w:val="52192A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1">
    <w:nsid w:val="7670D608"/>
    <w:multiLevelType w:val="hybridMultilevel"/>
    <w:lvl w:ilvl="0">
      <w:lvlJc w:val="left"/>
      <w:lvlText w:val="%1."/>
      <w:numFmt w:val="decimal"/>
      <w:start w:val="14"/>
    </w:lvl>
  </w:abstractNum>
  <w:abstractNum w:abstractNumId="22">
    <w:nsid w:val="48B6B6EB"/>
    <w:multiLevelType w:val="hybridMultilevel"/>
    <w:lvl w:ilvl="0">
      <w:lvlJc w:val="left"/>
      <w:lvlText w:val="%1."/>
      <w:numFmt w:val="decimal"/>
      <w:start w:val="15"/>
    </w:lvl>
    <w:lvl w:ilvl="1">
      <w:lvlJc w:val="left"/>
      <w:lvlText w:val="(%2)"/>
      <w:numFmt w:val="lowerLetter"/>
      <w:start w:val="1"/>
    </w:lvl>
  </w:abstractNum>
  <w:abstractNum w:abstractNumId="23">
    <w:nsid w:val="FB37489"/>
    <w:multiLevelType w:val="hybridMultilevel"/>
    <w:lvl w:ilvl="0">
      <w:lvlJc w:val="left"/>
      <w:lvlText w:val="%1."/>
      <w:numFmt w:val="decimal"/>
      <w:start w:val="20"/>
    </w:lvl>
  </w:abstractNum>
  <w:abstractNum w:abstractNumId="24">
    <w:nsid w:val="8A75F95"/>
    <w:multiLevelType w:val="hybridMultilevel"/>
    <w:lvl w:ilvl="0">
      <w:lvlJc w:val="left"/>
      <w:lvlText w:val="%1."/>
      <w:numFmt w:val="decimal"/>
      <w:start w:val="21"/>
    </w:lvl>
    <w:lvl w:ilvl="1">
      <w:lvlJc w:val="left"/>
      <w:lvlText w:val="(%2)"/>
      <w:numFmt w:val="lowerLetter"/>
      <w:start w:val="1"/>
    </w:lvl>
  </w:abstractNum>
  <w:abstractNum w:abstractNumId="25">
    <w:nsid w:val="2B27BF4D"/>
    <w:multiLevelType w:val="hybridMultilevel"/>
    <w:lvl w:ilvl="0">
      <w:lvlJc w:val="left"/>
      <w:lvlText w:val="%1."/>
      <w:numFmt w:val="decimal"/>
      <w:start w:val="30"/>
    </w:lvl>
    <w:lvl w:ilvl="1">
      <w:lvlJc w:val="left"/>
      <w:lvlText w:val="(%2)"/>
      <w:numFmt w:val="lowerLetter"/>
      <w:start w:val="1"/>
    </w:lvl>
  </w:abstractNum>
  <w:abstractNum w:abstractNumId="26">
    <w:nsid w:val="E5CBEB4"/>
    <w:multiLevelType w:val="hybridMultilevel"/>
    <w:lvl w:ilvl="0">
      <w:lvlJc w:val="left"/>
      <w:lvlText w:val="%1."/>
      <w:numFmt w:val="decimal"/>
      <w:start w:val="31"/>
    </w:lvl>
  </w:abstractNum>
  <w:abstractNum w:abstractNumId="27">
    <w:nsid w:val="297BFD38"/>
    <w:multiLevelType w:val="hybridMultilevel"/>
    <w:lvl w:ilvl="0">
      <w:lvlJc w:val="left"/>
      <w:lvlText w:val="%1."/>
      <w:numFmt w:val="decimal"/>
      <w:start w:val="36"/>
    </w:lvl>
  </w:abstractNum>
  <w:abstractNum w:abstractNumId="28">
    <w:nsid w:val="D9A50ED"/>
    <w:multiLevelType w:val="hybridMultilevel"/>
    <w:lvl w:ilvl="0">
      <w:lvlJc w:val="left"/>
      <w:lvlText w:val="(%1)"/>
      <w:numFmt w:val="lowerLetter"/>
      <w:start w:val="1"/>
    </w:lvl>
  </w:abstractNum>
  <w:abstractNum w:abstractNumId="29">
    <w:nsid w:val="20DAABD1"/>
    <w:multiLevelType w:val="hybridMultilevel"/>
    <w:lvl w:ilvl="0">
      <w:lvlJc w:val="left"/>
      <w:lvlText w:val="(%1)"/>
      <w:numFmt w:val="lowerLetter"/>
      <w:start w:val="5"/>
    </w:lvl>
  </w:abstractNum>
  <w:abstractNum w:abstractNumId="30">
    <w:nsid w:val="71B563E3"/>
    <w:multiLevelType w:val="hybridMultilevel"/>
    <w:lvl w:ilvl="0">
      <w:lvlJc w:val="left"/>
      <w:lvlText w:val="%1."/>
      <w:numFmt w:val="decimal"/>
      <w:start w:val="37"/>
    </w:lvl>
  </w:abstractNum>
  <w:abstractNum w:abstractNumId="31">
    <w:nsid w:val="741A191E"/>
    <w:multiLevelType w:val="hybridMultilevel"/>
    <w:lvl w:ilvl="0">
      <w:lvlJc w:val="left"/>
      <w:lvlText w:val="%1."/>
      <w:numFmt w:val="decimal"/>
      <w:start w:val="44"/>
    </w:lvl>
  </w:abstractNum>
  <w:abstractNum w:abstractNumId="32">
    <w:nsid w:val="55886153"/>
    <w:multiLevelType w:val="hybridMultilevel"/>
    <w:lvl w:ilvl="0">
      <w:lvlJc w:val="left"/>
      <w:lvlText w:val="%1."/>
      <w:numFmt w:val="decimal"/>
      <w:start w:val="46"/>
    </w:lvl>
  </w:abstractNum>
  <w:abstractNum w:abstractNumId="33">
    <w:nsid w:val="3E6AF287"/>
    <w:multiLevelType w:val="hybridMultilevel"/>
    <w:lvl w:ilvl="0">
      <w:lvlJc w:val="left"/>
      <w:lvlText w:val="%1."/>
      <w:numFmt w:val="decimal"/>
      <w:start w:val="47"/>
    </w:lvl>
  </w:abstractNum>
  <w:abstractNum w:abstractNumId="34">
    <w:nsid w:val="2D7CB919"/>
    <w:multiLevelType w:val="hybridMultilevel"/>
    <w:lvl w:ilvl="0">
      <w:lvlJc w:val="left"/>
      <w:lvlText w:val="%1."/>
      <w:numFmt w:val="decimal"/>
      <w:start w:val="48"/>
    </w:lvl>
  </w:abstractNum>
  <w:abstractNum w:abstractNumId="35">
    <w:nsid w:val="4781AC2F"/>
    <w:multiLevelType w:val="hybridMultilevel"/>
    <w:lvl w:ilvl="0">
      <w:lvlJc w:val="left"/>
      <w:lvlText w:val="%1."/>
      <w:numFmt w:val="decimal"/>
      <w:start w:val="49"/>
    </w:lvl>
  </w:abstractNum>
  <w:abstractNum w:abstractNumId="36">
    <w:nsid w:val="666AA3E1"/>
    <w:multiLevelType w:val="hybridMultilevel"/>
    <w:lvl w:ilvl="0">
      <w:lvlJc w:val="left"/>
      <w:lvlText w:val="%1."/>
      <w:numFmt w:val="decimal"/>
      <w:start w:val="52"/>
    </w:lvl>
  </w:abstractNum>
  <w:abstractNum w:abstractNumId="37">
    <w:nsid w:val="32089E8C"/>
    <w:multiLevelType w:val="hybridMultilevel"/>
    <w:lvl w:ilvl="0">
      <w:lvlJc w:val="left"/>
      <w:lvlText w:val="%1."/>
      <w:numFmt w:val="decimal"/>
      <w:start w:val="56"/>
    </w:lvl>
  </w:abstractNum>
  <w:abstractNum w:abstractNumId="38">
    <w:nsid w:val="5BAC6C9C"/>
    <w:multiLevelType w:val="hybridMultilevel"/>
    <w:lvl w:ilvl="0">
      <w:lvlJc w:val="left"/>
      <w:lvlText w:val="%1."/>
      <w:numFmt w:val="decimal"/>
      <w:start w:val="59"/>
    </w:lvl>
  </w:abstractNum>
  <w:abstractNum w:abstractNumId="39">
    <w:nsid w:val="460FE42B"/>
    <w:multiLevelType w:val="hybridMultilevel"/>
    <w:lvl w:ilvl="0">
      <w:lvlJc w:val="left"/>
      <w:lvlText w:val="%1."/>
      <w:numFmt w:val="decimal"/>
      <w:start w:val="67"/>
    </w:lvl>
  </w:abstractNum>
  <w:abstractNum w:abstractNumId="40">
    <w:nsid w:val="5EC714FC"/>
    <w:multiLevelType w:val="hybridMultilevel"/>
    <w:lvl w:ilvl="0">
      <w:lvlJc w:val="left"/>
      <w:lvlText w:val="%1."/>
      <w:numFmt w:val="decimal"/>
      <w:start w:val="70"/>
    </w:lvl>
  </w:abstractNum>
  <w:abstractNum w:abstractNumId="41">
    <w:nsid w:val="39333BAD"/>
    <w:multiLevelType w:val="hybridMultilevel"/>
    <w:lvl w:ilvl="0">
      <w:lvlJc w:val="left"/>
      <w:lvlText w:val="%1."/>
      <w:numFmt w:val="decimal"/>
      <w:start w:val="73"/>
    </w:lvl>
  </w:abstractNum>
  <w:abstractNum w:abstractNumId="42">
    <w:nsid w:val="2FFF2A9F"/>
    <w:multiLevelType w:val="hybridMultilevel"/>
    <w:lvl w:ilvl="0">
      <w:lvlJc w:val="left"/>
      <w:lvlText w:val="%1."/>
      <w:numFmt w:val="decimal"/>
      <w:start w:val="75"/>
    </w:lvl>
  </w:abstractNum>
  <w:abstractNum w:abstractNumId="43">
    <w:nsid w:val="477304AC"/>
    <w:multiLevelType w:val="hybridMultilevel"/>
    <w:lvl w:ilvl="0">
      <w:lvlJc w:val="left"/>
      <w:lvlText w:val="%1."/>
      <w:numFmt w:val="decimal"/>
      <w:start w:val="83"/>
    </w:lvl>
  </w:abstractNum>
  <w:abstractNum w:abstractNumId="44">
    <w:nsid w:val="6B9F7823"/>
    <w:multiLevelType w:val="hybridMultilevel"/>
    <w:lvl w:ilvl="0">
      <w:lvlJc w:val="left"/>
      <w:lvlText w:val="%1."/>
      <w:numFmt w:val="decimal"/>
      <w:start w:val="87"/>
    </w:lvl>
  </w:abstractNum>
  <w:abstractNum w:abstractNumId="45">
    <w:nsid w:val="8A29A69"/>
    <w:multiLevelType w:val="hybridMultilevel"/>
    <w:lvl w:ilvl="0">
      <w:lvlJc w:val="left"/>
      <w:lvlText w:val="%1."/>
      <w:numFmt w:val="decimal"/>
      <w:start w:val="92"/>
    </w:lvl>
  </w:abstractNum>
  <w:abstractNum w:abstractNumId="46">
    <w:nsid w:val="5A0E9A9F"/>
    <w:multiLevelType w:val="hybridMultilevel"/>
    <w:lvl w:ilvl="0">
      <w:lvlJc w:val="left"/>
      <w:lvlText w:val="%1."/>
      <w:numFmt w:val="decimal"/>
      <w:start w:val="93"/>
    </w:lvl>
  </w:abstractNum>
  <w:abstractNum w:abstractNumId="47">
    <w:nsid w:val="1C3F31CE"/>
    <w:multiLevelType w:val="hybridMultilevel"/>
    <w:lvl w:ilvl="0">
      <w:lvlJc w:val="left"/>
      <w:lvlText w:val="%1."/>
      <w:numFmt w:val="decimal"/>
      <w:start w:val="100"/>
    </w:lvl>
  </w:abstractNum>
  <w:abstractNum w:abstractNumId="48">
    <w:nsid w:val="D28DDE"/>
    <w:multiLevelType w:val="hybridMultilevel"/>
    <w:lvl w:ilvl="0">
      <w:lvlJc w:val="left"/>
      <w:lvlText w:val="%1."/>
      <w:numFmt w:val="decimal"/>
      <w:start w:val="106"/>
    </w:lvl>
  </w:abstractNum>
  <w:abstractNum w:abstractNumId="49">
    <w:nsid w:val="59E3AC4"/>
    <w:multiLevelType w:val="hybridMultilevel"/>
    <w:lvl w:ilvl="0">
      <w:lvlJc w:val="left"/>
      <w:lvlText w:val="%1."/>
      <w:numFmt w:val="decimal"/>
      <w:start w:val="108"/>
    </w:lvl>
  </w:abstractNum>
  <w:abstractNum w:abstractNumId="50">
    <w:nsid w:val="5D38CAEA"/>
    <w:multiLevelType w:val="hybridMultilevel"/>
    <w:lvl w:ilvl="0">
      <w:lvlJc w:val="left"/>
      <w:lvlText w:val="%1."/>
      <w:numFmt w:val="decimal"/>
      <w:start w:val="109"/>
    </w:lvl>
  </w:abstractNum>
  <w:abstractNum w:abstractNumId="51">
    <w:nsid w:val="5F4208C"/>
    <w:multiLevelType w:val="hybridMultilevel"/>
    <w:lvl w:ilvl="0">
      <w:lvlJc w:val="left"/>
      <w:lvlText w:val="%1."/>
      <w:numFmt w:val="decimal"/>
      <w:start w:val="111"/>
    </w:lvl>
  </w:abstractNum>
  <w:abstractNum w:abstractNumId="52">
    <w:nsid w:val="7C0F10CC"/>
    <w:multiLevelType w:val="hybridMultilevel"/>
    <w:lvl w:ilvl="0">
      <w:lvlJc w:val="left"/>
      <w:lvlText w:val="%1."/>
      <w:numFmt w:val="decimal"/>
      <w:start w:val="112"/>
    </w:lvl>
    <w:lvl w:ilvl="1">
      <w:lvlJc w:val="left"/>
      <w:lvlText w:val="(%2)"/>
      <w:numFmt w:val="lowerLetter"/>
      <w:start w:val="1"/>
    </w:lvl>
  </w:abstractNum>
  <w:abstractNum w:abstractNumId="53">
    <w:nsid w:val="25EF81D5"/>
    <w:multiLevelType w:val="hybridMultilevel"/>
    <w:lvl w:ilvl="0">
      <w:lvlJc w:val="left"/>
      <w:lvlText w:val="%1."/>
      <w:numFmt w:val="decimal"/>
      <w:start w:val="113"/>
    </w:lvl>
  </w:abstractNum>
  <w:abstractNum w:abstractNumId="54">
    <w:nsid w:val="15A79515"/>
    <w:multiLevelType w:val="hybridMultilevel"/>
    <w:lvl w:ilvl="0">
      <w:lvlJc w:val="left"/>
      <w:lvlText w:val="%1."/>
      <w:numFmt w:val="decimal"/>
      <w:start w:val="115"/>
    </w:lvl>
  </w:abstractNum>
  <w:abstractNum w:abstractNumId="55">
    <w:nsid w:val="4B67062"/>
    <w:multiLevelType w:val="hybridMultilevel"/>
    <w:lvl w:ilvl="0">
      <w:lvlJc w:val="left"/>
      <w:lvlText w:val="%1."/>
      <w:numFmt w:val="decimal"/>
      <w:start w:val="116"/>
    </w:lvl>
  </w:abstractNum>
  <w:abstractNum w:abstractNumId="56">
    <w:nsid w:val="51174123"/>
    <w:multiLevelType w:val="hybridMultilevel"/>
    <w:lvl w:ilvl="0">
      <w:lvlJc w:val="left"/>
      <w:lvlText w:val="%1."/>
      <w:numFmt w:val="decimal"/>
      <w:start w:val="117"/>
    </w:lvl>
  </w:abstractNum>
  <w:abstractNum w:abstractNumId="57">
    <w:nsid w:val="240453CA"/>
    <w:multiLevelType w:val="hybridMultilevel"/>
    <w:lvl w:ilvl="0">
      <w:lvlJc w:val="left"/>
      <w:lvlText w:val="%1."/>
      <w:numFmt w:val="decimal"/>
      <w:start w:val="119"/>
    </w:lvl>
  </w:abstractNum>
  <w:abstractNum w:abstractNumId="58">
    <w:nsid w:val="2E326D9A"/>
    <w:multiLevelType w:val="hybridMultilevel"/>
    <w:lvl w:ilvl="0">
      <w:lvlJc w:val="left"/>
      <w:lvlText w:val="%1."/>
      <w:numFmt w:val="decimal"/>
      <w:start w:val="121"/>
    </w:lvl>
    <w:lvl w:ilvl="1">
      <w:lvlJc w:val="left"/>
      <w:lvlText w:val="(%2)"/>
      <w:numFmt w:val="lowerRoman"/>
      <w:start w:val="1"/>
    </w:lvl>
  </w:abstractNum>
  <w:abstractNum w:abstractNumId="59">
    <w:nsid w:val="5EB19210"/>
    <w:multiLevelType w:val="hybridMultilevel"/>
    <w:lvl w:ilvl="0">
      <w:lvlJc w:val="left"/>
      <w:lvlText w:val="%1."/>
      <w:numFmt w:val="decimal"/>
      <w:start w:val="124"/>
    </w:lvl>
  </w:abstractNum>
  <w:abstractNum w:abstractNumId="60">
    <w:nsid w:val="44DEFF9B"/>
    <w:multiLevelType w:val="hybridMultilevel"/>
    <w:lvl w:ilvl="0">
      <w:lvlJc w:val="left"/>
      <w:lvlText w:val="%1."/>
      <w:numFmt w:val="decimal"/>
      <w:start w:val="127"/>
    </w:lvl>
  </w:abstractNum>
  <w:abstractNum w:abstractNumId="61">
    <w:nsid w:val="1FE7D17D"/>
    <w:multiLevelType w:val="hybridMultilevel"/>
    <w:lvl w:ilvl="0">
      <w:lvlJc w:val="left"/>
      <w:lvlText w:val="%1."/>
      <w:numFmt w:val="decimal"/>
      <w:start w:val="130"/>
    </w:lvl>
  </w:abstractNum>
  <w:abstractNum w:abstractNumId="62">
    <w:nsid w:val="52CBAB2E"/>
    <w:multiLevelType w:val="hybridMultilevel"/>
    <w:lvl w:ilvl="0">
      <w:lvlJc w:val="left"/>
      <w:lvlText w:val="%1."/>
      <w:numFmt w:val="decimal"/>
      <w:start w:val="135"/>
    </w:lvl>
  </w:abstractNum>
  <w:abstractNum w:abstractNumId="63">
    <w:nsid w:val="1A6760EF"/>
    <w:multiLevelType w:val="hybridMultilevel"/>
    <w:lvl w:ilvl="0">
      <w:lvlJc w:val="left"/>
      <w:lvlText w:val="%1."/>
      <w:numFmt w:val="decimal"/>
      <w:start w:val="136"/>
    </w:lvl>
  </w:abstractNum>
  <w:abstractNum w:abstractNumId="64">
    <w:nsid w:val="5E52C405"/>
    <w:multiLevelType w:val="hybridMultilevel"/>
    <w:lvl w:ilvl="0">
      <w:lvlJc w:val="left"/>
      <w:lvlText w:val="%1."/>
      <w:numFmt w:val="decimal"/>
      <w:start w:val="139"/>
    </w:lvl>
  </w:abstractNum>
  <w:abstractNum w:abstractNumId="65">
    <w:nsid w:val="486447"/>
    <w:multiLevelType w:val="hybridMultilevel"/>
    <w:lvl w:ilvl="0">
      <w:lvlJc w:val="left"/>
      <w:lvlText w:val="%1."/>
      <w:numFmt w:val="decimal"/>
      <w:start w:val="146"/>
    </w:lvl>
  </w:abstractNum>
  <w:abstractNum w:abstractNumId="66">
    <w:nsid w:val="61E90D1E"/>
    <w:multiLevelType w:val="hybridMultilevel"/>
    <w:lvl w:ilvl="0">
      <w:lvlJc w:val="left"/>
      <w:lvlText w:val="%1."/>
      <w:numFmt w:val="decimal"/>
      <w:start w:val="149"/>
    </w:lvl>
  </w:abstractNum>
  <w:abstractNum w:abstractNumId="67">
    <w:nsid w:val="44BD67E6"/>
    <w:multiLevelType w:val="hybridMultilevel"/>
    <w:lvl w:ilvl="0">
      <w:lvlJc w:val="left"/>
      <w:lvlText w:val="%1."/>
      <w:numFmt w:val="decimal"/>
      <w:start w:val="150"/>
    </w:lvl>
  </w:abstractNum>
  <w:abstractNum w:abstractNumId="68">
    <w:nsid w:val="325102D3"/>
    <w:multiLevelType w:val="hybridMultilevel"/>
    <w:lvl w:ilvl="0">
      <w:lvlJc w:val="left"/>
      <w:lvlText w:val="%1."/>
      <w:numFmt w:val="decimal"/>
      <w:start w:val="155"/>
    </w:lvl>
  </w:abstractNum>
  <w:abstractNum w:abstractNumId="69">
    <w:nsid w:val="3D9579BA"/>
    <w:multiLevelType w:val="hybridMultilevel"/>
    <w:lvl w:ilvl="0">
      <w:lvlJc w:val="left"/>
      <w:lvlText w:val="%1."/>
      <w:numFmt w:val="decimal"/>
      <w:start w:val="161"/>
    </w:lvl>
  </w:abstractNum>
  <w:abstractNum w:abstractNumId="70">
    <w:nsid w:val="ACD4C11"/>
    <w:multiLevelType w:val="hybridMultilevel"/>
    <w:lvl w:ilvl="0">
      <w:lvlJc w:val="left"/>
      <w:lvlText w:val="%1."/>
      <w:numFmt w:val="decimal"/>
      <w:start w:val="165"/>
    </w:lvl>
  </w:abstractNum>
  <w:abstractNum w:abstractNumId="71">
    <w:nsid w:val="111817CF"/>
    <w:multiLevelType w:val="hybridMultilevel"/>
    <w:lvl w:ilvl="0">
      <w:lvlJc w:val="left"/>
      <w:lvlText w:val="%1."/>
      <w:numFmt w:val="decimal"/>
      <w:start w:val="168"/>
    </w:lvl>
    <w:lvl w:ilvl="1">
      <w:lvlJc w:val="left"/>
      <w:lvlText w:val="(%2)"/>
      <w:numFmt w:val="lowerLetter"/>
      <w:start w:val="1"/>
    </w:lvl>
  </w:abstractNum>
  <w:abstractNum w:abstractNumId="72">
    <w:nsid w:val="76C8B568"/>
    <w:multiLevelType w:val="hybridMultilevel"/>
    <w:lvl w:ilvl="0">
      <w:lvlJc w:val="left"/>
      <w:lvlText w:val="(%1)"/>
      <w:numFmt w:val="lowerLetter"/>
      <w:start w:val="1"/>
    </w:lvl>
  </w:abstractNum>
  <w:abstractNum w:abstractNumId="73">
    <w:nsid w:val="3ACC76B1"/>
    <w:multiLevelType w:val="hybridMultilevel"/>
    <w:lvl w:ilvl="0">
      <w:lvlJc w:val="left"/>
      <w:lvlText w:val="%1."/>
      <w:numFmt w:val="decimal"/>
      <w:start w:val="169"/>
    </w:lvl>
  </w:abstractNum>
  <w:abstractNum w:abstractNumId="74">
    <w:nsid w:val="588B1C7C"/>
    <w:multiLevelType w:val="hybridMultilevel"/>
    <w:lvl w:ilvl="0">
      <w:lvlJc w:val="left"/>
      <w:lvlText w:val="%1."/>
      <w:numFmt w:val="decimal"/>
      <w:start w:val="171"/>
    </w:lvl>
  </w:abstractNum>
  <w:abstractNum w:abstractNumId="75">
    <w:nsid w:val="62682D8B"/>
    <w:multiLevelType w:val="hybridMultilevel"/>
    <w:lvl w:ilvl="0">
      <w:lvlJc w:val="left"/>
      <w:lvlText w:val="%1."/>
      <w:numFmt w:val="decimal"/>
      <w:start w:val="177"/>
    </w:lvl>
  </w:abstractNum>
  <w:abstractNum w:abstractNumId="76">
    <w:nsid w:val="436F111A"/>
    <w:multiLevelType w:val="hybridMultilevel"/>
    <w:lvl w:ilvl="0">
      <w:lvlJc w:val="left"/>
      <w:lvlText w:val="%1."/>
      <w:numFmt w:val="decimal"/>
      <w:start w:val="178"/>
    </w:lvl>
  </w:abstractNum>
  <w:abstractNum w:abstractNumId="77">
    <w:nsid w:val="3299B71B"/>
    <w:multiLevelType w:val="hybridMultilevel"/>
    <w:lvl w:ilvl="0">
      <w:lvlJc w:val="left"/>
      <w:lvlText w:val="%1."/>
      <w:numFmt w:val="decimal"/>
      <w:start w:val="185"/>
    </w:lvl>
  </w:abstractNum>
  <w:abstractNum w:abstractNumId="78">
    <w:nsid w:val="7EA75F5A"/>
    <w:multiLevelType w:val="hybridMultilevel"/>
    <w:lvl w:ilvl="0">
      <w:lvlJc w:val="left"/>
      <w:lvlText w:val="%1."/>
      <w:numFmt w:val="decimal"/>
      <w:start w:val="189"/>
    </w:lvl>
  </w:abstractNum>
  <w:abstractNum w:abstractNumId="79">
    <w:nsid w:val="44419EF9"/>
    <w:multiLevelType w:val="hybridMultilevel"/>
    <w:lvl w:ilvl="0">
      <w:lvlJc w:val="left"/>
      <w:lvlText w:val="%1."/>
      <w:numFmt w:val="decimal"/>
      <w:start w:val="190"/>
    </w:lvl>
  </w:abstractNum>
  <w:abstractNum w:abstractNumId="80">
    <w:nsid w:val="3837F1DF"/>
    <w:multiLevelType w:val="hybridMultilevel"/>
    <w:lvl w:ilvl="0">
      <w:lvlJc w:val="left"/>
      <w:lvlText w:val="%1."/>
      <w:numFmt w:val="decimal"/>
      <w:start w:val="193"/>
    </w:lvl>
  </w:abstractNum>
  <w:abstractNum w:abstractNumId="81">
    <w:nsid w:val="5BE02A44"/>
    <w:multiLevelType w:val="hybridMultilevel"/>
    <w:lvl w:ilvl="0">
      <w:lvlJc w:val="left"/>
      <w:lvlText w:val="%1."/>
      <w:numFmt w:val="decimal"/>
      <w:start w:val="194"/>
    </w:lvl>
  </w:abstractNum>
  <w:abstractNum w:abstractNumId="82">
    <w:nsid w:val="4A35BF85"/>
    <w:multiLevelType w:val="hybridMultilevel"/>
    <w:lvl w:ilvl="0">
      <w:lvlJc w:val="left"/>
      <w:lvlText w:val="%1."/>
      <w:numFmt w:val="decimal"/>
      <w:start w:val="198"/>
    </w:lvl>
    <w:lvl w:ilvl="1">
      <w:lvlJc w:val="left"/>
      <w:lvlText w:val="(%2)"/>
      <w:numFmt w:val="lowerLetter"/>
      <w:start w:val="1"/>
    </w:lvl>
  </w:abstractNum>
  <w:abstractNum w:abstractNumId="83">
    <w:nsid w:val="344702AC"/>
    <w:multiLevelType w:val="hybridMultilevel"/>
    <w:lvl w:ilvl="0">
      <w:lvlJc w:val="left"/>
      <w:lvlText w:val="%1."/>
      <w:numFmt w:val="decimal"/>
      <w:start w:val="200"/>
    </w:lvl>
  </w:abstractNum>
  <w:abstractNum w:abstractNumId="84">
    <w:nsid w:val="1CFAC1A"/>
    <w:multiLevelType w:val="hybridMultilevel"/>
    <w:lvl w:ilvl="0">
      <w:lvlJc w:val="left"/>
      <w:lvlText w:val="%1."/>
      <w:numFmt w:val="decimal"/>
      <w:start w:val="205"/>
    </w:lvl>
  </w:abstractNum>
  <w:abstractNum w:abstractNumId="85">
    <w:nsid w:val="5FDD549A"/>
    <w:multiLevelType w:val="hybridMultilevel"/>
    <w:lvl w:ilvl="0">
      <w:lvlJc w:val="left"/>
      <w:lvlText w:val="%1."/>
      <w:numFmt w:val="decimal"/>
      <w:start w:val="213"/>
    </w:lvl>
  </w:abstractNum>
  <w:abstractNum w:abstractNumId="86">
    <w:nsid w:val="38FD730E"/>
    <w:multiLevelType w:val="hybridMultilevel"/>
    <w:lvl w:ilvl="0">
      <w:lvlJc w:val="left"/>
      <w:lvlText w:val="%1."/>
      <w:numFmt w:val="decimal"/>
      <w:start w:val="216"/>
    </w:lvl>
  </w:abstractNum>
  <w:abstractNum w:abstractNumId="87">
    <w:nsid w:val="52E6ED3D"/>
    <w:multiLevelType w:val="hybridMultilevel"/>
    <w:lvl w:ilvl="0">
      <w:lvlJc w:val="left"/>
      <w:lvlText w:val="(%1)"/>
      <w:numFmt w:val="lowerLetter"/>
      <w:start w:val="1"/>
    </w:lvl>
  </w:abstractNum>
  <w:abstractNum w:abstractNumId="88">
    <w:nsid w:val="3E1A864"/>
    <w:multiLevelType w:val="hybridMultilevel"/>
    <w:lvl w:ilvl="0">
      <w:lvlJc w:val="left"/>
      <w:lvlText w:val="%1."/>
      <w:numFmt w:val="decimal"/>
      <w:start w:val="219"/>
    </w:lvl>
  </w:abstractNum>
  <w:abstractNum w:abstractNumId="89">
    <w:nsid w:val="672FE0A8"/>
    <w:multiLevelType w:val="hybridMultilevel"/>
    <w:lvl w:ilvl="0">
      <w:lvlJc w:val="left"/>
      <w:lvlText w:val="%1."/>
      <w:numFmt w:val="decimal"/>
      <w:start w:val="225"/>
    </w:lvl>
  </w:abstractNum>
  <w:abstractNum w:abstractNumId="90">
    <w:nsid w:val="31987F4D"/>
    <w:multiLevelType w:val="hybridMultilevel"/>
    <w:lvl w:ilvl="0">
      <w:lvlJc w:val="left"/>
      <w:lvlText w:val="%1."/>
      <w:numFmt w:val="decimal"/>
      <w:start w:val="226"/>
    </w:lvl>
  </w:abstractNum>
  <w:abstractNum w:abstractNumId="91">
    <w:nsid w:val="48C0A800"/>
    <w:multiLevelType w:val="hybridMultilevel"/>
    <w:lvl w:ilvl="0">
      <w:lvlJc w:val="left"/>
      <w:lvlText w:val="%1."/>
      <w:numFmt w:val="decimal"/>
      <w:start w:val="227"/>
    </w:lvl>
    <w:lvl w:ilvl="1">
      <w:lvlJc w:val="left"/>
      <w:lvlText w:val="(%2)"/>
      <w:numFmt w:val="lowerLetter"/>
      <w:start w:val="1"/>
    </w:lvl>
  </w:abstractNum>
  <w:abstractNum w:abstractNumId="92">
    <w:nsid w:val="717B226"/>
    <w:multiLevelType w:val="hybridMultilevel"/>
    <w:lvl w:ilvl="0">
      <w:lvlJc w:val="left"/>
      <w:lvlText w:val="%1."/>
      <w:numFmt w:val="decimal"/>
      <w:start w:val="228"/>
    </w:lvl>
  </w:abstractNum>
  <w:abstractNum w:abstractNumId="93">
    <w:nsid w:val="4642A7B"/>
    <w:multiLevelType w:val="hybridMultilevel"/>
    <w:lvl w:ilvl="0">
      <w:lvlJc w:val="left"/>
      <w:lvlText w:val="%1."/>
      <w:numFmt w:val="decimal"/>
      <w:start w:val="229"/>
    </w:lvl>
  </w:abstractNum>
  <w:abstractNum w:abstractNumId="94">
    <w:nsid w:val="632808EF"/>
    <w:multiLevelType w:val="hybridMultilevel"/>
    <w:lvl w:ilvl="0">
      <w:lvlJc w:val="left"/>
      <w:lvlText w:val="%1."/>
      <w:numFmt w:val="decimal"/>
      <w:start w:val="235"/>
    </w:lvl>
  </w:abstractNum>
  <w:abstractNum w:abstractNumId="95">
    <w:nsid w:val="656A762B"/>
    <w:multiLevelType w:val="hybridMultilevel"/>
    <w:lvl w:ilvl="0">
      <w:lvlJc w:val="left"/>
      <w:lvlText w:val="%1."/>
      <w:numFmt w:val="decimal"/>
      <w:start w:val="236"/>
    </w:lvl>
  </w:abstractNum>
  <w:abstractNum w:abstractNumId="96">
    <w:nsid w:val="4AC8EC3"/>
    <w:multiLevelType w:val="hybridMultilevel"/>
    <w:lvl w:ilvl="0">
      <w:lvlJc w:val="left"/>
      <w:lvlText w:val="%1."/>
      <w:numFmt w:val="decimal"/>
      <w:start w:val="240"/>
    </w:lvl>
  </w:abstractNum>
  <w:abstractNum w:abstractNumId="97">
    <w:nsid w:val="4511160D"/>
    <w:multiLevelType w:val="hybridMultilevel"/>
    <w:lvl w:ilvl="0">
      <w:lvlJc w:val="left"/>
      <w:lvlText w:val="%1."/>
      <w:numFmt w:val="decimal"/>
      <w:start w:val="244"/>
    </w:lvl>
  </w:abstractNum>
  <w:abstractNum w:abstractNumId="98">
    <w:nsid w:val="2A27DE11"/>
    <w:multiLevelType w:val="hybridMultilevel"/>
    <w:lvl w:ilvl="0">
      <w:lvlJc w:val="left"/>
      <w:lvlText w:val="%1."/>
      <w:numFmt w:val="decimal"/>
      <w:start w:val="246"/>
    </w:lvl>
  </w:abstractNum>
  <w:abstractNum w:abstractNumId="99">
    <w:nsid w:val="36FD9196"/>
    <w:multiLevelType w:val="hybridMultilevel"/>
    <w:lvl w:ilvl="0">
      <w:lvlJc w:val="left"/>
      <w:lvlText w:val="%1."/>
      <w:numFmt w:val="decimal"/>
      <w:start w:val="247"/>
    </w:lvl>
  </w:abstractNum>
  <w:abstractNum w:abstractNumId="100">
    <w:nsid w:val="2A68FC8"/>
    <w:multiLevelType w:val="hybridMultilevel"/>
    <w:lvl w:ilvl="0">
      <w:lvlJc w:val="left"/>
      <w:lvlText w:val="(%1)"/>
      <w:numFmt w:val="decimal"/>
      <w:start w:val="1"/>
    </w:lvl>
  </w:abstractNum>
  <w:abstractNum w:abstractNumId="101">
    <w:nsid w:val="34F52A23"/>
    <w:multiLevelType w:val="hybridMultilevel"/>
    <w:lvl w:ilvl="0">
      <w:lvlJc w:val="left"/>
      <w:lvlText w:val="%1."/>
      <w:numFmt w:val="decimal"/>
      <w:start w:val="1"/>
    </w:lvl>
  </w:abstractNum>
  <w:abstractNum w:abstractNumId="102">
    <w:nsid w:val="4815A966"/>
    <w:multiLevelType w:val="hybridMultilevel"/>
    <w:lvl w:ilvl="0">
      <w:lvlJc w:val="left"/>
      <w:lvlText w:val="(%1)"/>
      <w:numFmt w:val="decimal"/>
      <w:start w:val="1"/>
    </w:lvl>
  </w:abstractNum>
  <w:abstractNum w:abstractNumId="103">
    <w:nsid w:val="796F4530"/>
    <w:multiLevelType w:val="hybridMultilevel"/>
    <w:lvl w:ilvl="0">
      <w:lvlJc w:val="left"/>
      <w:lvlText w:val="%1."/>
      <w:numFmt w:val="decimal"/>
      <w:start w:val="1"/>
    </w:lvl>
  </w:abstractNum>
  <w:abstractNum w:abstractNumId="104">
    <w:nsid w:val="6FC1A0D4"/>
    <w:multiLevelType w:val="hybridMultilevel"/>
    <w:lvl w:ilvl="0">
      <w:lvlJc w:val="left"/>
      <w:lvlText w:val="%1."/>
      <w:numFmt w:val="decimal"/>
      <w:start w:val="1"/>
    </w:lvl>
  </w:abstractNum>
  <w:abstractNum w:abstractNumId="105">
    <w:nsid w:val="20A0C5E2"/>
    <w:multiLevelType w:val="hybridMultilevel"/>
    <w:lvl w:ilvl="0">
      <w:lvlJc w:val="left"/>
      <w:lvlText w:val="%1."/>
      <w:numFmt w:val="decimal"/>
      <w:start w:val="2"/>
    </w:lvl>
  </w:abstractNum>
  <w:abstractNum w:abstractNumId="106">
    <w:nsid w:val="5BD772BB"/>
    <w:multiLevelType w:val="hybridMultilevel"/>
    <w:lvl w:ilvl="0">
      <w:lvlJc w:val="left"/>
      <w:lvlText w:val="%1"/>
      <w:numFmt w:val="upperLetter"/>
      <w:start w:val="1"/>
    </w:lvl>
    <w:lvl w:ilvl="1">
      <w:lvlJc w:val="left"/>
      <w:lvlText w:val="(%2)"/>
      <w:numFmt w:val="decimal"/>
      <w:start w:val="1"/>
    </w:lvl>
  </w:abstractNum>
  <w:abstractNum w:abstractNumId="107">
    <w:nsid w:val="3330B1EE"/>
    <w:multiLevelType w:val="hybridMultilevel"/>
    <w:lvl w:ilvl="0">
      <w:lvlJc w:val="left"/>
      <w:lvlText w:val="(%1)"/>
      <w:numFmt w:val="lowerLetter"/>
      <w:start w:val="2"/>
    </w:lvl>
  </w:abstractNum>
  <w:abstractNum w:abstractNumId="108">
    <w:nsid w:val="533A7CFD"/>
    <w:multiLevelType w:val="hybridMultilevel"/>
    <w:lvl w:ilvl="0">
      <w:lvlJc w:val="left"/>
      <w:lvlText w:val="(%1)"/>
      <w:numFmt w:val="decimal"/>
      <w:start w:val="1"/>
    </w:lvl>
    <w:lvl w:ilvl="1">
      <w:lvlJc w:val="left"/>
      <w:lvlText w:val="(%2)"/>
      <w:numFmt w:val="lowerLetter"/>
      <w:start w:val="1"/>
    </w:lvl>
  </w:abstractNum>
  <w:abstractNum w:abstractNumId="109">
    <w:nsid w:val="5A7ED215"/>
    <w:multiLevelType w:val="hybridMultilevel"/>
    <w:lvl w:ilvl="0">
      <w:lvlJc w:val="left"/>
      <w:lvlText w:val="(%1)"/>
      <w:numFmt w:val="decimal"/>
      <w:start w:val="1"/>
    </w:lvl>
  </w:abstractNum>
  <w:abstractNum w:abstractNumId="110">
    <w:nsid w:val="777250E7"/>
    <w:multiLevelType w:val="hybridMultilevel"/>
    <w:lvl w:ilvl="0">
      <w:lvlJc w:val="left"/>
      <w:lvlText w:val="(%1)"/>
      <w:numFmt w:val="decimal"/>
      <w:start w:val="1"/>
    </w:lvl>
  </w:abstractNum>
  <w:abstractNum w:abstractNumId="111">
    <w:nsid w:val="B726EDC"/>
    <w:multiLevelType w:val="hybridMultilevel"/>
    <w:lvl w:ilvl="0">
      <w:lvlJc w:val="left"/>
      <w:lvlText w:val="(%1)"/>
      <w:numFmt w:val="decimal"/>
      <w:start w:val="1"/>
    </w:lvl>
  </w:abstractNum>
  <w:abstractNum w:abstractNumId="112">
    <w:nsid w:val="365EFC5A"/>
    <w:multiLevelType w:val="hybridMultilevel"/>
    <w:lvl w:ilvl="0">
      <w:lvlJc w:val="left"/>
      <w:lvlText w:val="(%1)"/>
      <w:numFmt w:val="decimal"/>
      <w:start w:val="1"/>
    </w:lvl>
  </w:abstractNum>
  <w:abstractNum w:abstractNumId="113">
    <w:nsid w:val="41A8106C"/>
    <w:multiLevelType w:val="hybridMultilevel"/>
    <w:lvl w:ilvl="0">
      <w:lvlJc w:val="left"/>
      <w:lvlText w:val="(%1)"/>
      <w:numFmt w:val="lowerLetter"/>
      <w:start w:val="1"/>
    </w:lvl>
  </w:abstractNum>
  <w:abstractNum w:abstractNumId="114">
    <w:nsid w:val="3FB97188"/>
    <w:multiLevelType w:val="hybridMultilevel"/>
    <w:lvl w:ilvl="0">
      <w:lvlJc w:val="left"/>
      <w:lvlText w:val="(%1)"/>
      <w:numFmt w:val="decimal"/>
      <w:start w:val="1"/>
    </w:lvl>
  </w:abstractNum>
  <w:abstractNum w:abstractNumId="115">
    <w:nsid w:val="382EA874"/>
    <w:multiLevelType w:val="hybridMultilevel"/>
    <w:lvl w:ilvl="0">
      <w:lvlJc w:val="left"/>
      <w:lvlText w:val="(%1)"/>
      <w:numFmt w:val="decimal"/>
      <w:start w:val="5"/>
    </w:lvl>
  </w:abstractNum>
  <w:abstractNum w:abstractNumId="116">
    <w:nsid w:val="21856507"/>
    <w:multiLevelType w:val="hybridMultilevel"/>
    <w:lvl w:ilvl="0">
      <w:lvlJc w:val="left"/>
      <w:lvlText w:val="(%1)"/>
      <w:numFmt w:val="lowerLetter"/>
      <w:start w:val="2"/>
    </w:lvl>
  </w:abstractNum>
  <w:abstractNum w:abstractNumId="117">
    <w:nsid w:val="78B6E496"/>
    <w:multiLevelType w:val="hybridMultilevel"/>
    <w:lvl w:ilvl="0">
      <w:lvlJc w:val="left"/>
      <w:lvlText w:val="(%1)"/>
      <w:numFmt w:val="decimal"/>
      <w:start w:val="1"/>
    </w:lvl>
  </w:abstractNum>
  <w:abstractNum w:abstractNumId="118">
    <w:nsid w:val="B1595B1"/>
    <w:multiLevelType w:val="hybridMultilevel"/>
    <w:lvl w:ilvl="0">
      <w:lvlJc w:val="left"/>
      <w:lvlText w:val="(%1)"/>
      <w:numFmt w:val="decimal"/>
      <w:start w:val="1"/>
    </w:lvl>
  </w:abstractNum>
  <w:abstractNum w:abstractNumId="119">
    <w:nsid w:val="25670D6B"/>
    <w:multiLevelType w:val="hybridMultilevel"/>
    <w:lvl w:ilvl="0">
      <w:lvlJc w:val="left"/>
      <w:lvlText w:val="(%1)"/>
      <w:numFmt w:val="decimal"/>
      <w:start w:val="1"/>
    </w:lvl>
  </w:abstractNum>
  <w:abstractNum w:abstractNumId="120">
    <w:nsid w:val="5FE6C53F"/>
    <w:multiLevelType w:val="hybridMultilevel"/>
    <w:lvl w:ilvl="0">
      <w:lvlJc w:val="left"/>
      <w:lvlText w:val="%1"/>
      <w:numFmt w:val="decimal"/>
      <w:start w:val="1"/>
    </w:lvl>
    <w:lvl w:ilvl="1">
      <w:lvlJc w:val="left"/>
      <w:lvlText w:val="(%2)"/>
      <w:numFmt w:val="decimal"/>
      <w:start w:val="1"/>
    </w:lvl>
  </w:abstractNum>
  <w:abstractNum w:abstractNumId="121">
    <w:nsid w:val="3CAE14FE"/>
    <w:multiLevelType w:val="hybridMultilevel"/>
    <w:lvl w:ilvl="0">
      <w:lvlJc w:val="left"/>
      <w:lvlText w:val="(%1)"/>
      <w:numFmt w:val="decimal"/>
      <w:start w:val="4"/>
    </w:lvl>
    <w:lvl w:ilvl="1">
      <w:lvlJc w:val="left"/>
      <w:lvlText w:val="%2"/>
      <w:numFmt w:val="decimal"/>
      <w:start w:val="1"/>
    </w:lvl>
  </w:abstractNum>
  <w:abstractNum w:abstractNumId="122">
    <w:nsid w:val="6E27B56B"/>
    <w:multiLevelType w:val="hybridMultilevel"/>
    <w:lvl w:ilvl="0">
      <w:lvlJc w:val="left"/>
      <w:lvlText w:val="(%1)"/>
      <w:numFmt w:val="decimal"/>
      <w:start w:val="1"/>
    </w:lvl>
  </w:abstractNum>
  <w:abstractNum w:abstractNumId="123">
    <w:nsid w:val="66FE7765"/>
    <w:multiLevelType w:val="hybridMultilevel"/>
    <w:lvl w:ilvl="0">
      <w:lvlJc w:val="left"/>
      <w:lvlText w:val="(%1)"/>
      <w:numFmt w:val="decimal"/>
      <w:start w:val="4"/>
    </w:lvl>
  </w:abstractNum>
  <w:abstractNum w:abstractNumId="124">
    <w:nsid w:val="41123F79"/>
    <w:multiLevelType w:val="hybridMultilevel"/>
    <w:lvl w:ilvl="0">
      <w:lvlJc w:val="left"/>
      <w:lvlText w:val="(%1)"/>
      <w:numFmt w:val="decimal"/>
      <w:start w:val="14"/>
    </w:lvl>
  </w:abstractNum>
  <w:abstractNum w:abstractNumId="125">
    <w:nsid w:val="514FBE5A"/>
    <w:multiLevelType w:val="hybridMultilevel"/>
    <w:lvl w:ilvl="0">
      <w:lvlJc w:val="left"/>
      <w:lvlText w:val="(%1)"/>
      <w:numFmt w:val="decimal"/>
      <w:start w:val="17"/>
    </w:lvl>
  </w:abstractNum>
  <w:abstractNum w:abstractNumId="126">
    <w:nsid w:val="4C68ED90"/>
    <w:multiLevelType w:val="hybridMultilevel"/>
    <w:lvl w:ilvl="0">
      <w:lvlJc w:val="left"/>
      <w:lvlText w:val="(%1)"/>
      <w:numFmt w:val="lowerRoman"/>
      <w:start w:val="12"/>
    </w:lvl>
  </w:abstractNum>
  <w:abstractNum w:abstractNumId="127">
    <w:nsid w:val="45BECE3C"/>
    <w:multiLevelType w:val="hybridMultilevel"/>
    <w:lvl w:ilvl="0">
      <w:lvlJc w:val="left"/>
      <w:lvlText w:val="(%1)"/>
      <w:numFmt w:val="lowerLetter"/>
      <w:start w:val="1"/>
    </w:lvl>
  </w:abstractNum>
  <w:abstractNum w:abstractNumId="128">
    <w:nsid w:val="1660D468"/>
    <w:multiLevelType w:val="hybridMultilevel"/>
    <w:lvl w:ilvl="0">
      <w:lvlJc w:val="left"/>
      <w:lvlText w:val="(%1)"/>
      <w:numFmt w:val="lowerLetter"/>
      <w:start w:val="2"/>
    </w:lvl>
  </w:abstractNum>
  <w:abstractNum w:abstractNumId="129">
    <w:nsid w:val="7690CBA1"/>
    <w:multiLevelType w:val="hybridMultilevel"/>
    <w:lvl w:ilvl="0">
      <w:lvlJc w:val="left"/>
      <w:lvlText w:val="(%1)"/>
      <w:numFmt w:val="lowerLetter"/>
      <w:start w:val="24"/>
    </w:lvl>
  </w:abstractNum>
  <w:abstractNum w:abstractNumId="130">
    <w:nsid w:val="7CBC5FD3"/>
    <w:multiLevelType w:val="hybridMultilevel"/>
    <w:lvl w:ilvl="0">
      <w:lvlJc w:val="left"/>
      <w:lvlText w:val="(%1)"/>
      <w:numFmt w:val="decimal"/>
      <w:start w:val="1"/>
    </w:lvl>
  </w:abstractNum>
  <w:abstractNum w:abstractNumId="131">
    <w:nsid w:val="19076430"/>
    <w:multiLevelType w:val="hybridMultilevel"/>
    <w:lvl w:ilvl="0">
      <w:lvlJc w:val="left"/>
      <w:lvlText w:val="(%1)"/>
      <w:numFmt w:val="decimal"/>
      <w:start w:val="2"/>
    </w:lvl>
  </w:abstractNum>
  <w:abstractNum w:abstractNumId="132">
    <w:nsid w:val="2B85F5C4"/>
    <w:multiLevelType w:val="hybridMultilevel"/>
    <w:lvl w:ilvl="0">
      <w:lvlJc w:val="left"/>
      <w:lvlText w:val="(%1)"/>
      <w:numFmt w:val="decimal"/>
      <w:start w:val="1"/>
    </w:lvl>
    <w:lvl w:ilvl="1">
      <w:lvlJc w:val="left"/>
      <w:lvlText w:val="(%2)"/>
      <w:numFmt w:val="lowerLetter"/>
      <w:start w:val="1"/>
    </w:lvl>
  </w:abstractNum>
  <w:abstractNum w:abstractNumId="133">
    <w:nsid w:val="44D20939"/>
    <w:multiLevelType w:val="hybridMultilevel"/>
    <w:lvl w:ilvl="0">
      <w:lvlJc w:val="left"/>
      <w:lvlText w:val="%1"/>
      <w:numFmt w:val="decimal"/>
      <w:start w:val="1"/>
    </w:lvl>
    <w:lvl w:ilvl="1">
      <w:lvlJc w:val="left"/>
      <w:lvlText w:val="(%2)"/>
      <w:numFmt w:val="lowerLetter"/>
      <w:start w:val="3"/>
    </w:lvl>
  </w:abstractNum>
  <w:abstractNum w:abstractNumId="134">
    <w:nsid w:val="1276A960"/>
    <w:multiLevelType w:val="hybridMultilevel"/>
    <w:lvl w:ilvl="0">
      <w:lvlJc w:val="left"/>
      <w:lvlText w:val="(%1)"/>
      <w:numFmt w:val="decimal"/>
      <w:start w:val="2"/>
    </w:lvl>
    <w:lvl w:ilvl="1">
      <w:lvlJc w:val="left"/>
      <w:lvlText w:val="%2"/>
      <w:numFmt w:val="lowerLetter"/>
      <w:start w:val="1"/>
    </w:lvl>
  </w:abstractNum>
  <w:abstractNum w:abstractNumId="135">
    <w:nsid w:val="1B479698"/>
    <w:multiLevelType w:val="hybridMultilevel"/>
    <w:lvl w:ilvl="0">
      <w:lvlJc w:val="left"/>
      <w:lvlText w:val="(%1)"/>
      <w:numFmt w:val="decimal"/>
      <w:start w:val="1"/>
    </w:lvl>
  </w:abstractNum>
  <w:abstractNum w:abstractNumId="136">
    <w:nsid w:val="6572CF1B"/>
    <w:multiLevelType w:val="hybridMultilevel"/>
    <w:lvl w:ilvl="0">
      <w:lvlJc w:val="left"/>
      <w:lvlText w:val="(%1)"/>
      <w:numFmt w:val="decimal"/>
      <w:start w:val="2"/>
    </w:lvl>
  </w:abstractNum>
  <w:abstractNum w:abstractNumId="137">
    <w:nsid w:val="6E4E1C1B"/>
    <w:multiLevelType w:val="hybridMultilevel"/>
    <w:lvl w:ilvl="0">
      <w:lvlJc w:val="left"/>
      <w:lvlText w:val="(%1)"/>
      <w:numFmt w:val="decimal"/>
      <w:start w:val="1"/>
    </w:lvl>
  </w:abstractNum>
  <w:abstractNum w:abstractNumId="138">
    <w:nsid w:val="4E784887"/>
    <w:multiLevelType w:val="hybridMultilevel"/>
    <w:lvl w:ilvl="0">
      <w:lvlJc w:val="left"/>
      <w:lvlText w:val="(%1)"/>
      <w:numFmt w:val="decimal"/>
      <w:start w:val="2"/>
    </w:lvl>
  </w:abstractNum>
  <w:abstractNum w:abstractNumId="139">
    <w:nsid w:val="38AD4C18"/>
    <w:multiLevelType w:val="hybridMultilevel"/>
    <w:lvl w:ilvl="0">
      <w:lvlJc w:val="left"/>
      <w:lvlText w:val="(%1)"/>
      <w:numFmt w:val="decimal"/>
      <w:start w:val="1"/>
    </w:lvl>
  </w:abstractNum>
  <w:abstractNum w:abstractNumId="140">
    <w:nsid w:val="48CCEE31"/>
    <w:multiLevelType w:val="hybridMultilevel"/>
    <w:lvl w:ilvl="0">
      <w:lvlJc w:val="left"/>
      <w:lvlText w:val="(%1)"/>
      <w:numFmt w:val="lowerRoman"/>
      <w:start w:val="4"/>
    </w:lvl>
  </w:abstractNum>
  <w:abstractNum w:abstractNumId="141">
    <w:nsid w:val="45EA996E"/>
    <w:multiLevelType w:val="hybridMultilevel"/>
    <w:lvl w:ilvl="0">
      <w:lvlJc w:val="left"/>
      <w:lvlText w:val="(%1)"/>
      <w:numFmt w:val="decimal"/>
      <w:start w:val="1"/>
    </w:lvl>
  </w:abstractNum>
  <w:abstractNum w:abstractNumId="142">
    <w:nsid w:val="441FBAF4"/>
    <w:multiLevelType w:val="hybridMultilevel"/>
    <w:lvl w:ilvl="0">
      <w:lvlJc w:val="left"/>
      <w:lvlText w:val="(%1)"/>
      <w:numFmt w:val="upperLetter"/>
      <w:start w:val="2"/>
    </w:lvl>
  </w:abstractNum>
  <w:abstractNum w:abstractNumId="143">
    <w:nsid w:val="7F2BEA8B"/>
    <w:multiLevelType w:val="hybridMultilevel"/>
    <w:lvl w:ilvl="0">
      <w:lvlJc w:val="left"/>
      <w:lvlText w:val="(%1)"/>
      <w:numFmt w:val="decimal"/>
      <w:start w:val="1"/>
    </w:lvl>
  </w:abstractNum>
  <w:abstractNum w:abstractNumId="144">
    <w:nsid w:val="792A9DB"/>
    <w:multiLevelType w:val="hybridMultilevel"/>
    <w:lvl w:ilvl="0">
      <w:lvlJc w:val="left"/>
      <w:lvlText w:val="(%1)"/>
      <w:numFmt w:val="decimal"/>
      <w:start w:val="5"/>
    </w:lvl>
  </w:abstractNum>
  <w:abstractNum w:abstractNumId="145">
    <w:nsid w:val="3D92C7D"/>
    <w:multiLevelType w:val="hybridMultilevel"/>
    <w:lvl w:ilvl="0">
      <w:lvlJc w:val="left"/>
      <w:lvlText w:val="%1"/>
      <w:numFmt w:val="lowerLetter"/>
      <w:start w:val="1"/>
    </w:lvl>
    <w:lvl w:ilvl="1">
      <w:lvlJc w:val="left"/>
      <w:lvlText w:val="(%2)"/>
      <w:numFmt w:val="lowerRoman"/>
      <w:start w:val="1"/>
    </w:lvl>
  </w:abstractNum>
  <w:abstractNum w:abstractNumId="146">
    <w:nsid w:val="375A92FF"/>
    <w:multiLevelType w:val="hybridMultilevel"/>
    <w:lvl w:ilvl="0">
      <w:lvlJc w:val="left"/>
      <w:lvlText w:val="(%1)"/>
      <w:numFmt w:val="lowerLetter"/>
      <w:start w:val="26"/>
    </w:lvl>
    <w:lvl w:ilvl="1">
      <w:lvlJc w:val="left"/>
      <w:lvlText w:val="%2"/>
      <w:numFmt w:val="lowerRoman"/>
      <w:start w:val="1"/>
    </w:lvl>
  </w:abstractNum>
  <w:abstractNum w:abstractNumId="147">
    <w:nsid w:val="29180EE2"/>
    <w:multiLevelType w:val="hybridMultilevel"/>
    <w:lvl w:ilvl="0">
      <w:lvlJc w:val="left"/>
      <w:lvlText w:val="(%1)"/>
      <w:numFmt w:val="lowerRoman"/>
      <w:start w:val="3"/>
    </w:lvl>
  </w:abstractNum>
  <w:abstractNum w:abstractNumId="148">
    <w:nsid w:val="7C901113"/>
    <w:multiLevelType w:val="hybridMultilevel"/>
    <w:lvl w:ilvl="0">
      <w:lvlJc w:val="left"/>
      <w:lvlText w:val="(%1)"/>
      <w:numFmt w:val="lowerRoman"/>
      <w:start w:val="1"/>
    </w:lvl>
  </w:abstractNum>
  <w:abstractNum w:abstractNumId="149">
    <w:nsid w:val="427028B0"/>
    <w:multiLevelType w:val="hybridMultilevel"/>
    <w:lvl w:ilvl="0">
      <w:lvlJc w:val="left"/>
      <w:lvlText w:val="(%1)"/>
      <w:numFmt w:val="lowerRoman"/>
      <w:start w:val="1"/>
    </w:lvl>
    <w:lvl w:ilvl="1">
      <w:lvlJc w:val="left"/>
      <w:lvlText w:val="(%2)"/>
      <w:numFmt w:val="upperLetter"/>
      <w:start w:val="1"/>
    </w:lvl>
  </w:abstractNum>
  <w:abstractNum w:abstractNumId="150">
    <w:nsid w:val="4E7F1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1">
    <w:nsid w:val="5C76D652"/>
    <w:multiLevelType w:val="hybridMultilevel"/>
    <w:lvl w:ilvl="0">
      <w:lvlJc w:val="left"/>
      <w:lvlText w:val="(%1)"/>
      <w:numFmt w:val="decimal"/>
      <w:start w:val="2"/>
    </w:lvl>
  </w:abstractNum>
  <w:abstractNum w:abstractNumId="152">
    <w:nsid w:val="7F1E3DAE"/>
    <w:multiLevelType w:val="hybridMultilevel"/>
    <w:lvl w:ilvl="0">
      <w:lvlJc w:val="left"/>
      <w:lvlText w:val="(%1)"/>
      <w:numFmt w:val="decimal"/>
      <w:start w:val="1"/>
    </w:lvl>
  </w:abstractNum>
  <w:abstractNum w:abstractNumId="153">
    <w:nsid w:val="3CA6D1B9"/>
    <w:multiLevelType w:val="hybridMultilevel"/>
    <w:lvl w:ilvl="0">
      <w:lvlJc w:val="left"/>
      <w:lvlText w:val="(%1)"/>
      <w:numFmt w:val="decimal"/>
      <w:start w:val="2"/>
    </w:lvl>
  </w:abstractNum>
  <w:abstractNum w:abstractNumId="154">
    <w:nsid w:val="43754DB7"/>
    <w:multiLevelType w:val="hybridMultilevel"/>
    <w:lvl w:ilvl="0">
      <w:lvlJc w:val="left"/>
      <w:lvlText w:val="(%1)"/>
      <w:numFmt w:val="decimal"/>
      <w:start w:val="3"/>
    </w:lvl>
    <w:lvl w:ilvl="1">
      <w:lvlJc w:val="left"/>
      <w:lvlText w:val="(%2)"/>
      <w:numFmt w:val="lowerLetter"/>
      <w:start w:val="1"/>
    </w:lvl>
  </w:abstractNum>
  <w:abstractNum w:abstractNumId="155">
    <w:nsid w:val="40307D27"/>
    <w:multiLevelType w:val="hybridMultilevel"/>
    <w:lvl w:ilvl="0">
      <w:lvlJc w:val="left"/>
      <w:lvlText w:val="(%1)"/>
      <w:numFmt w:val="decimal"/>
      <w:start w:val="6"/>
    </w:lvl>
  </w:abstractNum>
  <w:abstractNum w:abstractNumId="156">
    <w:nsid w:val="DF69013"/>
    <w:multiLevelType w:val="hybridMultilevel"/>
    <w:lvl w:ilvl="0">
      <w:lvlJc w:val="left"/>
      <w:lvlText w:val="%1"/>
      <w:numFmt w:val="lowerRoman"/>
      <w:start w:val="1"/>
    </w:lvl>
    <w:lvl w:ilvl="1">
      <w:lvlJc w:val="left"/>
      <w:lvlText w:val="(%2)"/>
      <w:numFmt w:val="decimal"/>
      <w:start w:val="8"/>
    </w:lvl>
  </w:abstractNum>
  <w:abstractNum w:abstractNumId="157">
    <w:nsid w:val="FDE3B47"/>
    <w:multiLevelType w:val="hybridMultilevel"/>
    <w:lvl w:ilvl="0">
      <w:lvlJc w:val="left"/>
      <w:lvlText w:val="(%1)"/>
      <w:numFmt w:val="lowerRoman"/>
      <w:start w:val="5"/>
    </w:lvl>
    <w:lvl w:ilvl="1">
      <w:lvlJc w:val="left"/>
      <w:lvlText w:val="(%2)"/>
      <w:numFmt w:val="decimal"/>
      <w:start w:val="9"/>
    </w:lvl>
  </w:abstractNum>
  <w:abstractNum w:abstractNumId="158">
    <w:nsid w:val="5EF4B64"/>
    <w:multiLevelType w:val="hybridMultilevel"/>
    <w:lvl w:ilvl="0">
      <w:lvlJc w:val="left"/>
      <w:lvlText w:val="(%1)"/>
      <w:numFmt w:val="lowerLetter"/>
      <w:start w:val="1"/>
    </w:lvl>
    <w:lvl w:ilvl="1">
      <w:lvlJc w:val="left"/>
      <w:lvlText w:val="(%2)"/>
      <w:numFmt w:val="upperLetter"/>
      <w:start w:val="1"/>
    </w:lvl>
  </w:abstractNum>
  <w:abstractNum w:abstractNumId="159">
    <w:nsid w:val="2457647B"/>
    <w:multiLevelType w:val="hybridMultilevel"/>
    <w:lvl w:ilvl="0">
      <w:lvlJc w:val="left"/>
      <w:lvlText w:val="(%1)"/>
      <w:numFmt w:val="decimal"/>
      <w:start w:val="1"/>
    </w:lvl>
  </w:abstractNum>
  <w:abstractNum w:abstractNumId="160">
    <w:nsid w:val="66F06E9"/>
    <w:multiLevelType w:val="hybridMultilevel"/>
    <w:lvl w:ilvl="0">
      <w:lvlJc w:val="left"/>
      <w:lvlText w:val="(%1)"/>
      <w:numFmt w:val="decimal"/>
      <w:start w:val="1"/>
    </w:lvl>
  </w:abstractNum>
  <w:abstractNum w:abstractNumId="161">
    <w:nsid w:val="2ABAB37"/>
    <w:multiLevelType w:val="hybridMultilevel"/>
    <w:lvl w:ilvl="0">
      <w:lvlJc w:val="left"/>
      <w:lvlText w:val="(%1)"/>
      <w:numFmt w:val="decimal"/>
      <w:start w:val="1"/>
    </w:lvl>
  </w:abstractNum>
  <w:abstractNum w:abstractNumId="162">
    <w:nsid w:val="3D5EC8AB"/>
    <w:multiLevelType w:val="hybridMultilevel"/>
    <w:lvl w:ilvl="0">
      <w:lvlJc w:val="left"/>
      <w:lvlText w:val="(%1)"/>
      <w:numFmt w:val="decimal"/>
      <w:start w:val="1"/>
    </w:lvl>
  </w:abstractNum>
  <w:abstractNum w:abstractNumId="163">
    <w:nsid w:val="31F4FCAD"/>
    <w:multiLevelType w:val="hybridMultilevel"/>
    <w:lvl w:ilvl="0">
      <w:lvlJc w:val="left"/>
      <w:lvlText w:val="(%1)"/>
      <w:numFmt w:val="decimal"/>
      <w:start w:val="6"/>
    </w:lvl>
  </w:abstractNum>
  <w:abstractNum w:abstractNumId="164">
    <w:nsid w:val="477DB470"/>
    <w:multiLevelType w:val="hybridMultilevel"/>
    <w:lvl w:ilvl="0">
      <w:lvlJc w:val="left"/>
      <w:lvlText w:val="(%1)"/>
      <w:numFmt w:val="decimal"/>
      <w:start w:val="1"/>
    </w:lvl>
  </w:abstractNum>
  <w:abstractNum w:abstractNumId="165">
    <w:nsid w:val="4FD5720B"/>
    <w:multiLevelType w:val="hybridMultilevel"/>
    <w:lvl w:ilvl="0">
      <w:lvlJc w:val="left"/>
      <w:lvlText w:val="(%1)"/>
      <w:numFmt w:val="decimal"/>
      <w:start w:val="1"/>
    </w:lvl>
  </w:abstractNum>
  <w:abstractNum w:abstractNumId="166">
    <w:nsid w:val="4D3C9346"/>
    <w:multiLevelType w:val="hybridMultilevel"/>
    <w:lvl w:ilvl="0">
      <w:lvlJc w:val="left"/>
      <w:lvlText w:val="(%1)"/>
      <w:numFmt w:val="decimal"/>
      <w:start w:val="1"/>
    </w:lvl>
  </w:abstractNum>
  <w:abstractNum w:abstractNumId="167">
    <w:nsid w:val="2CF0838B"/>
    <w:multiLevelType w:val="hybridMultilevel"/>
    <w:lvl w:ilvl="0">
      <w:lvlJc w:val="left"/>
      <w:lvlText w:val="(%1)"/>
      <w:numFmt w:val="lowerLetter"/>
      <w:start w:val="1"/>
    </w:lvl>
  </w:abstractNum>
  <w:abstractNum w:abstractNumId="168">
    <w:nsid w:val="3E238E27"/>
    <w:multiLevelType w:val="hybridMultilevel"/>
    <w:lvl w:ilvl="0">
      <w:lvlJc w:val="left"/>
      <w:lvlText w:val="(%1)"/>
      <w:numFmt w:val="decimal"/>
      <w:start w:val="2"/>
    </w:lvl>
  </w:abstractNum>
  <w:abstractNum w:abstractNumId="169">
    <w:nsid w:val="1BB4DBCD"/>
    <w:multiLevelType w:val="hybridMultilevel"/>
    <w:lvl w:ilvl="0">
      <w:lvlJc w:val="left"/>
      <w:lvlText w:val="(%1)"/>
      <w:numFmt w:val="lowerLetter"/>
      <w:start w:val="2"/>
    </w:lvl>
  </w:abstractNum>
  <w:abstractNum w:abstractNumId="170">
    <w:nsid w:val="659DCFA3"/>
    <w:multiLevelType w:val="hybridMultilevel"/>
    <w:lvl w:ilvl="0">
      <w:lvlJc w:val="left"/>
      <w:lvlText w:val="(%1)"/>
      <w:numFmt w:val="decimal"/>
      <w:start w:val="1"/>
    </w:lvl>
  </w:abstractNum>
  <w:abstractNum w:abstractNumId="171">
    <w:nsid w:val="6F07C58"/>
    <w:multiLevelType w:val="hybridMultilevel"/>
    <w:lvl w:ilvl="0">
      <w:lvlJc w:val="left"/>
      <w:lvlText w:val="(%1)"/>
      <w:numFmt w:val="decimal"/>
      <w:start w:val="2"/>
    </w:lvl>
  </w:abstractNum>
  <w:abstractNum w:abstractNumId="172">
    <w:nsid w:val="619F753B"/>
    <w:multiLevelType w:val="hybridMultilevel"/>
    <w:lvl w:ilvl="0">
      <w:lvlJc w:val="left"/>
      <w:lvlText w:val="(%1)"/>
      <w:numFmt w:val="decimal"/>
      <w:start w:val="3"/>
    </w:lvl>
  </w:abstractNum>
  <w:abstractNum w:abstractNumId="173">
    <w:nsid w:val="29BD8A97"/>
    <w:multiLevelType w:val="hybridMultilevel"/>
    <w:lvl w:ilvl="0">
      <w:lvlJc w:val="left"/>
      <w:lvlText w:val="(%1)"/>
      <w:numFmt w:val="decimal"/>
      <w:start w:val="1"/>
    </w:lvl>
  </w:abstractNum>
  <w:abstractNum w:abstractNumId="174">
    <w:nsid w:val="61C66E3"/>
    <w:multiLevelType w:val="hybridMultilevel"/>
    <w:lvl w:ilvl="0">
      <w:lvlJc w:val="left"/>
      <w:lvlText w:val="(%1)"/>
      <w:numFmt w:val="decimal"/>
      <w:start w:val="3"/>
    </w:lvl>
  </w:abstractNum>
  <w:abstractNum w:abstractNumId="175">
    <w:nsid w:val="69321F16"/>
    <w:multiLevelType w:val="hybridMultilevel"/>
    <w:lvl w:ilvl="0">
      <w:lvlJc w:val="left"/>
      <w:lvlText w:val="(%1)"/>
      <w:numFmt w:val="decimal"/>
      <w:start w:val="1"/>
    </w:lvl>
  </w:abstractNum>
  <w:abstractNum w:abstractNumId="176">
    <w:nsid w:val="2D96B714"/>
    <w:multiLevelType w:val="hybridMultilevel"/>
    <w:lvl w:ilvl="0">
      <w:lvlJc w:val="left"/>
      <w:lvlText w:val="(%1)"/>
      <w:numFmt w:val="decimal"/>
      <w:start w:val="3"/>
    </w:lvl>
  </w:abstractNum>
  <w:abstractNum w:abstractNumId="177">
    <w:nsid w:val="3D76F9E2"/>
    <w:multiLevelType w:val="hybridMultilevel"/>
    <w:lvl w:ilvl="0">
      <w:lvlJc w:val="left"/>
      <w:lvlText w:val="(%1)"/>
      <w:numFmt w:val="lowerLetter"/>
      <w:start w:val="1"/>
    </w:lvl>
  </w:abstractNum>
  <w:abstractNum w:abstractNumId="178">
    <w:nsid w:val="124A2DF8"/>
    <w:multiLevelType w:val="hybridMultilevel"/>
    <w:lvl w:ilvl="0">
      <w:lvlJc w:val="left"/>
      <w:lvlText w:val="(%1)"/>
      <w:numFmt w:val="decimal"/>
      <w:start w:val="1"/>
    </w:lvl>
  </w:abstractNum>
  <w:abstractNum w:abstractNumId="179">
    <w:nsid w:val="2A26C828"/>
    <w:multiLevelType w:val="hybridMultilevel"/>
    <w:lvl w:ilvl="0">
      <w:lvlJc w:val="left"/>
      <w:lvlText w:val="(%1)"/>
      <w:numFmt w:val="decimal"/>
      <w:start w:val="1"/>
    </w:lvl>
    <w:lvl w:ilvl="1">
      <w:lvlJc w:val="left"/>
      <w:lvlText w:val="(%2)"/>
      <w:numFmt w:val="lowerLetter"/>
      <w:start w:val="1"/>
    </w:lvl>
  </w:abstractNum>
  <w:abstractNum w:abstractNumId="180">
    <w:nsid w:val="7FE72292"/>
    <w:multiLevelType w:val="hybridMultilevel"/>
    <w:lvl w:ilvl="0">
      <w:lvlJc w:val="left"/>
      <w:lvlText w:val="(%1)"/>
      <w:numFmt w:val="decimal"/>
      <w:start w:val="1"/>
    </w:lvl>
  </w:abstractNum>
  <w:abstractNum w:abstractNumId="181">
    <w:nsid w:val="60C94A46"/>
    <w:multiLevelType w:val="hybridMultilevel"/>
    <w:lvl w:ilvl="0">
      <w:lvlJc w:val="left"/>
      <w:lvlText w:val="(%1)"/>
      <w:numFmt w:val="decimal"/>
      <w:start w:val="1"/>
    </w:lvl>
  </w:abstractNum>
  <w:abstractNum w:abstractNumId="182">
    <w:nsid w:val="69D9E7A"/>
    <w:multiLevelType w:val="hybridMultilevel"/>
    <w:lvl w:ilvl="0">
      <w:lvlJc w:val="left"/>
      <w:lvlText w:val="(%1)"/>
      <w:numFmt w:val="decimal"/>
      <w:start w:val="3"/>
    </w:lvl>
  </w:abstractNum>
  <w:abstractNum w:abstractNumId="183">
    <w:nsid w:val="7F056040"/>
    <w:multiLevelType w:val="hybridMultilevel"/>
    <w:lvl w:ilvl="0">
      <w:lvlJc w:val="left"/>
      <w:lvlText w:val="(%1)"/>
      <w:numFmt w:val="decimal"/>
      <w:start w:val="1"/>
    </w:lvl>
  </w:abstractNum>
  <w:abstractNum w:abstractNumId="184">
    <w:nsid w:val="1D701BFF"/>
    <w:multiLevelType w:val="hybridMultilevel"/>
    <w:lvl w:ilvl="0">
      <w:lvlJc w:val="left"/>
      <w:lvlText w:val="(%1)"/>
      <w:numFmt w:val="decimal"/>
      <w:start w:val="1"/>
    </w:lvl>
  </w:abstractNum>
  <w:abstractNum w:abstractNumId="185">
    <w:nsid w:val="4A12EC32"/>
    <w:multiLevelType w:val="hybridMultilevel"/>
    <w:lvl w:ilvl="0">
      <w:lvlJc w:val="left"/>
      <w:lvlText w:val="(%1)"/>
      <w:numFmt w:val="decimal"/>
      <w:start w:val="5"/>
    </w:lvl>
  </w:abstractNum>
  <w:abstractNum w:abstractNumId="186">
    <w:nsid w:val="3F35DD67"/>
    <w:multiLevelType w:val="hybridMultilevel"/>
    <w:lvl w:ilvl="0">
      <w:lvlJc w:val="left"/>
      <w:lvlText w:val="(%1)"/>
      <w:numFmt w:val="decimal"/>
      <w:start w:val="11"/>
    </w:lvl>
  </w:abstractNum>
  <w:abstractNum w:abstractNumId="187">
    <w:nsid w:val="2B66AC12"/>
    <w:multiLevelType w:val="hybridMultilevel"/>
    <w:lvl w:ilvl="0">
      <w:lvlJc w:val="left"/>
      <w:lvlText w:val="(%1)"/>
      <w:numFmt w:val="decimal"/>
      <w:start w:val="1"/>
    </w:lvl>
  </w:abstractNum>
  <w:abstractNum w:abstractNumId="188">
    <w:nsid w:val="59F12779"/>
    <w:multiLevelType w:val="hybridMultilevel"/>
    <w:lvl w:ilvl="0">
      <w:lvlJc w:val="left"/>
      <w:lvlText w:val="(%1)"/>
      <w:numFmt w:val="decimal"/>
      <w:start w:val="3"/>
    </w:lvl>
    <w:lvl w:ilvl="1">
      <w:lvlJc w:val="left"/>
      <w:lvlText w:val="(%2)"/>
      <w:numFmt w:val="lowerLetter"/>
      <w:start w:val="1"/>
    </w:lvl>
  </w:abstractNum>
  <w:abstractNum w:abstractNumId="189">
    <w:nsid w:val="452528CB"/>
    <w:multiLevelType w:val="hybridMultilevel"/>
    <w:lvl w:ilvl="0">
      <w:lvlJc w:val="left"/>
      <w:lvlText w:val="(%1)"/>
      <w:numFmt w:val="decimal"/>
      <w:start w:val="1"/>
    </w:lvl>
  </w:abstractNum>
  <w:abstractNum w:abstractNumId="190">
    <w:nsid w:val="4FBE108E"/>
    <w:multiLevelType w:val="hybridMultilevel"/>
    <w:lvl w:ilvl="0">
      <w:lvlJc w:val="left"/>
      <w:lvlText w:val="%1"/>
      <w:numFmt w:val="lowerRoman"/>
      <w:start w:val="1"/>
    </w:lvl>
    <w:lvl w:ilvl="1">
      <w:lvlJc w:val="left"/>
      <w:lvlText w:val="(%2)"/>
      <w:numFmt w:val="decimal"/>
      <w:start w:val="6"/>
    </w:lvl>
  </w:abstractNum>
  <w:abstractNum w:abstractNumId="191">
    <w:nsid w:val="60602E62"/>
    <w:multiLevelType w:val="hybridMultilevel"/>
    <w:lvl w:ilvl="0">
      <w:lvlJc w:val="left"/>
      <w:lvlText w:val="(%1)"/>
      <w:numFmt w:val="lowerRoman"/>
      <w:start w:val="1"/>
    </w:lvl>
    <w:lvl w:ilvl="1">
      <w:lvlJc w:val="left"/>
      <w:lvlText w:val="(%2)"/>
      <w:numFmt w:val="decimal"/>
      <w:start w:val="13"/>
    </w:lvl>
  </w:abstractNum>
  <w:abstractNum w:abstractNumId="192">
    <w:nsid w:val="47D0D402"/>
    <w:multiLevelType w:val="hybridMultilevel"/>
    <w:lvl w:ilvl="0">
      <w:lvlJc w:val="left"/>
      <w:lvlText w:val="%1"/>
      <w:numFmt w:val="decimal"/>
      <w:start w:val="1"/>
    </w:lvl>
    <w:lvl w:ilvl="1">
      <w:lvlJc w:val="left"/>
      <w:lvlText w:val="(%2)"/>
      <w:numFmt w:val="decimal"/>
      <w:start w:val="1"/>
    </w:lvl>
  </w:abstractNum>
  <w:abstractNum w:abstractNumId="193">
    <w:nsid w:val="D1CD939"/>
    <w:multiLevelType w:val="hybridMultilevel"/>
    <w:lvl w:ilvl="0">
      <w:lvlJc w:val="left"/>
      <w:lvlText w:val="(%1)"/>
      <w:numFmt w:val="decimal"/>
      <w:start w:val="14"/>
    </w:lvl>
    <w:lvl w:ilvl="1">
      <w:lvlJc w:val="left"/>
      <w:lvlText w:val="(%2)"/>
      <w:numFmt w:val="decimal"/>
      <w:start w:val="3"/>
    </w:lvl>
  </w:abstractNum>
  <w:abstractNum w:abstractNumId="194">
    <w:nsid w:val="12552B10"/>
    <w:multiLevelType w:val="hybridMultilevel"/>
    <w:lvl w:ilvl="0">
      <w:lvlJc w:val="left"/>
      <w:lvlText w:val="(%1)"/>
      <w:numFmt w:val="decimal"/>
      <w:start w:val="6"/>
    </w:lvl>
  </w:abstractNum>
  <w:abstractNum w:abstractNumId="195">
    <w:nsid w:val="F4E8872"/>
    <w:multiLevelType w:val="hybridMultilevel"/>
    <w:lvl w:ilvl="0">
      <w:lvlJc w:val="left"/>
      <w:lvlText w:val="(%1)"/>
      <w:numFmt w:val="lowerLetter"/>
      <w:start w:val="1"/>
    </w:lvl>
  </w:abstractNum>
  <w:abstractNum w:abstractNumId="196">
    <w:nsid w:val="5CF24B45"/>
    <w:multiLevelType w:val="hybridMultilevel"/>
    <w:lvl w:ilvl="0">
      <w:lvlJc w:val="left"/>
      <w:lvlText w:val="(%1)"/>
      <w:numFmt w:val="lowerLetter"/>
      <w:start w:val="3"/>
    </w:lvl>
  </w:abstractNum>
  <w:abstractNum w:abstractNumId="197">
    <w:nsid w:val="5F91BE56"/>
    <w:multiLevelType w:val="hybridMultilevel"/>
    <w:lvl w:ilvl="0">
      <w:lvlJc w:val="left"/>
      <w:lvlText w:val="(%1)"/>
      <w:numFmt w:val="decimal"/>
      <w:start w:val="1"/>
    </w:lvl>
  </w:abstractNum>
  <w:abstractNum w:abstractNumId="198">
    <w:nsid w:val="3C3F0BFD"/>
    <w:multiLevelType w:val="hybridMultilevel"/>
    <w:lvl w:ilvl="0">
      <w:lvlJc w:val="left"/>
      <w:lvlText w:val="(%1)"/>
      <w:numFmt w:val="decimal"/>
      <w:start w:val="10"/>
    </w:lvl>
  </w:abstractNum>
  <w:abstractNum w:abstractNumId="199">
    <w:nsid w:val="1B15D96C"/>
    <w:multiLevelType w:val="hybridMultilevel"/>
    <w:lvl w:ilvl="0">
      <w:lvlJc w:val="left"/>
      <w:lvlText w:val="(%1)"/>
      <w:numFmt w:val="decimal"/>
      <w:start w:val="18"/>
    </w:lvl>
  </w:abstractNum>
  <w:abstractNum w:abstractNumId="200">
    <w:nsid w:val="7B469A23"/>
    <w:multiLevelType w:val="hybridMultilevel"/>
    <w:lvl w:ilvl="0">
      <w:lvlJc w:val="left"/>
      <w:lvlText w:val="(%1)"/>
      <w:numFmt w:val="decimal"/>
      <w:start w:val="1"/>
    </w:lvl>
    <w:lvl w:ilvl="1">
      <w:lvlJc w:val="left"/>
      <w:lvlText w:val="(%2)"/>
      <w:numFmt w:val="lowerLetter"/>
      <w:start w:val="1"/>
    </w:lvl>
  </w:abstractNum>
  <w:abstractNum w:abstractNumId="201">
    <w:nsid w:val="21DCDBA0"/>
    <w:multiLevelType w:val="hybridMultilevel"/>
    <w:lvl w:ilvl="0">
      <w:lvlJc w:val="left"/>
      <w:lvlText w:val="(%1)"/>
      <w:numFmt w:val="upperLetter"/>
      <w:start w:val="9"/>
    </w:lvl>
  </w:abstractNum>
  <w:abstractNum w:abstractNumId="202">
    <w:nsid w:val="220655C4"/>
    <w:multiLevelType w:val="hybridMultilevel"/>
    <w:lvl w:ilvl="0">
      <w:lvlJc w:val="left"/>
      <w:lvlText w:val="(%1)"/>
      <w:numFmt w:val="upperLetter"/>
      <w:start w:val="35"/>
    </w:lvl>
  </w:abstractNum>
  <w:abstractNum w:abstractNumId="203">
    <w:nsid w:val="5CE60F5E"/>
    <w:multiLevelType w:val="hybridMultilevel"/>
    <w:lvl w:ilvl="0">
      <w:lvlJc w:val="left"/>
      <w:lvlText w:val="(%1)"/>
      <w:numFmt w:val="upperLetter"/>
      <w:start w:val="61"/>
    </w:lvl>
  </w:abstractNum>
  <w:abstractNum w:abstractNumId="204">
    <w:nsid w:val="4B9A6638"/>
    <w:multiLevelType w:val="hybridMultilevel"/>
    <w:lvl w:ilvl="0">
      <w:lvlJc w:val="left"/>
      <w:lvlText w:val="(%1)"/>
      <w:numFmt w:val="upperLetter"/>
      <w:start w:val="22"/>
    </w:lvl>
  </w:abstractNum>
  <w:abstractNum w:abstractNumId="205">
    <w:nsid w:val="2822BCA7"/>
    <w:multiLevelType w:val="hybridMultilevel"/>
    <w:lvl w:ilvl="0">
      <w:lvlJc w:val="left"/>
      <w:lvlText w:val="(%1)"/>
      <w:numFmt w:val="decimal"/>
      <w:start w:val="1"/>
    </w:lvl>
  </w:abstractNum>
  <w:abstractNum w:abstractNumId="206">
    <w:nsid w:val="46182E75"/>
    <w:multiLevelType w:val="hybridMultilevel"/>
    <w:lvl w:ilvl="0">
      <w:lvlJc w:val="left"/>
      <w:lvlText w:val="(%1)"/>
      <w:numFmt w:val="decimal"/>
      <w:start w:val="1"/>
    </w:lvl>
  </w:abstractNum>
  <w:abstractNum w:abstractNumId="207">
    <w:nsid w:val="79311D4C"/>
    <w:multiLevelType w:val="hybridMultilevel"/>
    <w:lvl w:ilvl="0">
      <w:lvlJc w:val="left"/>
      <w:lvlText w:val="(%1)"/>
      <w:numFmt w:val="decimal"/>
      <w:start w:val="2"/>
    </w:lvl>
  </w:abstractNum>
  <w:abstractNum w:abstractNumId="208">
    <w:nsid w:val="6599B689"/>
    <w:multiLevelType w:val="hybridMultilevel"/>
    <w:lvl w:ilvl="0">
      <w:lvlJc w:val="left"/>
      <w:lvlText w:val="(%1)"/>
      <w:numFmt w:val="decimal"/>
      <w:start w:val="12"/>
    </w:lvl>
  </w:abstractNum>
  <w:abstractNum w:abstractNumId="209">
    <w:nsid w:val="58625C6D"/>
    <w:multiLevelType w:val="hybridMultilevel"/>
    <w:lvl w:ilvl="0">
      <w:lvlJc w:val="left"/>
      <w:lvlText w:val="(%1)"/>
      <w:numFmt w:val="decimal"/>
      <w:start w:val="1"/>
    </w:lvl>
  </w:abstractNum>
  <w:abstractNum w:abstractNumId="210">
    <w:nsid w:val="2357E574"/>
    <w:multiLevelType w:val="hybridMultilevel"/>
    <w:lvl w:ilvl="0">
      <w:lvlJc w:val="left"/>
      <w:lvlText w:val="(%1)"/>
      <w:numFmt w:val="lowerLetter"/>
      <w:start w:val="1"/>
    </w:lvl>
  </w:abstractNum>
  <w:abstractNum w:abstractNumId="211">
    <w:nsid w:val="6580D91B"/>
    <w:multiLevelType w:val="hybridMultilevel"/>
    <w:lvl w:ilvl="0">
      <w:lvlJc w:val="left"/>
      <w:lvlText w:val="%1"/>
      <w:numFmt w:val="lowerRoman"/>
      <w:start w:val="1"/>
    </w:lvl>
    <w:lvl w:ilvl="1">
      <w:lvlJc w:val="left"/>
      <w:lvlText w:val="(%2)"/>
      <w:numFmt w:val="lowerLetter"/>
      <w:start w:val="2"/>
    </w:lvl>
  </w:abstractNum>
  <w:abstractNum w:abstractNumId="212">
    <w:nsid w:val="392BA6B3"/>
    <w:multiLevelType w:val="hybridMultilevel"/>
    <w:lvl w:ilvl="0">
      <w:lvlJc w:val="left"/>
      <w:lvlText w:val="(%1)"/>
      <w:numFmt w:val="lowerRoman"/>
      <w:start w:val="1"/>
    </w:lvl>
    <w:lvl w:ilvl="1">
      <w:lvlJc w:val="left"/>
      <w:lvlText w:val="%2"/>
      <w:numFmt w:val="lowerLetter"/>
      <w:start w:val="1"/>
    </w:lvl>
  </w:abstractNum>
  <w:abstractNum w:abstractNumId="213">
    <w:nsid w:val="29F583EF"/>
    <w:multiLevelType w:val="hybridMultilevel"/>
    <w:lvl w:ilvl="0">
      <w:lvlJc w:val="left"/>
      <w:lvlText w:val="(%1)"/>
      <w:numFmt w:val="lowerLetter"/>
      <w:start w:val="4"/>
    </w:lvl>
  </w:abstractNum>
  <w:abstractNum w:abstractNumId="214">
    <w:nsid w:val="6486395B"/>
    <w:multiLevelType w:val="hybridMultilevel"/>
    <w:lvl w:ilvl="0">
      <w:lvlJc w:val="left"/>
      <w:lvlText w:val="(%1)"/>
      <w:numFmt w:val="decimal"/>
      <w:start w:val="1"/>
    </w:lvl>
  </w:abstractNum>
  <w:abstractNum w:abstractNumId="215">
    <w:nsid w:val="569BC2B2"/>
    <w:multiLevelType w:val="hybridMultilevel"/>
    <w:lvl w:ilvl="0">
      <w:lvlJc w:val="left"/>
      <w:lvlText w:val="(%1)"/>
      <w:numFmt w:val="decimal"/>
      <w:start w:val="1"/>
    </w:lvl>
  </w:abstractNum>
  <w:abstractNum w:abstractNumId="216">
    <w:nsid w:val="74087021"/>
    <w:multiLevelType w:val="hybridMultilevel"/>
    <w:lvl w:ilvl="0">
      <w:lvlJc w:val="left"/>
      <w:lvlText w:val="(%1)"/>
      <w:numFmt w:val="decimal"/>
      <w:start w:val="2"/>
    </w:lvl>
    <w:lvl w:ilvl="1">
      <w:lvlJc w:val="left"/>
      <w:lvlText w:val="(%2)"/>
      <w:numFmt w:val="lowerLetter"/>
      <w:start w:val="1"/>
    </w:lvl>
  </w:abstractNum>
  <w:abstractNum w:abstractNumId="217">
    <w:nsid w:val="23BC16C2"/>
    <w:multiLevelType w:val="hybridMultilevel"/>
    <w:lvl w:ilvl="0">
      <w:lvlJc w:val="left"/>
      <w:lvlText w:val="(%1)"/>
      <w:numFmt w:val="decimal"/>
      <w:start w:val="3"/>
    </w:lvl>
  </w:abstractNum>
  <w:abstractNum w:abstractNumId="218">
    <w:nsid w:val="2026EC5"/>
    <w:multiLevelType w:val="hybridMultilevel"/>
    <w:lvl w:ilvl="0">
      <w:lvlJc w:val="left"/>
      <w:lvlText w:val="(%1)"/>
      <w:numFmt w:val="lowerLetter"/>
      <w:start w:val="1"/>
    </w:lvl>
  </w:abstractNum>
  <w:abstractNum w:abstractNumId="219">
    <w:nsid w:val="4DF9979A"/>
    <w:multiLevelType w:val="hybridMultilevel"/>
    <w:lvl w:ilvl="0">
      <w:lvlJc w:val="left"/>
      <w:lvlText w:val="(%1)"/>
      <w:numFmt w:val="lowerLetter"/>
      <w:start w:val="2"/>
    </w:lvl>
  </w:abstractNum>
  <w:abstractNum w:abstractNumId="220">
    <w:nsid w:val="68E13F8E"/>
    <w:multiLevelType w:val="hybridMultilevel"/>
    <w:lvl w:ilvl="0">
      <w:lvlJc w:val="left"/>
      <w:lvlText w:val="%1"/>
      <w:numFmt w:val="upperLetter"/>
      <w:start w:val="1"/>
    </w:lvl>
    <w:lvl w:ilvl="1">
      <w:lvlJc w:val="left"/>
      <w:lvlText w:val="(%2)"/>
      <w:numFmt w:val="lowerLetter"/>
      <w:start w:val="4"/>
    </w:lvl>
  </w:abstractNum>
  <w:abstractNum w:abstractNumId="221">
    <w:nsid w:val="51C07F53"/>
    <w:multiLevelType w:val="hybridMultilevel"/>
    <w:lvl w:ilvl="0">
      <w:lvlJc w:val="left"/>
      <w:lvlText w:val="(%1)"/>
      <w:numFmt w:val="upperLetter"/>
      <w:start w:val="3"/>
    </w:lvl>
    <w:lvl w:ilvl="1">
      <w:lvlJc w:val="left"/>
      <w:lvlText w:val="(%2)"/>
      <w:numFmt w:val="lowerLetter"/>
      <w:start w:val="5"/>
    </w:lvl>
  </w:abstractNum>
  <w:abstractNum w:abstractNumId="222">
    <w:nsid w:val="2E59C5FD"/>
    <w:multiLevelType w:val="hybridMultilevel"/>
    <w:lvl w:ilvl="0">
      <w:lvlJc w:val="left"/>
      <w:lvlText w:val="(%1)"/>
      <w:numFmt w:val="lowerLetter"/>
      <w:start w:val="1"/>
    </w:lvl>
  </w:abstractNum>
  <w:abstractNum w:abstractNumId="223">
    <w:nsid w:val="30B21390"/>
    <w:multiLevelType w:val="hybridMultilevel"/>
    <w:lvl w:ilvl="0">
      <w:lvlJc w:val="left"/>
      <w:lvlText w:val="(%1)"/>
      <w:numFmt w:val="lowerLetter"/>
      <w:start w:val="1"/>
    </w:lvl>
  </w:abstractNum>
  <w:abstractNum w:abstractNumId="224">
    <w:nsid w:val="5EDD588C"/>
    <w:multiLevelType w:val="hybridMultilevel"/>
    <w:lvl w:ilvl="0">
      <w:lvlJc w:val="left"/>
      <w:lvlText w:val="%1"/>
      <w:numFmt w:val="decimal"/>
      <w:start w:val="1"/>
    </w:lvl>
    <w:lvl w:ilvl="1">
      <w:lvlJc w:val="left"/>
      <w:lvlText w:val="(%2)"/>
      <w:numFmt w:val="lowerLetter"/>
      <w:start w:val="3"/>
    </w:lvl>
  </w:abstractNum>
  <w:abstractNum w:abstractNumId="225">
    <w:nsid w:val="40AEF10D"/>
    <w:multiLevelType w:val="hybridMultilevel"/>
    <w:lvl w:ilvl="0">
      <w:lvlJc w:val="left"/>
      <w:lvlText w:val="(%1)"/>
      <w:numFmt w:val="decimal"/>
      <w:start w:val="2"/>
    </w:lvl>
    <w:lvl w:ilvl="1">
      <w:lvlJc w:val="left"/>
      <w:lvlText w:val="%2"/>
      <w:numFmt w:val="lowerLetter"/>
      <w:start w:val="1"/>
    </w:lvl>
  </w:abstractNum>
  <w:abstractNum w:abstractNumId="226">
    <w:nsid w:val="40009C03"/>
    <w:multiLevelType w:val="hybridMultilevel"/>
    <w:lvl w:ilvl="0">
      <w:lvlJc w:val="left"/>
      <w:lvlText w:val="(%1)"/>
      <w:numFmt w:val="lowerLetter"/>
      <w:start w:val="2"/>
    </w:lvl>
  </w:abstractNum>
  <w:abstractNum w:abstractNumId="227">
    <w:nsid w:val="3BCFA3D1"/>
    <w:multiLevelType w:val="hybridMultilevel"/>
    <w:lvl w:ilvl="0">
      <w:lvlJc w:val="left"/>
      <w:lvlText w:val="(%1)"/>
      <w:numFmt w:val="lowerRoman"/>
      <w:start w:val="1"/>
    </w:lvl>
  </w:abstractNum>
  <w:abstractNum w:abstractNumId="228">
    <w:nsid w:val="2040AF63"/>
    <w:multiLevelType w:val="hybridMultilevel"/>
    <w:lvl w:ilvl="0">
      <w:lvlJc w:val="left"/>
      <w:lvlText w:val="(%1)"/>
      <w:numFmt w:val="upperLetter"/>
      <w:start w:val="9"/>
    </w:lvl>
  </w:abstractNum>
  <w:abstractNum w:abstractNumId="229">
    <w:nsid w:val="7C3FA800"/>
    <w:multiLevelType w:val="hybridMultilevel"/>
    <w:lvl w:ilvl="0">
      <w:lvlJc w:val="left"/>
      <w:lvlText w:val="*"/>
      <w:numFmt w:val="bullet"/>
      <w:start w:val="1"/>
    </w:lvl>
    <w:lvl w:ilvl="1">
      <w:lvlJc w:val="left"/>
      <w:lvlText w:val="(%2)"/>
      <w:numFmt w:val="decimal"/>
      <w:start w:val="1"/>
    </w:lvl>
  </w:abstractNum>
  <w:abstractNum w:abstractNumId="230">
    <w:nsid w:val="56E57D3D"/>
    <w:multiLevelType w:val="hybridMultilevel"/>
    <w:lvl w:ilvl="0">
      <w:lvlJc w:val="left"/>
      <w:lvlText w:val="(%1)"/>
      <w:numFmt w:val="decimal"/>
      <w:start w:val="4"/>
    </w:lvl>
  </w:abstractNum>
  <w:abstractNum w:abstractNumId="231">
    <w:nsid w:val="1B874986"/>
    <w:multiLevelType w:val="hybridMultilevel"/>
    <w:lvl w:ilvl="0">
      <w:lvlJc w:val="left"/>
      <w:lvlText w:val="†"/>
      <w:numFmt w:val="bullet"/>
      <w:start w:val="1"/>
    </w:lvl>
  </w:abstractNum>
  <w:abstractNum w:abstractNumId="232">
    <w:nsid w:val="1E1C83A1"/>
    <w:multiLevelType w:val="hybridMultilevel"/>
    <w:lvl w:ilvl="0">
      <w:lvlJc w:val="left"/>
      <w:lvlText w:val="*"/>
      <w:numFmt w:val="bullet"/>
      <w:start w:val="1"/>
    </w:lvl>
  </w:abstractNum>
  <w:abstractNum w:abstractNumId="233">
    <w:nsid w:val="78EBD301"/>
    <w:multiLevelType w:val="hybridMultilevel"/>
    <w:lvl w:ilvl="0">
      <w:lvlJc w:val="left"/>
      <w:lvlText w:val="*"/>
      <w:numFmt w:val="bullet"/>
      <w:start w:val="1"/>
    </w:lvl>
  </w:abstractNum>
  <w:abstractNum w:abstractNumId="234">
    <w:nsid w:val="786D58E4"/>
    <w:multiLevelType w:val="hybridMultilevel"/>
    <w:lvl w:ilvl="0">
      <w:lvlJc w:val="left"/>
      <w:lvlText w:val="%1."/>
      <w:numFmt w:val="decimal"/>
      <w:start w:val="1"/>
    </w:lvl>
  </w:abstractNum>
  <w:abstractNum w:abstractNumId="235">
    <w:nsid w:val="69B6E9D9"/>
    <w:multiLevelType w:val="hybridMultilevel"/>
    <w:lvl w:ilvl="0">
      <w:lvlJc w:val="left"/>
      <w:lvlText w:val="%1."/>
      <w:numFmt w:val="decimal"/>
      <w:start w:val="3"/>
    </w:lvl>
  </w:abstractNum>
  <w:abstractNum w:abstractNumId="236">
    <w:nsid w:val="210E8FA8"/>
    <w:multiLevelType w:val="hybridMultilevel"/>
    <w:lvl w:ilvl="0">
      <w:lvlJc w:val="left"/>
      <w:lvlText w:val="%1."/>
      <w:numFmt w:val="decimal"/>
      <w:start w:val="1"/>
    </w:lvl>
  </w:abstractNum>
  <w:abstractNum w:abstractNumId="237">
    <w:nsid w:val="3E858759"/>
    <w:multiLevelType w:val="hybridMultilevel"/>
    <w:lvl w:ilvl="0">
      <w:lvlJc w:val="left"/>
      <w:lvlText w:val="%1"/>
      <w:numFmt w:val="lowerLetter"/>
      <w:start w:val="1"/>
    </w:lvl>
    <w:lvl w:ilvl="1">
      <w:lvlJc w:val="left"/>
      <w:lvlText w:val="%2."/>
      <w:numFmt w:val="decimal"/>
      <w:start w:val="2"/>
    </w:lvl>
  </w:abstractNum>
  <w:abstractNum w:abstractNumId="238">
    <w:nsid w:val="62E80725"/>
    <w:multiLevelType w:val="hybridMultilevel"/>
    <w:lvl w:ilvl="0">
      <w:lvlJc w:val="left"/>
      <w:lvlText w:val="(%1)"/>
      <w:numFmt w:val="lowerLetter"/>
      <w:start w:val="4"/>
    </w:lvl>
    <w:lvl w:ilvl="1">
      <w:lvlJc w:val="left"/>
      <w:lvlText w:val="%2."/>
      <w:numFmt w:val="decimal"/>
      <w:start w:val="3"/>
    </w:lvl>
  </w:abstractNum>
  <w:abstractNum w:abstractNumId="239">
    <w:nsid w:val="6A84631"/>
    <w:multiLevelType w:val="hybridMultilevel"/>
    <w:lvl w:ilvl="0">
      <w:lvlJc w:val="left"/>
      <w:lvlText w:val="(%1)"/>
      <w:numFmt w:val="lowerLetter"/>
      <w:start w:val="1"/>
    </w:lvl>
  </w:abstractNum>
  <w:abstractNum w:abstractNumId="240">
    <w:nsid w:val="16E7E3C7"/>
    <w:multiLevelType w:val="hybridMultilevel"/>
    <w:lvl w:ilvl="0">
      <w:lvlJc w:val="left"/>
      <w:lvlText w:val="(%1)"/>
      <w:numFmt w:val="lowerLetter"/>
      <w:start w:val="4"/>
    </w:lvl>
  </w:abstractNum>
  <w:abstractNum w:abstractNumId="241">
    <w:nsid w:val="63FEC9A"/>
    <w:multiLevelType w:val="hybridMultilevel"/>
    <w:lvl w:ilvl="0">
      <w:lvlJc w:val="left"/>
      <w:lvlText w:val="%1."/>
      <w:numFmt w:val="decimal"/>
      <w:start w:val="1"/>
    </w:lvl>
  </w:abstractNum>
  <w:abstractNum w:abstractNumId="242">
    <w:nsid w:val="6C291F4C"/>
    <w:multiLevelType w:val="hybridMultilevel"/>
    <w:lvl w:ilvl="0">
      <w:lvlJc w:val="left"/>
      <w:lvlText w:val="(%1)"/>
      <w:numFmt w:val="lowerRoman"/>
      <w:start w:val="3"/>
    </w:lvl>
  </w:abstractNum>
  <w:abstractNum w:abstractNumId="243">
    <w:nsid w:val="50138A7A"/>
    <w:multiLevelType w:val="hybridMultilevel"/>
    <w:lvl w:ilvl="0">
      <w:lvlJc w:val="left"/>
      <w:lvlText w:val="(%1)"/>
      <w:numFmt w:val="lowerLetter"/>
      <w:start w:val="1"/>
    </w:lvl>
  </w:abstractNum>
  <w:abstractNum w:abstractNumId="244">
    <w:nsid w:val="30357089"/>
    <w:multiLevelType w:val="hybridMultilevel"/>
    <w:lvl w:ilvl="0">
      <w:lvlJc w:val="left"/>
      <w:lvlText w:val="(%1)"/>
      <w:numFmt w:val="lowerLetter"/>
      <w:start w:val="3"/>
    </w:lvl>
  </w:abstractNum>
  <w:abstractNum w:abstractNumId="245">
    <w:nsid w:val="50AF58A7"/>
    <w:multiLevelType w:val="hybridMultilevel"/>
    <w:lvl w:ilvl="0">
      <w:lvlJc w:val="left"/>
      <w:lvlText w:val="(%1)"/>
      <w:numFmt w:val="lowerLetter"/>
      <w:start w:val="1"/>
    </w:lvl>
  </w:abstractNum>
  <w:abstractNum w:abstractNumId="246">
    <w:nsid w:val="26AF4D2D"/>
    <w:multiLevelType w:val="hybridMultilevel"/>
    <w:lvl w:ilvl="0">
      <w:lvlJc w:val="left"/>
      <w:lvlText w:val="(%1)"/>
      <w:numFmt w:val="lowerLetter"/>
      <w:start w:val="1"/>
    </w:lvl>
  </w:abstractNum>
  <w:abstractNum w:abstractNumId="247">
    <w:nsid w:val="243DE0AA"/>
    <w:multiLevelType w:val="hybridMultilevel"/>
    <w:lvl w:ilvl="0">
      <w:lvlJc w:val="left"/>
      <w:lvlText w:val="(%1)"/>
      <w:numFmt w:val="lowerLetter"/>
      <w:start w:val="1"/>
    </w:lvl>
  </w:abstractNum>
  <w:abstractNum w:abstractNumId="248">
    <w:nsid w:val="746B6F6A"/>
    <w:multiLevelType w:val="hybridMultilevel"/>
    <w:lvl w:ilvl="0">
      <w:lvlJc w:val="left"/>
      <w:lvlText w:val="(%1)"/>
      <w:numFmt w:val="lowerRoman"/>
      <w:start w:val="5"/>
    </w:lvl>
  </w:abstractNum>
  <w:abstractNum w:abstractNumId="249">
    <w:nsid w:val="28B1BBF2"/>
    <w:multiLevelType w:val="hybridMultilevel"/>
    <w:lvl w:ilvl="0">
      <w:lvlJc w:val="left"/>
      <w:lvlText w:val="(%1)"/>
      <w:numFmt w:val="lowerLetter"/>
      <w:start w:val="2"/>
    </w:lvl>
  </w:abstractNum>
  <w:abstractNum w:abstractNumId="250">
    <w:nsid w:val="72377844"/>
    <w:multiLevelType w:val="hybridMultilevel"/>
    <w:lvl w:ilvl="0">
      <w:lvlJc w:val="left"/>
      <w:lvlText w:val="(%1)"/>
      <w:numFmt w:val="lowerLetter"/>
      <w:start w:val="35"/>
    </w:lvl>
  </w:abstractNum>
  <w:abstractNum w:abstractNumId="251">
    <w:nsid w:val="5D4CAEF8"/>
    <w:multiLevelType w:val="hybridMultilevel"/>
    <w:lvl w:ilvl="0">
      <w:lvlJc w:val="left"/>
      <w:lvlText w:val="(%1)"/>
      <w:numFmt w:val="lowerLetter"/>
      <w:start w:val="2"/>
    </w:lvl>
  </w:abstractNum>
  <w:abstractNum w:abstractNumId="252">
    <w:nsid w:val="7A723B45"/>
    <w:multiLevelType w:val="hybridMultilevel"/>
    <w:lvl w:ilvl="0">
      <w:lvlJc w:val="left"/>
      <w:lvlText w:val="(%1)"/>
      <w:numFmt w:val="lowerLetter"/>
      <w:start w:val="1"/>
    </w:lvl>
  </w:abstractNum>
  <w:abstractNum w:abstractNumId="253">
    <w:nsid w:val="20913E41"/>
    <w:multiLevelType w:val="hybridMultilevel"/>
    <w:lvl w:ilvl="0">
      <w:lvlJc w:val="left"/>
      <w:lvlText w:val="(%1)"/>
      <w:numFmt w:val="lowerLetter"/>
      <w:start w:val="1"/>
    </w:lvl>
  </w:abstractNum>
  <w:abstractNum w:abstractNumId="254">
    <w:nsid w:val="DFEC288"/>
    <w:multiLevelType w:val="hybridMultilevel"/>
    <w:lvl w:ilvl="0">
      <w:lvlJc w:val="left"/>
      <w:lvlText w:val="(%1)"/>
      <w:numFmt w:val="lowerLetter"/>
      <w:start w:val="1"/>
    </w:lvl>
  </w:abstractNum>
  <w:abstractNum w:abstractNumId="255">
    <w:nsid w:val="594F93D1"/>
    <w:multiLevelType w:val="hybridMultilevel"/>
    <w:lvl w:ilvl="0">
      <w:lvlJc w:val="left"/>
      <w:lvlText w:val="(%1)"/>
      <w:numFmt w:val="lowerLetter"/>
      <w:start w:val="7"/>
    </w:lvl>
  </w:abstractNum>
  <w:abstractNum w:abstractNumId="256">
    <w:nsid w:val="61402F4E"/>
    <w:multiLevelType w:val="hybridMultilevel"/>
    <w:lvl w:ilvl="0">
      <w:lvlJc w:val="left"/>
      <w:lvlText w:val="(%1)"/>
      <w:numFmt w:val="lowerLetter"/>
      <w:start w:val="13"/>
    </w:lvl>
  </w:abstractNum>
  <w:abstractNum w:abstractNumId="257">
    <w:nsid w:val="4DFF5E8B"/>
    <w:multiLevelType w:val="hybridMultilevel"/>
    <w:lvl w:ilvl="0">
      <w:lvlJc w:val="left"/>
      <w:lvlText w:val="(%1)"/>
      <w:numFmt w:val="lowerRoman"/>
      <w:start w:val="2"/>
    </w:lvl>
  </w:abstractNum>
  <w:abstractNum w:abstractNumId="258">
    <w:nsid w:val="151F37A3"/>
    <w:multiLevelType w:val="hybridMultilevel"/>
    <w:lvl w:ilvl="0">
      <w:lvlJc w:val="left"/>
      <w:lvlText w:val="(%1)"/>
      <w:numFmt w:val="lowerLetter"/>
      <w:start w:val="1"/>
    </w:lvl>
  </w:abstractNum>
  <w:abstractNum w:abstractNumId="259">
    <w:nsid w:val="180DEB1"/>
    <w:multiLevelType w:val="hybridMultilevel"/>
    <w:lvl w:ilvl="0">
      <w:lvlJc w:val="left"/>
      <w:lvlText w:val="(%1)"/>
      <w:numFmt w:val="lowerLetter"/>
      <w:start w:val="4"/>
    </w:lvl>
  </w:abstractNum>
  <w:abstractNum w:abstractNumId="260">
    <w:nsid w:val="4A3F068C"/>
    <w:multiLevelType w:val="hybridMultilevel"/>
    <w:lvl w:ilvl="0">
      <w:lvlJc w:val="left"/>
      <w:lvlText w:val="(%1)"/>
      <w:numFmt w:val="lowerLetter"/>
      <w:start w:val="1"/>
    </w:lvl>
  </w:abstractNum>
  <w:abstractNum w:abstractNumId="261">
    <w:nsid w:val="6C04B4E0"/>
    <w:multiLevelType w:val="hybridMultilevel"/>
    <w:lvl w:ilvl="0">
      <w:lvlJc w:val="left"/>
      <w:lvlText w:val="(%1)"/>
      <w:numFmt w:val="lowerLetter"/>
      <w:start w:val="2"/>
    </w:lvl>
  </w:abstractNum>
  <w:abstractNum w:abstractNumId="262">
    <w:nsid w:val="1D082837"/>
    <w:multiLevelType w:val="hybridMultilevel"/>
    <w:lvl w:ilvl="0">
      <w:lvlJc w:val="left"/>
      <w:lvlText w:val="(%1)"/>
      <w:numFmt w:val="lowerLetter"/>
      <w:start w:val="9"/>
    </w:lvl>
  </w:abstractNum>
  <w:abstractNum w:abstractNumId="263">
    <w:nsid w:val="685B8A2D"/>
    <w:multiLevelType w:val="hybridMultilevel"/>
    <w:lvl w:ilvl="0">
      <w:lvlJc w:val="left"/>
      <w:lvlText w:val="(%1)"/>
      <w:numFmt w:val="lowerLetter"/>
      <w:start w:val="1"/>
    </w:lvl>
  </w:abstractNum>
  <w:abstractNum w:abstractNumId="264">
    <w:nsid w:val="64F087E2"/>
    <w:multiLevelType w:val="hybridMultilevel"/>
    <w:lvl w:ilvl="0">
      <w:lvlJc w:val="left"/>
      <w:lvlText w:val="(%1)"/>
      <w:numFmt w:val="lowerLetter"/>
      <w:start w:val="5"/>
    </w:lvl>
  </w:abstractNum>
  <w:abstractNum w:abstractNumId="265">
    <w:nsid w:val="1575811C"/>
    <w:multiLevelType w:val="hybridMultilevel"/>
    <w:lvl w:ilvl="0">
      <w:lvlJc w:val="left"/>
      <w:lvlText w:val="(%1)"/>
      <w:numFmt w:val="lowerLetter"/>
      <w:start w:val="13"/>
    </w:lvl>
  </w:abstractNum>
  <w:abstractNum w:abstractNumId="266">
    <w:nsid w:val="52127406"/>
    <w:multiLevelType w:val="hybridMultilevel"/>
    <w:lvl w:ilvl="0">
      <w:lvlJc w:val="left"/>
      <w:lvlText w:val="(%1)"/>
      <w:numFmt w:val="lowerLetter"/>
      <w:start w:val="1"/>
    </w:lvl>
    <w:lvl w:ilvl="1">
      <w:lvlJc w:val="left"/>
      <w:lvlText w:val="(%2)"/>
      <w:numFmt w:val="lowerRoman"/>
      <w:start w:val="1"/>
    </w:lvl>
  </w:abstractNum>
  <w:abstractNum w:abstractNumId="267">
    <w:nsid w:val="5FF178A"/>
    <w:multiLevelType w:val="hybridMultilevel"/>
    <w:lvl w:ilvl="0">
      <w:lvlJc w:val="left"/>
      <w:lvlText w:val="%1"/>
      <w:numFmt w:val="lowerLetter"/>
      <w:start w:val="1"/>
    </w:lvl>
    <w:lvl w:ilvl="1">
      <w:lvlJc w:val="left"/>
      <w:lvlText w:val="(%2)"/>
      <w:numFmt w:val="lowerLetter"/>
      <w:start w:val="35"/>
    </w:lvl>
  </w:abstractNum>
  <w:abstractNum w:abstractNumId="268">
    <w:nsid w:val="53FB0875"/>
    <w:multiLevelType w:val="hybridMultilevel"/>
    <w:lvl w:ilvl="0">
      <w:lvlJc w:val="left"/>
      <w:lvlText w:val="(%1)"/>
      <w:numFmt w:val="lowerLetter"/>
      <w:start w:val="5"/>
    </w:lvl>
    <w:lvl w:ilvl="1">
      <w:lvlJc w:val="left"/>
      <w:lvlText w:val="%2"/>
      <w:numFmt w:val="lowerLetter"/>
      <w:start w:val="1"/>
    </w:lvl>
  </w:abstractNum>
  <w:abstractNum w:abstractNumId="269">
    <w:nsid w:val="34FA7B2B"/>
    <w:multiLevelType w:val="hybridMultilevel"/>
    <w:lvl w:ilvl="0">
      <w:lvlJc w:val="left"/>
      <w:lvlText w:val="(%1)"/>
      <w:numFmt w:val="lowerLetter"/>
      <w:start w:val="2"/>
    </w:lvl>
  </w:abstractNum>
  <w:abstractNum w:abstractNumId="270">
    <w:nsid w:val="CA75DBC"/>
    <w:multiLevelType w:val="hybridMultilevel"/>
    <w:lvl w:ilvl="0">
      <w:lvlJc w:val="left"/>
      <w:lvlText w:val="(%1)"/>
      <w:numFmt w:val="lowerLetter"/>
      <w:start w:val="4"/>
    </w:lvl>
  </w:abstractNum>
  <w:abstractNum w:abstractNumId="271">
    <w:nsid w:val="6AE2EC3C"/>
    <w:multiLevelType w:val="hybridMultilevel"/>
    <w:lvl w:ilvl="0">
      <w:lvlJc w:val="left"/>
      <w:lvlText w:val="(%1)"/>
      <w:numFmt w:val="lowerLetter"/>
      <w:start w:val="4"/>
    </w:lvl>
  </w:abstractNum>
  <w:abstractNum w:abstractNumId="272">
    <w:nsid w:val="3B3A67C5"/>
    <w:multiLevelType w:val="hybridMultilevel"/>
    <w:lvl w:ilvl="0">
      <w:lvlJc w:val="left"/>
      <w:lvlText w:val="(%1)"/>
      <w:numFmt w:val="lowerLetter"/>
      <w:start w:val="1"/>
    </w:lvl>
  </w:abstractNum>
  <w:abstractNum w:abstractNumId="273">
    <w:nsid w:val="78D07D08"/>
    <w:multiLevelType w:val="hybridMultilevel"/>
    <w:lvl w:ilvl="0">
      <w:lvlJc w:val="left"/>
      <w:lvlText w:val="(%1)"/>
      <w:numFmt w:val="lowerLetter"/>
      <w:start w:val="3"/>
    </w:lvl>
    <w:lvl w:ilvl="1">
      <w:lvlJc w:val="left"/>
      <w:lvlText w:val="(%2)"/>
      <w:numFmt w:val="lowerRoman"/>
      <w:start w:val="1"/>
    </w:lvl>
  </w:abstractNum>
  <w:abstractNum w:abstractNumId="274">
    <w:nsid w:val="3AF676B7"/>
    <w:multiLevelType w:val="hybridMultilevel"/>
    <w:lvl w:ilvl="0">
      <w:lvlJc w:val="left"/>
      <w:lvlText w:val="%1"/>
      <w:numFmt w:val="lowerLetter"/>
      <w:start w:val="1"/>
    </w:lvl>
    <w:lvl w:ilvl="1">
      <w:lvlJc w:val="left"/>
      <w:lvlText w:val="(%2)"/>
      <w:numFmt w:val="lowerLetter"/>
      <w:start w:val="35"/>
    </w:lvl>
  </w:abstractNum>
  <w:abstractNum w:abstractNumId="275">
    <w:nsid w:val="6B6FD84E"/>
    <w:multiLevelType w:val="hybridMultilevel"/>
    <w:lvl w:ilvl="0">
      <w:lvlJc w:val="left"/>
      <w:lvlText w:val="(%1)"/>
      <w:numFmt w:val="lowerLetter"/>
      <w:start w:val="7"/>
    </w:lvl>
    <w:lvl w:ilvl="1">
      <w:lvlJc w:val="left"/>
      <w:lvlText w:val="(%2)"/>
      <w:numFmt w:val="lowerLetter"/>
      <w:start w:val="9"/>
    </w:lvl>
  </w:abstractNum>
  <w:abstractNum w:abstractNumId="276">
    <w:nsid w:val="497FD5B0"/>
    <w:multiLevelType w:val="hybridMultilevel"/>
    <w:lvl w:ilvl="0">
      <w:lvlJc w:val="left"/>
      <w:lvlText w:val="%1"/>
      <w:numFmt w:val="lowerLetter"/>
      <w:start w:val="1"/>
    </w:lvl>
    <w:lvl w:ilvl="1">
      <w:lvlJc w:val="left"/>
      <w:lvlText w:val="(%2)"/>
      <w:numFmt w:val="lowerLetter"/>
      <w:start w:val="35"/>
    </w:lvl>
  </w:abstractNum>
  <w:abstractNum w:abstractNumId="277">
    <w:nsid w:val="61A5C3E4"/>
    <w:multiLevelType w:val="hybridMultilevel"/>
    <w:lvl w:ilvl="0">
      <w:lvlJc w:val="left"/>
      <w:lvlText w:val="(%1)"/>
      <w:numFmt w:val="lowerLetter"/>
      <w:start w:val="8"/>
    </w:lvl>
    <w:lvl w:ilvl="1">
      <w:lvlJc w:val="left"/>
      <w:lvlText w:val="%2"/>
      <w:numFmt w:val="lowerLetter"/>
      <w:start w:val="1"/>
    </w:lvl>
  </w:abstractNum>
  <w:abstractNum w:abstractNumId="278">
    <w:nsid w:val="FADB8F8"/>
    <w:multiLevelType w:val="hybridMultilevel"/>
    <w:lvl w:ilvl="0">
      <w:lvlJc w:val="left"/>
      <w:lvlText w:val="(%1)"/>
      <w:numFmt w:val="lowerLetter"/>
      <w:start w:val="2"/>
    </w:lvl>
  </w:abstractNum>
  <w:abstractNum w:abstractNumId="279">
    <w:nsid w:val="3DEB451A"/>
    <w:multiLevelType w:val="hybridMultilevel"/>
    <w:lvl w:ilvl="0">
      <w:lvlJc w:val="left"/>
      <w:lvlText w:val="(%1)"/>
      <w:numFmt w:val="lowerRoman"/>
      <w:start w:val="1"/>
    </w:lvl>
  </w:abstractNum>
  <w:abstractNum w:abstractNumId="280">
    <w:nsid w:val="A577FD6"/>
    <w:multiLevelType w:val="hybridMultilevel"/>
    <w:lvl w:ilvl="0">
      <w:lvlJc w:val="left"/>
      <w:lvlText w:val="(%1)"/>
      <w:numFmt w:val="lowerLetter"/>
      <w:start w:val="7"/>
    </w:lvl>
  </w:abstractNum>
  <w:abstractNum w:abstractNumId="281">
    <w:nsid w:val="1E531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82">
    <w:nsid w:val="1B37F412"/>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283">
    <w:nsid w:val="4C9BB1B"/>
    <w:multiLevelType w:val="hybridMultilevel"/>
    <w:lvl w:ilvl="0">
      <w:lvlJc w:val="left"/>
      <w:lvlText w:val="%1"/>
      <w:numFmt w:val="lowerLetter"/>
      <w:start w:val="1"/>
    </w:lvl>
    <w:lvl w:ilvl="1">
      <w:lvlJc w:val="left"/>
      <w:lvlText w:val="(%2)"/>
      <w:numFmt w:val="lowerLetter"/>
      <w:start w:val="35"/>
    </w:lvl>
  </w:abstractNum>
  <w:abstractNum w:abstractNumId="284">
    <w:nsid w:val="22766F7E"/>
    <w:multiLevelType w:val="hybridMultilevel"/>
    <w:lvl w:ilvl="0">
      <w:lvlJc w:val="left"/>
      <w:lvlText w:val="(%1)"/>
      <w:numFmt w:val="lowerLetter"/>
      <w:start w:val="3"/>
    </w:lvl>
    <w:lvl w:ilvl="1">
      <w:lvlJc w:val="left"/>
      <w:lvlText w:val="%2"/>
      <w:numFmt w:val="lowerLetter"/>
      <w:start w:val="1"/>
    </w:lvl>
  </w:abstractNum>
  <w:abstractNum w:abstractNumId="285">
    <w:nsid w:val="2936B69A"/>
    <w:multiLevelType w:val="hybridMultilevel"/>
    <w:lvl w:ilvl="0">
      <w:lvlJc w:val="left"/>
      <w:lvlText w:val="(%1)"/>
      <w:numFmt w:val="lowerLetter"/>
      <w:start w:val="1"/>
    </w:lvl>
  </w:abstractNum>
  <w:abstractNum w:abstractNumId="286">
    <w:nsid w:val="5E194EEC"/>
    <w:multiLevelType w:val="hybridMultilevel"/>
    <w:lvl w:ilvl="0">
      <w:lvlJc w:val="left"/>
      <w:lvlText w:val="(%1)"/>
      <w:numFmt w:val="lowerLetter"/>
      <w:start w:val="7"/>
    </w:lvl>
  </w:abstractNum>
  <w:abstractNum w:abstractNumId="287">
    <w:nsid w:val="3B69ECD"/>
    <w:multiLevelType w:val="hybridMultilevel"/>
    <w:lvl w:ilvl="0">
      <w:lvlJc w:val="left"/>
      <w:lvlText w:val="(%1)"/>
      <w:numFmt w:val="lowerLetter"/>
      <w:start w:val="15"/>
    </w:lvl>
  </w:abstractNum>
  <w:abstractNum w:abstractNumId="288">
    <w:nsid w:val="77361526"/>
    <w:multiLevelType w:val="hybridMultilevel"/>
    <w:lvl w:ilvl="0">
      <w:lvlJc w:val="left"/>
      <w:lvlText w:val="(%1)"/>
      <w:numFmt w:val="lowerRoman"/>
      <w:start w:val="4"/>
    </w:lvl>
  </w:abstractNum>
  <w:abstractNum w:abstractNumId="289">
    <w:nsid w:val="7338868F"/>
    <w:multiLevelType w:val="hybridMultilevel"/>
    <w:lvl w:ilvl="0">
      <w:lvlJc w:val="left"/>
      <w:lvlText w:val="(%1)"/>
      <w:numFmt w:val="lowerLetter"/>
      <w:start w:val="1"/>
    </w:lvl>
  </w:abstractNum>
  <w:abstractNum w:abstractNumId="290">
    <w:nsid w:val="5377D7E"/>
    <w:multiLevelType w:val="hybridMultilevel"/>
    <w:lvl w:ilvl="0">
      <w:lvlJc w:val="left"/>
      <w:lvlText w:val="(%1)"/>
      <w:numFmt w:val="lowerLetter"/>
      <w:start w:val="6"/>
    </w:lvl>
  </w:abstractNum>
  <w:abstractNum w:abstractNumId="291">
    <w:nsid w:val="41751BB2"/>
    <w:multiLevelType w:val="hybridMultilevel"/>
    <w:lvl w:ilvl="0">
      <w:lvlJc w:val="left"/>
      <w:lvlText w:val="(%1)"/>
      <w:numFmt w:val="lowerLetter"/>
      <w:start w:val="1"/>
    </w:lvl>
  </w:abstractNum>
  <w:abstractNum w:abstractNumId="292">
    <w:nsid w:val="5F3D3B70"/>
    <w:multiLevelType w:val="hybridMultilevel"/>
    <w:lvl w:ilvl="0">
      <w:lvlJc w:val="left"/>
      <w:lvlText w:val="(%1)"/>
      <w:numFmt w:val="lowerRoman"/>
      <w:start w:val="10"/>
    </w:lvl>
  </w:abstractNum>
  <w:abstractNum w:abstractNumId="293">
    <w:nsid w:val="223FA5B6"/>
    <w:multiLevelType w:val="hybridMultilevel"/>
    <w:lvl w:ilvl="0">
      <w:lvlJc w:val="left"/>
      <w:lvlText w:val="(%1)"/>
      <w:numFmt w:val="lowerLetter"/>
      <w:start w:val="25"/>
    </w:lvl>
  </w:abstractNum>
  <w:abstractNum w:abstractNumId="294">
    <w:nsid w:val="29D0A5DF"/>
    <w:multiLevelType w:val="hybridMultilevel"/>
    <w:lvl w:ilvl="0">
      <w:lvlJc w:val="left"/>
      <w:lvlText w:val="(%1)"/>
      <w:numFmt w:val="lowerRoman"/>
      <w:start w:val="1"/>
    </w:lvl>
  </w:abstractNum>
  <w:abstractNum w:abstractNumId="295">
    <w:nsid w:val="442DC352"/>
    <w:multiLevelType w:val="hybridMultilevel"/>
    <w:lvl w:ilvl="0">
      <w:lvlJc w:val="left"/>
      <w:lvlText w:val="(%1)"/>
      <w:numFmt w:val="lowerLetter"/>
      <w:start w:val="3"/>
    </w:lvl>
  </w:abstractNum>
  <w:abstractNum w:abstractNumId="296">
    <w:nsid w:val="37B526D2"/>
    <w:multiLevelType w:val="hybridMultilevel"/>
    <w:lvl w:ilvl="0">
      <w:lvlJc w:val="left"/>
      <w:lvlText w:val="(%1)"/>
      <w:numFmt w:val="lowerLetter"/>
      <w:start w:val="4"/>
    </w:lvl>
  </w:abstractNum>
  <w:abstractNum w:abstractNumId="297">
    <w:nsid w:val="7BE319E5"/>
    <w:multiLevelType w:val="hybridMultilevel"/>
    <w:lvl w:ilvl="0">
      <w:lvlJc w:val="left"/>
      <w:lvlText w:val="(%1)"/>
      <w:numFmt w:val="lowerLetter"/>
      <w:start w:val="1"/>
    </w:lvl>
    <w:lvl w:ilvl="1">
      <w:lvlJc w:val="left"/>
      <w:lvlText w:val="(%2)"/>
      <w:numFmt w:val="lowerRoman"/>
      <w:start w:val="1"/>
    </w:lvl>
  </w:abstractNum>
  <w:abstractNum w:abstractNumId="298">
    <w:nsid w:val="4A2CDADC"/>
    <w:multiLevelType w:val="hybridMultilevel"/>
    <w:lvl w:ilvl="0">
      <w:lvlJc w:val="left"/>
      <w:lvlText w:val="(%1)"/>
      <w:numFmt w:val="lowerLetter"/>
      <w:start w:val="3"/>
    </w:lvl>
  </w:abstractNum>
  <w:abstractNum w:abstractNumId="299">
    <w:nsid w:val="BB02F47"/>
    <w:multiLevelType w:val="hybridMultilevel"/>
    <w:lvl w:ilvl="0">
      <w:lvlJc w:val="left"/>
      <w:lvlText w:val="(%1)"/>
      <w:numFmt w:val="lowerRoman"/>
      <w:start w:val="1"/>
    </w:lvl>
  </w:abstractNum>
  <w:abstractNum w:abstractNumId="300">
    <w:nsid w:val="30DD9510"/>
    <w:multiLevelType w:val="hybridMultilevel"/>
    <w:lvl w:ilvl="0">
      <w:lvlJc w:val="left"/>
      <w:lvlText w:val="(%1)"/>
      <w:numFmt w:val="lowerRoman"/>
      <w:start w:val="6"/>
    </w:lvl>
  </w:abstractNum>
  <w:abstractNum w:abstractNumId="301">
    <w:nsid w:val="56D43898"/>
    <w:multiLevelType w:val="hybridMultilevel"/>
    <w:lvl w:ilvl="0">
      <w:lvlJc w:val="left"/>
      <w:lvlText w:val="(%1)"/>
      <w:numFmt w:val="lowerLetter"/>
      <w:start w:val="1"/>
    </w:lvl>
  </w:abstractNum>
  <w:abstractNum w:abstractNumId="302">
    <w:nsid w:val="76931B84"/>
    <w:multiLevelType w:val="hybridMultilevel"/>
    <w:lvl w:ilvl="0">
      <w:lvlJc w:val="left"/>
      <w:lvlText w:val="(%1)"/>
      <w:numFmt w:val="lowerRoman"/>
      <w:start w:val="1"/>
    </w:lvl>
  </w:abstractNum>
  <w:abstractNum w:abstractNumId="303">
    <w:nsid w:val="6C17FCD6"/>
    <w:multiLevelType w:val="hybridMultilevel"/>
    <w:lvl w:ilvl="0">
      <w:lvlJc w:val="left"/>
      <w:lvlText w:val="(%1)"/>
      <w:numFmt w:val="lowerLetter"/>
      <w:start w:val="3"/>
    </w:lvl>
  </w:abstractNum>
  <w:abstractNum w:abstractNumId="304">
    <w:nsid w:val="4FA4B5A1"/>
    <w:multiLevelType w:val="hybridMultilevel"/>
    <w:lvl w:ilvl="0">
      <w:lvlJc w:val="left"/>
      <w:lvlText w:val="(%1)"/>
      <w:numFmt w:val="lowerRoman"/>
      <w:start w:val="1"/>
    </w:lvl>
  </w:abstractNum>
  <w:abstractNum w:abstractNumId="305">
    <w:nsid w:val="3189923B"/>
    <w:multiLevelType w:val="hybridMultilevel"/>
    <w:lvl w:ilvl="0">
      <w:lvlJc w:val="left"/>
      <w:lvlText w:val="(%1)"/>
      <w:numFmt w:val="lowerRoman"/>
      <w:start w:val="2"/>
    </w:lvl>
  </w:abstractNum>
  <w:abstractNum w:abstractNumId="306">
    <w:nsid w:val="5787D524"/>
    <w:multiLevelType w:val="hybridMultilevel"/>
    <w:lvl w:ilvl="0">
      <w:lvlJc w:val="left"/>
      <w:lvlText w:val="(%1)"/>
      <w:numFmt w:val="lowerLetter"/>
      <w:start w:val="1"/>
    </w:lvl>
  </w:abstractNum>
  <w:abstractNum w:abstractNumId="307">
    <w:nsid w:val="19248B51"/>
    <w:multiLevelType w:val="hybridMultilevel"/>
    <w:lvl w:ilvl="0">
      <w:lvlJc w:val="left"/>
      <w:lvlText w:val="%1"/>
      <w:numFmt w:val="lowerLetter"/>
      <w:start w:val="1"/>
    </w:lvl>
    <w:lvl w:ilvl="1">
      <w:lvlJc w:val="left"/>
      <w:lvlText w:val="(%2)"/>
      <w:numFmt w:val="lowerLetter"/>
      <w:start w:val="3"/>
    </w:lvl>
  </w:abstractNum>
  <w:abstractNum w:abstractNumId="308">
    <w:nsid w:val="132F561F"/>
    <w:multiLevelType w:val="hybridMultilevel"/>
    <w:lvl w:ilvl="0">
      <w:lvlJc w:val="left"/>
      <w:lvlText w:val="(%1)"/>
      <w:numFmt w:val="lowerLetter"/>
      <w:start w:val="35"/>
    </w:lvl>
    <w:lvl w:ilvl="1">
      <w:lvlJc w:val="left"/>
      <w:lvlText w:val="%2"/>
      <w:numFmt w:val="lowerLetter"/>
      <w:start w:val="1"/>
    </w:lvl>
  </w:abstractNum>
  <w:abstractNum w:abstractNumId="309">
    <w:nsid w:val="67358E1D"/>
    <w:multiLevelType w:val="hybridMultilevel"/>
    <w:lvl w:ilvl="0">
      <w:lvlJc w:val="left"/>
      <w:lvlText w:val="%1."/>
      <w:numFmt w:val="decimal"/>
      <w:start w:val="2"/>
    </w:lvl>
  </w:abstractNum>
  <w:abstractNum w:abstractNumId="310">
    <w:nsid w:val="570FD06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1">
    <w:nsid w:val="1D86D5F5"/>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12">
    <w:nsid w:val="691ABF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3">
    <w:nsid w:val="7247C47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4">
    <w:nsid w:val="22509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B912E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6">
    <w:nsid w:val="1B7E7B1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7">
    <w:nsid w:val="69DFFC"/>
    <w:multiLevelType w:val="hybridMultilevel"/>
    <w:lvl w:ilvl="0">
      <w:lvlJc w:val="left"/>
      <w:lvlText w:val="(%1)"/>
      <w:numFmt w:val="lowerLetter"/>
      <w:start w:val="6"/>
    </w:lvl>
  </w:abstractNum>
  <w:abstractNum w:abstractNumId="318">
    <w:nsid w:val="F47CDA5"/>
    <w:multiLevelType w:val="hybridMultilevel"/>
    <w:lvl w:ilvl="0">
      <w:lvlJc w:val="left"/>
      <w:lvlText w:val="(%1)"/>
      <w:numFmt w:val="lowerLetter"/>
      <w:start w:val="1"/>
    </w:lvl>
  </w:abstractNum>
  <w:abstractNum w:abstractNumId="319">
    <w:nsid w:val="12B4903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320">
    <w:nsid w:val="73A2668C"/>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321">
    <w:nsid w:val="147F4B24"/>
    <w:multiLevelType w:val="hybridMultilevel"/>
    <w:lvl w:ilvl="0">
      <w:lvlJc w:val="left"/>
      <w:lvlText w:val="%1"/>
      <w:numFmt w:val="lowerLetter"/>
      <w:start w:val="1"/>
    </w:lvl>
    <w:lvl w:ilvl="1">
      <w:lvlJc w:val="left"/>
      <w:lvlText w:val="(%2)"/>
      <w:numFmt w:val="lowerLetter"/>
      <w:start w:val="35"/>
    </w:lvl>
  </w:abstractNum>
  <w:abstractNum w:abstractNumId="322">
    <w:nsid w:val="5429ABEF"/>
    <w:multiLevelType w:val="hybridMultilevel"/>
    <w:lvl w:ilvl="0">
      <w:lvlJc w:val="left"/>
      <w:lvlText w:val="(%1)"/>
      <w:numFmt w:val="lowerLetter"/>
      <w:start w:val="4"/>
    </w:lvl>
    <w:lvl w:ilvl="1">
      <w:lvlJc w:val="left"/>
      <w:lvlText w:val="(%2)"/>
      <w:numFmt w:val="lowerLetter"/>
      <w:start w:val="9"/>
    </w:lvl>
  </w:abstractNum>
  <w:abstractNum w:abstractNumId="323">
    <w:nsid w:val="52DFA1FC"/>
    <w:multiLevelType w:val="hybridMultilevel"/>
    <w:lvl w:ilvl="0">
      <w:lvlJc w:val="left"/>
      <w:lvlText w:val="%1"/>
      <w:numFmt w:val="upperLetter"/>
      <w:start w:val="1"/>
    </w:lvl>
    <w:lvl w:ilvl="1">
      <w:lvlJc w:val="left"/>
      <w:lvlText w:val="(%2)"/>
      <w:numFmt w:val="lowerRoman"/>
      <w:start w:val="2"/>
    </w:lvl>
  </w:abstractNum>
  <w:abstractNum w:abstractNumId="324">
    <w:nsid w:val="36BEF0DA"/>
    <w:multiLevelType w:val="hybridMultilevel"/>
    <w:lvl w:ilvl="0">
      <w:lvlJc w:val="left"/>
      <w:lvlText w:val="(%1)"/>
      <w:numFmt w:val="upperLetter"/>
      <w:start w:val="1"/>
    </w:lvl>
    <w:lvl w:ilvl="1">
      <w:lvlJc w:val="left"/>
      <w:lvlText w:val="%2"/>
      <w:numFmt w:val="lowerRoman"/>
      <w:start w:val="1"/>
    </w:lvl>
  </w:abstractNum>
  <w:abstractNum w:abstractNumId="325">
    <w:nsid w:val="7DFA51CE"/>
    <w:multiLevelType w:val="hybridMultilevel"/>
    <w:lvl w:ilvl="0">
      <w:lvlJc w:val="left"/>
      <w:lvlText w:val="%1"/>
      <w:numFmt w:val="lowerLetter"/>
      <w:start w:val="1"/>
    </w:lvl>
    <w:lvl w:ilvl="1">
      <w:lvlJc w:val="left"/>
      <w:lvlText w:val="(%2)"/>
      <w:numFmt w:val="lowerRoman"/>
      <w:start w:val="3"/>
    </w:lvl>
  </w:abstractNum>
  <w:abstractNum w:abstractNumId="326">
    <w:nsid w:val="170D654E"/>
    <w:multiLevelType w:val="hybridMultilevel"/>
    <w:lvl w:ilvl="0">
      <w:lvlJc w:val="left"/>
      <w:lvlText w:val="(%1)"/>
      <w:numFmt w:val="lowerLetter"/>
      <w:start w:val="5"/>
    </w:lvl>
    <w:lvl w:ilvl="1">
      <w:lvlJc w:val="left"/>
      <w:lvlText w:val="%2"/>
      <w:numFmt w:val="lowerRoman"/>
      <w:start w:val="1"/>
    </w:lvl>
  </w:abstractNum>
  <w:abstractNum w:abstractNumId="327">
    <w:nsid w:val="6E7417AC"/>
    <w:multiLevelType w:val="hybridMultilevel"/>
    <w:lvl w:ilvl="0">
      <w:lvlJc w:val="left"/>
      <w:lvlText w:val="(%1)"/>
      <w:numFmt w:val="lowerRoman"/>
      <w:start w:val="1"/>
    </w:lvl>
  </w:abstractNum>
  <w:abstractNum w:abstractNumId="328">
    <w:nsid w:val="79DD6BB3"/>
    <w:multiLevelType w:val="hybridMultilevel"/>
    <w:lvl w:ilvl="0">
      <w:lvlJc w:val="left"/>
      <w:lvlText w:val="%1"/>
      <w:numFmt w:val="lowerLetter"/>
      <w:start w:val="1"/>
    </w:lvl>
    <w:lvl w:ilvl="1">
      <w:lvlJc w:val="left"/>
      <w:lvlText w:val="(%2)"/>
      <w:numFmt w:val="lowerRoman"/>
      <w:start w:val="3"/>
    </w:lvl>
  </w:abstractNum>
  <w:abstractNum w:abstractNumId="329">
    <w:nsid w:val="613A402A"/>
    <w:multiLevelType w:val="hybridMultilevel"/>
    <w:lvl w:ilvl="0">
      <w:lvlJc w:val="left"/>
      <w:lvlText w:val="(%1)"/>
      <w:numFmt w:val="lowerLetter"/>
      <w:start w:val="6"/>
    </w:lvl>
    <w:lvl w:ilvl="1">
      <w:lvlJc w:val="left"/>
      <w:lvlText w:val="%2"/>
      <w:numFmt w:val="lowerRoman"/>
      <w:start w:val="1"/>
    </w:lvl>
  </w:abstractNum>
  <w:abstractNum w:abstractNumId="330">
    <w:nsid w:val="7A2446F3"/>
    <w:multiLevelType w:val="hybridMultilevel"/>
    <w:lvl w:ilvl="0">
      <w:lvlJc w:val="left"/>
      <w:lvlText w:val="(%1)"/>
      <w:numFmt w:val="lowerLetter"/>
      <w:start w:val="7"/>
    </w:lvl>
    <w:lvl w:ilvl="1">
      <w:lvlJc w:val="left"/>
      <w:lvlText w:val="(%2)"/>
      <w:numFmt w:val="lowerLetter"/>
      <w:start w:val="9"/>
    </w:lvl>
  </w:abstractNum>
  <w:abstractNum w:abstractNumId="331">
    <w:nsid w:val="2ABB00C4"/>
    <w:multiLevelType w:val="hybridMultilevel"/>
    <w:lvl w:ilvl="0">
      <w:lvlJc w:val="left"/>
      <w:lvlText w:val="(%1)"/>
      <w:numFmt w:val="lowerRoman"/>
      <w:start w:val="2"/>
    </w:lvl>
    <w:lvl w:ilvl="1">
      <w:lvlJc w:val="left"/>
      <w:lvlText w:val="(%2)"/>
      <w:numFmt w:val="upperLetter"/>
      <w:start w:val="1"/>
    </w:lvl>
  </w:abstractNum>
  <w:abstractNum w:abstractNumId="332">
    <w:nsid w:val="380E78C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333">
    <w:nsid w:val="70B7627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34">
    <w:nsid w:val="16D2FD9A"/>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1"/>
    </w:lvl>
  </w:abstractNum>
  <w:abstractNum w:abstractNumId="335">
    <w:nsid w:val="7B32E64"/>
    <w:multiLevelType w:val="hybridMultilevel"/>
    <w:lvl w:ilvl="0">
      <w:lvlJc w:val="left"/>
      <w:lvlText w:val="(%1)"/>
      <w:numFmt w:val="lowerLetter"/>
      <w:start w:val="1"/>
    </w:lvl>
    <w:lvl w:ilvl="1">
      <w:lvlJc w:val="left"/>
      <w:lvlText w:val="(%2)"/>
      <w:numFmt w:val="lowerLetter"/>
      <w:start w:val="9"/>
    </w:lvl>
  </w:abstractNum>
  <w:abstractNum w:abstractNumId="336">
    <w:nsid w:val="2240F4B2"/>
    <w:multiLevelType w:val="hybridMultilevel"/>
    <w:lvl w:ilvl="0">
      <w:lvlJc w:val="left"/>
      <w:lvlText w:val="%1"/>
      <w:numFmt w:val="lowerLetter"/>
      <w:start w:val="1"/>
    </w:lvl>
    <w:lvl w:ilvl="1">
      <w:lvlJc w:val="left"/>
      <w:lvlText w:val="(%2)"/>
      <w:numFmt w:val="lowerLetter"/>
      <w:start w:val="35"/>
    </w:lvl>
  </w:abstractNum>
  <w:abstractNum w:abstractNumId="337">
    <w:nsid w:val="6E5AD2BE"/>
    <w:multiLevelType w:val="hybridMultilevel"/>
    <w:lvl w:ilvl="0">
      <w:lvlJc w:val="left"/>
      <w:lvlText w:val="(%1)"/>
      <w:numFmt w:val="lowerLetter"/>
      <w:start w:val="2"/>
    </w:lvl>
    <w:lvl w:ilvl="1">
      <w:lvlJc w:val="left"/>
      <w:lvlText w:val="(%2)"/>
      <w:numFmt w:val="lowerLetter"/>
      <w:start w:val="9"/>
    </w:lvl>
  </w:abstractNum>
  <w:abstractNum w:abstractNumId="338">
    <w:nsid w:val="20D7B9B5"/>
    <w:multiLevelType w:val="hybridMultilevel"/>
    <w:lvl w:ilvl="0">
      <w:lvlJc w:val="left"/>
      <w:lvlText w:val="(%1)"/>
      <w:numFmt w:val="lowerRoman"/>
      <w:start w:val="2"/>
    </w:lvl>
    <w:lvl w:ilvl="1">
      <w:lvlJc w:val="left"/>
      <w:lvlText w:val="(%2)"/>
      <w:numFmt w:val="upperLetter"/>
      <w:start w:val="1"/>
    </w:lvl>
  </w:abstractNum>
  <w:abstractNum w:abstractNumId="339">
    <w:nsid w:val="35704AD1"/>
    <w:multiLevelType w:val="hybridMultilevel"/>
    <w:lvl w:ilvl="0">
      <w:lvlJc w:val="left"/>
      <w:lvlText w:val="%1."/>
      <w:numFmt w:val="lowerRoman"/>
      <w:start w:val="2"/>
    </w:lvl>
  </w:abstractNum>
  <w:abstractNum w:abstractNumId="340">
    <w:nsid w:val="559060DB"/>
    <w:multiLevelType w:val="hybridMultilevel"/>
    <w:lvl w:ilvl="0">
      <w:lvlJc w:val="left"/>
      <w:lvlText w:val="%1."/>
      <w:numFmt w:val="lowerRoman"/>
      <w:start w:val="3"/>
    </w:lvl>
    <w:lvl w:ilvl="1">
      <w:lvlJc w:val="left"/>
      <w:lvlText w:val="%2."/>
      <w:numFmt w:val="lowerLetter"/>
      <w:start w:val="1"/>
    </w:lvl>
  </w:abstractNum>
  <w:abstractNum w:abstractNumId="341">
    <w:nsid w:val="77E78A20"/>
    <w:multiLevelType w:val="hybridMultilevel"/>
    <w:lvl w:ilvl="0">
      <w:lvlJc w:val="left"/>
      <w:lvlText w:val="%1."/>
      <w:numFmt w:val="lowerRoman"/>
      <w:start w:val="12"/>
    </w:lvl>
    <w:lvl w:ilvl="1">
      <w:lvlJc w:val="left"/>
      <w:lvlText w:val="%2."/>
      <w:numFmt w:val="lowerLetter"/>
      <w:start w:val="1"/>
    </w:lvl>
  </w:abstractNum>
  <w:abstractNum w:abstractNumId="342">
    <w:nsid w:val="52F720C6"/>
    <w:multiLevelType w:val="hybridMultilevel"/>
    <w:lvl w:ilvl="0">
      <w:lvlJc w:val="left"/>
      <w:lvlText w:val="%1."/>
      <w:numFmt w:val="lowerRoman"/>
      <w:start w:val="16"/>
    </w:lvl>
  </w:abstractNum>
  <w:abstractNum w:abstractNumId="343">
    <w:nsid w:val="3EAB2035"/>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344">
    <w:nsid w:val="6A2F4E9D"/>
    <w:multiLevelType w:val="hybridMultilevel"/>
    <w:lvl w:ilvl="0">
      <w:lvlJc w:val="left"/>
      <w:lvlText w:val="%1"/>
      <w:numFmt w:val="lowerRoman"/>
      <w:start w:val="1"/>
    </w:lvl>
    <w:lvl w:ilvl="1">
      <w:lvlJc w:val="left"/>
      <w:lvlText w:val="%2."/>
      <w:numFmt w:val="lowerLetter"/>
      <w:start w:val="2"/>
    </w:lvl>
  </w:abstractNum>
  <w:abstractNum w:abstractNumId="345">
    <w:nsid w:val="7547B1D6"/>
    <w:multiLevelType w:val="hybridMultilevel"/>
    <w:lvl w:ilvl="0">
      <w:lvlJc w:val="left"/>
      <w:lvlText w:val="%1."/>
      <w:numFmt w:val="lowerRoman"/>
      <w:start w:val="11"/>
    </w:lvl>
    <w:lvl w:ilvl="1">
      <w:lvlJc w:val="left"/>
      <w:lvlText w:val="%2."/>
      <w:numFmt w:val="lowerLetter"/>
      <w:start w:val="1"/>
    </w:lvl>
  </w:abstractNum>
  <w:abstractNum w:abstractNumId="346">
    <w:nsid w:val="4A3C4F0E"/>
    <w:multiLevelType w:val="hybridMultilevel"/>
    <w:lvl w:ilvl="0">
      <w:lvlJc w:val="left"/>
      <w:lvlText w:val="%1."/>
      <w:numFmt w:val="lowerRoman"/>
      <w:start w:val="13"/>
    </w:lvl>
  </w:abstractNum>
  <w:abstractNum w:abstractNumId="347">
    <w:nsid w:val="5ADC9B4"/>
    <w:multiLevelType w:val="hybridMultilevel"/>
    <w:lvl w:ilvl="0">
      <w:lvlJc w:val="left"/>
      <w:lvlText w:val="%1"/>
      <w:numFmt w:val="upperLetter"/>
      <w:start w:val="1"/>
    </w:lvl>
    <w:lvl w:ilvl="1">
      <w:lvlJc w:val="left"/>
      <w:lvlText w:val="%2."/>
      <w:numFmt w:val="lowerRoman"/>
      <w:start w:val="14"/>
    </w:lvl>
  </w:abstractNum>
  <w:abstractNum w:abstractNumId="348">
    <w:nsid w:val="75B191D3"/>
    <w:multiLevelType w:val="hybridMultilevel"/>
    <w:lvl w:ilvl="0">
      <w:lvlJc w:val="left"/>
      <w:lvlText w:val="(%1)"/>
      <w:numFmt w:val="upperLetter"/>
      <w:start w:val="3"/>
    </w:lvl>
    <w:lvl w:ilvl="1">
      <w:lvlJc w:val="left"/>
      <w:lvlText w:val="%2."/>
      <w:numFmt w:val="lowerRoman"/>
      <w:start w:val="1"/>
    </w:lvl>
  </w:abstractNum>
  <w:abstractNum w:abstractNumId="349">
    <w:nsid w:val="59841CB3"/>
    <w:multiLevelType w:val="hybridMultilevel"/>
    <w:lvl w:ilvl="0">
      <w:lvlJc w:val="left"/>
      <w:lvlText w:val="%1."/>
      <w:numFmt w:val="lowerRoman"/>
      <w:start w:val="6"/>
    </w:lvl>
    <w:lvl w:ilvl="1">
      <w:lvlJc w:val="left"/>
      <w:lvlText w:val="%2."/>
      <w:numFmt w:val="lowerLetter"/>
      <w:start w:val="1"/>
    </w:lvl>
  </w:abstractNum>
  <w:abstractNum w:abstractNumId="350">
    <w:nsid w:val="186259F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3"/>
    </w:lvl>
  </w:abstractNum>
  <w:abstractNum w:abstractNumId="351">
    <w:nsid w:val="6953F85F"/>
    <w:multiLevelType w:val="hybridMultilevel"/>
    <w:lvl w:ilvl="0">
      <w:lvlJc w:val="left"/>
      <w:lvlText w:val="%1"/>
      <w:numFmt w:val="lowerRoman"/>
      <w:start w:val="1"/>
    </w:lvl>
    <w:lvl w:ilvl="1">
      <w:lvlJc w:val="left"/>
      <w:lvlText w:val="%2."/>
      <w:numFmt w:val="lowerRoman"/>
      <w:start w:val="13"/>
    </w:lvl>
    <w:lvl w:ilvl="2">
      <w:lvlJc w:val="left"/>
      <w:lvlText w:val="%3"/>
      <w:numFmt w:val="lowerLetter"/>
      <w:start w:val="1"/>
    </w:lvl>
  </w:abstractNum>
  <w:abstractNum w:abstractNumId="352">
    <w:nsid w:val="6E0367D7"/>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abstractNum>
  <w:abstractNum w:abstractNumId="353">
    <w:nsid w:val="6C8C05E1"/>
    <w:multiLevelType w:val="hybridMultilevel"/>
    <w:lvl w:ilvl="0">
      <w:lvlJc w:val="left"/>
      <w:lvlText w:val="%1"/>
      <w:numFmt w:val="lowerLetter"/>
      <w:start w:val="1"/>
    </w:lvl>
    <w:lvl w:ilvl="1">
      <w:lvlJc w:val="left"/>
      <w:lvlText w:val="(%2)"/>
      <w:numFmt w:val="lowerRoman"/>
      <w:start w:val="5"/>
    </w:lvl>
  </w:abstractNum>
  <w:abstractNum w:abstractNumId="354">
    <w:nsid w:val="3C339A5B"/>
    <w:multiLevelType w:val="hybridMultilevel"/>
    <w:lvl w:ilvl="0">
      <w:lvlJc w:val="left"/>
      <w:lvlText w:val="(%1)"/>
      <w:numFmt w:val="lowerLetter"/>
      <w:start w:val="3"/>
    </w:lvl>
    <w:lvl w:ilvl="1">
      <w:lvlJc w:val="left"/>
      <w:lvlText w:val="(%2)"/>
      <w:numFmt w:val="lowerRoman"/>
      <w:start w:val="1"/>
    </w:lvl>
  </w:abstractNum>
  <w:abstractNum w:abstractNumId="355">
    <w:nsid w:val="24C258B1"/>
    <w:multiLevelType w:val="hybridMultilevel"/>
    <w:lvl w:ilvl="0">
      <w:lvlJc w:val="left"/>
      <w:lvlText w:val="%1"/>
      <w:numFmt w:val="lowerLetter"/>
      <w:start w:val="1"/>
    </w:lvl>
    <w:lvl w:ilvl="1">
      <w:lvlJc w:val="left"/>
      <w:lvlText w:val="(%2)"/>
      <w:numFmt w:val="lowerLetter"/>
      <w:start w:val="35"/>
    </w:lvl>
  </w:abstractNum>
  <w:abstractNum w:abstractNumId="356">
    <w:nsid w:val="6A8657B0"/>
    <w:multiLevelType w:val="hybridMultilevel"/>
    <w:lvl w:ilvl="0">
      <w:lvlJc w:val="left"/>
      <w:lvlText w:val="(%1)"/>
      <w:numFmt w:val="lowerLetter"/>
      <w:start w:val="4"/>
    </w:lvl>
    <w:lvl w:ilvl="1">
      <w:lvlJc w:val="left"/>
      <w:lvlText w:val="(%2)"/>
      <w:numFmt w:val="lowerLetter"/>
      <w:start w:val="9"/>
    </w:lvl>
  </w:abstractNum>
  <w:abstractNum w:abstractNumId="357">
    <w:nsid w:val="5340FFA9"/>
    <w:multiLevelType w:val="hybridMultilevel"/>
    <w:lvl w:ilvl="0">
      <w:lvlJc w:val="left"/>
      <w:lvlText w:val="%1"/>
      <w:numFmt w:val="lowerLetter"/>
      <w:start w:val="1"/>
    </w:lvl>
    <w:lvl w:ilvl="1">
      <w:lvlJc w:val="left"/>
      <w:lvlText w:val="(%2)"/>
      <w:numFmt w:val="lowerLetter"/>
      <w:start w:val="35"/>
    </w:lvl>
  </w:abstractNum>
  <w:abstractNum w:abstractNumId="358">
    <w:nsid w:val="1336705D"/>
    <w:multiLevelType w:val="hybridMultilevel"/>
    <w:lvl w:ilvl="0">
      <w:lvlJc w:val="left"/>
      <w:lvlText w:val="(%1)"/>
      <w:numFmt w:val="lowerLetter"/>
      <w:start w:val="5"/>
    </w:lvl>
    <w:lvl w:ilvl="1">
      <w:lvlJc w:val="left"/>
      <w:lvlText w:val="(%2)"/>
      <w:numFmt w:val="lowerLetter"/>
      <w:start w:val="9"/>
    </w:lvl>
  </w:abstractNum>
  <w:abstractNum w:abstractNumId="359">
    <w:nsid w:val="6463C363"/>
    <w:multiLevelType w:val="hybridMultilevel"/>
    <w:lvl w:ilvl="0">
      <w:lvlJc w:val="left"/>
      <w:lvlText w:val="(%1)"/>
      <w:numFmt w:val="lowerRoman"/>
      <w:start w:val="2"/>
    </w:lvl>
  </w:abstractNum>
  <w:abstractNum w:abstractNumId="360">
    <w:nsid w:val="347B3FD3"/>
    <w:multiLevelType w:val="hybridMultilevel"/>
    <w:lvl w:ilvl="0">
      <w:lvlJc w:val="left"/>
      <w:lvlText w:val="(%1)"/>
      <w:numFmt w:val="lowerRoman"/>
      <w:start w:val="3"/>
    </w:lvl>
  </w:abstractNum>
  <w:abstractNum w:abstractNumId="361">
    <w:nsid w:val="D5AB751"/>
    <w:multiLevelType w:val="hybridMultilevel"/>
    <w:lvl w:ilvl="0">
      <w:lvlJc w:val="left"/>
      <w:lvlText w:val="%1"/>
      <w:numFmt w:val="lowerLetter"/>
      <w:start w:val="1"/>
    </w:lvl>
    <w:lvl w:ilvl="1">
      <w:lvlJc w:val="left"/>
      <w:lvlText w:val="(%2)"/>
      <w:numFmt w:val="lowerRoman"/>
      <w:start w:val="9"/>
    </w:lvl>
  </w:abstractNum>
  <w:abstractNum w:abstractNumId="362">
    <w:nsid w:val="F1EC427"/>
    <w:multiLevelType w:val="hybridMultilevel"/>
    <w:lvl w:ilvl="0">
      <w:lvlJc w:val="left"/>
      <w:lvlText w:val="(%1)"/>
      <w:numFmt w:val="lowerLetter"/>
      <w:start w:val="6"/>
    </w:lvl>
    <w:lvl w:ilvl="1">
      <w:lvlJc w:val="left"/>
      <w:lvlText w:val="(%2)"/>
      <w:numFmt w:val="lowerRoman"/>
      <w:start w:val="1"/>
    </w:lvl>
  </w:abstractNum>
  <w:abstractNum w:abstractNumId="363">
    <w:nsid w:val="6C89B896"/>
    <w:multiLevelType w:val="hybridMultilevel"/>
    <w:lvl w:ilvl="0">
      <w:lvlJc w:val="left"/>
      <w:lvlText w:val="(%1)"/>
      <w:numFmt w:val="lowerRoman"/>
      <w:start w:val="4"/>
    </w:lvl>
  </w:abstractNum>
  <w:abstractNum w:abstractNumId="364">
    <w:nsid w:val="7E1219C8"/>
    <w:multiLevelType w:val="hybridMultilevel"/>
    <w:lvl w:ilvl="0">
      <w:lvlJc w:val="left"/>
      <w:lvlText w:val="(%1)"/>
      <w:numFmt w:val="lowerLetter"/>
      <w:start w:val="1"/>
    </w:lvl>
  </w:abstractNum>
  <w:abstractNum w:abstractNumId="365">
    <w:nsid w:val="25F1C1C1"/>
    <w:multiLevelType w:val="hybridMultilevel"/>
    <w:lvl w:ilvl="0">
      <w:lvlJc w:val="left"/>
      <w:lvlText w:val="(%1)"/>
      <w:numFmt w:val="lowerLetter"/>
      <w:start w:val="1"/>
    </w:lvl>
    <w:lvl w:ilvl="1">
      <w:lvlJc w:val="left"/>
      <w:lvlText w:val="(%2)"/>
      <w:numFmt w:val="lowerRoman"/>
      <w:start w:val="1"/>
    </w:lvl>
  </w:abstractNum>
  <w:abstractNum w:abstractNumId="366">
    <w:nsid w:val="743CE6FA"/>
    <w:multiLevelType w:val="hybridMultilevel"/>
    <w:lvl w:ilvl="0">
      <w:lvlJc w:val="left"/>
      <w:lvlText w:val="(%1)"/>
      <w:numFmt w:val="lowerLetter"/>
      <w:start w:val="4"/>
    </w:lvl>
  </w:abstractNum>
  <w:abstractNum w:abstractNumId="367">
    <w:nsid w:val="20530E7B"/>
    <w:multiLevelType w:val="hybridMultilevel"/>
    <w:lvl w:ilvl="0">
      <w:lvlJc w:val="left"/>
      <w:lvlText w:val="(%1)"/>
      <w:numFmt w:val="lowerLetter"/>
      <w:start w:val="7"/>
    </w:lvl>
  </w:abstractNum>
  <w:abstractNum w:abstractNumId="368">
    <w:nsid w:val="144C9480"/>
    <w:multiLevelType w:val="hybridMultilevel"/>
    <w:lvl w:ilvl="0">
      <w:lvlJc w:val="left"/>
      <w:lvlText w:val="(%1)"/>
      <w:numFmt w:val="lowerLetter"/>
      <w:start w:val="1"/>
    </w:lvl>
  </w:abstractNum>
  <w:abstractNum w:abstractNumId="369">
    <w:nsid w:val="1514A0AF"/>
    <w:multiLevelType w:val="hybridMultilevel"/>
    <w:lvl w:ilvl="0">
      <w:lvlJc w:val="left"/>
      <w:lvlText w:val="(%1)"/>
      <w:numFmt w:val="lowerLetter"/>
      <w:start w:val="1"/>
    </w:lvl>
  </w:abstractNum>
  <w:abstractNum w:abstractNumId="370">
    <w:nsid w:val="55C3594C"/>
    <w:multiLevelType w:val="hybridMultilevel"/>
    <w:lvl w:ilvl="0">
      <w:lvlJc w:val="left"/>
      <w:lvlText w:val="(%1)"/>
      <w:numFmt w:val="lowerLetter"/>
      <w:start w:val="2"/>
    </w:lvl>
    <w:lvl w:ilvl="1">
      <w:lvlJc w:val="left"/>
      <w:lvlText w:val="(%2)"/>
      <w:numFmt w:val="lowerRoman"/>
      <w:start w:val="1"/>
    </w:lvl>
  </w:abstractNum>
  <w:abstractNum w:abstractNumId="371">
    <w:nsid w:val="69DCF55B"/>
    <w:multiLevelType w:val="hybridMultilevel"/>
    <w:lvl w:ilvl="0">
      <w:lvlJc w:val="left"/>
      <w:lvlText w:val="(%1)"/>
      <w:numFmt w:val="lowerLetter"/>
      <w:start w:val="3"/>
    </w:lvl>
  </w:abstractNum>
  <w:abstractNum w:abstractNumId="372">
    <w:nsid w:val="CFC2ACF"/>
    <w:multiLevelType w:val="hybridMultilevel"/>
    <w:lvl w:ilvl="0">
      <w:lvlJc w:val="left"/>
      <w:lvlText w:val="(%1)"/>
      <w:numFmt w:val="lowerLetter"/>
      <w:start w:val="5"/>
    </w:lvl>
  </w:abstractNum>
  <w:abstractNum w:abstractNumId="373">
    <w:nsid w:val="28BA7A13"/>
    <w:multiLevelType w:val="hybridMultilevel"/>
    <w:lvl w:ilvl="0">
      <w:lvlJc w:val="left"/>
      <w:lvlText w:val="(%1)"/>
      <w:numFmt w:val="lowerLetter"/>
      <w:start w:val="6"/>
    </w:lvl>
    <w:lvl w:ilvl="1">
      <w:lvlJc w:val="left"/>
      <w:lvlText w:val="(%2)"/>
      <w:numFmt w:val="lowerRoman"/>
      <w:start w:val="1"/>
    </w:lvl>
  </w:abstractNum>
  <w:abstractNum w:abstractNumId="374">
    <w:nsid w:val="28881591"/>
    <w:multiLevelType w:val="hybridMultilevel"/>
    <w:lvl w:ilvl="0">
      <w:lvlJc w:val="left"/>
      <w:lvlText w:val="(%1)"/>
      <w:numFmt w:val="lowerRoman"/>
      <w:start w:val="7"/>
    </w:lvl>
  </w:abstractNum>
  <w:abstractNum w:abstractNumId="375">
    <w:nsid w:val="772B796C"/>
    <w:multiLevelType w:val="hybridMultilevel"/>
    <w:lvl w:ilvl="0">
      <w:lvlJc w:val="left"/>
      <w:lvlText w:val="(%1)"/>
      <w:numFmt w:val="lowerLetter"/>
      <w:start w:val="7"/>
    </w:lvl>
  </w:abstractNum>
  <w:abstractNum w:abstractNumId="376">
    <w:nsid w:val="1E022BE9"/>
    <w:multiLevelType w:val="hybridMultilevel"/>
    <w:lvl w:ilvl="0">
      <w:lvlJc w:val="left"/>
      <w:lvlText w:val="(%1)"/>
      <w:numFmt w:val="lowerRoman"/>
      <w:start w:val="1"/>
    </w:lvl>
    <w:lvl w:ilvl="1">
      <w:lvlJc w:val="left"/>
      <w:lvlText w:val="(%2)"/>
      <w:numFmt w:val="lowerRoman"/>
      <w:start w:val="1"/>
    </w:lvl>
  </w:abstractNum>
  <w:abstractNum w:abstractNumId="377">
    <w:nsid w:val="72C4649F"/>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378">
    <w:nsid w:val="7CD9432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79">
    <w:nsid w:val="13B3BDBC"/>
    <w:multiLevelType w:val="hybridMultilevel"/>
    <w:lvl w:ilvl="0">
      <w:lvlJc w:val="left"/>
      <w:lvlText w:val="%1"/>
      <w:numFmt w:val="lowerLetter"/>
      <w:start w:val="1"/>
    </w:lvl>
    <w:lvl w:ilvl="1">
      <w:lvlJc w:val="left"/>
      <w:lvlText w:val="(%2)"/>
      <w:numFmt w:val="lowerRoman"/>
      <w:start w:val="10"/>
    </w:lvl>
  </w:abstractNum>
  <w:abstractNum w:abstractNumId="380">
    <w:nsid w:val="4C488152"/>
    <w:multiLevelType w:val="hybridMultilevel"/>
    <w:lvl w:ilvl="0">
      <w:lvlJc w:val="left"/>
      <w:lvlText w:val="(%1)"/>
      <w:numFmt w:val="lowerLetter"/>
      <w:start w:val="11"/>
    </w:lvl>
    <w:lvl w:ilvl="1">
      <w:lvlJc w:val="left"/>
      <w:lvlText w:val="(%2)"/>
      <w:numFmt w:val="lowerRoman"/>
      <w:start w:val="1"/>
    </w:lvl>
  </w:abstractNum>
  <w:abstractNum w:abstractNumId="381">
    <w:nsid w:val="153B9D13"/>
    <w:multiLevelType w:val="hybridMultilevel"/>
    <w:lvl w:ilvl="0">
      <w:lvlJc w:val="left"/>
      <w:lvlText w:val="(%1)"/>
      <w:numFmt w:val="lowerLetter"/>
      <w:start w:val="13"/>
    </w:lvl>
  </w:abstractNum>
  <w:abstractNum w:abstractNumId="382">
    <w:nsid w:val="7D07B61B"/>
    <w:multiLevelType w:val="hybridMultilevel"/>
    <w:lvl w:ilvl="0">
      <w:lvlJc w:val="left"/>
      <w:lvlText w:val="(%1)"/>
      <w:numFmt w:val="lowerLetter"/>
      <w:start w:val="17"/>
    </w:lvl>
  </w:abstractNum>
  <w:abstractNum w:abstractNumId="383">
    <w:nsid w:val="3A4BE92A"/>
    <w:multiLevelType w:val="hybridMultilevel"/>
    <w:lvl w:ilvl="0">
      <w:lvlJc w:val="left"/>
      <w:lvlText w:val="(%1)"/>
      <w:numFmt w:val="lowerLetter"/>
      <w:start w:val="1"/>
    </w:lvl>
    <w:lvl w:ilvl="1">
      <w:lvlJc w:val="left"/>
      <w:lvlText w:val="(%2)"/>
      <w:numFmt w:val="lowerRoman"/>
      <w:start w:val="1"/>
    </w:lvl>
  </w:abstractNum>
  <w:abstractNum w:abstractNumId="384">
    <w:nsid w:val="1C7A2F4"/>
    <w:multiLevelType w:val="hybridMultilevel"/>
    <w:lvl w:ilvl="0">
      <w:lvlJc w:val="left"/>
      <w:lvlText w:val="%1"/>
      <w:numFmt w:val="lowerLetter"/>
      <w:start w:val="1"/>
    </w:lvl>
    <w:lvl w:ilvl="1">
      <w:lvlJc w:val="left"/>
      <w:lvlText w:val="(%2)"/>
      <w:numFmt w:val="lowerLetter"/>
      <w:start w:val="61"/>
    </w:lvl>
  </w:abstractNum>
  <w:abstractNum w:abstractNumId="385">
    <w:nsid w:val="393B5076"/>
    <w:multiLevelType w:val="hybridMultilevel"/>
    <w:lvl w:ilvl="0">
      <w:lvlJc w:val="left"/>
      <w:lvlText w:val="(%1)"/>
      <w:numFmt w:val="lowerLetter"/>
      <w:start w:val="3"/>
    </w:lvl>
    <w:lvl w:ilvl="1">
      <w:lvlJc w:val="left"/>
      <w:lvlText w:val="(%2)"/>
      <w:numFmt w:val="lowerLetter"/>
      <w:start w:val="9"/>
    </w:lvl>
  </w:abstractNum>
  <w:abstractNum w:abstractNumId="386">
    <w:nsid w:val="5F0E41DB"/>
    <w:multiLevelType w:val="hybridMultilevel"/>
    <w:lvl w:ilvl="0">
      <w:lvlJc w:val="left"/>
      <w:lvlText w:val="(%1)"/>
      <w:numFmt w:val="lowerRoman"/>
      <w:start w:val="2"/>
    </w:lvl>
  </w:abstractNum>
  <w:abstractNum w:abstractNumId="387">
    <w:nsid w:val="6C4DFAA4"/>
    <w:multiLevelType w:val="hybridMultilevel"/>
    <w:lvl w:ilvl="0">
      <w:lvlJc w:val="left"/>
      <w:lvlText w:val="(%1)"/>
      <w:numFmt w:val="lowerRoman"/>
      <w:start w:val="3"/>
    </w:lvl>
    <w:lvl w:ilvl="1">
      <w:lvlJc w:val="left"/>
      <w:lvlText w:val="(%2)"/>
      <w:numFmt w:val="upperLetter"/>
      <w:start w:val="1"/>
    </w:lvl>
  </w:abstractNum>
  <w:abstractNum w:abstractNumId="388">
    <w:nsid w:val="C7C501F"/>
    <w:multiLevelType w:val="hybridMultilevel"/>
    <w:lvl w:ilvl="0">
      <w:lvlJc w:val="left"/>
      <w:lvlText w:val="(%1)"/>
      <w:numFmt w:val="lowerLetter"/>
      <w:start w:val="5"/>
    </w:lvl>
  </w:abstractNum>
  <w:abstractNum w:abstractNumId="389">
    <w:nsid w:val="7244B239"/>
    <w:multiLevelType w:val="hybridMultilevel"/>
    <w:lvl w:ilvl="0">
      <w:lvlJc w:val="left"/>
      <w:lvlText w:val="(%1)"/>
      <w:numFmt w:val="lowerLetter"/>
      <w:start w:val="1"/>
    </w:lvl>
  </w:abstractNum>
  <w:abstractNum w:abstractNumId="390">
    <w:nsid w:val="50B1BE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91">
    <w:nsid w:val="40F78FF3"/>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3"/>
    </w:lvl>
  </w:abstractNum>
  <w:abstractNum w:abstractNumId="392">
    <w:nsid w:val="7F9F698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93">
    <w:nsid w:val="5FD0822F"/>
    <w:multiLevelType w:val="hybridMultilevel"/>
    <w:lvl w:ilvl="0">
      <w:lvlJc w:val="left"/>
      <w:lvlText w:val="(%1)"/>
      <w:numFmt w:val="lowerLetter"/>
      <w:start w:val="1"/>
    </w:lvl>
  </w:abstractNum>
  <w:abstractNum w:abstractNumId="394">
    <w:nsid w:val="2D814889"/>
    <w:multiLevelType w:val="hybridMultilevel"/>
    <w:lvl w:ilvl="0">
      <w:lvlJc w:val="left"/>
      <w:lvlText w:val="%1."/>
      <w:numFmt w:val="decimal"/>
      <w:start w:val="4"/>
    </w:lvl>
  </w:abstractNum>
  <w:abstractNum w:abstractNumId="395">
    <w:nsid w:val="7DB18352"/>
    <w:multiLevelType w:val="hybridMultilevel"/>
    <w:lvl w:ilvl="0">
      <w:lvlJc w:val="left"/>
      <w:lvlText w:val="(%1)"/>
      <w:numFmt w:val="lowerLetter"/>
      <w:start w:val="1"/>
    </w:lvl>
  </w:abstractNum>
  <w:abstractNum w:abstractNumId="396">
    <w:nsid w:val="5C243F1"/>
    <w:multiLevelType w:val="hybridMultilevel"/>
    <w:lvl w:ilvl="0">
      <w:lvlJc w:val="left"/>
      <w:lvlText w:val="(%1)"/>
      <w:numFmt w:val="lowerLetter"/>
      <w:start w:val="2"/>
    </w:lvl>
  </w:abstractNum>
  <w:abstractNum w:abstractNumId="397">
    <w:nsid w:val="21BE2F84"/>
    <w:multiLevelType w:val="hybridMultilevel"/>
    <w:lvl w:ilvl="0">
      <w:lvlJc w:val="left"/>
      <w:lvlText w:val="(%1)"/>
      <w:numFmt w:val="lowerLetter"/>
      <w:start w:val="1"/>
    </w:lvl>
  </w:abstractNum>
  <w:abstractNum w:abstractNumId="398">
    <w:nsid w:val="1E0491CD"/>
    <w:multiLevelType w:val="hybridMultilevel"/>
    <w:lvl w:ilvl="0">
      <w:lvlJc w:val="left"/>
      <w:lvlText w:val="(%1)"/>
      <w:numFmt w:val="lowerLetter"/>
      <w:start w:val="1"/>
    </w:lvl>
  </w:abstractNum>
  <w:abstractNum w:abstractNumId="399">
    <w:nsid w:val="1A0ED871"/>
    <w:multiLevelType w:val="hybridMultilevel"/>
    <w:lvl w:ilvl="0">
      <w:lvlJc w:val="left"/>
      <w:lvlText w:val="(%1)"/>
      <w:numFmt w:val="lowerLetter"/>
      <w:start w:val="1"/>
    </w:lvl>
  </w:abstractNum>
  <w:abstractNum w:abstractNumId="400">
    <w:nsid w:val="36D2D033"/>
    <w:multiLevelType w:val="hybridMultilevel"/>
    <w:lvl w:ilvl="0">
      <w:lvlJc w:val="left"/>
      <w:lvlText w:val="(%1)"/>
      <w:numFmt w:val="lowerLetter"/>
      <w:start w:val="2"/>
    </w:lvl>
  </w:abstractNum>
  <w:abstractNum w:abstractNumId="401">
    <w:nsid w:val="73C7EB1A"/>
    <w:multiLevelType w:val="hybridMultilevel"/>
    <w:lvl w:ilvl="0">
      <w:lvlJc w:val="left"/>
      <w:lvlText w:val="(%1)"/>
      <w:numFmt w:val="lowerLetter"/>
      <w:start w:val="1"/>
    </w:lvl>
  </w:abstractNum>
  <w:abstractNum w:abstractNumId="402">
    <w:nsid w:val="3EBCDCC"/>
    <w:multiLevelType w:val="hybridMultilevel"/>
    <w:lvl w:ilvl="0">
      <w:lvlJc w:val="left"/>
      <w:lvlText w:val="(%1)"/>
      <w:numFmt w:val="lowerLetter"/>
      <w:start w:val="4"/>
    </w:lvl>
  </w:abstractNum>
  <w:abstractNum w:abstractNumId="403">
    <w:nsid w:val="43CEFB03"/>
    <w:multiLevelType w:val="hybridMultilevel"/>
    <w:lvl w:ilvl="0">
      <w:lvlJc w:val="left"/>
      <w:lvlText w:val="(%1)"/>
      <w:numFmt w:val="lowerLetter"/>
      <w:start w:val="1"/>
    </w:lvl>
  </w:abstractNum>
  <w:abstractNum w:abstractNumId="404">
    <w:nsid w:val="1C82652D"/>
    <w:multiLevelType w:val="hybridMultilevel"/>
    <w:lvl w:ilvl="0">
      <w:lvlJc w:val="left"/>
      <w:lvlText w:val="(%1)"/>
      <w:numFmt w:val="lowerLetter"/>
      <w:start w:val="1"/>
    </w:lvl>
    <w:lvl w:ilvl="1">
      <w:lvlJc w:val="left"/>
      <w:lvlText w:val="(%2)"/>
      <w:numFmt w:val="lowerRoman"/>
      <w:start w:val="1"/>
    </w:lvl>
  </w:abstractNum>
  <w:abstractNum w:abstractNumId="405">
    <w:nsid w:val="2C73E35D"/>
    <w:multiLevelType w:val="hybridMultilevel"/>
    <w:lvl w:ilvl="0">
      <w:lvlJc w:val="left"/>
      <w:lvlText w:val="(%1)"/>
      <w:numFmt w:val="lowerRoman"/>
      <w:start w:val="3"/>
    </w:lvl>
  </w:abstractNum>
  <w:abstractNum w:abstractNumId="406">
    <w:nsid w:val="3AFA746F"/>
    <w:multiLevelType w:val="hybridMultilevel"/>
    <w:lvl w:ilvl="0">
      <w:lvlJc w:val="left"/>
      <w:lvlText w:val="(%1)"/>
      <w:numFmt w:val="lowerLetter"/>
      <w:start w:val="2"/>
    </w:lvl>
  </w:abstractNum>
  <w:abstractNum w:abstractNumId="407">
    <w:nsid w:val="3A849116"/>
    <w:multiLevelType w:val="hybridMultilevel"/>
    <w:lvl w:ilvl="0">
      <w:lvlJc w:val="left"/>
      <w:lvlText w:val="%1."/>
      <w:numFmt w:val="decimal"/>
      <w:start w:val="5"/>
    </w:lvl>
  </w:abstractNum>
  <w:abstractNum w:abstractNumId="408">
    <w:nsid w:val="1F3847FC"/>
    <w:multiLevelType w:val="hybridMultilevel"/>
    <w:lvl w:ilvl="0">
      <w:lvlJc w:val="left"/>
      <w:lvlText w:val="(%1)"/>
      <w:numFmt w:val="lowerLetter"/>
      <w:start w:val="1"/>
    </w:lvl>
  </w:abstractNum>
  <w:abstractNum w:abstractNumId="409">
    <w:nsid w:val="37D3B790"/>
    <w:multiLevelType w:val="hybridMultilevel"/>
    <w:lvl w:ilvl="0">
      <w:lvlJc w:val="left"/>
      <w:lvlText w:val="%1"/>
      <w:numFmt w:val="decimal"/>
      <w:start w:val="1"/>
    </w:lvl>
    <w:lvl w:ilvl="1">
      <w:lvlJc w:val="left"/>
      <w:lvlText w:val="(%2)"/>
      <w:numFmt w:val="lowerLetter"/>
      <w:start w:val="1"/>
    </w:lvl>
  </w:abstractNum>
  <w:abstractNum w:abstractNumId="410">
    <w:nsid w:val="4E384ED3"/>
    <w:multiLevelType w:val="hybridMultilevel"/>
    <w:lvl w:ilvl="0">
      <w:lvlJc w:val="left"/>
      <w:lvlText w:val="(%1)"/>
      <w:numFmt w:val="decimal"/>
      <w:start w:val="12"/>
    </w:lvl>
    <w:lvl w:ilvl="1">
      <w:lvlJc w:val="left"/>
      <w:lvlText w:val="(%2)"/>
      <w:numFmt w:val="lowerLetter"/>
      <w:start w:val="2"/>
    </w:lvl>
  </w:abstractNum>
  <w:abstractNum w:abstractNumId="411">
    <w:nsid w:val="6B80C94F"/>
    <w:multiLevelType w:val="hybridMultilevel"/>
    <w:lvl w:ilvl="0">
      <w:lvlJc w:val="left"/>
      <w:lvlText w:val="(%1)"/>
      <w:numFmt w:val="lowerLetter"/>
      <w:start w:val="1"/>
    </w:lvl>
  </w:abstractNum>
  <w:abstractNum w:abstractNumId="412">
    <w:nsid w:val="4D0F54A3"/>
    <w:multiLevelType w:val="hybridMultilevel"/>
    <w:lvl w:ilvl="0">
      <w:lvlJc w:val="left"/>
      <w:lvlText w:val="(%1)"/>
      <w:numFmt w:val="lowerLetter"/>
      <w:start w:val="3"/>
    </w:lvl>
  </w:abstractNum>
  <w:abstractNum w:abstractNumId="413">
    <w:nsid w:val="4B4004EE"/>
    <w:multiLevelType w:val="hybridMultilevel"/>
    <w:lvl w:ilvl="0">
      <w:lvlJc w:val="left"/>
      <w:lvlText w:val="(%1)"/>
      <w:numFmt w:val="lowerLetter"/>
      <w:start w:val="6"/>
    </w:lvl>
  </w:abstractNum>
  <w:abstractNum w:abstractNumId="414">
    <w:nsid w:val="25CCB279"/>
    <w:multiLevelType w:val="hybridMultilevel"/>
    <w:lvl w:ilvl="0">
      <w:lvlJc w:val="left"/>
      <w:lvlText w:val="(%1)"/>
      <w:numFmt w:val="lowerLetter"/>
      <w:start w:val="4"/>
    </w:lvl>
  </w:abstractNum>
  <w:abstractNum w:abstractNumId="415">
    <w:nsid w:val="4ED6F798"/>
    <w:multiLevelType w:val="hybridMultilevel"/>
    <w:lvl w:ilvl="0">
      <w:lvlJc w:val="left"/>
      <w:lvlText w:val="(%1)"/>
      <w:numFmt w:val="lowerLetter"/>
      <w:start w:val="1"/>
    </w:lvl>
  </w:abstractNum>
  <w:abstractNum w:abstractNumId="416">
    <w:nsid w:val="47B5565"/>
    <w:multiLevelType w:val="hybridMultilevel"/>
    <w:lvl w:ilvl="0">
      <w:lvlJc w:val="left"/>
      <w:lvlText w:val="%1"/>
      <w:numFmt w:val="lowerLetter"/>
      <w:start w:val="1"/>
    </w:lvl>
    <w:lvl w:ilvl="1">
      <w:lvlJc w:val="left"/>
      <w:lvlText w:val="(%2)"/>
      <w:numFmt w:val="lowerLetter"/>
      <w:start w:val="4"/>
    </w:lvl>
  </w:abstractNum>
  <w:abstractNum w:abstractNumId="417">
    <w:nsid w:val="4DAF454"/>
    <w:multiLevelType w:val="hybridMultilevel"/>
    <w:lvl w:ilvl="0">
      <w:lvlJc w:val="left"/>
      <w:lvlText w:val="(%1)"/>
      <w:numFmt w:val="lowerLetter"/>
      <w:start w:val="9"/>
    </w:lvl>
    <w:lvl w:ilvl="1">
      <w:lvlJc w:val="left"/>
      <w:lvlText w:val="(%2)"/>
      <w:numFmt w:val="lowerLetter"/>
      <w:start w:val="5"/>
    </w:lvl>
  </w:abstractNum>
  <w:abstractNum w:abstractNumId="418">
    <w:nsid w:val="3B24F23C"/>
    <w:multiLevelType w:val="hybridMultilevel"/>
    <w:lvl w:ilvl="0">
      <w:lvlJc w:val="left"/>
      <w:lvlText w:val="(%1)"/>
      <w:numFmt w:val="lowerLetter"/>
      <w:start w:val="2"/>
    </w:lvl>
  </w:abstractNum>
  <w:abstractNum w:abstractNumId="419">
    <w:nsid w:val="10F7A584"/>
    <w:multiLevelType w:val="hybridMultilevel"/>
    <w:lvl w:ilvl="0">
      <w:lvlJc w:val="left"/>
      <w:lvlText w:val="(%1)"/>
      <w:numFmt w:val="lowerLetter"/>
      <w:start w:val="4"/>
    </w:lvl>
  </w:abstractNum>
  <w:abstractNum w:abstractNumId="420">
    <w:nsid w:val="771FA68D"/>
    <w:multiLevelType w:val="hybridMultilevel"/>
    <w:lvl w:ilvl="0">
      <w:lvlJc w:val="left"/>
      <w:lvlText w:val="%1"/>
      <w:numFmt w:val="lowerLetter"/>
      <w:start w:val="1"/>
    </w:lvl>
    <w:lvl w:ilvl="1">
      <w:lvlJc w:val="left"/>
      <w:lvlText w:val="(%2)"/>
      <w:numFmt w:val="lowerLetter"/>
      <w:start w:val="1"/>
    </w:lvl>
  </w:abstractNum>
  <w:abstractNum w:abstractNumId="421">
    <w:nsid w:val="BD6B044"/>
    <w:multiLevelType w:val="hybridMultilevel"/>
    <w:lvl w:ilvl="0">
      <w:lvlJc w:val="left"/>
      <w:lvlText w:val="(%1)"/>
      <w:numFmt w:val="lowerLetter"/>
      <w:start w:val="26"/>
    </w:lvl>
    <w:lvl w:ilvl="1">
      <w:lvlJc w:val="left"/>
      <w:lvlText w:val="%2"/>
      <w:numFmt w:val="lowerLetter"/>
      <w:start w:val="1"/>
    </w:lvl>
  </w:abstractNum>
  <w:abstractNum w:abstractNumId="422">
    <w:nsid w:val="51EF3577"/>
    <w:multiLevelType w:val="hybridMultilevel"/>
    <w:lvl w:ilvl="0">
      <w:lvlJc w:val="left"/>
      <w:lvlText w:val="(%1)"/>
      <w:numFmt w:val="lowerLetter"/>
      <w:start w:val="2"/>
    </w:lvl>
  </w:abstractNum>
  <w:abstractNum w:abstractNumId="423">
    <w:nsid w:val="76BF1017"/>
    <w:multiLevelType w:val="hybridMultilevel"/>
    <w:lvl w:ilvl="0">
      <w:lvlJc w:val="left"/>
      <w:lvlText w:val="(%1)"/>
      <w:numFmt w:val="lowerLetter"/>
      <w:start w:val="4"/>
    </w:lvl>
  </w:abstractNum>
  <w:abstractNum w:abstractNumId="424">
    <w:nsid w:val="6BA73274"/>
    <w:multiLevelType w:val="hybridMultilevel"/>
    <w:lvl w:ilvl="0">
      <w:lvlJc w:val="left"/>
      <w:lvlText w:val="(%1)"/>
      <w:numFmt w:val="lowerLetter"/>
      <w:start w:val="1"/>
    </w:lvl>
    <w:lvl w:ilvl="1">
      <w:lvlJc w:val="left"/>
      <w:lvlText w:val="(%2)"/>
      <w:numFmt w:val="lowerRoman"/>
      <w:start w:val="1"/>
    </w:lvl>
  </w:abstractNum>
  <w:abstractNum w:abstractNumId="425">
    <w:nsid w:val="7F707E01"/>
    <w:multiLevelType w:val="hybridMultilevel"/>
    <w:lvl w:ilvl="0">
      <w:lvlJc w:val="left"/>
      <w:lvlText w:val="(%1)"/>
      <w:numFmt w:val="lowerRoman"/>
      <w:start w:val="3"/>
    </w:lvl>
  </w:abstractNum>
  <w:abstractNum w:abstractNumId="426">
    <w:nsid w:val="7470936A"/>
    <w:multiLevelType w:val="hybridMultilevel"/>
    <w:lvl w:ilvl="0">
      <w:lvlJc w:val="left"/>
      <w:lvlText w:val="(%1)"/>
      <w:numFmt w:val="lowerLetter"/>
      <w:start w:val="2"/>
    </w:lvl>
  </w:abstractNum>
  <w:abstractNum w:abstractNumId="427">
    <w:nsid w:val="71697665"/>
    <w:multiLevelType w:val="hybridMultilevel"/>
    <w:lvl w:ilvl="0">
      <w:lvlJc w:val="left"/>
      <w:lvlText w:val="%1."/>
      <w:numFmt w:val="decimal"/>
      <w:start w:val="6"/>
    </w:lvl>
  </w:abstractNum>
  <w:abstractNum w:abstractNumId="428">
    <w:nsid w:val="212EAD85"/>
    <w:multiLevelType w:val="hybridMultilevel"/>
    <w:lvl w:ilvl="0">
      <w:lvlJc w:val="left"/>
      <w:lvlText w:val="%1"/>
      <w:numFmt w:val="upperLetter"/>
      <w:start w:val="1"/>
    </w:lvl>
    <w:lvl w:ilvl="1">
      <w:lvlJc w:val="left"/>
      <w:lvlText w:val="(%2)"/>
      <w:numFmt w:val="lowerLetter"/>
      <w:start w:val="1"/>
    </w:lvl>
  </w:abstractNum>
  <w:abstractNum w:abstractNumId="429">
    <w:nsid w:val="12752537"/>
    <w:multiLevelType w:val="hybridMultilevel"/>
    <w:lvl w:ilvl="0">
      <w:lvlJc w:val="left"/>
      <w:lvlText w:val="(%1)"/>
      <w:numFmt w:val="upperLetter"/>
      <w:start w:val="1"/>
    </w:lvl>
    <w:lvl w:ilvl="1">
      <w:lvlJc w:val="left"/>
      <w:lvlText w:val="%2"/>
      <w:numFmt w:val="lowerLetter"/>
      <w:start w:val="1"/>
    </w:lvl>
  </w:abstractNum>
  <w:abstractNum w:abstractNumId="430">
    <w:nsid w:val="B784ED6"/>
    <w:multiLevelType w:val="hybridMultilevel"/>
    <w:lvl w:ilvl="0">
      <w:lvlJc w:val="left"/>
      <w:lvlText w:val="(%1)"/>
      <w:numFmt w:val="lowerLetter"/>
      <w:start w:val="5"/>
    </w:lvl>
  </w:abstractNum>
  <w:abstractNum w:abstractNumId="431">
    <w:nsid w:val="58017DB8"/>
    <w:multiLevelType w:val="hybridMultilevel"/>
    <w:lvl w:ilvl="0">
      <w:lvlJc w:val="left"/>
      <w:lvlText w:val="(%1)"/>
      <w:numFmt w:val="lowerLetter"/>
      <w:start w:val="9"/>
    </w:lvl>
  </w:abstractNum>
  <w:abstractNum w:abstractNumId="432">
    <w:nsid w:val="63D1051"/>
    <w:multiLevelType w:val="hybridMultilevel"/>
    <w:lvl w:ilvl="0">
      <w:lvlJc w:val="left"/>
      <w:lvlText w:val="(%1)"/>
      <w:numFmt w:val="lowerLetter"/>
      <w:start w:val="14"/>
    </w:lvl>
  </w:abstractNum>
  <w:abstractNum w:abstractNumId="433">
    <w:nsid w:val="F641CA2"/>
    <w:multiLevelType w:val="hybridMultilevel"/>
    <w:lvl w:ilvl="0">
      <w:lvlJc w:val="left"/>
      <w:lvlText w:val="%1"/>
      <w:numFmt w:val="lowerLetter"/>
      <w:start w:val="1"/>
    </w:lvl>
    <w:lvl w:ilvl="1">
      <w:lvlJc w:val="left"/>
      <w:lvlText w:val="(%2)"/>
      <w:numFmt w:val="lowerLetter"/>
      <w:start w:val="1"/>
    </w:lvl>
  </w:abstractNum>
  <w:abstractNum w:abstractNumId="434">
    <w:nsid w:val="1BD078BB"/>
    <w:multiLevelType w:val="hybridMultilevel"/>
    <w:lvl w:ilvl="0">
      <w:lvlJc w:val="left"/>
      <w:lvlText w:val="(%1)"/>
      <w:numFmt w:val="lowerLetter"/>
      <w:start w:val="61"/>
    </w:lvl>
    <w:lvl w:ilvl="1">
      <w:lvlJc w:val="left"/>
      <w:lvlText w:val="%2"/>
      <w:numFmt w:val="lowerLetter"/>
      <w:start w:val="1"/>
    </w:lvl>
  </w:abstractNum>
  <w:abstractNum w:abstractNumId="435">
    <w:nsid w:val="22BF757E"/>
    <w:multiLevelType w:val="hybridMultilevel"/>
    <w:lvl w:ilvl="0">
      <w:lvlJc w:val="left"/>
      <w:lvlText w:val="(%1)"/>
      <w:numFmt w:val="lowerLetter"/>
      <w:start w:val="3"/>
    </w:lvl>
  </w:abstractNum>
  <w:abstractNum w:abstractNumId="436">
    <w:nsid w:val="3BD80000"/>
    <w:multiLevelType w:val="hybridMultilevel"/>
    <w:lvl w:ilvl="0">
      <w:lvlJc w:val="left"/>
      <w:lvlText w:val="%1"/>
      <w:numFmt w:val="lowerLetter"/>
      <w:start w:val="1"/>
    </w:lvl>
    <w:lvl w:ilvl="1">
      <w:lvlJc w:val="left"/>
      <w:lvlText w:val="(%2)"/>
      <w:numFmt w:val="lowerLetter"/>
      <w:start w:val="1"/>
    </w:lvl>
  </w:abstractNum>
  <w:abstractNum w:abstractNumId="437">
    <w:nsid w:val="56CAED2B"/>
    <w:multiLevelType w:val="hybridMultilevel"/>
    <w:lvl w:ilvl="0">
      <w:lvlJc w:val="left"/>
      <w:lvlText w:val="(%1)"/>
      <w:numFmt w:val="lowerLetter"/>
      <w:start w:val="35"/>
    </w:lvl>
    <w:lvl w:ilvl="1">
      <w:lvlJc w:val="left"/>
      <w:lvlText w:val="(%2)"/>
      <w:numFmt w:val="lowerLetter"/>
      <w:start w:val="5"/>
    </w:lvl>
  </w:abstractNum>
  <w:abstractNum w:abstractNumId="438">
    <w:nsid w:val="5D440695"/>
    <w:multiLevelType w:val="hybridMultilevel"/>
    <w:lvl w:ilvl="0">
      <w:lvlJc w:val="left"/>
      <w:lvlText w:val="(%1)"/>
      <w:numFmt w:val="lowerLetter"/>
      <w:start w:val="6"/>
    </w:lvl>
  </w:abstractNum>
  <w:abstractNum w:abstractNumId="439">
    <w:nsid w:val="5B1047FC"/>
    <w:multiLevelType w:val="hybridMultilevel"/>
    <w:lvl w:ilvl="0">
      <w:lvlJc w:val="left"/>
      <w:lvlText w:val="(%1)"/>
      <w:numFmt w:val="lowerLetter"/>
      <w:start w:val="1"/>
    </w:lvl>
  </w:abstractNum>
  <w:abstractNum w:abstractNumId="440">
    <w:nsid w:val="E9EA4BB"/>
    <w:multiLevelType w:val="hybridMultilevel"/>
    <w:lvl w:ilvl="0">
      <w:lvlJc w:val="left"/>
      <w:lvlText w:val="(%1)"/>
      <w:numFmt w:val="lowerLetter"/>
      <w:start w:val="8"/>
    </w:lvl>
  </w:abstractNum>
  <w:abstractNum w:abstractNumId="441">
    <w:nsid w:val="2B7C5568"/>
    <w:multiLevelType w:val="hybridMultilevel"/>
    <w:lvl w:ilvl="0">
      <w:lvlJc w:val="left"/>
      <w:lvlText w:val="(%1)"/>
      <w:numFmt w:val="lowerLetter"/>
      <w:start w:val="1"/>
    </w:lvl>
  </w:abstractNum>
  <w:abstractNum w:abstractNumId="442">
    <w:nsid w:val="4691114B"/>
    <w:multiLevelType w:val="hybridMultilevel"/>
    <w:lvl w:ilvl="0">
      <w:lvlJc w:val="left"/>
      <w:lvlText w:val="(%1)"/>
      <w:numFmt w:val="lowerLetter"/>
      <w:start w:val="10"/>
    </w:lvl>
  </w:abstractNum>
  <w:abstractNum w:abstractNumId="443">
    <w:nsid w:val="5BADF95F"/>
    <w:multiLevelType w:val="hybridMultilevel"/>
    <w:lvl w:ilvl="0">
      <w:lvlJc w:val="left"/>
      <w:lvlText w:val="(%1)"/>
      <w:numFmt w:val="lowerLetter"/>
      <w:start w:val="1"/>
    </w:lvl>
  </w:abstractNum>
  <w:abstractNum w:abstractNumId="444">
    <w:nsid w:val="76BC5A56"/>
    <w:multiLevelType w:val="hybridMultilevel"/>
    <w:lvl w:ilvl="0">
      <w:lvlJc w:val="left"/>
      <w:lvlText w:val="%1"/>
      <w:numFmt w:val="lowerLetter"/>
      <w:start w:val="1"/>
    </w:lvl>
    <w:lvl w:ilvl="1">
      <w:lvlJc w:val="left"/>
      <w:lvlText w:val="(%2)"/>
      <w:numFmt w:val="lowerLetter"/>
      <w:start w:val="1"/>
    </w:lvl>
  </w:abstractNum>
  <w:abstractNum w:abstractNumId="445">
    <w:nsid w:val="6C5DC3C4"/>
    <w:multiLevelType w:val="hybridMultilevel"/>
    <w:lvl w:ilvl="0">
      <w:lvlJc w:val="left"/>
      <w:lvlText w:val="(%1)"/>
      <w:numFmt w:val="lowerLetter"/>
      <w:start w:val="35"/>
    </w:lvl>
    <w:lvl w:ilvl="1">
      <w:lvlJc w:val="left"/>
      <w:lvlText w:val="%2"/>
      <w:numFmt w:val="lowerLetter"/>
      <w:start w:val="1"/>
    </w:lvl>
  </w:abstractNum>
  <w:abstractNum w:abstractNumId="446">
    <w:nsid w:val="2A84F0F7"/>
    <w:multiLevelType w:val="hybridMultilevel"/>
    <w:lvl w:ilvl="0">
      <w:lvlJc w:val="left"/>
      <w:lvlText w:val="(%1)"/>
      <w:numFmt w:val="lowerLetter"/>
      <w:start w:val="7"/>
    </w:lvl>
  </w:abstractNum>
  <w:abstractNum w:abstractNumId="447">
    <w:nsid w:val="7B37AFBB"/>
    <w:multiLevelType w:val="hybridMultilevel"/>
    <w:lvl w:ilvl="0">
      <w:lvlJc w:val="left"/>
      <w:lvlText w:val="(%1)"/>
      <w:numFmt w:val="lowerLetter"/>
      <w:start w:val="12"/>
    </w:lvl>
  </w:abstractNum>
  <w:abstractNum w:abstractNumId="448">
    <w:nsid w:val="7138B819"/>
    <w:multiLevelType w:val="hybridMultilevel"/>
    <w:lvl w:ilvl="0">
      <w:lvlJc w:val="left"/>
      <w:lvlText w:val="(%1)"/>
      <w:numFmt w:val="lowerLetter"/>
      <w:start w:val="13"/>
    </w:lvl>
  </w:abstractNum>
  <w:abstractNum w:abstractNumId="449">
    <w:nsid w:val="65A9E333"/>
    <w:multiLevelType w:val="hybridMultilevel"/>
    <w:lvl w:ilvl="0">
      <w:lvlJc w:val="left"/>
      <w:lvlText w:val="(%1)"/>
      <w:numFmt w:val="lowerLetter"/>
      <w:start w:val="2"/>
    </w:lvl>
  </w:abstractNum>
  <w:abstractNum w:abstractNumId="450">
    <w:nsid w:val="C2F5540"/>
    <w:multiLevelType w:val="hybridMultilevel"/>
    <w:lvl w:ilvl="0">
      <w:lvlJc w:val="left"/>
      <w:lvlText w:val="(%1)"/>
      <w:numFmt w:val="lowerLetter"/>
      <w:start w:val="1"/>
    </w:lvl>
  </w:abstractNum>
  <w:abstractNum w:abstractNumId="451">
    <w:nsid w:val="68585EA6"/>
    <w:multiLevelType w:val="hybridMultilevel"/>
    <w:lvl w:ilvl="0">
      <w:lvlJc w:val="left"/>
      <w:lvlText w:val="(%1)"/>
      <w:numFmt w:val="lowerLetter"/>
      <w:start w:val="2"/>
    </w:lvl>
  </w:abstractNum>
  <w:abstractNum w:abstractNumId="452">
    <w:nsid w:val="71809378"/>
    <w:multiLevelType w:val="hybridMultilevel"/>
    <w:lvl w:ilvl="0">
      <w:lvlJc w:val="left"/>
      <w:lvlText w:val="(%1)"/>
      <w:numFmt w:val="lowerLetter"/>
      <w:start w:val="3"/>
    </w:lvl>
  </w:abstractNum>
  <w:abstractNum w:abstractNumId="453">
    <w:nsid w:val="5E1E8AB7"/>
    <w:multiLevelType w:val="hybridMultilevel"/>
    <w:lvl w:ilvl="0">
      <w:lvlJc w:val="left"/>
      <w:lvlText w:val="(%1)"/>
      <w:numFmt w:val="lowerLetter"/>
      <w:start w:val="1"/>
    </w:lvl>
  </w:abstractNum>
  <w:abstractNum w:abstractNumId="454">
    <w:nsid w:val="5F176EBE"/>
    <w:multiLevelType w:val="hybridMultilevel"/>
    <w:lvl w:ilvl="0">
      <w:lvlJc w:val="left"/>
      <w:lvlText w:val="%1."/>
      <w:numFmt w:val="decimal"/>
      <w:start w:val="7"/>
    </w:lvl>
  </w:abstractNum>
  <w:abstractNum w:abstractNumId="455">
    <w:nsid w:val="5D27C5EC"/>
    <w:multiLevelType w:val="hybridMultilevel"/>
    <w:lvl w:ilvl="0">
      <w:lvlJc w:val="left"/>
      <w:lvlText w:val="%1."/>
      <w:numFmt w:val="decimal"/>
      <w:start w:val="8"/>
    </w:lvl>
  </w:abstractNum>
  <w:abstractNum w:abstractNumId="456">
    <w:nsid w:val="5D8F08B8"/>
    <w:multiLevelType w:val="hybridMultilevel"/>
    <w:lvl w:ilvl="0">
      <w:lvlJc w:val="left"/>
      <w:lvlText w:val="%1"/>
      <w:numFmt w:val="lowerLetter"/>
      <w:start w:val="1"/>
    </w:lvl>
    <w:lvl w:ilvl="1">
      <w:lvlJc w:val="left"/>
      <w:lvlText w:val="(%2)"/>
      <w:numFmt w:val="lowerLetter"/>
      <w:start w:val="1"/>
    </w:lvl>
  </w:abstractNum>
  <w:abstractNum w:abstractNumId="457">
    <w:nsid w:val="53880228"/>
    <w:multiLevelType w:val="hybridMultilevel"/>
    <w:lvl w:ilvl="0">
      <w:lvlJc w:val="left"/>
      <w:lvlText w:val="(%1)"/>
      <w:numFmt w:val="lowerLetter"/>
      <w:start w:val="35"/>
    </w:lvl>
    <w:lvl w:ilvl="1">
      <w:lvlJc w:val="left"/>
      <w:lvlText w:val="(%2)"/>
      <w:numFmt w:val="lowerLetter"/>
      <w:start w:val="3"/>
    </w:lvl>
  </w:abstractNum>
  <w:abstractNum w:abstractNumId="458">
    <w:nsid w:val="4E913C51"/>
    <w:multiLevelType w:val="hybridMultilevel"/>
    <w:lvl w:ilvl="0">
      <w:lvlJc w:val="left"/>
      <w:lvlText w:val="(%1)"/>
      <w:numFmt w:val="lowerLetter"/>
      <w:start w:val="2"/>
    </w:lvl>
  </w:abstractNum>
  <w:abstractNum w:abstractNumId="459">
    <w:nsid w:val="7EBDB63D"/>
    <w:multiLevelType w:val="hybridMultilevel"/>
    <w:lvl w:ilvl="0">
      <w:lvlJc w:val="left"/>
      <w:lvlText w:val="%1."/>
      <w:numFmt w:val="decimal"/>
      <w:start w:val="9"/>
    </w:lvl>
  </w:abstractNum>
  <w:abstractNum w:abstractNumId="460">
    <w:nsid w:val="65FD275F"/>
    <w:multiLevelType w:val="hybridMultilevel"/>
    <w:lvl w:ilvl="0">
      <w:lvlJc w:val="left"/>
      <w:lvlText w:val="(%1)"/>
      <w:numFmt w:val="lowerLetter"/>
      <w:start w:val="1"/>
    </w:lvl>
  </w:abstractNum>
  <w:abstractNum w:abstractNumId="461">
    <w:nsid w:val="5A098B27"/>
    <w:multiLevelType w:val="hybridMultilevel"/>
    <w:lvl w:ilvl="0">
      <w:lvlJc w:val="left"/>
      <w:lvlText w:val="(%1)"/>
      <w:numFmt w:val="lowerLetter"/>
      <w:start w:val="3"/>
    </w:lvl>
  </w:abstractNum>
  <w:abstractNum w:abstractNumId="462">
    <w:nsid w:val="56BF33F6"/>
    <w:multiLevelType w:val="hybridMultilevel"/>
    <w:lvl w:ilvl="0">
      <w:lvlJc w:val="left"/>
      <w:lvlText w:val="%1."/>
      <w:numFmt w:val="decimal"/>
      <w:start w:val="10"/>
    </w:lvl>
  </w:abstractNum>
  <w:abstractNum w:abstractNumId="463">
    <w:nsid w:val="6C3A37B1"/>
    <w:multiLevelType w:val="hybridMultilevel"/>
    <w:lvl w:ilvl="0">
      <w:lvlJc w:val="left"/>
      <w:lvlText w:val="(%1)"/>
      <w:numFmt w:val="lowerLetter"/>
      <w:start w:val="1"/>
    </w:lvl>
  </w:abstractNum>
  <w:abstractNum w:abstractNumId="464">
    <w:nsid w:val="696DA7C9"/>
    <w:multiLevelType w:val="hybridMultilevel"/>
    <w:lvl w:ilvl="0">
      <w:lvlJc w:val="left"/>
      <w:lvlText w:val="%1."/>
      <w:numFmt w:val="decimal"/>
      <w:start w:val="11"/>
    </w:lvl>
  </w:abstractNum>
  <w:abstractNum w:abstractNumId="465">
    <w:nsid w:val="728FACB1"/>
    <w:multiLevelType w:val="hybridMultilevel"/>
    <w:lvl w:ilvl="0">
      <w:lvlJc w:val="left"/>
      <w:lvlText w:val="%1."/>
      <w:numFmt w:val="decimal"/>
      <w:start w:val="12"/>
    </w:lvl>
    <w:lvl w:ilvl="1">
      <w:lvlJc w:val="left"/>
      <w:lvlText w:val="(%2)"/>
      <w:numFmt w:val="lowerLetter"/>
      <w:start w:val="1"/>
    </w:lvl>
  </w:abstractNum>
  <w:abstractNum w:abstractNumId="466">
    <w:nsid w:val="EF9AD2F"/>
    <w:multiLevelType w:val="hybridMultilevel"/>
    <w:lvl w:ilvl="0">
      <w:lvlJc w:val="left"/>
      <w:lvlText w:val="(%1)"/>
      <w:numFmt w:val="lowerLetter"/>
      <w:start w:val="3"/>
    </w:lvl>
  </w:abstractNum>
  <w:abstractNum w:abstractNumId="467">
    <w:nsid w:val="2545A7C9"/>
    <w:multiLevelType w:val="hybridMultilevel"/>
    <w:lvl w:ilvl="0">
      <w:lvlJc w:val="left"/>
      <w:lvlText w:val="%1"/>
      <w:numFmt w:val="decimal"/>
      <w:start w:val="1"/>
    </w:lvl>
    <w:lvl w:ilvl="1">
      <w:lvlJc w:val="left"/>
      <w:lvlText w:val="(%2)"/>
      <w:numFmt w:val="lowerLetter"/>
      <w:start w:val="6"/>
    </w:lvl>
    <w:lvl w:ilvl="2">
      <w:lvlJc w:val="left"/>
      <w:lvlText w:val="%3"/>
      <w:numFmt w:val="upperLetter"/>
      <w:start w:val="1"/>
    </w:lvl>
  </w:abstractNum>
  <w:abstractNum w:abstractNumId="468">
    <w:nsid w:val="495A99DC"/>
    <w:multiLevelType w:val="hybridMultilevel"/>
    <w:lvl w:ilvl="0">
      <w:lvlJc w:val="left"/>
      <w:lvlText w:val="%1."/>
      <w:numFmt w:val="decimal"/>
      <w:start w:val="13"/>
    </w:lvl>
    <w:lvl w:ilvl="1">
      <w:lvlJc w:val="left"/>
      <w:lvlText w:val="(%2)"/>
      <w:numFmt w:val="lowerLetter"/>
      <w:start w:val="1"/>
    </w:lvl>
    <w:lvl w:ilvl="2">
      <w:lvlJc w:val="left"/>
      <w:lvlText w:val="(%3)"/>
      <w:numFmt w:val="upperLetter"/>
      <w:start w:val="1"/>
    </w:lvl>
  </w:abstractNum>
  <w:abstractNum w:abstractNumId="469">
    <w:nsid w:val="6C3DB3C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70">
    <w:nsid w:val="55EFC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471">
    <w:nsid w:val="57F93E98"/>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72">
    <w:nsid w:val="17BA092C"/>
    <w:multiLevelType w:val="hybridMultilevel"/>
    <w:lvl w:ilvl="0">
      <w:lvlJc w:val="left"/>
      <w:lvlText w:val="(%1)"/>
      <w:numFmt w:val="lowerLetter"/>
      <w:start w:val="3"/>
    </w:lvl>
  </w:abstractNum>
  <w:abstractNum w:abstractNumId="473">
    <w:nsid w:val="46E70111"/>
    <w:multiLevelType w:val="hybridMultilevel"/>
    <w:lvl w:ilvl="0">
      <w:lvlJc w:val="left"/>
      <w:lvlText w:val="(%1)"/>
      <w:numFmt w:val="lowerLetter"/>
      <w:start w:val="5"/>
    </w:lvl>
  </w:abstractNum>
  <w:abstractNum w:abstractNumId="474">
    <w:nsid w:val="33A737F7"/>
    <w:multiLevelType w:val="hybridMultilevel"/>
    <w:lvl w:ilvl="0">
      <w:lvlJc w:val="left"/>
      <w:lvlText w:val="(%1)"/>
      <w:numFmt w:val="lowerLetter"/>
      <w:start w:val="8"/>
    </w:lvl>
  </w:abstractNum>
  <w:abstractNum w:abstractNumId="475">
    <w:nsid w:val="E766383"/>
    <w:multiLevelType w:val="hybridMultilevel"/>
    <w:lvl w:ilvl="0">
      <w:lvlJc w:val="left"/>
      <w:lvlText w:val="(%1)"/>
      <w:numFmt w:val="lowerLetter"/>
      <w:start w:val="10"/>
    </w:lvl>
  </w:abstractNum>
  <w:abstractNum w:abstractNumId="476">
    <w:nsid w:val="3344C4D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77">
    <w:nsid w:val="5E2C28EE"/>
    <w:multiLevelType w:val="hybridMultilevel"/>
    <w:lvl w:ilvl="0">
      <w:lvlJc w:val="left"/>
      <w:lvlText w:val="%1"/>
      <w:numFmt w:val="lowerLetter"/>
      <w:start w:val="1"/>
    </w:lvl>
    <w:lvl w:ilvl="1">
      <w:lvlJc w:val="left"/>
      <w:lvlText w:val="(%2)"/>
      <w:numFmt w:val="lowerRoman"/>
      <w:start w:val="8"/>
    </w:lvl>
  </w:abstractNum>
  <w:abstractNum w:abstractNumId="478">
    <w:nsid w:val="9AE133E"/>
    <w:multiLevelType w:val="hybridMultilevel"/>
    <w:lvl w:ilvl="0">
      <w:lvlJc w:val="left"/>
      <w:lvlText w:val="(%1)"/>
      <w:numFmt w:val="lowerLetter"/>
      <w:start w:val="2"/>
    </w:lvl>
    <w:lvl w:ilvl="1">
      <w:lvlJc w:val="left"/>
      <w:lvlText w:val="(%2)"/>
      <w:numFmt w:val="lowerRoman"/>
      <w:start w:val="1"/>
    </w:lvl>
  </w:abstractNum>
  <w:abstractNum w:abstractNumId="479">
    <w:nsid w:val="247D7CEF"/>
    <w:multiLevelType w:val="hybridMultilevel"/>
    <w:lvl w:ilvl="0">
      <w:lvlJc w:val="left"/>
      <w:lvlText w:val="(%1)"/>
      <w:numFmt w:val="lowerLetter"/>
      <w:start w:val="4"/>
    </w:lvl>
  </w:abstractNum>
  <w:abstractNum w:abstractNumId="480">
    <w:nsid w:val="43D60C21"/>
    <w:multiLevelType w:val="hybridMultilevel"/>
    <w:lvl w:ilvl="0">
      <w:lvlJc w:val="left"/>
      <w:lvlText w:val="(%1)"/>
      <w:numFmt w:val="lowerLetter"/>
      <w:start w:val="1"/>
    </w:lvl>
  </w:abstractNum>
  <w:abstractNum w:abstractNumId="481">
    <w:nsid w:val="15DD687E"/>
    <w:multiLevelType w:val="hybridMultilevel"/>
    <w:lvl w:ilvl="0">
      <w:lvlJc w:val="left"/>
      <w:lvlText w:val="%1"/>
      <w:numFmt w:val="lowerLetter"/>
      <w:start w:val="1"/>
    </w:lvl>
    <w:lvl w:ilvl="1">
      <w:lvlJc w:val="left"/>
      <w:lvlText w:val="(%2)"/>
      <w:numFmt w:val="lowerLetter"/>
      <w:start w:val="2"/>
    </w:lvl>
  </w:abstractNum>
  <w:abstractNum w:abstractNumId="482">
    <w:nsid w:val="CD5DB95"/>
    <w:multiLevelType w:val="hybridMultilevel"/>
    <w:lvl w:ilvl="0">
      <w:lvlJc w:val="left"/>
      <w:lvlText w:val="(%1)"/>
      <w:numFmt w:val="lowerLetter"/>
      <w:start w:val="61"/>
    </w:lvl>
    <w:lvl w:ilvl="1">
      <w:lvlJc w:val="left"/>
      <w:lvlText w:val="%2"/>
      <w:numFmt w:val="lowerLetter"/>
      <w:start w:val="1"/>
    </w:lvl>
  </w:abstractNum>
  <w:abstractNum w:abstractNumId="483">
    <w:nsid w:val="35569F99"/>
    <w:multiLevelType w:val="hybridMultilevel"/>
    <w:lvl w:ilvl="0">
      <w:lvlJc w:val="left"/>
      <w:lvlText w:val="%1."/>
      <w:numFmt w:val="decimal"/>
      <w:start w:val="15"/>
    </w:lvl>
    <w:lvl w:ilvl="1">
      <w:lvlJc w:val="left"/>
      <w:lvlText w:val="(%2)"/>
      <w:numFmt w:val="lowerLetter"/>
      <w:start w:val="1"/>
    </w:lvl>
  </w:abstractNum>
  <w:abstractNum w:abstractNumId="484">
    <w:nsid w:val="73FBF336"/>
    <w:multiLevelType w:val="hybridMultilevel"/>
    <w:lvl w:ilvl="0">
      <w:lvlJc w:val="left"/>
      <w:lvlText w:val="(%1)"/>
      <w:numFmt w:val="lowerLetter"/>
      <w:start w:val="2"/>
    </w:lvl>
    <w:lvl w:ilvl="1">
      <w:lvlJc w:val="left"/>
      <w:lvlText w:val="(%2)"/>
      <w:numFmt w:val="lowerRoman"/>
      <w:start w:val="1"/>
    </w:lvl>
  </w:abstractNum>
  <w:abstractNum w:abstractNumId="485">
    <w:nsid w:val="6BED4A53"/>
    <w:multiLevelType w:val="hybridMultilevel"/>
    <w:lvl w:ilvl="0">
      <w:lvlJc w:val="left"/>
      <w:lvlText w:val="%1"/>
      <w:numFmt w:val="lowerLetter"/>
      <w:start w:val="1"/>
    </w:lvl>
    <w:lvl w:ilvl="1">
      <w:lvlJc w:val="left"/>
      <w:lvlText w:val="(%2)"/>
      <w:numFmt w:val="lowerLetter"/>
      <w:start w:val="1"/>
    </w:lvl>
  </w:abstractNum>
  <w:abstractNum w:abstractNumId="486">
    <w:nsid w:val="127E6585"/>
    <w:multiLevelType w:val="hybridMultilevel"/>
    <w:lvl w:ilvl="0">
      <w:lvlJc w:val="left"/>
      <w:lvlText w:val="(%1)"/>
      <w:numFmt w:val="lowerLetter"/>
      <w:start w:val="25"/>
    </w:lvl>
    <w:lvl w:ilvl="1">
      <w:lvlJc w:val="left"/>
      <w:lvlText w:val="%2"/>
      <w:numFmt w:val="lowerLetter"/>
      <w:start w:val="1"/>
    </w:lvl>
  </w:abstractNum>
  <w:abstractNum w:abstractNumId="487">
    <w:nsid w:val="518AFBEE"/>
    <w:multiLevelType w:val="hybridMultilevel"/>
    <w:lvl w:ilvl="0">
      <w:lvlJc w:val="left"/>
      <w:lvlText w:val="%1"/>
      <w:numFmt w:val="lowerLetter"/>
      <w:start w:val="1"/>
    </w:lvl>
    <w:lvl w:ilvl="1">
      <w:lvlJc w:val="left"/>
      <w:lvlText w:val="(%2)"/>
      <w:numFmt w:val="lowerLetter"/>
      <w:start w:val="2"/>
    </w:lvl>
  </w:abstractNum>
  <w:abstractNum w:abstractNumId="488">
    <w:nsid w:val="3F754C7B"/>
    <w:multiLevelType w:val="hybridMultilevel"/>
    <w:lvl w:ilvl="0">
      <w:lvlJc w:val="left"/>
      <w:lvlText w:val="(%1)"/>
      <w:numFmt w:val="lowerLetter"/>
      <w:start w:val="61"/>
    </w:lvl>
    <w:lvl w:ilvl="1">
      <w:lvlJc w:val="left"/>
      <w:lvlText w:val="%2"/>
      <w:numFmt w:val="lowerLetter"/>
      <w:start w:val="1"/>
    </w:lvl>
  </w:abstractNum>
  <w:abstractNum w:abstractNumId="489">
    <w:nsid w:val="610FA1D6"/>
    <w:multiLevelType w:val="hybridMultilevel"/>
    <w:lvl w:ilvl="0">
      <w:lvlJc w:val="left"/>
      <w:lvlText w:val="(%1)"/>
      <w:numFmt w:val="lowerLetter"/>
      <w:start w:val="1"/>
    </w:lvl>
  </w:abstractNum>
  <w:abstractNum w:abstractNumId="490">
    <w:nsid w:val="5048B22C"/>
    <w:multiLevelType w:val="hybridMultilevel"/>
    <w:lvl w:ilvl="0">
      <w:lvlJc w:val="left"/>
      <w:lvlText w:val="(%1)"/>
      <w:numFmt w:val="lowerLetter"/>
      <w:start w:val="1"/>
    </w:lvl>
  </w:abstractNum>
  <w:abstractNum w:abstractNumId="491">
    <w:nsid w:val="257273DB"/>
    <w:multiLevelType w:val="hybridMultilevel"/>
    <w:lvl w:ilvl="0">
      <w:lvlJc w:val="left"/>
      <w:lvlText w:val="(%1)"/>
      <w:numFmt w:val="lowerLetter"/>
      <w:start w:val="4"/>
    </w:lvl>
  </w:abstractNum>
  <w:abstractNum w:abstractNumId="492">
    <w:nsid w:val="3B192CFD"/>
    <w:multiLevelType w:val="hybridMultilevel"/>
    <w:lvl w:ilvl="0">
      <w:lvlJc w:val="left"/>
      <w:lvlText w:val="(%1)"/>
      <w:numFmt w:val="lowerLetter"/>
      <w:start w:val="1"/>
    </w:lvl>
  </w:abstractNum>
  <w:abstractNum w:abstractNumId="493">
    <w:nsid w:val="2707E622"/>
    <w:multiLevelType w:val="hybridMultilevel"/>
    <w:lvl w:ilvl="0">
      <w:lvlJc w:val="left"/>
      <w:lvlText w:val="%1"/>
      <w:numFmt w:val="decimal"/>
      <w:start w:val="1"/>
    </w:lvl>
    <w:lvl w:ilvl="1">
      <w:lvlJc w:val="left"/>
      <w:lvlText w:val="(%2)"/>
      <w:numFmt w:val="lowerLetter"/>
      <w:start w:val="2"/>
    </w:lvl>
  </w:abstractNum>
  <w:abstractNum w:abstractNumId="494">
    <w:nsid w:val="11ACAB8C"/>
    <w:multiLevelType w:val="hybridMultilevel"/>
    <w:lvl w:ilvl="0">
      <w:lvlJc w:val="left"/>
      <w:lvlText w:val="%1."/>
      <w:numFmt w:val="decimal"/>
      <w:start w:val="16"/>
    </w:lvl>
    <w:lvl w:ilvl="1">
      <w:lvlJc w:val="left"/>
      <w:lvlText w:val="%2"/>
      <w:numFmt w:val="lowerLetter"/>
      <w:start w:val="1"/>
    </w:lvl>
  </w:abstractNum>
  <w:abstractNum w:abstractNumId="495">
    <w:nsid w:val="2486D4C7"/>
    <w:multiLevelType w:val="hybridMultilevel"/>
    <w:lvl w:ilvl="0">
      <w:lvlJc w:val="left"/>
      <w:lvlText w:val="(%1)"/>
      <w:numFmt w:val="lowerLetter"/>
      <w:start w:val="1"/>
    </w:lvl>
    <w:lvl w:ilvl="1">
      <w:lvlJc w:val="left"/>
      <w:lvlText w:val="(%2)"/>
      <w:numFmt w:val="lowerRoman"/>
      <w:start w:val="1"/>
    </w:lvl>
  </w:abstractNum>
  <w:abstractNum w:abstractNumId="496">
    <w:nsid w:val="199792D3"/>
    <w:multiLevelType w:val="hybridMultilevel"/>
    <w:lvl w:ilvl="0">
      <w:lvlJc w:val="left"/>
      <w:lvlText w:val="(%1)"/>
      <w:numFmt w:val="lowerLetter"/>
      <w:start w:val="4"/>
    </w:lvl>
  </w:abstractNum>
  <w:abstractNum w:abstractNumId="497">
    <w:nsid w:val="20A658BB"/>
    <w:multiLevelType w:val="hybridMultilevel"/>
    <w:lvl w:ilvl="0">
      <w:lvlJc w:val="left"/>
      <w:lvlText w:val="(%1)"/>
      <w:numFmt w:val="lowerLetter"/>
      <w:start w:val="1"/>
    </w:lvl>
  </w:abstractNum>
  <w:abstractNum w:abstractNumId="498">
    <w:nsid w:val="49CC7C90"/>
    <w:multiLevelType w:val="hybridMultilevel"/>
    <w:lvl w:ilvl="0">
      <w:lvlJc w:val="left"/>
      <w:lvlText w:val="(%1)"/>
      <w:numFmt w:val="lowerLetter"/>
      <w:start w:val="1"/>
    </w:lvl>
  </w:abstractNum>
  <w:abstractNum w:abstractNumId="499">
    <w:nsid w:val="62F22CB0"/>
    <w:multiLevelType w:val="hybridMultilevel"/>
    <w:lvl w:ilvl="0">
      <w:lvlJc w:val="left"/>
      <w:lvlText w:val="(%1)"/>
      <w:numFmt w:val="lowerRoman"/>
      <w:start w:val="1"/>
    </w:lvl>
  </w:abstractNum>
  <w:abstractNum w:abstractNumId="500">
    <w:nsid w:val="CE40C80"/>
    <w:multiLevelType w:val="hybridMultilevel"/>
    <w:lvl w:ilvl="0">
      <w:lvlJc w:val="left"/>
      <w:lvlText w:val="%1"/>
      <w:numFmt w:val="decimal"/>
      <w:start w:val="1"/>
    </w:lvl>
    <w:lvl w:ilvl="1">
      <w:lvlJc w:val="left"/>
      <w:lvlText w:val="(%2)"/>
      <w:numFmt w:val="lowerLetter"/>
      <w:start w:val="3"/>
    </w:lvl>
  </w:abstractNum>
  <w:abstractNum w:abstractNumId="501">
    <w:nsid w:val="4A226C56"/>
    <w:multiLevelType w:val="hybridMultilevel"/>
    <w:lvl w:ilvl="0">
      <w:lvlJc w:val="left"/>
      <w:lvlText w:val="%1."/>
      <w:numFmt w:val="decimal"/>
      <w:start w:val="17"/>
    </w:lvl>
    <w:lvl w:ilvl="1">
      <w:lvlJc w:val="left"/>
      <w:lvlText w:val="%2"/>
      <w:numFmt w:val="lowerLetter"/>
      <w:start w:val="1"/>
    </w:lvl>
  </w:abstractNum>
  <w:abstractNum w:abstractNumId="502">
    <w:nsid w:val="3AEB6B48"/>
    <w:multiLevelType w:val="hybridMultilevel"/>
    <w:lvl w:ilvl="0">
      <w:lvlJc w:val="left"/>
      <w:lvlText w:val="(%1)"/>
      <w:numFmt w:val="lowerLetter"/>
      <w:start w:val="1"/>
    </w:lvl>
  </w:abstractNum>
  <w:abstractNum w:abstractNumId="503">
    <w:nsid w:val="249E15AC"/>
    <w:multiLevelType w:val="hybridMultilevel"/>
    <w:lvl w:ilvl="0">
      <w:lvlJc w:val="left"/>
      <w:lvlText w:val="(%1)"/>
      <w:numFmt w:val="lowerLetter"/>
      <w:start w:val="1"/>
    </w:lvl>
  </w:abstractNum>
  <w:abstractNum w:abstractNumId="504">
    <w:nsid w:val="11096D68"/>
    <w:multiLevelType w:val="hybridMultilevel"/>
    <w:lvl w:ilvl="0">
      <w:lvlJc w:val="left"/>
      <w:lvlText w:val="(%1)"/>
      <w:numFmt w:val="lowerLetter"/>
      <w:start w:val="2"/>
    </w:lvl>
  </w:abstractNum>
  <w:abstractNum w:abstractNumId="505">
    <w:nsid w:val="6E92A33F"/>
    <w:multiLevelType w:val="hybridMultilevel"/>
    <w:lvl w:ilvl="0">
      <w:lvlJc w:val="left"/>
      <w:lvlText w:val="(%1)"/>
      <w:numFmt w:val="lowerLetter"/>
      <w:start w:val="1"/>
    </w:lvl>
    <w:lvl w:ilvl="1">
      <w:lvlJc w:val="left"/>
      <w:lvlText w:val="(%2)"/>
      <w:numFmt w:val="lowerRoman"/>
      <w:start w:val="1"/>
    </w:lvl>
  </w:abstractNum>
  <w:abstractNum w:abstractNumId="506">
    <w:nsid w:val="3314792F"/>
    <w:multiLevelType w:val="hybridMultilevel"/>
    <w:lvl w:ilvl="0">
      <w:lvlJc w:val="left"/>
      <w:lvlText w:val="(%1)"/>
      <w:numFmt w:val="lowerLetter"/>
      <w:start w:val="1"/>
    </w:lvl>
    <w:lvl w:ilvl="1">
      <w:lvlJc w:val="left"/>
      <w:lvlText w:val="(%2)"/>
      <w:numFmt w:val="lowerRoman"/>
      <w:start w:val="1"/>
    </w:lvl>
  </w:abstractNum>
  <w:abstractNum w:abstractNumId="507">
    <w:nsid w:val="444E323E"/>
    <w:multiLevelType w:val="hybridMultilevel"/>
    <w:lvl w:ilvl="0">
      <w:lvlJc w:val="left"/>
      <w:lvlText w:val="(%1)"/>
      <w:numFmt w:val="lowerLetter"/>
      <w:start w:val="1"/>
    </w:lvl>
  </w:abstractNum>
  <w:abstractNum w:abstractNumId="508">
    <w:nsid w:val="4CBECC2D"/>
    <w:multiLevelType w:val="hybridMultilevel"/>
    <w:lvl w:ilvl="0">
      <w:lvlJc w:val="left"/>
      <w:lvlText w:val="(%1)"/>
      <w:numFmt w:val="lowerRoman"/>
      <w:start w:val="1"/>
    </w:lvl>
  </w:abstractNum>
  <w:abstractNum w:abstractNumId="509">
    <w:nsid w:val="3CC28C6E"/>
    <w:multiLevelType w:val="hybridMultilevel"/>
    <w:lvl w:ilvl="0">
      <w:lvlJc w:val="left"/>
      <w:lvlText w:val="(%1)"/>
      <w:numFmt w:val="lowerLetter"/>
      <w:start w:val="3"/>
    </w:lvl>
  </w:abstractNum>
  <w:abstractNum w:abstractNumId="510">
    <w:nsid w:val="68CBAF2D"/>
    <w:multiLevelType w:val="hybridMultilevel"/>
    <w:lvl w:ilvl="0">
      <w:lvlJc w:val="left"/>
      <w:lvlText w:val="(%1)"/>
      <w:numFmt w:val="lowerLetter"/>
      <w:start w:val="1"/>
    </w:lvl>
  </w:abstractNum>
  <w:abstractNum w:abstractNumId="511">
    <w:nsid w:val="1094D84E"/>
    <w:multiLevelType w:val="hybridMultilevel"/>
    <w:lvl w:ilvl="0">
      <w:lvlJc w:val="left"/>
      <w:lvlText w:val="(%1)"/>
      <w:numFmt w:val="lowerLetter"/>
      <w:start w:val="5"/>
    </w:lvl>
    <w:lvl w:ilvl="1">
      <w:lvlJc w:val="left"/>
      <w:lvlText w:val="(%2)"/>
      <w:numFmt w:val="lowerRoman"/>
      <w:start w:val="1"/>
    </w:lvl>
  </w:abstractNum>
  <w:abstractNum w:abstractNumId="512">
    <w:nsid w:val="529FF4EC"/>
    <w:multiLevelType w:val="hybridMultilevel"/>
    <w:lvl w:ilvl="0">
      <w:lvlJc w:val="left"/>
      <w:lvlText w:val="(%1)"/>
      <w:numFmt w:val="lowerLetter"/>
      <w:start w:val="8"/>
    </w:lvl>
  </w:abstractNum>
  <w:abstractNum w:abstractNumId="513">
    <w:nsid w:val="75A18AC2"/>
    <w:multiLevelType w:val="hybridMultilevel"/>
    <w:lvl w:ilvl="0">
      <w:lvlJc w:val="left"/>
      <w:lvlText w:val="%1."/>
      <w:numFmt w:val="decimal"/>
      <w:start w:val="1"/>
    </w:lvl>
  </w:abstractNum>
  <w:abstractNum w:abstractNumId="514">
    <w:nsid w:val="45EB77E8"/>
    <w:multiLevelType w:val="hybridMultilevel"/>
    <w:lvl w:ilvl="0">
      <w:lvlJc w:val="left"/>
      <w:lvlText w:val="%1."/>
      <w:numFmt w:val="decimal"/>
      <w:start w:val="4"/>
    </w:lvl>
  </w:abstractNum>
  <w:abstractNum w:abstractNumId="515">
    <w:nsid w:val="469BE822"/>
    <w:multiLevelType w:val="hybridMultilevel"/>
    <w:lvl w:ilvl="0">
      <w:lvlJc w:val="left"/>
      <w:lvlText w:val="1"/>
      <w:numFmt w:val="bullet"/>
      <w:start w:val="1"/>
    </w:lvl>
  </w:abstractNum>
  <w:abstractNum w:abstractNumId="516">
    <w:nsid w:val="618ED516"/>
    <w:multiLevelType w:val="hybridMultilevel"/>
    <w:lvl w:ilvl="0">
      <w:lvlJc w:val="left"/>
      <w:lvlText w:val="2"/>
      <w:numFmt w:val="bullet"/>
      <w:start w:val="1"/>
    </w:lvl>
  </w:abstractNum>
  <w:abstractNum w:abstractNumId="517">
    <w:nsid w:val="5869DD6D"/>
    <w:multiLevelType w:val="hybridMultilevel"/>
    <w:lvl w:ilvl="0">
      <w:lvlJc w:val="left"/>
      <w:lvlText w:val="3"/>
      <w:numFmt w:val="bullet"/>
      <w:start w:val="1"/>
    </w:lvl>
  </w:abstractNum>
  <w:abstractNum w:abstractNumId="518">
    <w:nsid w:val="1826E411"/>
    <w:multiLevelType w:val="hybridMultilevel"/>
    <w:lvl w:ilvl="0">
      <w:lvlJc w:val="left"/>
      <w:lvlText w:val="%1."/>
      <w:numFmt w:val="decimal"/>
      <w:start w:val="1"/>
    </w:lvl>
  </w:abstractNum>
  <w:abstractNum w:abstractNumId="519">
    <w:nsid w:val="21042191"/>
    <w:multiLevelType w:val="hybridMultilevel"/>
    <w:lvl w:ilvl="0">
      <w:lvlJc w:val="left"/>
      <w:lvlText w:val="%1."/>
      <w:numFmt w:val="decimal"/>
      <w:start w:val="3"/>
    </w:lvl>
  </w:abstractNum>
  <w:abstractNum w:abstractNumId="520">
    <w:nsid w:val="39797F44"/>
    <w:multiLevelType w:val="hybridMultilevel"/>
    <w:lvl w:ilvl="0">
      <w:lvlJc w:val="left"/>
      <w:lvlText w:val="%1."/>
      <w:numFmt w:val="decimal"/>
      <w:start w:val="5"/>
    </w:lvl>
  </w:abstractNum>
  <w:abstractNum w:abstractNumId="521">
    <w:nsid w:val="686F963D"/>
    <w:multiLevelType w:val="hybridMultilevel"/>
    <w:lvl w:ilvl="0">
      <w:lvlJc w:val="left"/>
      <w:lvlText w:val="%1."/>
      <w:numFmt w:val="decimal"/>
      <w:start w:val="7"/>
    </w:lvl>
  </w:abstractNum>
  <w:abstractNum w:abstractNumId="522">
    <w:nsid w:val="4676956C"/>
    <w:multiLevelType w:val="hybridMultilevel"/>
    <w:lvl w:ilvl="0">
      <w:lvlJc w:val="left"/>
      <w:lvlText w:val="☐"/>
      <w:numFmt w:val="bullet"/>
      <w:start w:val="1"/>
    </w:lvl>
  </w:abstractNum>
  <w:abstractNum w:abstractNumId="523">
    <w:nsid w:val="7492AC41"/>
    <w:multiLevelType w:val="hybridMultilevel"/>
    <w:lvl w:ilvl="0">
      <w:lvlJc w:val="left"/>
      <w:lvlText w:val="%1."/>
      <w:numFmt w:val="decimal"/>
      <w:start w:val="1"/>
    </w:lvl>
  </w:abstractNum>
  <w:abstractNum w:abstractNumId="524">
    <w:nsid w:val="F777C5F"/>
    <w:multiLevelType w:val="hybridMultilevel"/>
    <w:lvl w:ilvl="0">
      <w:lvlJc w:val="left"/>
      <w:lvlText w:val="%1."/>
      <w:numFmt w:val="decimal"/>
      <w:start w:val="2"/>
    </w:lvl>
  </w:abstractNum>
  <w:abstractNum w:abstractNumId="525">
    <w:nsid w:val="582340F8"/>
    <w:multiLevelType w:val="hybridMultilevel"/>
    <w:lvl w:ilvl="0">
      <w:lvlJc w:val="left"/>
      <w:lvlText w:val="%1."/>
      <w:numFmt w:val="decimal"/>
      <w:start w:val="6"/>
    </w:lvl>
  </w:abstractNum>
  <w:abstractNum w:abstractNumId="526">
    <w:nsid w:val="19198108"/>
    <w:multiLevelType w:val="hybridMultilevel"/>
    <w:lvl w:ilvl="0">
      <w:lvlJc w:val="left"/>
      <w:lvlText w:val="%1."/>
      <w:numFmt w:val="decimal"/>
      <w:start w:val="7"/>
    </w:lvl>
    <w:lvl w:ilvl="1">
      <w:lvlJc w:val="left"/>
      <w:lvlText w:val="(%2)"/>
      <w:numFmt w:val="lowerLetter"/>
      <w:start w:val="1"/>
    </w:lvl>
  </w:abstractNum>
  <w:abstractNum w:abstractNumId="527">
    <w:nsid w:val="290F0F32"/>
    <w:multiLevelType w:val="hybridMultilevel"/>
    <w:lvl w:ilvl="0">
      <w:lvlJc w:val="left"/>
      <w:lvlText w:val="(%1)"/>
      <w:numFmt w:val="lowerLetter"/>
      <w:start w:val="3"/>
    </w:lvl>
  </w:abstractNum>
  <w:abstractNum w:abstractNumId="528">
    <w:nsid w:val="78C999B4"/>
    <w:multiLevelType w:val="hybridMultilevel"/>
    <w:lvl w:ilvl="0">
      <w:lvlJc w:val="left"/>
      <w:lvlText w:val="%1."/>
      <w:numFmt w:val="decimal"/>
      <w:start w:val="1"/>
    </w:lvl>
  </w:abstractNum>
  <w:abstractNum w:abstractNumId="529">
    <w:nsid w:val="62E5FD99"/>
    <w:multiLevelType w:val="hybridMultilevel"/>
    <w:lvl w:ilvl="0">
      <w:lvlJc w:val="left"/>
      <w:lvlText w:val="%1."/>
      <w:numFmt w:val="decimal"/>
      <w:start w:val="2"/>
    </w:lvl>
  </w:abstractNum>
  <w:abstractNum w:abstractNumId="530">
    <w:nsid w:val="C013BE2"/>
    <w:multiLevelType w:val="hybridMultilevel"/>
    <w:lvl w:ilvl="0">
      <w:lvlJc w:val="left"/>
      <w:lvlText w:val="%1"/>
      <w:numFmt w:val="lowerLetter"/>
      <w:start w:val="1"/>
    </w:lvl>
    <w:lvl w:ilvl="1">
      <w:lvlJc w:val="left"/>
      <w:lvlText w:val="%2."/>
      <w:numFmt w:val="decimal"/>
      <w:start w:val="1"/>
    </w:lvl>
  </w:abstractNum>
  <w:abstractNum w:abstractNumId="531">
    <w:nsid w:val="5ADA634"/>
    <w:multiLevelType w:val="hybridMultilevel"/>
    <w:lvl w:ilvl="0">
      <w:lvlJc w:val="left"/>
      <w:lvlText w:val="(%1)"/>
      <w:numFmt w:val="lowerLetter"/>
      <w:start w:val="2"/>
    </w:lvl>
    <w:lvl w:ilvl="1">
      <w:lvlJc w:val="left"/>
      <w:lvlText w:val="%2"/>
      <w:numFmt w:val="decimal"/>
      <w:start w:val="1"/>
    </w:lvl>
  </w:abstractNum>
  <w:abstractNum w:abstractNumId="532">
    <w:nsid w:val="2D0869EF"/>
    <w:multiLevelType w:val="hybridMultilevel"/>
    <w:lvl w:ilvl="0">
      <w:lvlJc w:val="left"/>
      <w:lvlText w:val="1"/>
      <w:numFmt w:val="bullet"/>
      <w:start w:val="1"/>
    </w:lvl>
  </w:abstractNum>
  <w:abstractNum w:abstractNumId="533">
    <w:nsid w:val="46ECA72A"/>
    <w:multiLevelType w:val="hybridMultilevel"/>
    <w:lvl w:ilvl="0">
      <w:lvlJc w:val="left"/>
      <w:lvlText w:val="%1."/>
      <w:numFmt w:val="decimal"/>
      <w:start w:val="5"/>
    </w:lvl>
    <w:lvl w:ilvl="1">
      <w:lvlJc w:val="left"/>
      <w:lvlText w:val="(%2)"/>
      <w:numFmt w:val="lowerLetter"/>
      <w:start w:val="1"/>
    </w:lvl>
  </w:abstractNum>
  <w:abstractNum w:abstractNumId="534">
    <w:nsid w:val="2A4BBBE0"/>
    <w:multiLevelType w:val="hybridMultilevel"/>
    <w:lvl w:ilvl="0">
      <w:lvlJc w:val="left"/>
      <w:lvlText w:val="%1."/>
      <w:numFmt w:val="decimal"/>
      <w:start w:val="6"/>
    </w:lvl>
    <w:lvl w:ilvl="1">
      <w:lvlJc w:val="left"/>
      <w:lvlText w:val="(%2)"/>
      <w:numFmt w:val="lowerLetter"/>
      <w:start w:val="1"/>
    </w:lvl>
  </w:abstractNum>
  <w:abstractNum w:abstractNumId="535">
    <w:nsid w:val="3E11D757"/>
    <w:multiLevelType w:val="hybridMultilevel"/>
    <w:lvl w:ilvl="0">
      <w:lvlJc w:val="left"/>
      <w:lvlText w:val="(%1)"/>
      <w:numFmt w:val="lowerLetter"/>
      <w:start w:val="4"/>
    </w:lvl>
  </w:abstractNum>
  <w:abstractNum w:abstractNumId="536">
    <w:nsid w:val="357F4A69"/>
    <w:multiLevelType w:val="hybridMultilevel"/>
    <w:lvl w:ilvl="0">
      <w:lvlJc w:val="left"/>
      <w:lvlText w:val="2"/>
      <w:numFmt w:val="bullet"/>
      <w:start w:val="1"/>
    </w:lvl>
  </w:abstractNum>
  <w:abstractNum w:abstractNumId="537">
    <w:nsid w:val="5D603510"/>
    <w:multiLevelType w:val="hybridMultilevel"/>
    <w:lvl w:ilvl="0">
      <w:lvlJc w:val="left"/>
      <w:lvlText w:val="%1"/>
      <w:numFmt w:val="decimal"/>
      <w:start w:val="1"/>
    </w:lvl>
    <w:lvl w:ilvl="1">
      <w:lvlJc w:val="left"/>
      <w:lvlText w:val="(%2)"/>
      <w:numFmt w:val="lowerLetter"/>
      <w:start w:val="8"/>
    </w:lvl>
  </w:abstractNum>
  <w:abstractNum w:abstractNumId="538">
    <w:nsid w:val="2600995"/>
    <w:multiLevelType w:val="hybridMultilevel"/>
    <w:lvl w:ilvl="0">
      <w:lvlJc w:val="left"/>
      <w:lvlText w:val="%1."/>
      <w:numFmt w:val="decimal"/>
      <w:start w:val="7"/>
    </w:lvl>
    <w:lvl w:ilvl="1">
      <w:lvlJc w:val="left"/>
      <w:lvlText w:val="(%2)"/>
      <w:numFmt w:val="lowerLetter"/>
      <w:start w:val="1"/>
    </w:lvl>
  </w:abstractNum>
  <w:abstractNum w:abstractNumId="539">
    <w:nsid w:val="23E1696"/>
    <w:multiLevelType w:val="hybridMultilevel"/>
    <w:lvl w:ilvl="0">
      <w:lvlJc w:val="left"/>
      <w:lvlText w:val="%1."/>
      <w:numFmt w:val="decimal"/>
      <w:start w:val="12"/>
    </w:lvl>
    <w:lvl w:ilvl="1">
      <w:lvlJc w:val="left"/>
      <w:lvlText w:val="(%2)"/>
      <w:numFmt w:val="lowerLetter"/>
      <w:start w:val="1"/>
    </w:lvl>
  </w:abstractNum>
  <w:abstractNum w:abstractNumId="540">
    <w:nsid w:val="1A22C17E"/>
    <w:multiLevelType w:val="hybridMultilevel"/>
    <w:lvl w:ilvl="0">
      <w:lvlJc w:val="left"/>
      <w:lvlText w:val="☐"/>
      <w:numFmt w:val="bullet"/>
      <w:start w:val="1"/>
    </w:lvl>
  </w:abstractNum>
  <w:abstractNum w:abstractNumId="541">
    <w:nsid w:val="6B2BB8C2"/>
    <w:multiLevelType w:val="hybridMultilevel"/>
    <w:lvl w:ilvl="0">
      <w:lvlJc w:val="left"/>
      <w:lvlText w:val="A"/>
      <w:numFmt w:val="bullet"/>
      <w:start w:val="1"/>
    </w:lvl>
  </w:abstractNum>
  <w:abstractNum w:abstractNumId="542">
    <w:nsid w:val="12D2EEE5"/>
    <w:multiLevelType w:val="hybridMultilevel"/>
    <w:lvl w:ilvl="0">
      <w:lvlJc w:val="left"/>
      <w:lvlText w:val="(%1)"/>
      <w:numFmt w:val="lowerLetter"/>
      <w:start w:val="2"/>
    </w:lvl>
  </w:abstractNum>
  <w:abstractNum w:abstractNumId="543">
    <w:nsid w:val="6CC2B66A"/>
    <w:multiLevelType w:val="hybridMultilevel"/>
    <w:lvl w:ilvl="0">
      <w:lvlJc w:val="left"/>
      <w:lvlText w:val="(%1)"/>
      <w:numFmt w:val="lowerLetter"/>
      <w:start w:val="1"/>
    </w:lvl>
  </w:abstractNum>
  <w:abstractNum w:abstractNumId="544">
    <w:nsid w:val="60CD4385"/>
    <w:multiLevelType w:val="hybridMultilevel"/>
    <w:lvl w:ilvl="0">
      <w:lvlJc w:val="left"/>
      <w:lvlText w:val="(%1)"/>
      <w:numFmt w:val="lowerLetter"/>
      <w:start w:val="2"/>
    </w:lvl>
  </w:abstractNum>
  <w:abstractNum w:abstractNumId="545">
    <w:nsid w:val="58BE66CD"/>
    <w:multiLevelType w:val="hybridMultilevel"/>
    <w:lvl w:ilvl="0">
      <w:lvlJc w:val="left"/>
      <w:lvlText w:val="(%1)"/>
      <w:numFmt w:val="lowerRoman"/>
      <w:start w:val="1"/>
    </w:lvl>
  </w:abstractNum>
  <w:abstractNum w:abstractNumId="546">
    <w:nsid w:val="335E9E8D"/>
    <w:multiLevelType w:val="hybridMultilevel"/>
    <w:lvl w:ilvl="0">
      <w:lvlJc w:val="left"/>
      <w:lvlText w:val="(%1)"/>
      <w:numFmt w:val="lowerRoman"/>
      <w:start w:val="2"/>
    </w:lvl>
  </w:abstractNum>
  <w:abstractNum w:abstractNumId="547">
    <w:nsid w:val="425C189B"/>
    <w:multiLevelType w:val="hybridMultilevel"/>
    <w:lvl w:ilvl="0">
      <w:lvlJc w:val="left"/>
      <w:lvlText w:val="(%1)"/>
      <w:numFmt w:val="lowerLetter"/>
      <w:start w:val="7"/>
    </w:lvl>
  </w:abstractNum>
  <w:abstractNum w:abstractNumId="548">
    <w:nsid w:val="3128443A"/>
    <w:multiLevelType w:val="hybridMultilevel"/>
    <w:lvl w:ilvl="0">
      <w:lvlJc w:val="left"/>
      <w:lvlText w:val="(%1)"/>
      <w:numFmt w:val="lowerLetter"/>
      <w:start w:val="9"/>
    </w:lvl>
  </w:abstractNum>
  <w:abstractNum w:abstractNumId="549">
    <w:nsid w:val="4B85829E"/>
    <w:multiLevelType w:val="hybridMultilevel"/>
    <w:lvl w:ilvl="0">
      <w:lvlJc w:val="left"/>
      <w:lvlText w:val="(%1)"/>
      <w:numFmt w:val="lowerLetter"/>
      <w:start w:val="6"/>
    </w:lvl>
  </w:abstractNum>
  <w:abstractNum w:abstractNumId="550">
    <w:nsid w:val="63603A2C"/>
    <w:multiLevelType w:val="hybridMultilevel"/>
    <w:lvl w:ilvl="0">
      <w:lvlJc w:val="left"/>
      <w:lvlText w:val="(%1)"/>
      <w:numFmt w:val="lowerLetter"/>
      <w:start w:val="4"/>
    </w:lvl>
  </w:abstractNum>
  <w:abstractNum w:abstractNumId="551">
    <w:nsid w:val="6AA1C37E"/>
    <w:multiLevelType w:val="hybridMultilevel"/>
    <w:lvl w:ilvl="0">
      <w:lvlJc w:val="left"/>
      <w:lvlText w:val="(%1)"/>
      <w:numFmt w:val="lowerLetter"/>
      <w:start w:val="1"/>
    </w:lvl>
  </w:abstractNum>
  <w:abstractNum w:abstractNumId="552">
    <w:nsid w:val="33F518DB"/>
    <w:multiLevelType w:val="hybridMultilevel"/>
    <w:lvl w:ilvl="0">
      <w:lvlJc w:val="left"/>
      <w:lvlText w:val="(%1)"/>
      <w:numFmt w:val="lowerLetter"/>
      <w:start w:val="5"/>
    </w:lvl>
  </w:abstractNum>
  <w:abstractNum w:abstractNumId="553">
    <w:nsid w:val="29D6CF99"/>
    <w:multiLevelType w:val="hybridMultilevel"/>
    <w:lvl w:ilvl="0">
      <w:lvlJc w:val="left"/>
      <w:lvlText w:val="%1"/>
      <w:numFmt w:val="lowerLetter"/>
      <w:start w:val="1"/>
    </w:lvl>
    <w:lvl w:ilvl="1">
      <w:lvlJc w:val="left"/>
      <w:lvlText w:val="(%2)"/>
      <w:numFmt w:val="lowerLetter"/>
      <w:start w:val="13"/>
    </w:lvl>
  </w:abstractNum>
  <w:abstractNum w:abstractNumId="554">
    <w:nsid w:val="5F346FC0"/>
    <w:multiLevelType w:val="hybridMultilevel"/>
    <w:lvl w:ilvl="0">
      <w:lvlJc w:val="left"/>
      <w:lvlText w:val="(%1)"/>
      <w:numFmt w:val="lowerLetter"/>
      <w:start w:val="35"/>
    </w:lvl>
    <w:lvl w:ilvl="1">
      <w:lvlJc w:val="left"/>
      <w:lvlText w:val="(%2)"/>
      <w:numFmt w:val="lowerLetter"/>
      <w:start w:val="17"/>
    </w:lvl>
  </w:abstractNum>
  <w:abstractNum w:abstractNumId="555">
    <w:nsid w:val="436C953A"/>
    <w:multiLevelType w:val="hybridMultilevel"/>
    <w:lvl w:ilvl="0">
      <w:lvlJc w:val="left"/>
      <w:lvlText w:val="(%1)"/>
      <w:numFmt w:val="lowerLetter"/>
      <w:start w:val="1"/>
    </w:lvl>
  </w:abstractNum>
  <w:abstractNum w:abstractNumId="556">
    <w:nsid w:val="1FA1091"/>
    <w:multiLevelType w:val="hybridMultilevel"/>
    <w:lvl w:ilvl="0">
      <w:lvlJc w:val="left"/>
      <w:lvlText w:val="(%1)"/>
      <w:numFmt w:val="lowerLetter"/>
      <w:start w:val="1"/>
    </w:lvl>
  </w:abstractNum>
  <w:abstractNum w:abstractNumId="557">
    <w:nsid w:val="784DF0C8"/>
    <w:multiLevelType w:val="hybridMultilevel"/>
    <w:lvl w:ilvl="0">
      <w:lvlJc w:val="left"/>
      <w:lvlText w:val="(%1)"/>
      <w:numFmt w:val="lowerLetter"/>
      <w:start w:val="2"/>
    </w:lvl>
  </w:abstractNum>
  <w:abstractNum w:abstractNumId="558">
    <w:nsid w:val="6C7BA46C"/>
    <w:multiLevelType w:val="hybridMultilevel"/>
    <w:lvl w:ilvl="0">
      <w:lvlJc w:val="left"/>
      <w:lvlText w:val="(%1)"/>
      <w:numFmt w:val="lowerLetter"/>
      <w:start w:val="24"/>
    </w:lvl>
  </w:abstractNum>
  <w:abstractNum w:abstractNumId="559">
    <w:nsid w:val="7AC3AA45"/>
    <w:multiLevelType w:val="hybridMultilevel"/>
    <w:lvl w:ilvl="0">
      <w:lvlJc w:val="left"/>
      <w:lvlText w:val="(%1)"/>
      <w:numFmt w:val="lowerRoman"/>
      <w:start w:val="1"/>
    </w:lvl>
  </w:abstractNum>
  <w:abstractNum w:abstractNumId="560">
    <w:nsid w:val="5B33EE61"/>
    <w:multiLevelType w:val="hybridMultilevel"/>
    <w:lvl w:ilvl="0">
      <w:lvlJc w:val="left"/>
      <w:lvlText w:val="(%1)"/>
      <w:numFmt w:val="lowerRoman"/>
      <w:start w:val="3"/>
    </w:lvl>
  </w:abstractNum>
  <w:abstractNum w:abstractNumId="561">
    <w:nsid w:val="787CE04F"/>
    <w:multiLevelType w:val="hybridMultilevel"/>
    <w:lvl w:ilvl="0">
      <w:lvlJc w:val="left"/>
      <w:lvlText w:val="(%1)"/>
      <w:numFmt w:val="lowerLetter"/>
      <w:start w:val="2"/>
    </w:lvl>
  </w:abstractNum>
  <w:abstractNum w:abstractNumId="562">
    <w:nsid w:val="715079"/>
    <w:multiLevelType w:val="hybridMultilevel"/>
    <w:lvl w:ilvl="0">
      <w:lvlJc w:val="left"/>
      <w:lvlText w:val="(%1)"/>
      <w:numFmt w:val="lowerRoman"/>
      <w:start w:val="1"/>
    </w:lvl>
  </w:abstractNum>
  <w:abstractNum w:abstractNumId="563">
    <w:nsid w:val="83C5851"/>
    <w:multiLevelType w:val="hybridMultilevel"/>
    <w:lvl w:ilvl="0">
      <w:lvlJc w:val="left"/>
      <w:lvlText w:val="(%1)"/>
      <w:numFmt w:val="lowerLetter"/>
      <w:start w:val="1"/>
    </w:lvl>
  </w:abstractNum>
  <w:abstractNum w:abstractNumId="564">
    <w:nsid w:val="3F698779"/>
    <w:multiLevelType w:val="hybridMultilevel"/>
    <w:lvl w:ilvl="0">
      <w:lvlJc w:val="left"/>
      <w:lvlText w:val="(%1)"/>
      <w:numFmt w:val="lowerLetter"/>
      <w:start w:val="4"/>
    </w:lvl>
  </w:abstractNum>
  <w:abstractNum w:abstractNumId="565">
    <w:nsid w:val="2ABD0C5A"/>
    <w:multiLevelType w:val="hybridMultilevel"/>
    <w:lvl w:ilvl="0">
      <w:lvlJc w:val="left"/>
      <w:lvlText w:val="(%1)"/>
      <w:numFmt w:val="lowerLetter"/>
      <w:start w:val="1"/>
    </w:lvl>
    <w:lvl w:ilvl="1">
      <w:lvlJc w:val="left"/>
      <w:lvlText w:val="(%2)"/>
      <w:numFmt w:val="lowerRoman"/>
      <w:start w:val="1"/>
    </w:lvl>
  </w:abstractNum>
  <w:abstractNum w:abstractNumId="566">
    <w:nsid w:val="464E2FA8"/>
    <w:multiLevelType w:val="hybridMultilevel"/>
    <w:lvl w:ilvl="0">
      <w:lvlJc w:val="left"/>
      <w:lvlText w:val="%1"/>
      <w:numFmt w:val="lowerLetter"/>
      <w:start w:val="1"/>
    </w:lvl>
    <w:lvl w:ilvl="1">
      <w:lvlJc w:val="left"/>
      <w:lvlText w:val="(%2)"/>
      <w:numFmt w:val="lowerRoman"/>
      <w:start w:val="8"/>
    </w:lvl>
  </w:abstractNum>
  <w:abstractNum w:abstractNumId="567">
    <w:nsid w:val="74E8D1E3"/>
    <w:multiLevelType w:val="hybridMultilevel"/>
    <w:lvl w:ilvl="0">
      <w:lvlJc w:val="left"/>
      <w:lvlText w:val="(%1)"/>
      <w:numFmt w:val="lowerLetter"/>
      <w:start w:val="2"/>
    </w:lvl>
    <w:lvl w:ilvl="1">
      <w:lvlJc w:val="left"/>
      <w:lvlText w:val="%2"/>
      <w:numFmt w:val="lowerRoman"/>
      <w:start w:val="1"/>
    </w:lvl>
  </w:abstractNum>
  <w:abstractNum w:abstractNumId="568">
    <w:nsid w:val="81D416A"/>
    <w:multiLevelType w:val="hybridMultilevel"/>
    <w:lvl w:ilvl="0">
      <w:lvlJc w:val="left"/>
      <w:lvlText w:val="(%1)"/>
      <w:numFmt w:val="lowerLetter"/>
      <w:start w:val="1"/>
    </w:lvl>
    <w:lvl w:ilvl="1">
      <w:lvlJc w:val="left"/>
      <w:lvlText w:val="(%2)"/>
      <w:numFmt w:val="lowerRoman"/>
      <w:start w:val="1"/>
    </w:lvl>
  </w:abstractNum>
  <w:abstractNum w:abstractNumId="569">
    <w:nsid w:val="48AE393E"/>
    <w:multiLevelType w:val="hybridMultilevel"/>
    <w:lvl w:ilvl="0">
      <w:lvlJc w:val="left"/>
      <w:lvlText w:val="(%1)"/>
      <w:numFmt w:val="lowerRoman"/>
      <w:start w:val="3"/>
    </w:lvl>
  </w:abstractNum>
  <w:abstractNum w:abstractNumId="570">
    <w:nsid w:val="7726E879"/>
    <w:multiLevelType w:val="hybridMultilevel"/>
    <w:lvl w:ilvl="0">
      <w:lvlJc w:val="left"/>
      <w:lvlText w:val="(%1)"/>
      <w:numFmt w:val="lowerLetter"/>
      <w:start w:val="2"/>
    </w:lvl>
  </w:abstractNum>
  <w:abstractNum w:abstractNumId="571">
    <w:nsid w:val="224002E8"/>
    <w:multiLevelType w:val="hybridMultilevel"/>
    <w:lvl w:ilvl="0">
      <w:lvlJc w:val="left"/>
      <w:lvlText w:val="(%1)"/>
      <w:numFmt w:val="lowerLetter"/>
      <w:start w:val="1"/>
    </w:lvl>
  </w:abstractNum>
  <w:abstractNum w:abstractNumId="572">
    <w:nsid w:val="33D9F200"/>
    <w:multiLevelType w:val="hybridMultilevel"/>
    <w:lvl w:ilvl="0">
      <w:lvlJc w:val="left"/>
      <w:lvlText w:val="(%1)"/>
      <w:numFmt w:val="lowerLetter"/>
      <w:start w:val="8"/>
    </w:lvl>
  </w:abstractNum>
  <w:abstractNum w:abstractNumId="573">
    <w:nsid w:val="9F9D75E"/>
    <w:multiLevelType w:val="hybridMultilevel"/>
    <w:lvl w:ilvl="0">
      <w:lvlJc w:val="left"/>
      <w:lvlText w:val="(%1)"/>
      <w:numFmt w:val="lowerLetter"/>
      <w:start w:val="1"/>
    </w:lvl>
  </w:abstractNum>
  <w:abstractNum w:abstractNumId="574">
    <w:nsid w:val="F02B952"/>
    <w:multiLevelType w:val="hybridMultilevel"/>
    <w:lvl w:ilvl="0">
      <w:lvlJc w:val="left"/>
      <w:lvlText w:val="(%1)"/>
      <w:numFmt w:val="lowerLetter"/>
      <w:start w:val="23"/>
    </w:lvl>
  </w:abstractNum>
  <w:abstractNum w:abstractNumId="575">
    <w:nsid w:val="14A73585"/>
    <w:multiLevelType w:val="hybridMultilevel"/>
    <w:lvl w:ilvl="0">
      <w:lvlJc w:val="left"/>
      <w:lvlText w:val="(%1)"/>
      <w:numFmt w:val="lowerLetter"/>
      <w:start w:val="1"/>
    </w:lvl>
    <w:lvl w:ilvl="1">
      <w:lvlJc w:val="left"/>
      <w:lvlText w:val="(%2)"/>
      <w:numFmt w:val="lowerRoman"/>
      <w:start w:val="1"/>
    </w:lvl>
  </w:abstractNum>
  <w:abstractNum w:abstractNumId="576">
    <w:nsid w:val="62B83E2B"/>
    <w:multiLevelType w:val="hybridMultilevel"/>
    <w:lvl w:ilvl="0">
      <w:lvlJc w:val="left"/>
      <w:lvlText w:val="(%1)"/>
      <w:numFmt w:val="lowerLetter"/>
      <w:start w:val="1"/>
    </w:lvl>
  </w:abstractNum>
  <w:abstractNum w:abstractNumId="577">
    <w:nsid w:val="426157DF"/>
    <w:multiLevelType w:val="hybridMultilevel"/>
    <w:lvl w:ilvl="0">
      <w:lvlJc w:val="left"/>
      <w:lvlText w:val="(%1)"/>
      <w:numFmt w:val="lowerLetter"/>
      <w:start w:val="1"/>
    </w:lvl>
  </w:abstractNum>
  <w:abstractNum w:abstractNumId="578">
    <w:nsid w:val="57034E20"/>
    <w:multiLevelType w:val="hybridMultilevel"/>
    <w:lvl w:ilvl="0">
      <w:lvlJc w:val="left"/>
      <w:lvlText w:val="(%1)"/>
      <w:numFmt w:val="lowerLetter"/>
      <w:start w:val="1"/>
    </w:lvl>
  </w:abstractNum>
  <w:abstractNum w:abstractNumId="579">
    <w:nsid w:val="13E08266"/>
    <w:multiLevelType w:val="hybridMultilevel"/>
    <w:lvl w:ilvl="0">
      <w:lvlJc w:val="left"/>
      <w:lvlText w:val="(%1)"/>
      <w:numFmt w:val="lowerLetter"/>
      <w:start w:val="2"/>
    </w:lvl>
    <w:lvl w:ilvl="1">
      <w:lvlJc w:val="left"/>
      <w:lvlText w:val="(%2)"/>
      <w:numFmt w:val="lowerRoman"/>
      <w:start w:val="1"/>
    </w:lvl>
  </w:abstractNum>
  <w:abstractNum w:abstractNumId="580">
    <w:nsid w:val="DE6DA7D"/>
    <w:multiLevelType w:val="hybridMultilevel"/>
    <w:lvl w:ilvl="0">
      <w:lvlJc w:val="left"/>
      <w:lvlText w:val="(%1)"/>
      <w:numFmt w:val="lowerLetter"/>
      <w:start w:val="3"/>
    </w:lvl>
  </w:abstractNum>
  <w:abstractNum w:abstractNumId="581">
    <w:nsid w:val="3A63884D"/>
    <w:multiLevelType w:val="hybridMultilevel"/>
    <w:lvl w:ilvl="0">
      <w:lvlJc w:val="left"/>
      <w:lvlText w:val="%1"/>
      <w:numFmt w:val="lowerLetter"/>
      <w:start w:val="1"/>
    </w:lvl>
    <w:lvl w:ilvl="1">
      <w:lvlJc w:val="left"/>
      <w:lvlText w:val="(%2)"/>
      <w:numFmt w:val="lowerLetter"/>
      <w:start w:val="1"/>
    </w:lvl>
  </w:abstractNum>
  <w:abstractNum w:abstractNumId="582">
    <w:nsid w:val="7E8245E4"/>
    <w:multiLevelType w:val="hybridMultilevel"/>
    <w:lvl w:ilvl="0">
      <w:lvlJc w:val="left"/>
      <w:lvlText w:val="(%1)"/>
      <w:numFmt w:val="lowerLetter"/>
      <w:start w:val="9"/>
    </w:lvl>
    <w:lvl w:ilvl="1">
      <w:lvlJc w:val="left"/>
      <w:lvlText w:val="(%2)"/>
      <w:numFmt w:val="lowerLetter"/>
      <w:start w:val="3"/>
    </w:lvl>
  </w:abstractNum>
  <w:abstractNum w:abstractNumId="583">
    <w:nsid w:val="41DBF358"/>
    <w:multiLevelType w:val="hybridMultilevel"/>
    <w:lvl w:ilvl="0">
      <w:lvlJc w:val="left"/>
      <w:lvlText w:val="(%1)"/>
      <w:numFmt w:val="lowerLetter"/>
      <w:start w:val="5"/>
    </w:lvl>
  </w:abstractNum>
  <w:abstractNum w:abstractNumId="584">
    <w:nsid w:val="643A57E6"/>
    <w:multiLevelType w:val="hybridMultilevel"/>
    <w:lvl w:ilvl="0">
      <w:lvlJc w:val="left"/>
      <w:lvlText w:val="(%1)"/>
      <w:numFmt w:val="lowerLetter"/>
      <w:start w:val="1"/>
    </w:lvl>
    <w:lvl w:ilvl="1">
      <w:lvlJc w:val="left"/>
      <w:lvlText w:val="(%2)"/>
      <w:numFmt w:val="lowerRoman"/>
      <w:start w:val="1"/>
    </w:lvl>
  </w:abstractNum>
  <w:abstractNum w:abstractNumId="585">
    <w:nsid w:val="5DB6B5A4"/>
    <w:multiLevelType w:val="hybridMultilevel"/>
    <w:lvl w:ilvl="0">
      <w:lvlJc w:val="left"/>
      <w:lvlText w:val="(%1)"/>
      <w:numFmt w:val="lowerLetter"/>
      <w:start w:val="2"/>
    </w:lvl>
    <w:lvl w:ilvl="1">
      <w:lvlJc w:val="left"/>
      <w:lvlText w:val="(%2)"/>
      <w:numFmt w:val="lowerLetter"/>
      <w:start w:val="9"/>
    </w:lvl>
  </w:abstractNum>
  <w:abstractNum w:abstractNumId="586">
    <w:nsid w:val="5488892"/>
    <w:multiLevelType w:val="hybridMultilevel"/>
    <w:lvl w:ilvl="0">
      <w:lvlJc w:val="left"/>
      <w:lvlText w:val="(%1)"/>
      <w:numFmt w:val="lowerRoman"/>
      <w:start w:val="2"/>
    </w:lvl>
  </w:abstractNum>
  <w:abstractNum w:abstractNumId="587">
    <w:nsid w:val="66346877"/>
    <w:multiLevelType w:val="hybridMultilevel"/>
    <w:lvl w:ilvl="0">
      <w:lvlJc w:val="left"/>
      <w:lvlText w:val="(%1)"/>
      <w:numFmt w:val="lowerLetter"/>
      <w:start w:val="1"/>
    </w:lvl>
    <w:lvl w:ilvl="1">
      <w:lvlJc w:val="left"/>
      <w:lvlText w:val="(%2)"/>
      <w:numFmt w:val="lowerRoman"/>
      <w:start w:val="1"/>
    </w:lvl>
  </w:abstractNum>
  <w:abstractNum w:abstractNumId="588">
    <w:nsid w:val="5604A66D"/>
    <w:multiLevelType w:val="hybridMultilevel"/>
    <w:lvl w:ilvl="0">
      <w:lvlJc w:val="left"/>
      <w:lvlText w:val="(%1)"/>
      <w:numFmt w:val="lowerLetter"/>
      <w:start w:val="2"/>
    </w:lvl>
  </w:abstractNum>
  <w:abstractNum w:abstractNumId="589">
    <w:nsid w:val="71C42CFF"/>
    <w:multiLevelType w:val="hybridMultilevel"/>
    <w:lvl w:ilvl="0">
      <w:lvlJc w:val="left"/>
      <w:lvlText w:val="%1"/>
      <w:numFmt w:val="lowerLetter"/>
      <w:start w:val="1"/>
    </w:lvl>
    <w:lvl w:ilvl="1">
      <w:lvlJc w:val="left"/>
      <w:lvlText w:val="(%2)"/>
      <w:numFmt w:val="lowerLetter"/>
      <w:start w:val="1"/>
    </w:lvl>
  </w:abstractNum>
  <w:abstractNum w:abstractNumId="590">
    <w:nsid w:val="60F812BD"/>
    <w:multiLevelType w:val="hybridMultilevel"/>
    <w:lvl w:ilvl="0">
      <w:lvlJc w:val="left"/>
      <w:lvlText w:val="(%1)"/>
      <w:numFmt w:val="lowerLetter"/>
      <w:start w:val="1"/>
    </w:lvl>
    <w:lvl w:ilvl="1">
      <w:lvlJc w:val="left"/>
      <w:lvlText w:val="(%2)"/>
      <w:numFmt w:val="lowerLetter"/>
      <w:start w:val="2"/>
    </w:lvl>
  </w:abstractNum>
  <w:abstractNum w:abstractNumId="591">
    <w:nsid w:val="313894CE"/>
    <w:multiLevelType w:val="hybridMultilevel"/>
    <w:lvl w:ilvl="0">
      <w:lvlJc w:val="left"/>
      <w:lvlText w:val="(%1)"/>
      <w:numFmt w:val="lowerLetter"/>
      <w:start w:val="1"/>
    </w:lvl>
  </w:abstractNum>
  <w:abstractNum w:abstractNumId="592">
    <w:nsid w:val="6A410D4E"/>
    <w:multiLevelType w:val="hybridMultilevel"/>
    <w:lvl w:ilvl="0">
      <w:lvlJc w:val="left"/>
      <w:lvlText w:val="(%1)"/>
      <w:numFmt w:val="lowerLetter"/>
      <w:start w:val="1"/>
    </w:lvl>
    <w:lvl w:ilvl="1">
      <w:lvlJc w:val="left"/>
      <w:lvlText w:val="(%2)"/>
      <w:numFmt w:val="lowerRoman"/>
      <w:start w:val="1"/>
    </w:lvl>
  </w:abstractNum>
  <w:abstractNum w:abstractNumId="593">
    <w:nsid w:val="61696336"/>
    <w:multiLevelType w:val="hybridMultilevel"/>
    <w:lvl w:ilvl="0">
      <w:lvlJc w:val="left"/>
      <w:lvlText w:val="%1"/>
      <w:numFmt w:val="lowerLetter"/>
      <w:start w:val="1"/>
    </w:lvl>
    <w:lvl w:ilvl="1">
      <w:lvlJc w:val="left"/>
      <w:lvlText w:val="(%2)"/>
      <w:numFmt w:val="upperLetter"/>
      <w:start w:val="1"/>
    </w:lvl>
  </w:abstractNum>
  <w:abstractNum w:abstractNumId="594">
    <w:nsid w:val="3974ED1F"/>
    <w:multiLevelType w:val="hybridMultilevel"/>
    <w:lvl w:ilvl="0">
      <w:lvlJc w:val="left"/>
      <w:lvlText w:val="(%1)"/>
      <w:numFmt w:val="lowerLetter"/>
      <w:start w:val="25"/>
    </w:lvl>
    <w:lvl w:ilvl="1">
      <w:lvlJc w:val="left"/>
      <w:lvlText w:val="(%2)"/>
      <w:numFmt w:val="upperLetter"/>
      <w:start w:val="2"/>
    </w:lvl>
  </w:abstractNum>
  <w:abstractNum w:abstractNumId="595">
    <w:nsid w:val="29AA94C7"/>
    <w:multiLevelType w:val="hybridMultilevel"/>
    <w:lvl w:ilvl="0">
      <w:lvlJc w:val="left"/>
      <w:lvlText w:val="(%1)"/>
      <w:numFmt w:val="upperLetter"/>
      <w:start w:val="4"/>
    </w:lvl>
  </w:abstractNum>
  <w:abstractNum w:abstractNumId="596">
    <w:nsid w:val="C266F90"/>
    <w:multiLevelType w:val="hybridMultilevel"/>
    <w:lvl w:ilvl="0">
      <w:lvlJc w:val="left"/>
      <w:lvlText w:val="%1"/>
      <w:numFmt w:val="lowerLetter"/>
      <w:start w:val="1"/>
    </w:lvl>
    <w:lvl w:ilvl="1">
      <w:lvlJc w:val="left"/>
      <w:lvlText w:val="(%2)"/>
      <w:numFmt w:val="lowerRoman"/>
      <w:start w:val="4"/>
    </w:lvl>
  </w:abstractNum>
  <w:abstractNum w:abstractNumId="597">
    <w:nsid w:val="7FC31CC8"/>
    <w:multiLevelType w:val="hybridMultilevel"/>
    <w:lvl w:ilvl="0">
      <w:lvlJc w:val="left"/>
      <w:lvlText w:val="(%1)"/>
      <w:numFmt w:val="lowerLetter"/>
      <w:start w:val="2"/>
    </w:lvl>
    <w:lvl w:ilvl="1">
      <w:lvlJc w:val="left"/>
      <w:lvlText w:val="%2"/>
      <w:numFmt w:val="lowerRoman"/>
      <w:start w:val="1"/>
    </w:lvl>
  </w:abstractNum>
  <w:abstractNum w:abstractNumId="598">
    <w:nsid w:val="1E9366AA"/>
    <w:multiLevelType w:val="hybridMultilevel"/>
    <w:lvl w:ilvl="0">
      <w:lvlJc w:val="left"/>
      <w:lvlText w:val="(%1)"/>
      <w:numFmt w:val="lowerLetter"/>
      <w:start w:val="1"/>
    </w:lvl>
    <w:lvl w:ilvl="1">
      <w:lvlJc w:val="left"/>
      <w:lvlText w:val="(%2)"/>
      <w:numFmt w:val="lowerRoman"/>
      <w:start w:val="1"/>
    </w:lvl>
  </w:abstractNum>
  <w:abstractNum w:abstractNumId="599">
    <w:nsid w:val="1443B0FA"/>
    <w:multiLevelType w:val="hybridMultilevel"/>
    <w:lvl w:ilvl="0">
      <w:lvlJc w:val="left"/>
      <w:lvlText w:val="(%1)"/>
      <w:numFmt w:val="lowerRoman"/>
      <w:start w:val="5"/>
    </w:lvl>
  </w:abstractNum>
  <w:abstractNum w:abstractNumId="600">
    <w:nsid w:val="48715606"/>
    <w:multiLevelType w:val="hybridMultilevel"/>
    <w:lvl w:ilvl="0">
      <w:lvlJc w:val="left"/>
      <w:lvlText w:val="(%1)"/>
      <w:numFmt w:val="lowerLetter"/>
      <w:start w:val="3"/>
    </w:lvl>
  </w:abstractNum>
  <w:abstractNum w:abstractNumId="601">
    <w:nsid w:val="15BA4F24"/>
    <w:multiLevelType w:val="hybridMultilevel"/>
    <w:lvl w:ilvl="0">
      <w:lvlJc w:val="left"/>
      <w:lvlText w:val="(%1)"/>
      <w:numFmt w:val="lowerLetter"/>
      <w:start w:val="1"/>
    </w:lvl>
  </w:abstractNum>
  <w:abstractNum w:abstractNumId="602">
    <w:nsid w:val="3683B3E2"/>
    <w:multiLevelType w:val="hybridMultilevel"/>
    <w:lvl w:ilvl="0">
      <w:lvlJc w:val="left"/>
      <w:lvlText w:val="(%1)"/>
      <w:numFmt w:val="lowerLetter"/>
      <w:start w:val="2"/>
    </w:lvl>
  </w:abstractNum>
  <w:abstractNum w:abstractNumId="603">
    <w:nsid w:val="7C4B4806"/>
    <w:multiLevelType w:val="hybridMultilevel"/>
    <w:lvl w:ilvl="0">
      <w:lvlJc w:val="left"/>
      <w:lvlText w:val="(%1)"/>
      <w:numFmt w:val="lowerLetter"/>
      <w:start w:val="3"/>
    </w:lvl>
    <w:lvl w:ilvl="1">
      <w:lvlJc w:val="left"/>
      <w:lvlText w:val="(%2)"/>
      <w:numFmt w:val="lowerRoman"/>
      <w:start w:val="1"/>
    </w:lvl>
  </w:abstractNum>
  <w:abstractNum w:abstractNumId="604">
    <w:nsid w:val="1FB42682"/>
    <w:multiLevelType w:val="hybridMultilevel"/>
    <w:lvl w:ilvl="0">
      <w:lvlJc w:val="left"/>
      <w:lvlText w:val="(%1)"/>
      <w:numFmt w:val="lowerLetter"/>
      <w:start w:val="6"/>
    </w:lvl>
  </w:abstractNum>
  <w:abstractNum w:abstractNumId="605">
    <w:nsid w:val="45866D35"/>
    <w:multiLevelType w:val="hybridMultilevel"/>
    <w:lvl w:ilvl="0">
      <w:lvlJc w:val="left"/>
      <w:lvlText w:val="(%1)"/>
      <w:numFmt w:val="lowerLetter"/>
      <w:start w:val="8"/>
    </w:lvl>
    <w:lvl w:ilvl="1">
      <w:lvlJc w:val="left"/>
      <w:lvlText w:val="(%2)"/>
      <w:numFmt w:val="lowerLetter"/>
      <w:start w:val="9"/>
    </w:lvl>
  </w:abstractNum>
  <w:abstractNum w:abstractNumId="606">
    <w:nsid w:val="10F27D8C"/>
    <w:multiLevelType w:val="hybridMultilevel"/>
    <w:lvl w:ilvl="0">
      <w:lvlJc w:val="left"/>
      <w:lvlText w:val="%1"/>
      <w:numFmt w:val="lowerLetter"/>
      <w:start w:val="1"/>
    </w:lvl>
    <w:lvl w:ilvl="1">
      <w:lvlJc w:val="left"/>
      <w:lvlText w:val="(%2)"/>
      <w:numFmt w:val="lowerLetter"/>
      <w:start w:val="35"/>
    </w:lvl>
  </w:abstractNum>
  <w:abstractNum w:abstractNumId="607">
    <w:nsid w:val="26C64AE"/>
    <w:multiLevelType w:val="hybridMultilevel"/>
    <w:lvl w:ilvl="0">
      <w:lvlJc w:val="left"/>
      <w:lvlText w:val="(%1)"/>
      <w:numFmt w:val="lowerLetter"/>
      <w:start w:val="11"/>
    </w:lvl>
    <w:lvl w:ilvl="1">
      <w:lvlJc w:val="left"/>
      <w:lvlText w:val="(%2)"/>
      <w:numFmt w:val="lowerLetter"/>
      <w:start w:val="9"/>
    </w:lvl>
  </w:abstractNum>
  <w:abstractNum w:abstractNumId="608">
    <w:nsid w:val="7E7C514"/>
    <w:multiLevelType w:val="hybridMultilevel"/>
    <w:lvl w:ilvl="0">
      <w:lvlJc w:val="left"/>
      <w:lvlText w:val="(%1)"/>
      <w:numFmt w:val="upperLetter"/>
      <w:start w:val="1"/>
    </w:lvl>
  </w:abstractNum>
  <w:abstractNum w:abstractNumId="609">
    <w:nsid w:val="67F5CBAC"/>
    <w:multiLevelType w:val="hybridMultilevel"/>
    <w:lvl w:ilvl="0">
      <w:lvlJc w:val="left"/>
      <w:lvlText w:val="(%1)"/>
      <w:numFmt w:val="lowerRoman"/>
      <w:start w:val="2"/>
    </w:lvl>
  </w:abstractNum>
  <w:abstractNum w:abstractNumId="610">
    <w:nsid w:val="164CE714"/>
    <w:multiLevelType w:val="hybridMultilevel"/>
    <w:lvl w:ilvl="0">
      <w:lvlJc w:val="left"/>
      <w:lvlText w:val="%1"/>
      <w:numFmt w:val="lowerLetter"/>
      <w:start w:val="1"/>
    </w:lvl>
    <w:lvl w:ilvl="1">
      <w:lvlJc w:val="left"/>
      <w:lvlText w:val="(%2)"/>
      <w:numFmt w:val="lowerLetter"/>
      <w:start w:val="61"/>
    </w:lvl>
  </w:abstractNum>
  <w:abstractNum w:abstractNumId="611">
    <w:nsid w:val="15CE9F92"/>
    <w:multiLevelType w:val="hybridMultilevel"/>
    <w:lvl w:ilvl="0">
      <w:lvlJc w:val="left"/>
      <w:lvlText w:val="(%1)"/>
      <w:numFmt w:val="lowerLetter"/>
      <w:start w:val="12"/>
    </w:lvl>
    <w:lvl w:ilvl="1">
      <w:lvlJc w:val="left"/>
      <w:lvlText w:val="%2"/>
      <w:numFmt w:val="lowerLetter"/>
      <w:start w:val="1"/>
    </w:lvl>
  </w:abstractNum>
  <w:abstractNum w:abstractNumId="612">
    <w:nsid w:val="225953F9"/>
    <w:multiLevelType w:val="hybridMultilevel"/>
    <w:lvl w:ilvl="0">
      <w:lvlJc w:val="left"/>
      <w:lvlText w:val="(%1)"/>
      <w:numFmt w:val="lowerLetter"/>
      <w:start w:val="15"/>
    </w:lvl>
  </w:abstractNum>
  <w:abstractNum w:abstractNumId="613">
    <w:nsid w:val="14CF2CF8"/>
    <w:multiLevelType w:val="hybridMultilevel"/>
    <w:lvl w:ilvl="0">
      <w:lvlJc w:val="left"/>
      <w:lvlText w:val="(%1)"/>
      <w:numFmt w:val="lowerLetter"/>
      <w:start w:val="1"/>
    </w:lvl>
  </w:abstractNum>
  <w:abstractNum w:abstractNumId="614">
    <w:nsid w:val="57AA92EA"/>
    <w:multiLevelType w:val="hybridMultilevel"/>
    <w:lvl w:ilvl="0">
      <w:lvlJc w:val="left"/>
      <w:lvlText w:val="(%1)"/>
      <w:numFmt w:val="lowerLetter"/>
      <w:start w:val="2"/>
    </w:lvl>
  </w:abstractNum>
  <w:abstractNum w:abstractNumId="615">
    <w:nsid w:val="693ABDF"/>
    <w:multiLevelType w:val="hybridMultilevel"/>
    <w:lvl w:ilvl="0">
      <w:lvlJc w:val="left"/>
      <w:lvlText w:val="(%1)"/>
      <w:numFmt w:val="lowerLetter"/>
      <w:start w:val="5"/>
    </w:lvl>
  </w:abstractNum>
  <w:abstractNum w:abstractNumId="616">
    <w:nsid w:val="7285E29D"/>
    <w:multiLevelType w:val="hybridMultilevel"/>
    <w:lvl w:ilvl="0">
      <w:lvlJc w:val="left"/>
      <w:lvlText w:val="(%1)"/>
      <w:numFmt w:val="lowerLetter"/>
      <w:start w:val="1"/>
    </w:lvl>
  </w:abstractNum>
  <w:abstractNum w:abstractNumId="617">
    <w:nsid w:val="5CF31B7D"/>
    <w:multiLevelType w:val="hybridMultilevel"/>
    <w:lvl w:ilvl="0">
      <w:lvlJc w:val="left"/>
      <w:lvlText w:val="%1"/>
      <w:numFmt w:val="lowerLetter"/>
      <w:start w:val="1"/>
    </w:lvl>
    <w:lvl w:ilvl="1">
      <w:lvlJc w:val="left"/>
      <w:lvlText w:val="(%2)"/>
      <w:numFmt w:val="lowerLetter"/>
      <w:start w:val="4"/>
    </w:lvl>
  </w:abstractNum>
  <w:abstractNum w:abstractNumId="618">
    <w:nsid w:val="6CC81457"/>
    <w:multiLevelType w:val="hybridMultilevel"/>
    <w:lvl w:ilvl="0">
      <w:lvlJc w:val="left"/>
      <w:lvlText w:val="(%1)"/>
      <w:numFmt w:val="lowerLetter"/>
      <w:start w:val="35"/>
    </w:lvl>
    <w:lvl w:ilvl="1">
      <w:lvlJc w:val="left"/>
      <w:lvlText w:val="%2"/>
      <w:numFmt w:val="lowerLetter"/>
      <w:start w:val="1"/>
    </w:lvl>
  </w:abstractNum>
  <w:abstractNum w:abstractNumId="619">
    <w:nsid w:val="488A890A"/>
    <w:multiLevelType w:val="hybridMultilevel"/>
    <w:lvl w:ilvl="0">
      <w:lvlJc w:val="left"/>
      <w:lvlText w:val="(%1)"/>
      <w:numFmt w:val="lowerLetter"/>
      <w:start w:val="6"/>
    </w:lvl>
  </w:abstractNum>
  <w:abstractNum w:abstractNumId="620">
    <w:nsid w:val="4EB7487C"/>
    <w:multiLevelType w:val="hybridMultilevel"/>
    <w:lvl w:ilvl="0">
      <w:lvlJc w:val="left"/>
      <w:lvlText w:val="(%1)"/>
      <w:numFmt w:val="lowerRoman"/>
      <w:start w:val="1"/>
    </w:lvl>
    <w:lvl w:ilvl="1">
      <w:lvlJc w:val="left"/>
      <w:lvlText w:val="(%2)"/>
      <w:numFmt w:val="lowerRoman"/>
      <w:start w:val="1"/>
    </w:lvl>
  </w:abstractNum>
  <w:abstractNum w:abstractNumId="621">
    <w:nsid w:val="4DC02714"/>
    <w:multiLevelType w:val="hybridMultilevel"/>
    <w:lvl w:ilvl="0">
      <w:lvlJc w:val="left"/>
      <w:lvlText w:val="(%1)"/>
      <w:numFmt w:val="upperLetter"/>
      <w:start w:val="1"/>
    </w:lvl>
  </w:abstractNum>
  <w:abstractNum w:abstractNumId="622">
    <w:nsid w:val="79C31DD8"/>
    <w:multiLevelType w:val="hybridMultilevel"/>
    <w:lvl w:ilvl="0">
      <w:lvlJc w:val="left"/>
      <w:lvlText w:val="(%1)"/>
      <w:numFmt w:val="lowerRoman"/>
      <w:start w:val="3"/>
    </w:lvl>
  </w:abstractNum>
  <w:abstractNum w:abstractNumId="623">
    <w:nsid w:val="38F855CA"/>
    <w:multiLevelType w:val="hybridMultilevel"/>
    <w:lvl w:ilvl="0">
      <w:lvlJc w:val="left"/>
      <w:lvlText w:val="(%1)"/>
      <w:numFmt w:val="lowerLetter"/>
      <w:start w:val="1"/>
    </w:lvl>
  </w:abstractNum>
  <w:abstractNum w:abstractNumId="624">
    <w:nsid w:val="2F298A4A"/>
    <w:multiLevelType w:val="hybridMultilevel"/>
    <w:lvl w:ilvl="0">
      <w:lvlJc w:val="left"/>
      <w:lvlText w:val="(%1)"/>
      <w:numFmt w:val="lowerLetter"/>
      <w:start w:val="2"/>
    </w:lvl>
  </w:abstractNum>
  <w:abstractNum w:abstractNumId="625">
    <w:nsid w:val="33380AF8"/>
    <w:multiLevelType w:val="hybridMultilevel"/>
    <w:lvl w:ilvl="0">
      <w:lvlJc w:val="left"/>
      <w:lvlText w:val="(%1)"/>
      <w:numFmt w:val="lowerLetter"/>
      <w:start w:val="1"/>
    </w:lvl>
  </w:abstractNum>
  <w:abstractNum w:abstractNumId="626">
    <w:nsid w:val="62A2EA91"/>
    <w:multiLevelType w:val="hybridMultilevel"/>
    <w:lvl w:ilvl="0">
      <w:lvlJc w:val="left"/>
      <w:lvlText w:val="(%1)"/>
      <w:numFmt w:val="lowerLetter"/>
      <w:start w:val="2"/>
    </w:lvl>
    <w:lvl w:ilvl="1">
      <w:lvlJc w:val="left"/>
      <w:lvlText w:val="(%2)"/>
      <w:numFmt w:val="lowerRoman"/>
      <w:start w:val="1"/>
    </w:lvl>
  </w:abstractNum>
  <w:abstractNum w:abstractNumId="627">
    <w:nsid w:val="3B4FF9DB"/>
    <w:multiLevelType w:val="hybridMultilevel"/>
    <w:lvl w:ilvl="0">
      <w:lvlJc w:val="left"/>
      <w:lvlText w:val="%1"/>
      <w:numFmt w:val="lowerLetter"/>
      <w:start w:val="1"/>
    </w:lvl>
    <w:lvl w:ilvl="1">
      <w:lvlJc w:val="left"/>
      <w:lvlText w:val="(%2)"/>
      <w:numFmt w:val="lowerLetter"/>
      <w:start w:val="61"/>
    </w:lvl>
  </w:abstractNum>
  <w:abstractNum w:abstractNumId="628">
    <w:nsid w:val="32FB27C0"/>
    <w:multiLevelType w:val="hybridMultilevel"/>
    <w:lvl w:ilvl="0">
      <w:lvlJc w:val="left"/>
      <w:lvlText w:val="(%1)"/>
      <w:numFmt w:val="lowerLetter"/>
      <w:start w:val="6"/>
    </w:lvl>
    <w:lvl w:ilvl="1">
      <w:lvlJc w:val="left"/>
      <w:lvlText w:val="(%2)"/>
      <w:numFmt w:val="lowerLetter"/>
      <w:start w:val="9"/>
    </w:lvl>
  </w:abstractNum>
  <w:abstractNum w:abstractNumId="629">
    <w:nsid w:val="136513C"/>
    <w:multiLevelType w:val="hybridMultilevel"/>
    <w:lvl w:ilvl="0">
      <w:lvlJc w:val="left"/>
      <w:lvlText w:val="%1"/>
      <w:numFmt w:val="lowerLetter"/>
      <w:start w:val="1"/>
    </w:lvl>
    <w:lvl w:ilvl="1">
      <w:lvlJc w:val="left"/>
      <w:lvlText w:val="(%2)"/>
      <w:numFmt w:val="lowerLetter"/>
      <w:start w:val="35"/>
    </w:lvl>
  </w:abstractNum>
  <w:abstractNum w:abstractNumId="630">
    <w:nsid w:val="4F93AAD5"/>
    <w:multiLevelType w:val="hybridMultilevel"/>
    <w:lvl w:ilvl="0">
      <w:lvlJc w:val="left"/>
      <w:lvlText w:val="(%1)"/>
      <w:numFmt w:val="lowerLetter"/>
      <w:start w:val="7"/>
    </w:lvl>
    <w:lvl w:ilvl="1">
      <w:lvlJc w:val="left"/>
      <w:lvlText w:val="%2"/>
      <w:numFmt w:val="lowerLetter"/>
      <w:start w:val="1"/>
    </w:lvl>
  </w:abstractNum>
  <w:abstractNum w:abstractNumId="631">
    <w:nsid w:val="7B6C7D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32">
    <w:nsid w:val="16F0A06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33">
    <w:nsid w:val="6175EB8"/>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634">
    <w:nsid w:val="77B7C5CC"/>
    <w:multiLevelType w:val="hybridMultilevel"/>
    <w:lvl w:ilvl="0">
      <w:lvlJc w:val="left"/>
      <w:lvlText w:val="%1"/>
      <w:numFmt w:val="upperLetter"/>
      <w:start w:val="1"/>
    </w:lvl>
    <w:lvl w:ilvl="1">
      <w:lvlJc w:val="left"/>
      <w:lvlText w:val="(%2)"/>
      <w:numFmt w:val="lowerRoman"/>
      <w:start w:val="6"/>
    </w:lvl>
  </w:abstractNum>
  <w:abstractNum w:abstractNumId="635">
    <w:nsid w:val="36A4C6E2"/>
    <w:multiLevelType w:val="hybridMultilevel"/>
    <w:lvl w:ilvl="0">
      <w:lvlJc w:val="left"/>
      <w:lvlText w:val="(%1)"/>
      <w:numFmt w:val="upperLetter"/>
      <w:start w:val="2"/>
    </w:lvl>
    <w:lvl w:ilvl="1">
      <w:lvlJc w:val="left"/>
      <w:lvlText w:val="%2"/>
      <w:numFmt w:val="lowerRoman"/>
      <w:start w:val="1"/>
    </w:lvl>
  </w:abstractNum>
  <w:abstractNum w:abstractNumId="636">
    <w:nsid w:val="4B9DCBED"/>
    <w:multiLevelType w:val="hybridMultilevel"/>
    <w:lvl w:ilvl="0">
      <w:lvlJc w:val="left"/>
      <w:lvlText w:val="(%1)"/>
      <w:numFmt w:val="lowerRoman"/>
      <w:start w:val="8"/>
    </w:lvl>
  </w:abstractNum>
  <w:abstractNum w:abstractNumId="637">
    <w:nsid w:val="8AA4358"/>
    <w:multiLevelType w:val="hybridMultilevel"/>
    <w:lvl w:ilvl="0">
      <w:lvlJc w:val="left"/>
      <w:lvlText w:val="(%1)"/>
      <w:numFmt w:val="lowerRoman"/>
      <w:start w:val="10"/>
    </w:lvl>
  </w:abstractNum>
  <w:abstractNum w:abstractNumId="638">
    <w:nsid w:val="39112B90"/>
    <w:multiLevelType w:val="hybridMultilevel"/>
    <w:lvl w:ilvl="0">
      <w:lvlJc w:val="left"/>
      <w:lvlText w:val="%1"/>
      <w:numFmt w:val="lowerLetter"/>
      <w:start w:val="1"/>
    </w:lvl>
    <w:lvl w:ilvl="1">
      <w:lvlJc w:val="left"/>
      <w:lvlText w:val="(%2)"/>
      <w:numFmt w:val="lowerRoman"/>
      <w:start w:val="18"/>
    </w:lvl>
  </w:abstractNum>
  <w:abstractNum w:abstractNumId="639">
    <w:nsid w:val="53859101"/>
    <w:multiLevelType w:val="hybridMultilevel"/>
    <w:lvl w:ilvl="0">
      <w:lvlJc w:val="left"/>
      <w:lvlText w:val="(%1)"/>
      <w:numFmt w:val="lowerLetter"/>
      <w:start w:val="2"/>
    </w:lvl>
    <w:lvl w:ilvl="1">
      <w:lvlJc w:val="left"/>
      <w:lvlText w:val="%2"/>
      <w:numFmt w:val="lowerRoman"/>
      <w:start w:val="1"/>
    </w:lvl>
  </w:abstractNum>
  <w:abstractNum w:abstractNumId="640">
    <w:nsid w:val="70A00F05"/>
    <w:multiLevelType w:val="hybridMultilevel"/>
    <w:lvl w:ilvl="0">
      <w:lvlJc w:val="left"/>
      <w:lvlText w:val="(%1)"/>
      <w:numFmt w:val="lowerLetter"/>
      <w:start w:val="7"/>
    </w:lvl>
  </w:abstractNum>
  <w:abstractNum w:abstractNumId="641">
    <w:nsid w:val="4F5E12A4"/>
    <w:multiLevelType w:val="hybridMultilevel"/>
    <w:lvl w:ilvl="0">
      <w:lvlJc w:val="left"/>
      <w:lvlText w:val="(%1)"/>
      <w:numFmt w:val="lowerLetter"/>
      <w:start w:val="13"/>
    </w:lvl>
  </w:abstractNum>
  <w:abstractNum w:abstractNumId="642">
    <w:nsid w:val="69543093"/>
    <w:multiLevelType w:val="hybridMultilevel"/>
    <w:lvl w:ilvl="0">
      <w:lvlJc w:val="left"/>
      <w:lvlText w:val="(%1)"/>
      <w:numFmt w:val="lowerLetter"/>
      <w:start w:val="1"/>
    </w:lvl>
  </w:abstractNum>
  <w:abstractNum w:abstractNumId="643">
    <w:nsid w:val="12F962FE"/>
    <w:multiLevelType w:val="hybridMultilevel"/>
    <w:lvl w:ilvl="0">
      <w:lvlJc w:val="left"/>
      <w:lvlText w:val="(%1)"/>
      <w:numFmt w:val="lowerLetter"/>
      <w:start w:val="2"/>
    </w:lvl>
  </w:abstractNum>
  <w:abstractNum w:abstractNumId="644">
    <w:nsid w:val="642D3F9D"/>
    <w:multiLevelType w:val="hybridMultilevel"/>
    <w:lvl w:ilvl="0">
      <w:lvlJc w:val="left"/>
      <w:lvlText w:val="(%1)"/>
      <w:numFmt w:val="lowerLetter"/>
      <w:start w:val="1"/>
    </w:lvl>
  </w:abstractNum>
  <w:abstractNum w:abstractNumId="645">
    <w:nsid w:val="40FEC37E"/>
    <w:multiLevelType w:val="hybridMultilevel"/>
    <w:lvl w:ilvl="0">
      <w:lvlJc w:val="left"/>
      <w:lvlText w:val="(%1)"/>
      <w:numFmt w:val="lowerLetter"/>
      <w:start w:val="3"/>
    </w:lvl>
  </w:abstractNum>
  <w:abstractNum w:abstractNumId="646">
    <w:nsid w:val="198D0EDE"/>
    <w:multiLevelType w:val="hybridMultilevel"/>
    <w:lvl w:ilvl="0">
      <w:lvlJc w:val="left"/>
      <w:lvlText w:val="(%1)"/>
      <w:numFmt w:val="lowerLetter"/>
      <w:start w:val="1"/>
    </w:lvl>
  </w:abstractNum>
  <w:abstractNum w:abstractNumId="647">
    <w:nsid w:val="56B3223A"/>
    <w:multiLevelType w:val="hybridMultilevel"/>
    <w:lvl w:ilvl="0">
      <w:lvlJc w:val="left"/>
      <w:lvlText w:val="(%1)"/>
      <w:numFmt w:val="lowerLetter"/>
      <w:start w:val="1"/>
    </w:lvl>
  </w:abstractNum>
  <w:abstractNum w:abstractNumId="648">
    <w:nsid w:val="1DF1DEFB"/>
    <w:multiLevelType w:val="hybridMultilevel"/>
    <w:lvl w:ilvl="0">
      <w:lvlJc w:val="left"/>
      <w:lvlText w:val="(%1)"/>
      <w:numFmt w:val="lowerLetter"/>
      <w:start w:val="1"/>
    </w:lvl>
  </w:abstractNum>
  <w:abstractNum w:abstractNumId="649">
    <w:nsid w:val="6552335"/>
    <w:multiLevelType w:val="hybridMultilevel"/>
    <w:lvl w:ilvl="0">
      <w:lvlJc w:val="left"/>
      <w:lvlText w:val="(%1)"/>
      <w:numFmt w:val="lowerLetter"/>
      <w:start w:val="1"/>
    </w:lvl>
  </w:abstractNum>
  <w:abstractNum w:abstractNumId="650">
    <w:nsid w:val="1F3DAB44"/>
    <w:multiLevelType w:val="hybridMultilevel"/>
    <w:lvl w:ilvl="0">
      <w:lvlJc w:val="left"/>
      <w:lvlText w:val="(%1)"/>
      <w:numFmt w:val="lowerLetter"/>
      <w:start w:val="1"/>
    </w:lvl>
  </w:abstractNum>
  <w:abstractNum w:abstractNumId="651">
    <w:nsid w:val="6CA92777"/>
    <w:multiLevelType w:val="hybridMultilevel"/>
    <w:lvl w:ilvl="0">
      <w:lvlJc w:val="left"/>
      <w:lvlText w:val="(%1)"/>
      <w:numFmt w:val="lowerRoman"/>
      <w:start w:val="2"/>
    </w:lvl>
  </w:abstractNum>
  <w:abstractNum w:abstractNumId="652">
    <w:nsid w:val="54154A49"/>
    <w:multiLevelType w:val="hybridMultilevel"/>
    <w:lvl w:ilvl="0">
      <w:lvlJc w:val="left"/>
      <w:lvlText w:val="(%1)"/>
      <w:numFmt w:val="lowerLetter"/>
      <w:start w:val="1"/>
    </w:lvl>
    <w:lvl w:ilvl="1">
      <w:lvlJc w:val="left"/>
      <w:lvlText w:val="(%2)"/>
      <w:numFmt w:val="lowerRoman"/>
      <w:start w:val="1"/>
    </w:lvl>
  </w:abstractNum>
  <w:abstractNum w:abstractNumId="653">
    <w:nsid w:val="1900C91C"/>
    <w:multiLevelType w:val="hybridMultilevel"/>
    <w:lvl w:ilvl="0">
      <w:lvlJc w:val="left"/>
      <w:lvlText w:val="%1"/>
      <w:numFmt w:val="lowerLetter"/>
      <w:start w:val="1"/>
    </w:lvl>
    <w:lvl w:ilvl="1">
      <w:lvlJc w:val="left"/>
      <w:lvlText w:val="(%2)"/>
      <w:numFmt w:val="lowerRoman"/>
      <w:start w:val="4"/>
    </w:lvl>
  </w:abstractNum>
  <w:abstractNum w:abstractNumId="654">
    <w:nsid w:val="25A17D41"/>
    <w:multiLevelType w:val="hybridMultilevel"/>
    <w:lvl w:ilvl="0">
      <w:lvlJc w:val="left"/>
      <w:lvlText w:val="(%1)"/>
      <w:numFmt w:val="lowerLetter"/>
      <w:start w:val="2"/>
    </w:lvl>
    <w:lvl w:ilvl="1">
      <w:lvlJc w:val="left"/>
      <w:lvlText w:val="%2"/>
      <w:numFmt w:val="lowerRoman"/>
      <w:start w:val="1"/>
    </w:lvl>
  </w:abstractNum>
  <w:abstractNum w:abstractNumId="655">
    <w:nsid w:val="33ED493"/>
    <w:multiLevelType w:val="hybridMultilevel"/>
    <w:lvl w:ilvl="0">
      <w:lvlJc w:val="left"/>
      <w:lvlText w:val="(%1)"/>
      <w:numFmt w:val="lowerLetter"/>
      <w:start w:val="1"/>
    </w:lvl>
  </w:abstractNum>
  <w:abstractNum w:abstractNumId="656">
    <w:nsid w:val="4C38D41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657">
    <w:nsid w:val="84467D2"/>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658">
    <w:nsid w:val="3E8ECE6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659">
    <w:nsid w:val="7F33FBD4"/>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660">
    <w:nsid w:val="97AB90E"/>
    <w:multiLevelType w:val="hybridMultilevel"/>
    <w:lvl w:ilvl="0">
      <w:lvlJc w:val="left"/>
      <w:lvlText w:val="(%1)"/>
      <w:numFmt w:val="upperLetter"/>
      <w:start w:val="2"/>
    </w:lvl>
    <w:lvl w:ilvl="1">
      <w:lvlJc w:val="left"/>
      <w:lvlText w:val="(%2)"/>
      <w:numFmt w:val="lowerLetter"/>
      <w:start w:val="6"/>
    </w:lvl>
    <w:lvl w:ilvl="2">
      <w:lvlJc w:val="left"/>
      <w:lvlText w:val="(%3)"/>
      <w:numFmt w:val="lowerLetter"/>
      <w:start w:val="35"/>
    </w:lvl>
  </w:abstractNum>
  <w:abstractNum w:abstractNumId="661">
    <w:nsid w:val="E227944"/>
    <w:multiLevelType w:val="hybridMultilevel"/>
    <w:lvl w:ilvl="0">
      <w:lvlJc w:val="left"/>
      <w:lvlText w:val="(%1)"/>
      <w:numFmt w:val="lowerLetter"/>
      <w:start w:val="10"/>
    </w:lvl>
  </w:abstractNum>
  <w:abstractNum w:abstractNumId="662">
    <w:nsid w:val="7AA0799A"/>
    <w:multiLevelType w:val="hybridMultilevel"/>
    <w:lvl w:ilvl="0">
      <w:lvlJc w:val="left"/>
      <w:lvlText w:val="(%1)"/>
      <w:numFmt w:val="lowerRoman"/>
      <w:start w:val="1"/>
    </w:lvl>
  </w:abstractNum>
  <w:abstractNum w:abstractNumId="663">
    <w:nsid w:val="206B596E"/>
    <w:multiLevelType w:val="hybridMultilevel"/>
    <w:lvl w:ilvl="0">
      <w:lvlJc w:val="left"/>
      <w:lvlText w:val="(%1)"/>
      <w:numFmt w:val="lowerLetter"/>
      <w:start w:val="1"/>
    </w:lvl>
  </w:abstractNum>
  <w:abstractNum w:abstractNumId="664">
    <w:nsid w:val="1439D7FC"/>
    <w:multiLevelType w:val="hybridMultilevel"/>
    <w:lvl w:ilvl="0">
      <w:lvlJc w:val="left"/>
      <w:lvlText w:val="(%1)"/>
      <w:numFmt w:val="lowerLetter"/>
      <w:start w:val="2"/>
    </w:lvl>
  </w:abstractNum>
  <w:abstractNum w:abstractNumId="665">
    <w:nsid w:val="72583F67"/>
    <w:multiLevelType w:val="hybridMultilevel"/>
    <w:lvl w:ilvl="0">
      <w:lvlJc w:val="left"/>
      <w:lvlText w:val="(%1)"/>
      <w:numFmt w:val="lowerLetter"/>
      <w:start w:val="1"/>
    </w:lvl>
  </w:abstractNum>
  <w:abstractNum w:abstractNumId="666">
    <w:nsid w:val="57102051"/>
    <w:multiLevelType w:val="hybridMultilevel"/>
    <w:lvl w:ilvl="0">
      <w:lvlJc w:val="left"/>
      <w:lvlText w:val="(%1)"/>
      <w:numFmt w:val="lowerLetter"/>
      <w:start w:val="3"/>
    </w:lvl>
  </w:abstractNum>
  <w:abstractNum w:abstractNumId="667">
    <w:nsid w:val="5FD7A3E9"/>
    <w:multiLevelType w:val="hybridMultilevel"/>
    <w:lvl w:ilvl="0">
      <w:lvlJc w:val="left"/>
      <w:lvlText w:val="(%1)"/>
      <w:numFmt w:val="lowerLetter"/>
      <w:start w:val="5"/>
    </w:lvl>
  </w:abstractNum>
  <w:abstractNum w:abstractNumId="668">
    <w:nsid w:val="7B0282BF"/>
    <w:multiLevelType w:val="hybridMultilevel"/>
    <w:lvl w:ilvl="0">
      <w:lvlJc w:val="left"/>
      <w:lvlText w:val="%1"/>
      <w:numFmt w:val="lowerLetter"/>
      <w:start w:val="1"/>
    </w:lvl>
    <w:lvl w:ilvl="1">
      <w:lvlJc w:val="left"/>
      <w:lvlText w:val="(%2)"/>
      <w:numFmt w:val="lowerLetter"/>
      <w:start w:val="9"/>
    </w:lvl>
  </w:abstractNum>
  <w:abstractNum w:abstractNumId="669">
    <w:nsid w:val="10214BE1"/>
    <w:multiLevelType w:val="hybridMultilevel"/>
    <w:lvl w:ilvl="0">
      <w:lvlJc w:val="left"/>
      <w:lvlText w:val="(%1)"/>
      <w:numFmt w:val="lowerLetter"/>
      <w:start w:val="61"/>
    </w:lvl>
    <w:lvl w:ilvl="1">
      <w:lvlJc w:val="left"/>
      <w:lvlText w:val="(%2)"/>
      <w:numFmt w:val="lowerLetter"/>
      <w:start w:val="10"/>
    </w:lvl>
  </w:abstractNum>
  <w:abstractNum w:abstractNumId="670">
    <w:nsid w:val="335D34EA"/>
    <w:multiLevelType w:val="hybridMultilevel"/>
    <w:lvl w:ilvl="0">
      <w:lvlJc w:val="left"/>
      <w:lvlText w:val="(%1)"/>
      <w:numFmt w:val="lowerLetter"/>
      <w:start w:val="1"/>
    </w:lvl>
  </w:abstractNum>
  <w:abstractNum w:abstractNumId="671">
    <w:nsid w:val="6BA291C4"/>
    <w:multiLevelType w:val="hybridMultilevel"/>
    <w:lvl w:ilvl="0">
      <w:lvlJc w:val="left"/>
      <w:lvlText w:val="%1"/>
      <w:numFmt w:val="lowerLetter"/>
      <w:start w:val="1"/>
    </w:lvl>
    <w:lvl w:ilvl="1">
      <w:lvlJc w:val="left"/>
      <w:lvlText w:val="(%2)"/>
      <w:numFmt w:val="lowerLetter"/>
      <w:start w:val="2"/>
    </w:lvl>
  </w:abstractNum>
  <w:abstractNum w:abstractNumId="672">
    <w:nsid w:val="5F7F5E86"/>
    <w:multiLevelType w:val="hybridMultilevel"/>
    <w:lvl w:ilvl="0">
      <w:lvlJc w:val="left"/>
      <w:lvlText w:val="(%1)"/>
      <w:numFmt w:val="lowerLetter"/>
      <w:start w:val="9"/>
    </w:lvl>
    <w:lvl w:ilvl="1">
      <w:lvlJc w:val="left"/>
      <w:lvlText w:val="(%2)"/>
      <w:numFmt w:val="lowerLetter"/>
      <w:start w:val="4"/>
    </w:lvl>
  </w:abstractNum>
  <w:abstractNum w:abstractNumId="673">
    <w:nsid w:val="1CB1657E"/>
    <w:multiLevelType w:val="hybridMultilevel"/>
    <w:lvl w:ilvl="0">
      <w:lvlJc w:val="left"/>
      <w:lvlText w:val="(%1)"/>
      <w:numFmt w:val="lowerLetter"/>
      <w:start w:val="1"/>
    </w:lvl>
    <w:lvl w:ilvl="1">
      <w:lvlJc w:val="left"/>
      <w:lvlText w:val="(%2)"/>
      <w:numFmt w:val="lowerRoman"/>
      <w:start w:val="1"/>
    </w:lvl>
  </w:abstractNum>
  <w:abstractNum w:abstractNumId="674">
    <w:nsid w:val="7E9BF4C3"/>
    <w:multiLevelType w:val="hybridMultilevel"/>
    <w:lvl w:ilvl="0">
      <w:lvlJc w:val="left"/>
      <w:lvlText w:val="(%1)"/>
      <w:numFmt w:val="lowerLetter"/>
      <w:start w:val="1"/>
    </w:lvl>
  </w:abstractNum>
  <w:abstractNum w:abstractNumId="675">
    <w:nsid w:val="43AC9E23"/>
    <w:multiLevelType w:val="hybridMultilevel"/>
    <w:lvl w:ilvl="0">
      <w:lvlJc w:val="left"/>
      <w:lvlText w:val="%1"/>
      <w:numFmt w:val="upperLetter"/>
      <w:start w:val="1"/>
    </w:lvl>
    <w:lvl w:ilvl="1">
      <w:lvlJc w:val="left"/>
      <w:lvlText w:val="(%2)"/>
      <w:numFmt w:val="lowerLetter"/>
      <w:start w:val="7"/>
    </w:lvl>
  </w:abstractNum>
  <w:abstractNum w:abstractNumId="676">
    <w:nsid w:val="5DB028FC"/>
    <w:multiLevelType w:val="hybridMultilevel"/>
    <w:lvl w:ilvl="0">
      <w:lvlJc w:val="left"/>
      <w:lvlText w:val="(%1)"/>
      <w:numFmt w:val="upperLetter"/>
      <w:start w:val="1"/>
    </w:lvl>
    <w:lvl w:ilvl="1">
      <w:lvlJc w:val="left"/>
      <w:lvlText w:val="(%2)"/>
      <w:numFmt w:val="lowerLetter"/>
      <w:start w:val="9"/>
    </w:lvl>
  </w:abstractNum>
  <w:abstractNum w:abstractNumId="677">
    <w:nsid w:val="182903A1"/>
    <w:multiLevelType w:val="hybridMultilevel"/>
    <w:lvl w:ilvl="0">
      <w:lvlJc w:val="left"/>
      <w:lvlText w:val="%1"/>
      <w:numFmt w:val="upperLetter"/>
      <w:start w:val="1"/>
    </w:lvl>
    <w:lvl w:ilvl="1">
      <w:lvlJc w:val="left"/>
      <w:lvlText w:val="(%2)"/>
      <w:numFmt w:val="lowerLetter"/>
      <w:start w:val="12"/>
    </w:lvl>
  </w:abstractNum>
  <w:abstractNum w:abstractNumId="678">
    <w:nsid w:val="1A5FC05D"/>
    <w:multiLevelType w:val="hybridMultilevel"/>
    <w:lvl w:ilvl="0">
      <w:lvlJc w:val="left"/>
      <w:lvlText w:val="(%1)"/>
      <w:numFmt w:val="upperLetter"/>
      <w:start w:val="2"/>
    </w:lvl>
    <w:lvl w:ilvl="1">
      <w:lvlJc w:val="left"/>
      <w:lvlText w:val="(%2)"/>
      <w:numFmt w:val="lowerLetter"/>
      <w:start w:val="17"/>
    </w:lvl>
  </w:abstractNum>
  <w:abstractNum w:abstractNumId="679">
    <w:nsid w:val="7BA207F7"/>
    <w:multiLevelType w:val="hybridMultilevel"/>
    <w:lvl w:ilvl="0">
      <w:lvlJc w:val="left"/>
      <w:lvlText w:val="(%1)"/>
      <w:numFmt w:val="lowerLetter"/>
      <w:start w:val="19"/>
    </w:lvl>
  </w:abstractNum>
  <w:abstractNum w:abstractNumId="680">
    <w:nsid w:val="1E7E26D6"/>
    <w:multiLevelType w:val="hybridMultilevel"/>
    <w:lvl w:ilvl="0">
      <w:lvlJc w:val="left"/>
      <w:lvlText w:val="%1"/>
      <w:numFmt w:val="upperLetter"/>
      <w:start w:val="1"/>
    </w:lvl>
    <w:lvl w:ilvl="1">
      <w:lvlJc w:val="left"/>
      <w:lvlText w:val="(%2)"/>
      <w:numFmt w:val="lowerLetter"/>
      <w:start w:val="1"/>
    </w:lvl>
  </w:abstractNum>
  <w:abstractNum w:abstractNumId="681">
    <w:nsid w:val="399D6BA1"/>
    <w:multiLevelType w:val="hybridMultilevel"/>
    <w:lvl w:ilvl="0">
      <w:lvlJc w:val="left"/>
      <w:lvlText w:val="(%1)"/>
      <w:numFmt w:val="upperLetter"/>
      <w:start w:val="1"/>
    </w:lvl>
    <w:lvl w:ilvl="1">
      <w:lvlJc w:val="left"/>
      <w:lvlText w:val="%2"/>
      <w:numFmt w:val="lowerLetter"/>
      <w:start w:val="1"/>
    </w:lvl>
  </w:abstractNum>
  <w:abstractNum w:abstractNumId="682">
    <w:nsid w:val="684B2F6E"/>
    <w:multiLevelType w:val="hybridMultilevel"/>
    <w:lvl w:ilvl="0">
      <w:lvlJc w:val="left"/>
      <w:lvlText w:val="(%1)"/>
      <w:numFmt w:val="lowerLetter"/>
      <w:start w:val="3"/>
    </w:lvl>
  </w:abstractNum>
  <w:abstractNum w:abstractNumId="683">
    <w:nsid w:val="7293711F"/>
    <w:multiLevelType w:val="hybridMultilevel"/>
    <w:lvl w:ilvl="0">
      <w:lvlJc w:val="left"/>
      <w:lvlText w:val="(%1)"/>
      <w:numFmt w:val="lowerLetter"/>
      <w:start w:val="1"/>
    </w:lvl>
  </w:abstractNum>
  <w:abstractNum w:abstractNumId="684">
    <w:nsid w:val="529E34BD"/>
    <w:multiLevelType w:val="hybridMultilevel"/>
    <w:lvl w:ilvl="0">
      <w:lvlJc w:val="left"/>
      <w:lvlText w:val="(%1)"/>
      <w:numFmt w:val="lowerLetter"/>
      <w:start w:val="6"/>
    </w:lvl>
  </w:abstractNum>
  <w:abstractNum w:abstractNumId="685">
    <w:nsid w:val="DECACAF"/>
    <w:multiLevelType w:val="hybridMultilevel"/>
    <w:lvl w:ilvl="0">
      <w:lvlJc w:val="left"/>
      <w:lvlText w:val="(%1)"/>
      <w:numFmt w:val="lowerLetter"/>
      <w:start w:val="1"/>
    </w:lvl>
  </w:abstractNum>
  <w:abstractNum w:abstractNumId="686">
    <w:nsid w:val="75D245B2"/>
    <w:multiLevelType w:val="hybridMultilevel"/>
    <w:lvl w:ilvl="0">
      <w:lvlJc w:val="left"/>
      <w:lvlText w:val="%1"/>
      <w:numFmt w:val="lowerLetter"/>
      <w:start w:val="1"/>
    </w:lvl>
    <w:lvl w:ilvl="1">
      <w:lvlJc w:val="left"/>
      <w:lvlText w:val="(%2)"/>
      <w:numFmt w:val="lowerLetter"/>
      <w:start w:val="9"/>
    </w:lvl>
  </w:abstractNum>
  <w:abstractNum w:abstractNumId="687">
    <w:nsid w:val="1ED708D2"/>
    <w:multiLevelType w:val="hybridMultilevel"/>
    <w:lvl w:ilvl="0">
      <w:lvlJc w:val="left"/>
      <w:lvlText w:val="(%1)"/>
      <w:numFmt w:val="lowerLetter"/>
      <w:start w:val="35"/>
    </w:lvl>
    <w:lvl w:ilvl="1">
      <w:lvlJc w:val="left"/>
      <w:lvlText w:val="(%2)"/>
      <w:numFmt w:val="lowerLetter"/>
      <w:start w:val="12"/>
    </w:lvl>
  </w:abstractNum>
  <w:abstractNum w:abstractNumId="688">
    <w:nsid w:val="16311481"/>
    <w:multiLevelType w:val="hybridMultilevel"/>
    <w:lvl w:ilvl="0">
      <w:lvlJc w:val="left"/>
      <w:lvlText w:val="(%1)"/>
      <w:numFmt w:val="lowerLetter"/>
      <w:start w:val="1"/>
    </w:lvl>
  </w:abstractNum>
  <w:abstractNum w:abstractNumId="689">
    <w:nsid w:val="34611421"/>
    <w:multiLevelType w:val="hybridMultilevel"/>
    <w:lvl w:ilvl="0">
      <w:lvlJc w:val="left"/>
      <w:lvlText w:val="(%1)"/>
      <w:numFmt w:val="lowerLetter"/>
      <w:start w:val="4"/>
    </w:lvl>
  </w:abstractNum>
  <w:abstractNum w:abstractNumId="690">
    <w:nsid w:val="1E0B04A6"/>
    <w:multiLevelType w:val="hybridMultilevel"/>
    <w:lvl w:ilvl="0">
      <w:lvlJc w:val="left"/>
      <w:lvlText w:val="(%1)"/>
      <w:numFmt w:val="lowerLetter"/>
      <w:start w:val="16"/>
    </w:lvl>
  </w:abstractNum>
  <w:abstractNum w:abstractNumId="691">
    <w:nsid w:val="1FABCD90"/>
    <w:multiLevelType w:val="hybridMultilevel"/>
    <w:lvl w:ilvl="0">
      <w:lvlJc w:val="left"/>
      <w:lvlText w:val="(%1)"/>
      <w:numFmt w:val="lowerLetter"/>
      <w:start w:val="1"/>
    </w:lvl>
  </w:abstractNum>
  <w:abstractNum w:abstractNumId="692">
    <w:nsid w:val="42838D65"/>
    <w:multiLevelType w:val="hybridMultilevel"/>
    <w:lvl w:ilvl="0">
      <w:lvlJc w:val="left"/>
      <w:lvlText w:val="%1"/>
      <w:numFmt w:val="lowerLetter"/>
      <w:start w:val="1"/>
    </w:lvl>
    <w:lvl w:ilvl="1">
      <w:lvlJc w:val="left"/>
      <w:lvlText w:val="(%2)"/>
      <w:numFmt w:val="lowerLetter"/>
      <w:start w:val="2"/>
    </w:lvl>
  </w:abstractNum>
  <w:abstractNum w:abstractNumId="693">
    <w:nsid w:val="18AB7E41"/>
    <w:multiLevelType w:val="hybridMultilevel"/>
    <w:lvl w:ilvl="0">
      <w:lvlJc w:val="left"/>
      <w:lvlText w:val="(%1)"/>
      <w:numFmt w:val="lowerLetter"/>
      <w:start w:val="35"/>
    </w:lvl>
    <w:lvl w:ilvl="1">
      <w:lvlJc w:val="left"/>
      <w:lvlText w:val="(%2)"/>
      <w:numFmt w:val="lowerLetter"/>
      <w:start w:val="4"/>
    </w:lvl>
  </w:abstractNum>
  <w:abstractNum w:abstractNumId="694">
    <w:nsid w:val="401726FE"/>
    <w:multiLevelType w:val="hybridMultilevel"/>
    <w:lvl w:ilvl="0">
      <w:lvlJc w:val="left"/>
      <w:lvlText w:val="%1"/>
      <w:numFmt w:val="lowerLetter"/>
      <w:start w:val="1"/>
    </w:lvl>
    <w:lvl w:ilvl="1">
      <w:lvlJc w:val="left"/>
      <w:lvlText w:val="(%2)"/>
      <w:numFmt w:val="lowerLetter"/>
      <w:start w:val="6"/>
    </w:lvl>
  </w:abstractNum>
  <w:abstractNum w:abstractNumId="695">
    <w:nsid w:val="56BD6561"/>
    <w:multiLevelType w:val="hybridMultilevel"/>
    <w:lvl w:ilvl="0">
      <w:lvlJc w:val="left"/>
      <w:lvlText w:val="(%1)"/>
      <w:numFmt w:val="lowerLetter"/>
      <w:start w:val="24"/>
    </w:lvl>
    <w:lvl w:ilvl="1">
      <w:lvlJc w:val="left"/>
      <w:lvlText w:val="%2"/>
      <w:numFmt w:val="lowerLetter"/>
      <w:start w:val="1"/>
    </w:lvl>
  </w:abstractNum>
  <w:abstractNum w:abstractNumId="696">
    <w:nsid w:val="B03BDA8"/>
    <w:multiLevelType w:val="hybridMultilevel"/>
    <w:lvl w:ilvl="0">
      <w:lvlJc w:val="left"/>
      <w:lvlText w:val="(%1)"/>
      <w:numFmt w:val="lowerLetter"/>
      <w:start w:val="2"/>
    </w:lvl>
  </w:abstractNum>
  <w:abstractNum w:abstractNumId="697">
    <w:nsid w:val="1727474F"/>
    <w:multiLevelType w:val="hybridMultilevel"/>
    <w:lvl w:ilvl="0">
      <w:lvlJc w:val="left"/>
      <w:lvlText w:val="(%1)"/>
      <w:numFmt w:val="lowerLetter"/>
      <w:start w:val="1"/>
    </w:lvl>
  </w:abstractNum>
  <w:abstractNum w:abstractNumId="698">
    <w:nsid w:val="3695094A"/>
    <w:multiLevelType w:val="hybridMultilevel"/>
    <w:lvl w:ilvl="0">
      <w:lvlJc w:val="left"/>
      <w:lvlText w:val="(%1)"/>
      <w:numFmt w:val="lowerLetter"/>
      <w:start w:val="2"/>
    </w:lvl>
  </w:abstractNum>
  <w:abstractNum w:abstractNumId="699">
    <w:nsid w:val="6064067"/>
    <w:multiLevelType w:val="hybridMultilevel"/>
    <w:lvl w:ilvl="0">
      <w:lvlJc w:val="left"/>
      <w:lvlText w:val="(%1)"/>
      <w:numFmt w:val="lowerLetter"/>
      <w:start w:val="4"/>
    </w:lvl>
  </w:abstractNum>
  <w:abstractNum w:abstractNumId="700">
    <w:nsid w:val="27489331"/>
    <w:multiLevelType w:val="hybridMultilevel"/>
    <w:lvl w:ilvl="0">
      <w:lvlJc w:val="left"/>
      <w:lvlText w:val="(%1)"/>
      <w:numFmt w:val="lowerLetter"/>
      <w:start w:val="1"/>
    </w:lvl>
  </w:abstractNum>
  <w:abstractNum w:abstractNumId="701">
    <w:nsid w:val="69F23E34"/>
    <w:multiLevelType w:val="hybridMultilevel"/>
    <w:lvl w:ilvl="0">
      <w:lvlJc w:val="left"/>
      <w:lvlText w:val="(%1)"/>
      <w:numFmt w:val="lowerLetter"/>
      <w:start w:val="3"/>
    </w:lvl>
  </w:abstractNum>
  <w:abstractNum w:abstractNumId="702">
    <w:nsid w:val="71A8D22C"/>
    <w:multiLevelType w:val="hybridMultilevel"/>
    <w:lvl w:ilvl="0">
      <w:lvlJc w:val="left"/>
      <w:lvlText w:val="(%1)"/>
      <w:numFmt w:val="lowerLetter"/>
      <w:start w:val="1"/>
    </w:lvl>
  </w:abstractNum>
  <w:abstractNum w:abstractNumId="703">
    <w:nsid w:val="6C7F1B7"/>
    <w:multiLevelType w:val="hybridMultilevel"/>
    <w:lvl w:ilvl="0">
      <w:lvlJc w:val="left"/>
      <w:lvlText w:val="(%1)"/>
      <w:numFmt w:val="lowerLetter"/>
      <w:start w:val="6"/>
    </w:lvl>
  </w:abstractNum>
  <w:abstractNum w:abstractNumId="704">
    <w:nsid w:val="6A3A3B2"/>
    <w:multiLevelType w:val="hybridMultilevel"/>
    <w:lvl w:ilvl="0">
      <w:lvlJc w:val="left"/>
      <w:lvlText w:val="(%1)"/>
      <w:numFmt w:val="lowerLetter"/>
      <w:start w:val="12"/>
    </w:lvl>
  </w:abstractNum>
  <w:abstractNum w:abstractNumId="705">
    <w:nsid w:val="7044C6EF"/>
    <w:multiLevelType w:val="hybridMultilevel"/>
    <w:lvl w:ilvl="0">
      <w:lvlJc w:val="left"/>
      <w:lvlText w:val="(%1)"/>
      <w:numFmt w:val="lowerLetter"/>
      <w:start w:val="16"/>
    </w:lvl>
  </w:abstractNum>
  <w:abstractNum w:abstractNumId="706">
    <w:nsid w:val="4A748FDA"/>
    <w:multiLevelType w:val="hybridMultilevel"/>
    <w:lvl w:ilvl="0">
      <w:lvlJc w:val="left"/>
      <w:lvlText w:val="(%1)"/>
      <w:numFmt w:val="lowerRoman"/>
      <w:start w:val="1"/>
    </w:lvl>
  </w:abstractNum>
  <w:abstractNum w:abstractNumId="707">
    <w:nsid w:val="6453CCAE"/>
    <w:multiLevelType w:val="hybridMultilevel"/>
    <w:lvl w:ilvl="0">
      <w:lvlJc w:val="left"/>
      <w:lvlText w:val="(%1)"/>
      <w:numFmt w:val="lowerLetter"/>
      <w:start w:val="1"/>
    </w:lvl>
  </w:abstractNum>
  <w:abstractNum w:abstractNumId="708">
    <w:nsid w:val="86DCA90"/>
    <w:multiLevelType w:val="hybridMultilevel"/>
    <w:lvl w:ilvl="0">
      <w:lvlJc w:val="left"/>
      <w:lvlText w:val="(%1)"/>
      <w:numFmt w:val="lowerLetter"/>
      <w:start w:val="2"/>
    </w:lvl>
  </w:abstractNum>
  <w:abstractNum w:abstractNumId="709">
    <w:nsid w:val="64D45037"/>
    <w:multiLevelType w:val="hybridMultilevel"/>
    <w:lvl w:ilvl="0">
      <w:lvlJc w:val="left"/>
      <w:lvlText w:val="(%1)"/>
      <w:numFmt w:val="lowerLetter"/>
      <w:start w:val="1"/>
    </w:lvl>
    <w:lvl w:ilvl="1">
      <w:lvlJc w:val="left"/>
      <w:lvlText w:val="(%2)"/>
      <w:numFmt w:val="lowerLetter"/>
      <w:start w:val="9"/>
    </w:lvl>
  </w:abstractNum>
  <w:abstractNum w:abstractNumId="710">
    <w:nsid w:val="5FF5D4A5"/>
    <w:multiLevelType w:val="hybridMultilevel"/>
    <w:lvl w:ilvl="0">
      <w:lvlJc w:val="left"/>
      <w:lvlText w:val="%1"/>
      <w:numFmt w:val="lowerLetter"/>
      <w:start w:val="1"/>
    </w:lvl>
    <w:lvl w:ilvl="1">
      <w:lvlJc w:val="left"/>
      <w:lvlText w:val="(%2)"/>
      <w:numFmt w:val="lowerLetter"/>
      <w:start w:val="35"/>
    </w:lvl>
  </w:abstractNum>
  <w:abstractNum w:abstractNumId="711">
    <w:nsid w:val="26EBF166"/>
    <w:multiLevelType w:val="hybridMultilevel"/>
    <w:lvl w:ilvl="0">
      <w:lvlJc w:val="left"/>
      <w:lvlText w:val="(%1)"/>
      <w:numFmt w:val="lowerLetter"/>
      <w:start w:val="4"/>
    </w:lvl>
    <w:lvl w:ilvl="1">
      <w:lvlJc w:val="left"/>
      <w:lvlText w:val="(%2)"/>
      <w:numFmt w:val="lowerLetter"/>
      <w:start w:val="9"/>
    </w:lvl>
  </w:abstractNum>
  <w:abstractNum w:abstractNumId="712">
    <w:nsid w:val="1E71BBD8"/>
    <w:multiLevelType w:val="hybridMultilevel"/>
    <w:lvl w:ilvl="0">
      <w:lvlJc w:val="left"/>
      <w:lvlText w:val="(%1)"/>
      <w:numFmt w:val="lowerRoman"/>
      <w:start w:val="2"/>
    </w:lvl>
  </w:abstractNum>
  <w:abstractNum w:abstractNumId="713">
    <w:nsid w:val="48410413"/>
    <w:multiLevelType w:val="hybridMultilevel"/>
    <w:lvl w:ilvl="0">
      <w:lvlJc w:val="left"/>
      <w:lvlText w:val="(%1)"/>
      <w:numFmt w:val="lowerLetter"/>
      <w:start w:val="1"/>
    </w:lvl>
  </w:abstractNum>
  <w:abstractNum w:abstractNumId="714">
    <w:nsid w:val="197F6285"/>
    <w:multiLevelType w:val="hybridMultilevel"/>
    <w:lvl w:ilvl="0">
      <w:lvlJc w:val="left"/>
      <w:lvlText w:val="(%1)"/>
      <w:numFmt w:val="lowerLetter"/>
      <w:start w:val="2"/>
    </w:lvl>
  </w:abstractNum>
  <w:abstractNum w:abstractNumId="715">
    <w:nsid w:val="710FF095"/>
    <w:multiLevelType w:val="hybridMultilevel"/>
    <w:lvl w:ilvl="0">
      <w:lvlJc w:val="left"/>
      <w:lvlText w:val="(%1)"/>
      <w:numFmt w:val="lowerLetter"/>
      <w:start w:val="1"/>
    </w:lvl>
  </w:abstractNum>
  <w:abstractNum w:abstractNumId="716">
    <w:nsid w:val="562DB0C2"/>
    <w:multiLevelType w:val="hybridMultilevel"/>
    <w:lvl w:ilvl="0">
      <w:lvlJc w:val="left"/>
      <w:lvlText w:val="(%1)"/>
      <w:numFmt w:val="lowerLetter"/>
      <w:start w:val="2"/>
    </w:lvl>
    <w:lvl w:ilvl="1">
      <w:lvlJc w:val="left"/>
      <w:lvlText w:val="(%2)"/>
      <w:numFmt w:val="lowerRoman"/>
      <w:start w:val="1"/>
    </w:lvl>
  </w:abstractNum>
  <w:abstractNum w:abstractNumId="717">
    <w:nsid w:val="F51A837"/>
    <w:multiLevelType w:val="hybridMultilevel"/>
    <w:lvl w:ilvl="0">
      <w:lvlJc w:val="left"/>
      <w:lvlText w:val="%1"/>
      <w:numFmt w:val="lowerRoman"/>
      <w:start w:val="1"/>
    </w:lvl>
    <w:lvl w:ilvl="1">
      <w:lvlJc w:val="left"/>
      <w:lvlText w:val="(%2)"/>
      <w:numFmt w:val="lowerLetter"/>
      <w:start w:val="1"/>
    </w:lvl>
  </w:abstractNum>
  <w:abstractNum w:abstractNumId="718">
    <w:nsid w:val="FE6F967"/>
    <w:multiLevelType w:val="hybridMultilevel"/>
    <w:lvl w:ilvl="0">
      <w:lvlJc w:val="left"/>
      <w:lvlText w:val="(%1)"/>
      <w:numFmt w:val="lowerRoman"/>
      <w:start w:val="4"/>
    </w:lvl>
    <w:lvl w:ilvl="1">
      <w:lvlJc w:val="left"/>
      <w:lvlText w:val="%2"/>
      <w:numFmt w:val="lowerLetter"/>
      <w:start w:val="1"/>
    </w:lvl>
  </w:abstractNum>
  <w:abstractNum w:abstractNumId="719">
    <w:nsid w:val="6C5EC544"/>
    <w:multiLevelType w:val="hybridMultilevel"/>
    <w:lvl w:ilvl="0">
      <w:lvlJc w:val="left"/>
      <w:lvlText w:val="(%1)"/>
      <w:numFmt w:val="lowerLetter"/>
      <w:start w:val="2"/>
    </w:lvl>
  </w:abstractNum>
  <w:abstractNum w:abstractNumId="720">
    <w:nsid w:val="43B2BC58"/>
    <w:multiLevelType w:val="hybridMultilevel"/>
    <w:lvl w:ilvl="0">
      <w:lvlJc w:val="left"/>
      <w:lvlText w:val="(%1)"/>
      <w:numFmt w:val="lowerRoman"/>
      <w:start w:val="1"/>
    </w:lvl>
  </w:abstractNum>
  <w:abstractNum w:abstractNumId="721">
    <w:nsid w:val="2DF1FE0E"/>
    <w:multiLevelType w:val="hybridMultilevel"/>
    <w:lvl w:ilvl="0">
      <w:lvlJc w:val="left"/>
      <w:lvlText w:val="%1"/>
      <w:numFmt w:val="lowerLetter"/>
      <w:start w:val="1"/>
    </w:lvl>
    <w:lvl w:ilvl="1">
      <w:lvlJc w:val="left"/>
      <w:lvlText w:val="(%2)"/>
      <w:numFmt w:val="lowerRoman"/>
      <w:start w:val="4"/>
    </w:lvl>
  </w:abstractNum>
  <w:abstractNum w:abstractNumId="722">
    <w:nsid w:val="C0A92D4"/>
    <w:multiLevelType w:val="hybridMultilevel"/>
    <w:lvl w:ilvl="0">
      <w:lvlJc w:val="left"/>
      <w:lvlText w:val="(%1)"/>
      <w:numFmt w:val="lowerLetter"/>
      <w:start w:val="2"/>
    </w:lvl>
    <w:lvl w:ilvl="1">
      <w:lvlJc w:val="left"/>
      <w:lvlText w:val="(%2)"/>
      <w:numFmt w:val="lowerRoman"/>
      <w:start w:val="1"/>
    </w:lvl>
  </w:abstractNum>
  <w:abstractNum w:abstractNumId="723">
    <w:nsid w:val="63649BD"/>
    <w:multiLevelType w:val="hybridMultilevel"/>
    <w:lvl w:ilvl="0">
      <w:lvlJc w:val="left"/>
      <w:lvlText w:val="(%1)"/>
      <w:numFmt w:val="lowerLetter"/>
      <w:start w:val="3"/>
    </w:lvl>
  </w:abstractNum>
  <w:abstractNum w:abstractNumId="724">
    <w:nsid w:val="469D7C4F"/>
    <w:multiLevelType w:val="hybridMultilevel"/>
    <w:lvl w:ilvl="0">
      <w:lvlJc w:val="left"/>
      <w:lvlText w:val="%1"/>
      <w:numFmt w:val="lowerRoman"/>
      <w:start w:val="1"/>
    </w:lvl>
    <w:lvl w:ilvl="1">
      <w:lvlJc w:val="left"/>
      <w:lvlText w:val="(%2)"/>
      <w:numFmt w:val="lowerLetter"/>
      <w:start w:val="1"/>
    </w:lvl>
  </w:abstractNum>
  <w:abstractNum w:abstractNumId="725">
    <w:nsid w:val="4C21B9D2"/>
    <w:multiLevelType w:val="hybridMultilevel"/>
    <w:lvl w:ilvl="0">
      <w:lvlJc w:val="left"/>
      <w:lvlText w:val="(%1)"/>
      <w:numFmt w:val="lowerRoman"/>
      <w:start w:val="9"/>
    </w:lvl>
    <w:lvl w:ilvl="1">
      <w:lvlJc w:val="left"/>
      <w:lvlText w:val="%2"/>
      <w:numFmt w:val="lowerLetter"/>
      <w:start w:val="1"/>
    </w:lvl>
  </w:abstractNum>
  <w:abstractNum w:abstractNumId="726">
    <w:nsid w:val="5CF3AF1E"/>
    <w:multiLevelType w:val="hybridMultilevel"/>
    <w:lvl w:ilvl="0">
      <w:lvlJc w:val="left"/>
      <w:lvlText w:val="(%1)"/>
      <w:numFmt w:val="lowerLetter"/>
      <w:start w:val="3"/>
    </w:lvl>
  </w:abstractNum>
  <w:abstractNum w:abstractNumId="727">
    <w:nsid w:val="51A139F7"/>
    <w:multiLevelType w:val="hybridMultilevel"/>
    <w:lvl w:ilvl="0">
      <w:lvlJc w:val="left"/>
      <w:lvlText w:val="(%1)"/>
      <w:numFmt w:val="lowerLetter"/>
      <w:start w:val="5"/>
    </w:lvl>
  </w:abstractNum>
  <w:abstractNum w:abstractNumId="728">
    <w:nsid w:val="63490122"/>
    <w:multiLevelType w:val="hybridMultilevel"/>
    <w:lvl w:ilvl="0">
      <w:lvlJc w:val="left"/>
      <w:lvlText w:val="(%1)"/>
      <w:numFmt w:val="lowerLetter"/>
      <w:start w:val="1"/>
    </w:lvl>
  </w:abstractNum>
  <w:abstractNum w:abstractNumId="729">
    <w:nsid w:val="1388B868"/>
    <w:multiLevelType w:val="hybridMultilevel"/>
    <w:lvl w:ilvl="0">
      <w:lvlJc w:val="left"/>
      <w:lvlText w:val="(%1)"/>
      <w:numFmt w:val="lowerRoman"/>
      <w:start w:val="1"/>
    </w:lvl>
  </w:abstractNum>
  <w:abstractNum w:abstractNumId="730">
    <w:nsid w:val="57A77A5E"/>
    <w:multiLevelType w:val="hybridMultilevel"/>
    <w:lvl w:ilvl="0">
      <w:lvlJc w:val="left"/>
      <w:lvlText w:val="(%1)"/>
      <w:numFmt w:val="lowerRoman"/>
      <w:start w:val="2"/>
    </w:lvl>
  </w:abstractNum>
  <w:abstractNum w:abstractNumId="731">
    <w:nsid w:val="A919453"/>
    <w:multiLevelType w:val="hybridMultilevel"/>
    <w:lvl w:ilvl="0">
      <w:lvlJc w:val="left"/>
      <w:lvlText w:val="(%1)"/>
      <w:numFmt w:val="lowerRoman"/>
      <w:start w:val="3"/>
    </w:lvl>
  </w:abstractNum>
  <w:abstractNum w:abstractNumId="732">
    <w:nsid w:val="7D7AF69D"/>
    <w:multiLevelType w:val="hybridMultilevel"/>
    <w:lvl w:ilvl="0">
      <w:lvlJc w:val="left"/>
      <w:lvlText w:val="(%1)"/>
      <w:numFmt w:val="lowerRoman"/>
      <w:start w:val="4"/>
    </w:lvl>
  </w:abstractNum>
  <w:abstractNum w:abstractNumId="733">
    <w:nsid w:val="49504C8A"/>
    <w:multiLevelType w:val="hybridMultilevel"/>
    <w:lvl w:ilvl="0">
      <w:lvlJc w:val="left"/>
      <w:lvlText w:val="(%1)"/>
      <w:numFmt w:val="lowerRoman"/>
      <w:start w:val="5"/>
    </w:lvl>
  </w:abstractNum>
  <w:abstractNum w:abstractNumId="734">
    <w:nsid w:val="1159860A"/>
    <w:multiLevelType w:val="hybridMultilevel"/>
    <w:lvl w:ilvl="0">
      <w:lvlJc w:val="left"/>
      <w:lvlText w:val="(%1)"/>
      <w:numFmt w:val="lowerRoman"/>
      <w:start w:val="6"/>
    </w:lvl>
  </w:abstractNum>
  <w:abstractNum w:abstractNumId="735">
    <w:nsid w:val="41E9A4F"/>
    <w:multiLevelType w:val="hybridMultilevel"/>
    <w:lvl w:ilvl="0">
      <w:lvlJc w:val="left"/>
      <w:lvlText w:val="(%1)"/>
      <w:numFmt w:val="lowerRoman"/>
      <w:start w:val="7"/>
    </w:lvl>
  </w:abstractNum>
  <w:abstractNum w:abstractNumId="736">
    <w:nsid w:val="39951379"/>
    <w:multiLevelType w:val="hybridMultilevel"/>
    <w:lvl w:ilvl="0">
      <w:lvlJc w:val="left"/>
      <w:lvlText w:val="(%1)"/>
      <w:numFmt w:val="lowerRoman"/>
      <w:start w:val="8"/>
    </w:lvl>
  </w:abstractNum>
  <w:abstractNum w:abstractNumId="737">
    <w:nsid w:val="5BCE15E4"/>
    <w:multiLevelType w:val="hybridMultilevel"/>
    <w:lvl w:ilvl="0">
      <w:lvlJc w:val="left"/>
      <w:lvlText w:val="(%1)"/>
      <w:numFmt w:val="lowerRoman"/>
      <w:start w:val="9"/>
    </w:lvl>
  </w:abstractNum>
  <w:abstractNum w:abstractNumId="738">
    <w:nsid w:val="687266FE"/>
    <w:multiLevelType w:val="hybridMultilevel"/>
    <w:lvl w:ilvl="0">
      <w:lvlJc w:val="left"/>
      <w:lvlText w:val="(%1)"/>
      <w:numFmt w:val="lowerLetter"/>
      <w:start w:val="2"/>
    </w:lvl>
  </w:abstractNum>
  <w:abstractNum w:abstractNumId="739">
    <w:nsid w:val="4202DE09"/>
    <w:multiLevelType w:val="hybridMultilevel"/>
    <w:lvl w:ilvl="0">
      <w:lvlJc w:val="left"/>
      <w:lvlText w:val="(%1)"/>
      <w:numFmt w:val="lowerLetter"/>
      <w:start w:val="3"/>
    </w:lvl>
    <w:lvl w:ilvl="1">
      <w:lvlJc w:val="left"/>
      <w:lvlText w:val="(%2)"/>
      <w:numFmt w:val="lowerRoman"/>
      <w:start w:val="1"/>
    </w:lvl>
  </w:abstractNum>
  <w:abstractNum w:abstractNumId="740">
    <w:nsid w:val="40A2661B"/>
    <w:multiLevelType w:val="hybridMultilevel"/>
    <w:lvl w:ilvl="0">
      <w:lvlJc w:val="left"/>
      <w:lvlText w:val="(%1)"/>
      <w:numFmt w:val="lowerLetter"/>
      <w:start w:val="1"/>
    </w:lvl>
  </w:abstractNum>
  <w:abstractNum w:abstractNumId="741">
    <w:nsid w:val="48683BA3"/>
    <w:multiLevelType w:val="hybridMultilevel"/>
    <w:lvl w:ilvl="0">
      <w:lvlJc w:val="left"/>
      <w:lvlText w:val="(%1)"/>
      <w:numFmt w:val="lowerLetter"/>
      <w:start w:val="2"/>
    </w:lvl>
  </w:abstractNum>
  <w:abstractNum w:abstractNumId="742">
    <w:nsid w:val="68EECF6F"/>
    <w:multiLevelType w:val="hybridMultilevel"/>
    <w:lvl w:ilvl="0">
      <w:lvlJc w:val="left"/>
      <w:lvlText w:val="(%1)"/>
      <w:numFmt w:val="lowerLetter"/>
      <w:start w:val="1"/>
    </w:lvl>
  </w:abstractNum>
  <w:abstractNum w:abstractNumId="743">
    <w:nsid w:val="5F1421F3"/>
    <w:multiLevelType w:val="hybridMultilevel"/>
    <w:lvl w:ilvl="0">
      <w:lvlJc w:val="left"/>
      <w:lvlText w:val="(%1)"/>
      <w:numFmt w:val="lowerLetter"/>
      <w:start w:val="2"/>
    </w:lvl>
    <w:lvl w:ilvl="1">
      <w:lvlJc w:val="left"/>
      <w:lvlText w:val="(%2)"/>
      <w:numFmt w:val="upperLetter"/>
      <w:start w:val="1"/>
    </w:lvl>
  </w:abstractNum>
  <w:abstractNum w:abstractNumId="744">
    <w:nsid w:val="10A93FB7"/>
    <w:multiLevelType w:val="hybridMultilevel"/>
    <w:lvl w:ilvl="0">
      <w:lvlJc w:val="left"/>
      <w:lvlText w:val="(%1)"/>
      <w:numFmt w:val="lowerRoman"/>
      <w:start w:val="2"/>
    </w:lvl>
  </w:abstractNum>
  <w:abstractNum w:abstractNumId="745">
    <w:nsid w:val="26E31F4"/>
    <w:multiLevelType w:val="hybridMultilevel"/>
    <w:lvl w:ilvl="0">
      <w:lvlJc w:val="left"/>
      <w:lvlText w:val="(%1)"/>
      <w:numFmt w:val="upperLetter"/>
      <w:start w:val="1"/>
    </w:lvl>
  </w:abstractNum>
  <w:abstractNum w:abstractNumId="746">
    <w:nsid w:val="50241288"/>
    <w:multiLevelType w:val="hybridMultilevel"/>
    <w:lvl w:ilvl="0">
      <w:lvlJc w:val="left"/>
      <w:lvlText w:val="(%1)"/>
      <w:numFmt w:val="upperLetter"/>
      <w:start w:val="3"/>
    </w:lvl>
  </w:abstractNum>
  <w:abstractNum w:abstractNumId="747">
    <w:nsid w:val="66D6F079"/>
    <w:multiLevelType w:val="hybridMultilevel"/>
    <w:lvl w:ilvl="0">
      <w:lvlJc w:val="left"/>
      <w:lvlText w:val="(%1)"/>
      <w:numFmt w:val="lowerRoman"/>
      <w:start w:val="3"/>
    </w:lvl>
  </w:abstractNum>
  <w:abstractNum w:abstractNumId="748">
    <w:nsid w:val="11BFDA2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749">
    <w:nsid w:val="600B0BF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750">
    <w:nsid w:val="5335B5B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51">
    <w:nsid w:val="55729684"/>
    <w:multiLevelType w:val="hybridMultilevel"/>
    <w:lvl w:ilvl="0">
      <w:lvlJc w:val="left"/>
      <w:lvlText w:val="%1"/>
      <w:numFmt w:val="lowerLetter"/>
      <w:start w:val="1"/>
    </w:lvl>
    <w:lvl w:ilvl="1">
      <w:lvlJc w:val="left"/>
      <w:lvlText w:val="(%2)"/>
      <w:numFmt w:val="lowerLetter"/>
      <w:start w:val="35"/>
    </w:lvl>
  </w:abstractNum>
  <w:abstractNum w:abstractNumId="752">
    <w:nsid w:val="DFD09FE"/>
    <w:multiLevelType w:val="hybridMultilevel"/>
    <w:lvl w:ilvl="0">
      <w:lvlJc w:val="left"/>
      <w:lvlText w:val="(%1)"/>
      <w:numFmt w:val="lowerLetter"/>
      <w:start w:val="4"/>
    </w:lvl>
    <w:lvl w:ilvl="1">
      <w:lvlJc w:val="left"/>
      <w:lvlText w:val="%2"/>
      <w:numFmt w:val="lowerLetter"/>
      <w:start w:val="1"/>
    </w:lvl>
  </w:abstractNum>
  <w:abstractNum w:abstractNumId="753">
    <w:nsid w:val="5F404891"/>
    <w:multiLevelType w:val="hybridMultilevel"/>
    <w:lvl w:ilvl="0">
      <w:lvlJc w:val="left"/>
      <w:lvlText w:val="(%1)"/>
      <w:numFmt w:val="lowerLetter"/>
      <w:start w:val="1"/>
    </w:lvl>
  </w:abstractNum>
  <w:abstractNum w:abstractNumId="754">
    <w:nsid w:val="5BA8E042"/>
    <w:multiLevelType w:val="hybridMultilevel"/>
    <w:lvl w:ilvl="0">
      <w:lvlJc w:val="left"/>
      <w:lvlText w:val="(%1)"/>
      <w:numFmt w:val="lowerLetter"/>
      <w:start w:val="5"/>
    </w:lvl>
  </w:abstractNum>
  <w:abstractNum w:abstractNumId="755">
    <w:nsid w:val="549A864D"/>
    <w:multiLevelType w:val="hybridMultilevel"/>
    <w:lvl w:ilvl="0">
      <w:lvlJc w:val="left"/>
      <w:lvlText w:val="(%1)"/>
      <w:numFmt w:val="lowerLetter"/>
      <w:start w:val="2"/>
    </w:lvl>
  </w:abstractNum>
  <w:abstractNum w:abstractNumId="756">
    <w:nsid w:val="2B620264"/>
    <w:multiLevelType w:val="hybridMultilevel"/>
    <w:lvl w:ilvl="0">
      <w:lvlJc w:val="left"/>
      <w:lvlText w:val="(%1)"/>
      <w:numFmt w:val="lowerLetter"/>
      <w:start w:val="2"/>
    </w:lvl>
  </w:abstractNum>
  <w:abstractNum w:abstractNumId="757">
    <w:nsid w:val="389C8F60"/>
    <w:multiLevelType w:val="hybridMultilevel"/>
    <w:lvl w:ilvl="0">
      <w:lvlJc w:val="left"/>
      <w:lvlText w:val="(%1)"/>
      <w:numFmt w:val="lowerRoman"/>
      <w:start w:val="5"/>
    </w:lvl>
  </w:abstractNum>
  <w:abstractNum w:abstractNumId="758">
    <w:nsid w:val="263BC044"/>
    <w:multiLevelType w:val="hybridMultilevel"/>
    <w:lvl w:ilvl="0">
      <w:lvlJc w:val="left"/>
      <w:lvlText w:val="(%1)"/>
      <w:numFmt w:val="lowerLetter"/>
      <w:start w:val="1"/>
    </w:lvl>
  </w:abstractNum>
  <w:abstractNum w:abstractNumId="759">
    <w:nsid w:val="EAB0386"/>
    <w:multiLevelType w:val="hybridMultilevel"/>
    <w:lvl w:ilvl="0">
      <w:lvlJc w:val="left"/>
      <w:lvlText w:val="(%1)"/>
      <w:numFmt w:val="lowerLetter"/>
      <w:start w:val="1"/>
    </w:lvl>
    <w:lvl w:ilvl="1">
      <w:lvlJc w:val="left"/>
      <w:lvlText w:val="(%2)"/>
      <w:numFmt w:val="lowerRoman"/>
      <w:start w:val="1"/>
    </w:lvl>
  </w:abstractNum>
  <w:abstractNum w:abstractNumId="760">
    <w:nsid w:val="4C2547C9"/>
    <w:multiLevelType w:val="hybridMultilevel"/>
    <w:lvl w:ilvl="0">
      <w:lvlJc w:val="left"/>
      <w:lvlText w:val="(%1)"/>
      <w:numFmt w:val="lowerLetter"/>
      <w:start w:val="1"/>
    </w:lvl>
    <w:lvl w:ilvl="1">
      <w:lvlJc w:val="left"/>
      <w:lvlText w:val="(%2)"/>
      <w:numFmt w:val="lowerRoman"/>
      <w:start w:val="1"/>
    </w:lvl>
  </w:abstractNum>
  <w:abstractNum w:abstractNumId="761">
    <w:nsid w:val="7DE33AA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2">
    <w:nsid w:val="193C97D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763">
    <w:nsid w:val="49A03E66"/>
    <w:multiLevelType w:val="hybridMultilevel"/>
    <w:lvl w:ilvl="0">
      <w:lvlJc w:val="left"/>
      <w:lvlText w:val="(%1)"/>
      <w:numFmt w:val="lowerRoman"/>
      <w:start w:val="3"/>
    </w:lvl>
  </w:abstractNum>
  <w:abstractNum w:abstractNumId="764">
    <w:nsid w:val="4733872D"/>
    <w:multiLevelType w:val="hybridMultilevel"/>
    <w:lvl w:ilvl="0">
      <w:lvlJc w:val="left"/>
      <w:lvlText w:val="1"/>
      <w:numFmt w:val="bullet"/>
      <w:start w:val="1"/>
    </w:lvl>
  </w:abstractNum>
  <w:abstractNum w:abstractNumId="765">
    <w:nsid w:val="2A961DE3"/>
    <w:multiLevelType w:val="hybridMultilevel"/>
    <w:lvl w:ilvl="0">
      <w:lvlJc w:val="left"/>
      <w:lvlText w:val="2"/>
      <w:numFmt w:val="bullet"/>
      <w:start w:val="1"/>
    </w:lvl>
  </w:abstractNum>
  <w:abstractNum w:abstractNumId="766">
    <w:nsid w:val="4DBED8B5"/>
    <w:multiLevelType w:val="hybridMultilevel"/>
    <w:lvl w:ilvl="0">
      <w:lvlJc w:val="left"/>
      <w:lvlText w:val="%1."/>
      <w:numFmt w:val="decimal"/>
      <w:start w:val="1"/>
    </w:lvl>
  </w:abstractNum>
  <w:abstractNum w:abstractNumId="767">
    <w:nsid w:val="C89AA6"/>
    <w:multiLevelType w:val="hybridMultilevel"/>
    <w:lvl w:ilvl="0">
      <w:lvlJc w:val="left"/>
      <w:lvlText w:val="3"/>
      <w:numFmt w:val="bullet"/>
      <w:start w:val="1"/>
    </w:lvl>
  </w:abstractNum>
  <w:abstractNum w:abstractNumId="768">
    <w:nsid w:val="66433C7"/>
    <w:multiLevelType w:val="hybridMultilevel"/>
    <w:lvl w:ilvl="0">
      <w:lvlJc w:val="left"/>
      <w:lvlText w:val="4"/>
      <w:numFmt w:val="bullet"/>
      <w:start w:val="1"/>
    </w:lvl>
  </w:abstractNum>
  <w:abstractNum w:abstractNumId="769">
    <w:nsid w:val="36313FB3"/>
    <w:multiLevelType w:val="hybridMultilevel"/>
    <w:lvl w:ilvl="0">
      <w:lvlJc w:val="left"/>
      <w:lvlText w:val="7"/>
      <w:numFmt w:val="bullet"/>
      <w:start w:val="1"/>
    </w:lvl>
  </w:abstractNum>
  <w:abstractNum w:abstractNumId="770">
    <w:nsid w:val="42CB78B0"/>
    <w:multiLevelType w:val="hybridMultilevel"/>
    <w:lvl w:ilvl="0">
      <w:lvlJc w:val="left"/>
      <w:lvlText w:val="%1."/>
      <w:numFmt w:val="decimal"/>
      <w:start w:val="1"/>
    </w:lvl>
  </w:abstractNum>
  <w:abstractNum w:abstractNumId="771">
    <w:nsid w:val="470699E2"/>
    <w:multiLevelType w:val="hybridMultilevel"/>
    <w:lvl w:ilvl="0">
      <w:lvlJc w:val="left"/>
      <w:lvlText w:val="(%1)"/>
      <w:numFmt w:val="lowerLetter"/>
      <w:start w:val="2"/>
    </w:lvl>
  </w:abstractNum>
  <w:abstractNum w:abstractNumId="772">
    <w:nsid w:val="7E997B57"/>
    <w:multiLevelType w:val="hybridMultilevel"/>
    <w:lvl w:ilvl="0">
      <w:lvlJc w:val="left"/>
      <w:lvlText w:val="8"/>
      <w:numFmt w:val="bullet"/>
      <w:start w:val="1"/>
    </w:lvl>
  </w:abstractNum>
  <w:abstractNum w:abstractNumId="773">
    <w:nsid w:val="2BBA481F"/>
    <w:multiLevelType w:val="hybridMultilevel"/>
    <w:lvl w:ilvl="0">
      <w:lvlJc w:val="left"/>
      <w:lvlText w:val="9"/>
      <w:numFmt w:val="bullet"/>
      <w:start w:val="1"/>
    </w:lvl>
  </w:abstractNum>
  <w:abstractNum w:abstractNumId="774">
    <w:nsid w:val="261ABBD5"/>
    <w:multiLevelType w:val="hybridMultilevel"/>
    <w:lvl w:ilvl="0">
      <w:lvlJc w:val="left"/>
      <w:lvlText w:val="%1."/>
      <w:numFmt w:val="decimal"/>
      <w:start w:val="2"/>
    </w:lvl>
  </w:abstractNum>
  <w:abstractNum w:abstractNumId="775">
    <w:nsid w:val="F42BB0E"/>
    <w:multiLevelType w:val="hybridMultilevel"/>
    <w:lvl w:ilvl="0">
      <w:lvlJc w:val="left"/>
      <w:lvlText w:val="%1"/>
      <w:numFmt w:val="decimal"/>
      <w:start w:val="10"/>
    </w:lvl>
  </w:abstractNum>
  <w:abstractNum w:abstractNumId="776">
    <w:nsid w:val="2E287A14"/>
    <w:multiLevelType w:val="hybridMultilevel"/>
    <w:lvl w:ilvl="0">
      <w:lvlJc w:val="left"/>
      <w:lvlText w:val="1"/>
      <w:numFmt w:val="bullet"/>
      <w:start w:val="1"/>
    </w:lvl>
  </w:abstractNum>
  <w:abstractNum w:abstractNumId="777">
    <w:nsid w:val="763ECE5D"/>
    <w:multiLevelType w:val="hybridMultilevel"/>
    <w:lvl w:ilvl="0">
      <w:lvlJc w:val="left"/>
      <w:lvlText w:val="1"/>
      <w:numFmt w:val="bullet"/>
      <w:start w:val="1"/>
    </w:lvl>
  </w:abstractNum>
  <w:abstractNum w:abstractNumId="778">
    <w:nsid w:val="7619AB87"/>
    <w:multiLevelType w:val="hybridMultilevel"/>
    <w:lvl w:ilvl="0">
      <w:lvlJc w:val="left"/>
      <w:lvlText w:val="2"/>
      <w:numFmt w:val="bullet"/>
      <w:start w:val="1"/>
    </w:lvl>
  </w:abstractNum>
  <w:abstractNum w:abstractNumId="779">
    <w:nsid w:val="3FE85440"/>
    <w:multiLevelType w:val="hybridMultilevel"/>
    <w:lvl w:ilvl="0">
      <w:lvlJc w:val="left"/>
      <w:lvlText w:val="%1"/>
      <w:numFmt w:val="decimal"/>
      <w:start w:val="11"/>
    </w:lvl>
  </w:abstractNum>
  <w:abstractNum w:abstractNumId="780">
    <w:nsid w:val="5649DA4D"/>
    <w:multiLevelType w:val="hybridMultilevel"/>
    <w:lvl w:ilvl="0">
      <w:lvlJc w:val="left"/>
      <w:lvlText w:val="%1:"/>
      <w:numFmt w:val="upperLetter"/>
      <w:start w:val="29"/>
    </w:lvl>
  </w:abstractNum>
  <w:abstractNum w:abstractNumId="781">
    <w:nsid w:val="494F6145"/>
    <w:multiLevelType w:val="hybridMultilevel"/>
    <w:lvl w:ilvl="0">
      <w:lvlJc w:val="left"/>
      <w:lvlText w:val="☐"/>
      <w:numFmt w:val="bullet"/>
      <w:start w:val="1"/>
    </w:lvl>
  </w:abstractNum>
  <w:abstractNum w:abstractNumId="782">
    <w:nsid w:val="155AEAC4"/>
    <w:multiLevelType w:val="hybridMultilevel"/>
    <w:lvl w:ilvl="0">
      <w:lvlJc w:val="left"/>
      <w:lvlText w:val="%1."/>
      <w:numFmt w:val="decimal"/>
      <w:start w:val="1"/>
    </w:lvl>
  </w:abstractNum>
  <w:abstractNum w:abstractNumId="783">
    <w:nsid w:val="6446E44B"/>
    <w:multiLevelType w:val="hybridMultilevel"/>
    <w:lvl w:ilvl="0">
      <w:lvlJc w:val="left"/>
      <w:lvlText w:val="%1."/>
      <w:numFmt w:val="decimal"/>
      <w:start w:val="1"/>
    </w:lvl>
  </w:abstractNum>
  <w:abstractNum w:abstractNumId="784">
    <w:nsid w:val="288FA9D6"/>
    <w:multiLevelType w:val="hybridMultilevel"/>
    <w:lvl w:ilvl="0">
      <w:lvlJc w:val="left"/>
      <w:lvlText w:val="%1."/>
      <w:numFmt w:val="decimal"/>
      <w:start w:val="2"/>
    </w:lvl>
  </w:abstractNum>
  <w:abstractNum w:abstractNumId="785">
    <w:nsid w:val="7103CB06"/>
    <w:multiLevelType w:val="hybridMultilevel"/>
    <w:lvl w:ilvl="0">
      <w:lvlJc w:val="left"/>
      <w:lvlText w:val="%1."/>
      <w:numFmt w:val="decimal"/>
      <w:start w:val="4"/>
    </w:lvl>
  </w:abstractNum>
  <w:abstractNum w:abstractNumId="786">
    <w:nsid w:val="38E16A98"/>
    <w:multiLevelType w:val="hybridMultilevel"/>
    <w:lvl w:ilvl="0">
      <w:lvlJc w:val="left"/>
      <w:lvlText w:val="%1."/>
      <w:numFmt w:val="decimal"/>
      <w:start w:val="5"/>
    </w:lvl>
  </w:abstractNum>
  <w:abstractNum w:abstractNumId="787">
    <w:nsid w:val="53F1AC3A"/>
    <w:multiLevelType w:val="hybridMultilevel"/>
    <w:lvl w:ilvl="0">
      <w:lvlJc w:val="left"/>
      <w:lvlText w:val="["/>
      <w:numFmt w:val="bullet"/>
      <w:start w:val="1"/>
    </w:lvl>
  </w:abstractNum>
  <w:abstractNum w:abstractNumId="788">
    <w:nsid w:val="29A05A67"/>
    <w:multiLevelType w:val="hybridMultilevel"/>
    <w:lvl w:ilvl="0">
      <w:lvlJc w:val="left"/>
      <w:lvlText w:val="(%1)"/>
      <w:numFmt w:val="lowerLetter"/>
      <w:start w:val="1"/>
    </w:lvl>
  </w:abstractNum>
  <w:abstractNum w:abstractNumId="789">
    <w:nsid w:val="5F1D2ADC"/>
    <w:multiLevelType w:val="hybridMultilevel"/>
    <w:lvl w:ilvl="0">
      <w:lvlJc w:val="left"/>
      <w:lvlText w:val="(%1)"/>
      <w:numFmt w:val="lowerRoman"/>
      <w:start w:val="3"/>
    </w:lvl>
  </w:abstractNum>
  <w:abstractNum w:abstractNumId="790">
    <w:nsid w:val="629CAFC0"/>
    <w:multiLevelType w:val="hybridMultilevel"/>
    <w:lvl w:ilvl="0">
      <w:lvlJc w:val="left"/>
      <w:lvlText w:val="(%1)"/>
      <w:numFmt w:val="lowerLetter"/>
      <w:start w:val="1"/>
    </w:lvl>
  </w:abstractNum>
  <w:abstractNum w:abstractNumId="791">
    <w:nsid w:val="75C5A230"/>
    <w:multiLevelType w:val="hybridMultilevel"/>
    <w:lvl w:ilvl="0">
      <w:lvlJc w:val="left"/>
      <w:lvlText w:val="(%1)"/>
      <w:numFmt w:val="lowerLetter"/>
      <w:start w:val="2"/>
    </w:lvl>
  </w:abstractNum>
  <w:abstractNum w:abstractNumId="792">
    <w:nsid w:val="5D00657F"/>
    <w:multiLevelType w:val="hybridMultilevel"/>
    <w:lvl w:ilvl="0">
      <w:lvlJc w:val="left"/>
      <w:lvlText w:val="(%1)"/>
      <w:numFmt w:val="lowerLetter"/>
      <w:start w:val="1"/>
    </w:lvl>
  </w:abstractNum>
  <w:abstractNum w:abstractNumId="793">
    <w:nsid w:val="7BD94799"/>
    <w:multiLevelType w:val="hybridMultilevel"/>
    <w:lvl w:ilvl="0">
      <w:lvlJc w:val="left"/>
      <w:lvlText w:val="(%1)"/>
      <w:numFmt w:val="lowerLetter"/>
      <w:start w:val="1"/>
    </w:lvl>
  </w:abstractNum>
  <w:abstractNum w:abstractNumId="794">
    <w:nsid w:val="3F65E096"/>
    <w:multiLevelType w:val="hybridMultilevel"/>
    <w:lvl w:ilvl="0">
      <w:lvlJc w:val="left"/>
      <w:lvlText w:val="(%1)"/>
      <w:numFmt w:val="lowerLetter"/>
      <w:start w:val="8"/>
    </w:lvl>
  </w:abstractNum>
  <w:abstractNum w:abstractNumId="795">
    <w:nsid w:val="2433ECAC"/>
    <w:multiLevelType w:val="hybridMultilevel"/>
    <w:lvl w:ilvl="0">
      <w:lvlJc w:val="left"/>
      <w:lvlText w:val="(%1)"/>
      <w:numFmt w:val="lowerLetter"/>
      <w:start w:val="1"/>
    </w:lvl>
    <w:lvl w:ilvl="1">
      <w:lvlJc w:val="left"/>
      <w:lvlText w:val="(%2)"/>
      <w:numFmt w:val="lowerRoman"/>
      <w:start w:val="1"/>
    </w:lvl>
  </w:abstractNum>
  <w:abstractNum w:abstractNumId="796">
    <w:nsid w:val="266F657C"/>
    <w:multiLevelType w:val="hybridMultilevel"/>
    <w:lvl w:ilvl="0">
      <w:lvlJc w:val="left"/>
      <w:lvlText w:val="(%1)"/>
      <w:numFmt w:val="lowerLetter"/>
      <w:start w:val="3"/>
    </w:lvl>
  </w:abstractNum>
  <w:abstractNum w:abstractNumId="797">
    <w:nsid w:val="D24B94B"/>
    <w:multiLevelType w:val="hybridMultilevel"/>
    <w:lvl w:ilvl="0">
      <w:lvlJc w:val="left"/>
      <w:lvlText w:val="(%1)"/>
      <w:numFmt w:val="lowerRoman"/>
      <w:start w:val="1"/>
    </w:lvl>
  </w:abstractNum>
  <w:abstractNum w:abstractNumId="798">
    <w:nsid w:val="24FC8752"/>
    <w:multiLevelType w:val="hybridMultilevel"/>
    <w:lvl w:ilvl="0">
      <w:lvlJc w:val="left"/>
      <w:lvlText w:val="(%1)"/>
      <w:numFmt w:val="lowerRoman"/>
      <w:start w:val="2"/>
    </w:lvl>
  </w:abstractNum>
  <w:abstractNum w:abstractNumId="799">
    <w:nsid w:val="2CD39943"/>
    <w:multiLevelType w:val="hybridMultilevel"/>
    <w:lvl w:ilvl="0">
      <w:lvlJc w:val="left"/>
      <w:lvlText w:val="(%1)"/>
      <w:numFmt w:val="lowerLetter"/>
      <w:start w:val="2"/>
    </w:lvl>
  </w:abstractNum>
  <w:abstractNum w:abstractNumId="800">
    <w:nsid w:val="4355F8FF"/>
    <w:multiLevelType w:val="hybridMultilevel"/>
    <w:lvl w:ilvl="0">
      <w:lvlJc w:val="left"/>
      <w:lvlText w:val="%1"/>
      <w:numFmt w:val="lowerLetter"/>
      <w:start w:val="1"/>
    </w:lvl>
    <w:lvl w:ilvl="1">
      <w:lvlJc w:val="left"/>
      <w:lvlText w:val="(%2)"/>
      <w:numFmt w:val="lowerLetter"/>
      <w:start w:val="1"/>
    </w:lvl>
  </w:abstractNum>
  <w:abstractNum w:abstractNumId="801">
    <w:nsid w:val="67C80002"/>
    <w:multiLevelType w:val="hybridMultilevel"/>
    <w:lvl w:ilvl="0">
      <w:lvlJc w:val="left"/>
      <w:lvlText w:val="(%1)"/>
      <w:numFmt w:val="lowerLetter"/>
      <w:start w:val="61"/>
    </w:lvl>
    <w:lvl w:ilvl="1">
      <w:lvlJc w:val="left"/>
      <w:lvlText w:val="%2"/>
      <w:numFmt w:val="lowerLetter"/>
      <w:start w:val="1"/>
    </w:lvl>
  </w:abstractNum>
  <w:abstractNum w:abstractNumId="802">
    <w:nsid w:val="73DA3325"/>
    <w:multiLevelType w:val="hybridMultilevel"/>
    <w:lvl w:ilvl="0">
      <w:lvlJc w:val="left"/>
      <w:lvlText w:val="(%1)"/>
      <w:numFmt w:val="lowerLetter"/>
      <w:start w:val="4"/>
    </w:lvl>
  </w:abstractNum>
  <w:abstractNum w:abstractNumId="803">
    <w:nsid w:val="41EF7456"/>
    <w:multiLevelType w:val="hybridMultilevel"/>
    <w:lvl w:ilvl="0">
      <w:lvlJc w:val="left"/>
      <w:lvlText w:val="(%1)"/>
      <w:numFmt w:val="lowerLetter"/>
      <w:start w:val="1"/>
    </w:lvl>
  </w:abstractNum>
  <w:abstractNum w:abstractNumId="804">
    <w:nsid w:val="13824822"/>
    <w:multiLevelType w:val="hybridMultilevel"/>
    <w:lvl w:ilvl="0">
      <w:lvlJc w:val="left"/>
      <w:lvlText w:val="(%1)"/>
      <w:numFmt w:val="lowerLetter"/>
      <w:start w:val="1"/>
    </w:lvl>
  </w:abstractNum>
  <w:abstractNum w:abstractNumId="805">
    <w:nsid w:val="19F4EEFA"/>
    <w:multiLevelType w:val="hybridMultilevel"/>
    <w:lvl w:ilvl="0">
      <w:lvlJc w:val="left"/>
      <w:lvlText w:val="(%1)"/>
      <w:numFmt w:val="lowerLetter"/>
      <w:start w:val="3"/>
    </w:lvl>
  </w:abstractNum>
  <w:abstractNum w:abstractNumId="806">
    <w:nsid w:val="51322F64"/>
    <w:multiLevelType w:val="hybridMultilevel"/>
    <w:lvl w:ilvl="0">
      <w:lvlJc w:val="left"/>
      <w:lvlText w:val="(%1)"/>
      <w:numFmt w:val="lowerLetter"/>
      <w:start w:val="1"/>
    </w:lvl>
  </w:abstractNum>
  <w:abstractNum w:abstractNumId="807">
    <w:nsid w:val="41AAC236"/>
    <w:multiLevelType w:val="hybridMultilevel"/>
    <w:lvl w:ilvl="0">
      <w:lvlJc w:val="left"/>
      <w:lvlText w:val="(%1)"/>
      <w:numFmt w:val="lowerLetter"/>
      <w:start w:val="4"/>
    </w:lvl>
  </w:abstractNum>
  <w:abstractNum w:abstractNumId="808">
    <w:nsid w:val="1033BD58"/>
    <w:multiLevelType w:val="hybridMultilevel"/>
    <w:lvl w:ilvl="0">
      <w:lvlJc w:val="left"/>
      <w:lvlText w:val="(%1)"/>
      <w:numFmt w:val="lowerLetter"/>
      <w:start w:val="1"/>
    </w:lvl>
  </w:abstractNum>
  <w:abstractNum w:abstractNumId="809">
    <w:nsid w:val="474BDAEB"/>
    <w:multiLevelType w:val="hybridMultilevel"/>
    <w:lvl w:ilvl="0">
      <w:lvlJc w:val="left"/>
      <w:lvlText w:val="(%1)"/>
      <w:numFmt w:val="lowerLetter"/>
      <w:start w:val="2"/>
    </w:lvl>
    <w:lvl w:ilvl="1">
      <w:lvlJc w:val="left"/>
      <w:lvlText w:val="(%2)"/>
      <w:numFmt w:val="lowerLetter"/>
      <w:start w:val="9"/>
    </w:lvl>
  </w:abstractNum>
  <w:abstractNum w:abstractNumId="810">
    <w:nsid w:val="1931676"/>
    <w:multiLevelType w:val="hybridMultilevel"/>
    <w:lvl w:ilvl="0">
      <w:lvlJc w:val="left"/>
      <w:lvlText w:val="(%1)"/>
      <w:numFmt w:val="lowerRoman"/>
      <w:start w:val="2"/>
    </w:lvl>
  </w:abstractNum>
  <w:abstractNum w:abstractNumId="811">
    <w:nsid w:val="667D97A5"/>
    <w:multiLevelType w:val="hybridMultilevel"/>
    <w:lvl w:ilvl="0">
      <w:lvlJc w:val="left"/>
      <w:lvlText w:val="(%1)"/>
      <w:numFmt w:val="lowerLetter"/>
      <w:start w:val="3"/>
    </w:lvl>
  </w:abstractNum>
  <w:abstractNum w:abstractNumId="812">
    <w:nsid w:val="109B3C30"/>
    <w:multiLevelType w:val="hybridMultilevel"/>
    <w:lvl w:ilvl="0">
      <w:lvlJc w:val="left"/>
      <w:lvlText w:val="%1"/>
      <w:numFmt w:val="lowerLetter"/>
      <w:start w:val="1"/>
    </w:lvl>
    <w:lvl w:ilvl="1">
      <w:lvlJc w:val="left"/>
      <w:lvlText w:val="(%2)"/>
      <w:numFmt w:val="lowerLetter"/>
      <w:start w:val="5"/>
    </w:lvl>
  </w:abstractNum>
  <w:abstractNum w:abstractNumId="813">
    <w:nsid w:val="16EE013A"/>
    <w:multiLevelType w:val="hybridMultilevel"/>
    <w:lvl w:ilvl="0">
      <w:lvlJc w:val="left"/>
      <w:lvlText w:val="(%1)"/>
      <w:numFmt w:val="lowerLetter"/>
      <w:start w:val="25"/>
    </w:lvl>
    <w:lvl w:ilvl="1">
      <w:lvlJc w:val="left"/>
      <w:lvlText w:val="(%2)"/>
      <w:numFmt w:val="lowerLetter"/>
      <w:start w:val="6"/>
    </w:lvl>
  </w:abstractNum>
  <w:abstractNum w:abstractNumId="814">
    <w:nsid w:val="4AC47BF1"/>
    <w:multiLevelType w:val="hybridMultilevel"/>
    <w:lvl w:ilvl="0">
      <w:lvlJc w:val="left"/>
      <w:lvlText w:val="(%1)"/>
      <w:numFmt w:val="lowerLetter"/>
      <w:start w:val="7"/>
    </w:lvl>
  </w:abstractNum>
  <w:abstractNum w:abstractNumId="815">
    <w:nsid w:val="392AE607"/>
    <w:multiLevelType w:val="hybridMultilevel"/>
    <w:lvl w:ilvl="0">
      <w:lvlJc w:val="left"/>
      <w:lvlText w:val="%1"/>
      <w:numFmt w:val="lowerRoman"/>
      <w:start w:val="1"/>
    </w:lvl>
    <w:lvl w:ilvl="1">
      <w:lvlJc w:val="left"/>
      <w:lvlText w:val="(%2)"/>
      <w:numFmt w:val="lowerLetter"/>
      <w:start w:val="1"/>
    </w:lvl>
  </w:abstractNum>
  <w:abstractNum w:abstractNumId="816">
    <w:nsid w:val="7F1CC41"/>
    <w:multiLevelType w:val="hybridMultilevel"/>
    <w:lvl w:ilvl="0">
      <w:lvlJc w:val="left"/>
      <w:lvlText w:val="(%1)"/>
      <w:numFmt w:val="lowerRoman"/>
      <w:start w:val="1"/>
    </w:lvl>
    <w:lvl w:ilvl="1">
      <w:lvlJc w:val="left"/>
      <w:lvlText w:val="%2"/>
      <w:numFmt w:val="lowerLetter"/>
      <w:start w:val="1"/>
    </w:lvl>
  </w:abstractNum>
  <w:abstractNum w:abstractNumId="817">
    <w:nsid w:val="3A5E689"/>
    <w:multiLevelType w:val="hybridMultilevel"/>
    <w:lvl w:ilvl="0">
      <w:lvlJc w:val="left"/>
      <w:lvlText w:val="(%1)"/>
      <w:numFmt w:val="lowerLetter"/>
      <w:start w:val="2"/>
    </w:lvl>
  </w:abstractNum>
  <w:abstractNum w:abstractNumId="818">
    <w:nsid w:val="D1C9241"/>
    <w:multiLevelType w:val="hybridMultilevel"/>
    <w:lvl w:ilvl="0">
      <w:lvlJc w:val="left"/>
      <w:lvlText w:val="(%1)"/>
      <w:numFmt w:val="lowerLetter"/>
      <w:start w:val="1"/>
    </w:lvl>
  </w:abstractNum>
  <w:abstractNum w:abstractNumId="819">
    <w:nsid w:val="319226A8"/>
    <w:multiLevelType w:val="hybridMultilevel"/>
    <w:lvl w:ilvl="0">
      <w:lvlJc w:val="left"/>
      <w:lvlText w:val="(%1)"/>
      <w:numFmt w:val="lowerLetter"/>
      <w:start w:val="4"/>
    </w:lvl>
  </w:abstractNum>
  <w:abstractNum w:abstractNumId="820">
    <w:nsid w:val="62C31166"/>
    <w:multiLevelType w:val="hybridMultilevel"/>
    <w:lvl w:ilvl="0">
      <w:lvlJc w:val="left"/>
      <w:lvlText w:val="(%1)"/>
      <w:numFmt w:val="lowerLetter"/>
      <w:start w:val="1"/>
    </w:lvl>
  </w:abstractNum>
  <w:abstractNum w:abstractNumId="821">
    <w:nsid w:val="6FB94202"/>
    <w:multiLevelType w:val="hybridMultilevel"/>
    <w:lvl w:ilvl="0">
      <w:lvlJc w:val="left"/>
      <w:lvlText w:val="(%1)"/>
      <w:numFmt w:val="lowerLetter"/>
      <w:start w:val="4"/>
    </w:lvl>
  </w:abstractNum>
  <w:abstractNum w:abstractNumId="822">
    <w:nsid w:val="2757C8D8"/>
    <w:multiLevelType w:val="hybridMultilevel"/>
    <w:lvl w:ilvl="0">
      <w:lvlJc w:val="left"/>
      <w:lvlText w:val="%1"/>
      <w:numFmt w:val="lowerLetter"/>
      <w:start w:val="1"/>
    </w:lvl>
    <w:lvl w:ilvl="1">
      <w:lvlJc w:val="left"/>
      <w:lvlText w:val="(%2)"/>
      <w:numFmt w:val="lowerLetter"/>
      <w:start w:val="1"/>
    </w:lvl>
  </w:abstractNum>
  <w:abstractNum w:abstractNumId="823">
    <w:nsid w:val="3FC376E5"/>
    <w:multiLevelType w:val="hybridMultilevel"/>
    <w:lvl w:ilvl="0">
      <w:lvlJc w:val="left"/>
      <w:lvlText w:val="(%1)"/>
      <w:numFmt w:val="lowerLetter"/>
      <w:start w:val="9"/>
    </w:lvl>
    <w:lvl w:ilvl="1">
      <w:lvlJc w:val="left"/>
      <w:lvlText w:val="%2"/>
      <w:numFmt w:val="lowerLetter"/>
      <w:start w:val="1"/>
    </w:lvl>
  </w:abstractNum>
  <w:abstractNum w:abstractNumId="824">
    <w:nsid w:val="6B92899B"/>
    <w:multiLevelType w:val="hybridMultilevel"/>
    <w:lvl w:ilvl="0">
      <w:lvlJc w:val="left"/>
      <w:lvlText w:val="(%1)"/>
      <w:numFmt w:val="lowerRoman"/>
      <w:start w:val="2"/>
    </w:lvl>
  </w:abstractNum>
  <w:abstractNum w:abstractNumId="825">
    <w:nsid w:val="66BDA96E"/>
    <w:multiLevelType w:val="hybridMultilevel"/>
    <w:lvl w:ilvl="0">
      <w:lvlJc w:val="left"/>
      <w:lvlText w:val="(%1)"/>
      <w:numFmt w:val="lowerLetter"/>
      <w:start w:val="1"/>
    </w:lvl>
    <w:lvl w:ilvl="1">
      <w:lvlJc w:val="left"/>
      <w:lvlText w:val="(%2)"/>
      <w:numFmt w:val="lowerRoman"/>
      <w:start w:val="1"/>
    </w:lvl>
  </w:abstractNum>
  <w:abstractNum w:abstractNumId="826">
    <w:nsid w:val="63F76391"/>
    <w:multiLevelType w:val="hybridMultilevel"/>
    <w:lvl w:ilvl="0">
      <w:lvlJc w:val="left"/>
      <w:lvlText w:val="(%1)"/>
      <w:numFmt w:val="lowerLetter"/>
      <w:start w:val="1"/>
    </w:lvl>
  </w:abstractNum>
  <w:abstractNum w:abstractNumId="827">
    <w:nsid w:val="1201EF18"/>
    <w:multiLevelType w:val="hybridMultilevel"/>
    <w:lvl w:ilvl="0">
      <w:lvlJc w:val="left"/>
      <w:lvlText w:val="(%1)"/>
      <w:numFmt w:val="lowerLetter"/>
      <w:start w:val="1"/>
    </w:lvl>
  </w:abstractNum>
  <w:abstractNum w:abstractNumId="828">
    <w:nsid w:val="73E262B9"/>
    <w:multiLevelType w:val="hybridMultilevel"/>
    <w:lvl w:ilvl="0">
      <w:lvlJc w:val="left"/>
      <w:lvlText w:val="(%1)"/>
      <w:numFmt w:val="lowerLetter"/>
      <w:start w:val="2"/>
    </w:lvl>
  </w:abstractNum>
  <w:abstractNum w:abstractNumId="829">
    <w:nsid w:val="8F3EAE3"/>
    <w:multiLevelType w:val="hybridMultilevel"/>
    <w:lvl w:ilvl="0">
      <w:lvlJc w:val="left"/>
      <w:lvlText w:val="(%1)"/>
      <w:numFmt w:val="lowerLetter"/>
      <w:start w:val="1"/>
    </w:lvl>
    <w:lvl w:ilvl="1">
      <w:lvlJc w:val="left"/>
      <w:lvlText w:val="(%2)"/>
      <w:numFmt w:val="lowerLetter"/>
      <w:start w:val="9"/>
    </w:lvl>
  </w:abstractNum>
  <w:abstractNum w:abstractNumId="830">
    <w:nsid w:val="3ED5885B"/>
    <w:multiLevelType w:val="hybridMultilevel"/>
    <w:lvl w:ilvl="0">
      <w:lvlJc w:val="left"/>
      <w:lvlText w:val="(%1)"/>
      <w:numFmt w:val="lowerLetter"/>
      <w:start w:val="2"/>
    </w:lvl>
  </w:abstractNum>
  <w:abstractNum w:abstractNumId="831">
    <w:nsid w:val="37385BB8"/>
    <w:multiLevelType w:val="hybridMultilevel"/>
    <w:lvl w:ilvl="0">
      <w:lvlJc w:val="left"/>
      <w:lvlText w:val="(%1)"/>
      <w:numFmt w:val="lowerLetter"/>
      <w:start w:val="1"/>
    </w:lvl>
  </w:abstractNum>
  <w:abstractNum w:abstractNumId="832">
    <w:nsid w:val="70BBEAE6"/>
    <w:multiLevelType w:val="hybridMultilevel"/>
    <w:lvl w:ilvl="0">
      <w:lvlJc w:val="left"/>
      <w:lvlText w:val="(%1)"/>
      <w:numFmt w:val="lowerLetter"/>
      <w:start w:val="5"/>
    </w:lvl>
  </w:abstractNum>
  <w:abstractNum w:abstractNumId="833">
    <w:nsid w:val="32AFBB81"/>
    <w:multiLevelType w:val="hybridMultilevel"/>
    <w:lvl w:ilvl="0">
      <w:lvlJc w:val="left"/>
      <w:lvlText w:val="(%1)"/>
      <w:numFmt w:val="lowerLetter"/>
      <w:start w:val="1"/>
    </w:lvl>
  </w:abstractNum>
  <w:abstractNum w:abstractNumId="834">
    <w:nsid w:val="7927D00E"/>
    <w:multiLevelType w:val="hybridMultilevel"/>
    <w:lvl w:ilvl="0">
      <w:lvlJc w:val="left"/>
      <w:lvlText w:val="(%1)"/>
      <w:numFmt w:val="lowerLetter"/>
      <w:start w:val="3"/>
    </w:lvl>
  </w:abstractNum>
  <w:abstractNum w:abstractNumId="835">
    <w:nsid w:val="43E3308"/>
    <w:multiLevelType w:val="hybridMultilevel"/>
    <w:lvl w:ilvl="0">
      <w:lvlJc w:val="left"/>
      <w:lvlText w:val="(%1)"/>
      <w:numFmt w:val="lowerLetter"/>
      <w:start w:val="1"/>
    </w:lvl>
  </w:abstractNum>
  <w:abstractNum w:abstractNumId="836">
    <w:nsid w:val="4CA4AA7B"/>
    <w:multiLevelType w:val="hybridMultilevel"/>
    <w:lvl w:ilvl="0">
      <w:lvlJc w:val="left"/>
      <w:lvlText w:val="(%1)"/>
      <w:numFmt w:val="lowerRoman"/>
      <w:start w:val="2"/>
    </w:lvl>
  </w:abstractNum>
  <w:abstractNum w:abstractNumId="837">
    <w:nsid w:val="4A59FF72"/>
    <w:multiLevelType w:val="hybridMultilevel"/>
    <w:lvl w:ilvl="0">
      <w:lvlJc w:val="left"/>
      <w:lvlText w:val="%1"/>
      <w:numFmt w:val="lowerLetter"/>
      <w:start w:val="1"/>
    </w:lvl>
    <w:lvl w:ilvl="1">
      <w:lvlJc w:val="left"/>
      <w:lvlText w:val="(%2)"/>
      <w:numFmt w:val="lowerRoman"/>
      <w:start w:val="1"/>
    </w:lvl>
  </w:abstractNum>
  <w:abstractNum w:abstractNumId="838">
    <w:nsid w:val="45E8F53E"/>
    <w:multiLevelType w:val="hybridMultilevel"/>
    <w:lvl w:ilvl="0">
      <w:lvlJc w:val="left"/>
      <w:lvlText w:val="(%1)"/>
      <w:numFmt w:val="lowerLetter"/>
      <w:start w:val="2"/>
    </w:lvl>
    <w:lvl w:ilvl="1">
      <w:lvlJc w:val="left"/>
      <w:lvlText w:val="(%2)"/>
      <w:numFmt w:val="lowerRoman"/>
      <w:start w:val="1"/>
    </w:lvl>
  </w:abstractNum>
  <w:abstractNum w:abstractNumId="839">
    <w:nsid w:val="5CD867D3"/>
    <w:multiLevelType w:val="hybridMultilevel"/>
    <w:lvl w:ilvl="0">
      <w:lvlJc w:val="left"/>
      <w:lvlText w:val="(%1)"/>
      <w:numFmt w:val="lowerLetter"/>
      <w:start w:val="1"/>
    </w:lvl>
  </w:abstractNum>
  <w:abstractNum w:abstractNumId="840">
    <w:nsid w:val="11A5DA5E"/>
    <w:multiLevelType w:val="hybridMultilevel"/>
    <w:lvl w:ilvl="0">
      <w:lvlJc w:val="left"/>
      <w:lvlText w:val="(%1)"/>
      <w:numFmt w:val="lowerLetter"/>
      <w:start w:val="1"/>
    </w:lvl>
  </w:abstractNum>
  <w:abstractNum w:abstractNumId="841">
    <w:nsid w:val="477C0BB4"/>
    <w:multiLevelType w:val="hybridMultilevel"/>
    <w:lvl w:ilvl="0">
      <w:lvlJc w:val="left"/>
      <w:lvlText w:val="(%1)"/>
      <w:numFmt w:val="lowerLetter"/>
      <w:start w:val="2"/>
    </w:lvl>
  </w:abstractNum>
  <w:abstractNum w:abstractNumId="842">
    <w:nsid w:val="4355FF79"/>
    <w:multiLevelType w:val="hybridMultilevel"/>
    <w:lvl w:ilvl="0">
      <w:lvlJc w:val="left"/>
      <w:lvlText w:val="(%1)"/>
      <w:numFmt w:val="lowerLetter"/>
      <w:start w:val="1"/>
    </w:lvl>
  </w:abstractNum>
  <w:abstractNum w:abstractNumId="843">
    <w:nsid w:val="2241168E"/>
    <w:multiLevelType w:val="hybridMultilevel"/>
    <w:lvl w:ilvl="0">
      <w:lvlJc w:val="left"/>
      <w:lvlText w:val="(%1)"/>
      <w:numFmt w:val="lowerLetter"/>
      <w:start w:val="1"/>
    </w:lvl>
  </w:abstractNum>
  <w:abstractNum w:abstractNumId="844">
    <w:nsid w:val="5E6A0CEE"/>
    <w:multiLevelType w:val="hybridMultilevel"/>
    <w:lvl w:ilvl="0">
      <w:lvlJc w:val="left"/>
      <w:lvlText w:val="(%1)"/>
      <w:numFmt w:val="lowerLetter"/>
      <w:start w:val="4"/>
    </w:lvl>
  </w:abstractNum>
  <w:abstractNum w:abstractNumId="845">
    <w:nsid w:val="E1A7B6A"/>
    <w:multiLevelType w:val="hybridMultilevel"/>
    <w:lvl w:ilvl="0">
      <w:lvlJc w:val="left"/>
      <w:lvlText w:val="%1."/>
      <w:numFmt w:val="decimal"/>
      <w:start w:val="2"/>
    </w:lvl>
  </w:abstractNum>
  <w:abstractNum w:abstractNumId="846">
    <w:nsid w:val="5B6BFC95"/>
    <w:multiLevelType w:val="hybridMultilevel"/>
    <w:lvl w:ilvl="0">
      <w:lvlJc w:val="left"/>
      <w:lvlText w:val="%1."/>
      <w:numFmt w:val="decimal"/>
      <w:start w:val="3"/>
    </w:lvl>
  </w:abstractNum>
  <w:abstractNum w:abstractNumId="847">
    <w:nsid w:val="665BD92F"/>
    <w:multiLevelType w:val="hybridMultilevel"/>
    <w:lvl w:ilvl="0">
      <w:lvlJc w:val="left"/>
      <w:lvlText w:val="%1."/>
      <w:numFmt w:val="decimal"/>
      <w:start w:val="5"/>
    </w:lvl>
  </w:abstractNum>
  <w:abstractNum w:abstractNumId="848">
    <w:nsid w:val="11C061F3"/>
    <w:multiLevelType w:val="hybridMultilevel"/>
    <w:lvl w:ilvl="0">
      <w:lvlJc w:val="left"/>
      <w:lvlText w:val="["/>
      <w:numFmt w:val="bullet"/>
      <w:start w:val="1"/>
    </w:lvl>
  </w:abstractNum>
  <w:abstractNum w:abstractNumId="849">
    <w:nsid w:val="68888ED7"/>
    <w:multiLevelType w:val="hybridMultilevel"/>
    <w:lvl w:ilvl="0">
      <w:lvlJc w:val="left"/>
      <w:lvlText w:val="(%1)"/>
      <w:numFmt w:val="lowerRoman"/>
      <w:start w:val="1"/>
    </w:lvl>
  </w:abstractNum>
  <w:abstractNum w:abstractNumId="850">
    <w:nsid w:val="17EDFFD7"/>
    <w:multiLevelType w:val="hybridMultilevel"/>
    <w:lvl w:ilvl="0">
      <w:lvlJc w:val="left"/>
      <w:lvlText w:val="(%1)"/>
      <w:numFmt w:val="lowerRoman"/>
      <w:start w:val="1"/>
    </w:lvl>
  </w:abstractNum>
  <w:abstractNum w:abstractNumId="851">
    <w:nsid w:val="74837359"/>
    <w:multiLevelType w:val="hybridMultilevel"/>
    <w:lvl w:ilvl="0">
      <w:lvlJc w:val="left"/>
      <w:lvlText w:val="(%1)"/>
      <w:numFmt w:val="lowerRoman"/>
      <w:start w:val="1"/>
    </w:lvl>
  </w:abstractNum>
  <w:abstractNum w:abstractNumId="852">
    <w:nsid w:val="5841D0D9"/>
    <w:multiLevelType w:val="hybridMultilevel"/>
    <w:lvl w:ilvl="0">
      <w:lvlJc w:val="left"/>
      <w:lvlText w:val="(%1)"/>
      <w:numFmt w:val="lowerRoman"/>
      <w:start w:val="3"/>
    </w:lvl>
  </w:abstractNum>
  <w:abstractNum w:abstractNumId="853">
    <w:nsid w:val="3F45C8AF"/>
    <w:multiLevelType w:val="hybridMultilevel"/>
    <w:lvl w:ilvl="0">
      <w:lvlJc w:val="left"/>
      <w:lvlText w:val="(%1)"/>
      <w:numFmt w:val="lowerRoman"/>
      <w:start w:val="1"/>
    </w:lvl>
  </w:abstractNum>
  <w:abstractNum w:abstractNumId="854">
    <w:nsid w:val="3446EA3E"/>
    <w:multiLevelType w:val="hybridMultilevel"/>
    <w:lvl w:ilvl="0">
      <w:lvlJc w:val="left"/>
      <w:lvlText w:val="(%1)"/>
      <w:numFmt w:val="upperLetter"/>
      <w:start w:val="1"/>
    </w:lvl>
  </w:abstractNum>
  <w:abstractNum w:abstractNumId="855">
    <w:nsid w:val="43D45A74"/>
    <w:multiLevelType w:val="hybridMultilevel"/>
    <w:lvl w:ilvl="0">
      <w:lvlJc w:val="left"/>
      <w:lvlText w:val="(%1)"/>
      <w:numFmt w:val="lowerRoman"/>
      <w:start w:val="1"/>
    </w:lvl>
  </w:abstractNum>
  <w:abstractNum w:abstractNumId="856">
    <w:nsid w:val="2603721D"/>
    <w:multiLevelType w:val="hybridMultilevel"/>
    <w:lvl w:ilvl="0">
      <w:lvlJc w:val="left"/>
      <w:lvlText w:val="(%1)"/>
      <w:numFmt w:val="lowerRoman"/>
      <w:start w:val="5"/>
    </w:lvl>
  </w:abstractNum>
  <w:abstractNum w:abstractNumId="857">
    <w:nsid w:val="183E4DCF"/>
    <w:multiLevelType w:val="hybridMultilevel"/>
    <w:lvl w:ilvl="0">
      <w:lvlJc w:val="left"/>
      <w:lvlText w:val="(%1)"/>
      <w:numFmt w:val="lowerRoman"/>
      <w:start w:val="8"/>
    </w:lvl>
  </w:abstractNum>
  <w:abstractNum w:abstractNumId="858">
    <w:nsid w:val="55D6498C"/>
    <w:multiLevelType w:val="hybridMultilevel"/>
    <w:lvl w:ilvl="0">
      <w:lvlJc w:val="left"/>
      <w:lvlText w:val="(%1)"/>
      <w:numFmt w:val="lowerRoman"/>
      <w:start w:val="1"/>
    </w:lvl>
  </w:abstractNum>
  <w:abstractNum w:abstractNumId="859">
    <w:nsid w:val="19E5D4D7"/>
    <w:multiLevelType w:val="hybridMultilevel"/>
    <w:lvl w:ilvl="0">
      <w:lvlJc w:val="left"/>
      <w:lvlText w:val="(%1)"/>
      <w:numFmt w:val="lowerRoman"/>
      <w:start w:val="3"/>
    </w:lvl>
  </w:abstractNum>
  <w:abstractNum w:abstractNumId="860">
    <w:nsid w:val="213238B3"/>
    <w:multiLevelType w:val="hybridMultilevel"/>
    <w:lvl w:ilvl="0">
      <w:lvlJc w:val="left"/>
      <w:lvlText w:val="(%1)"/>
      <w:numFmt w:val="lowerRoman"/>
      <w:start w:val="1"/>
    </w:lvl>
  </w:abstractNum>
  <w:abstractNum w:abstractNumId="861">
    <w:nsid w:val="14ABD1E8"/>
    <w:multiLevelType w:val="hybridMultilevel"/>
    <w:lvl w:ilvl="0">
      <w:lvlJc w:val="left"/>
      <w:lvlText w:val="(%1)"/>
      <w:numFmt w:val="lowerRoman"/>
      <w:start w:val="4"/>
    </w:lvl>
  </w:abstractNum>
  <w:abstractNum w:abstractNumId="862">
    <w:nsid w:val="511E308F"/>
    <w:multiLevelType w:val="hybridMultilevel"/>
    <w:lvl w:ilvl="0">
      <w:lvlJc w:val="left"/>
      <w:lvlText w:val="%1."/>
      <w:numFmt w:val="decimal"/>
      <w:start w:val="1"/>
    </w:lvl>
  </w:abstractNum>
  <w:abstractNum w:abstractNumId="863">
    <w:nsid w:val="11EE2399"/>
    <w:multiLevelType w:val="hybridMultilevel"/>
    <w:lvl w:ilvl="0">
      <w:lvlJc w:val="left"/>
      <w:lvlText w:val="%1)"/>
      <w:numFmt w:val="decimal"/>
      <w:start w:val="1"/>
    </w:lvl>
    <w:lvl w:ilvl="1">
      <w:lvlJc w:val="left"/>
      <w:lvlText w:val="(%2)"/>
      <w:numFmt w:val="lowerLetter"/>
      <w:start w:val="1"/>
    </w:lvl>
  </w:abstractNum>
  <w:abstractNum w:abstractNumId="864">
    <w:nsid w:val="475B8D69"/>
    <w:multiLevelType w:val="hybridMultilevel"/>
    <w:lvl w:ilvl="0">
      <w:lvlJc w:val="left"/>
      <w:lvlText w:val="%1"/>
      <w:numFmt w:val="decimal"/>
      <w:start w:val="1"/>
    </w:lvl>
    <w:lvl w:ilvl="1">
      <w:lvlJc w:val="left"/>
      <w:lvlText w:val="(%2)"/>
      <w:numFmt w:val="lowerLetter"/>
      <w:start w:val="2"/>
    </w:lvl>
  </w:abstractNum>
  <w:abstractNum w:abstractNumId="865">
    <w:nsid w:val="4A46009E"/>
    <w:multiLevelType w:val="hybridMultilevel"/>
    <w:lvl w:ilvl="0">
      <w:lvlJc w:val="left"/>
      <w:lvlText w:val="%1)"/>
      <w:numFmt w:val="decimal"/>
      <w:start w:val="3"/>
    </w:lvl>
    <w:lvl w:ilvl="1">
      <w:lvlJc w:val="left"/>
      <w:lvlText w:val="%2"/>
      <w:numFmt w:val="lowerLetter"/>
      <w:start w:val="1"/>
    </w:lvl>
  </w:abstractNum>
  <w:abstractNum w:abstractNumId="866">
    <w:nsid w:val="162C56A1"/>
    <w:multiLevelType w:val="hybridMultilevel"/>
    <w:lvl w:ilvl="0">
      <w:lvlJc w:val="left"/>
      <w:lvlText w:val="%1)"/>
      <w:numFmt w:val="decimal"/>
      <w:start w:val="1"/>
    </w:lvl>
    <w:lvl w:ilvl="1">
      <w:lvlJc w:val="left"/>
      <w:lvlText w:val="(%2)"/>
      <w:numFmt w:val="lowerLetter"/>
      <w:start w:val="1"/>
    </w:lvl>
  </w:abstractNum>
  <w:abstractNum w:abstractNumId="867">
    <w:nsid w:val="140037E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868">
    <w:nsid w:val="14A00010"/>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869">
    <w:nsid w:val="5C154BDF"/>
    <w:multiLevelType w:val="hybridMultilevel"/>
    <w:lvl w:ilvl="0">
      <w:lvlJc w:val="left"/>
      <w:lvlText w:val="%1)"/>
      <w:numFmt w:val="decimal"/>
      <w:start w:val="1"/>
    </w:lvl>
    <w:lvl w:ilvl="1">
      <w:lvlJc w:val="left"/>
      <w:lvlText w:val="(%2)"/>
      <w:numFmt w:val="lowerLetter"/>
      <w:start w:val="1"/>
    </w:lvl>
  </w:abstractNum>
  <w:abstractNum w:abstractNumId="870">
    <w:nsid w:val="70D89FB8"/>
    <w:multiLevelType w:val="hybridMultilevel"/>
    <w:lvl w:ilvl="0">
      <w:lvlJc w:val="left"/>
      <w:lvlText w:val="%1"/>
      <w:numFmt w:val="decimal"/>
      <w:start w:val="1"/>
    </w:lvl>
    <w:lvl w:ilvl="1">
      <w:lvlJc w:val="left"/>
      <w:lvlText w:val="(%2)"/>
      <w:numFmt w:val="lowerLetter"/>
      <w:start w:val="2"/>
    </w:lvl>
  </w:abstractNum>
  <w:abstractNum w:abstractNumId="871">
    <w:nsid w:val="2645DA6E"/>
    <w:multiLevelType w:val="hybridMultilevel"/>
    <w:lvl w:ilvl="0">
      <w:lvlJc w:val="left"/>
      <w:lvlText w:val="%1)"/>
      <w:numFmt w:val="decimal"/>
      <w:start w:val="3"/>
    </w:lvl>
    <w:lvl w:ilvl="1">
      <w:lvlJc w:val="left"/>
      <w:lvlText w:val="%2"/>
      <w:numFmt w:val="lowerLetter"/>
      <w:start w:val="1"/>
    </w:lvl>
  </w:abstractNum>
  <w:abstractNum w:abstractNumId="872">
    <w:nsid w:val="23915793"/>
    <w:multiLevelType w:val="hybridMultilevel"/>
    <w:lvl w:ilvl="0">
      <w:lvlJc w:val="left"/>
      <w:lvlText w:val="%1)"/>
      <w:numFmt w:val="decimal"/>
      <w:start w:val="1"/>
    </w:lvl>
    <w:lvl w:ilvl="1">
      <w:lvlJc w:val="left"/>
      <w:lvlText w:val="(%2)"/>
      <w:numFmt w:val="lowerLetter"/>
      <w:start w:val="1"/>
    </w:lvl>
  </w:abstractNum>
  <w:abstractNum w:abstractNumId="873">
    <w:nsid w:val="342E9F31"/>
    <w:multiLevelType w:val="hybridMultilevel"/>
    <w:lvl w:ilvl="0">
      <w:lvlJc w:val="left"/>
      <w:lvlText w:val="%1"/>
      <w:numFmt w:val="decimal"/>
      <w:start w:val="1"/>
    </w:lvl>
    <w:lvl w:ilvl="1">
      <w:lvlJc w:val="left"/>
      <w:lvlText w:val="(%2)"/>
      <w:numFmt w:val="lowerLetter"/>
      <w:start w:val="2"/>
    </w:lvl>
  </w:abstractNum>
  <w:abstractNum w:abstractNumId="874">
    <w:nsid w:val="4886F0FD"/>
    <w:multiLevelType w:val="hybridMultilevel"/>
    <w:lvl w:ilvl="0">
      <w:lvlJc w:val="left"/>
      <w:lvlText w:val="%1)"/>
      <w:numFmt w:val="decimal"/>
      <w:start w:val="3"/>
    </w:lvl>
    <w:lvl w:ilvl="1">
      <w:lvlJc w:val="left"/>
      <w:lvlText w:val="%2"/>
      <w:numFmt w:val="lowerLetter"/>
      <w:start w:val="1"/>
    </w:lvl>
  </w:abstractNum>
  <w:abstractNum w:abstractNumId="875">
    <w:nsid w:val="1FB6481"/>
    <w:multiLevelType w:val="hybridMultilevel"/>
    <w:lvl w:ilvl="0">
      <w:lvlJc w:val="left"/>
      <w:lvlText w:val="(%1)"/>
      <w:numFmt w:val="decimal"/>
      <w:start w:val="1"/>
    </w:lvl>
  </w:abstractNum>
  <w:abstractNum w:abstractNumId="876">
    <w:nsid w:val="42491A9B"/>
    <w:multiLevelType w:val="hybridMultilevel"/>
    <w:lvl w:ilvl="0">
      <w:lvlJc w:val="left"/>
      <w:lvlText w:val="(%1)"/>
      <w:numFmt w:val="upperLetter"/>
      <w:start w:val="1"/>
    </w:lvl>
  </w:abstractNum>
  <w:abstractNum w:abstractNumId="877">
    <w:nsid w:val="23F2ED92"/>
    <w:multiLevelType w:val="hybridMultilevel"/>
    <w:lvl w:ilvl="0">
      <w:lvlJc w:val="left"/>
      <w:lvlText w:val="%1."/>
      <w:numFmt w:val="decimal"/>
      <w:start w:val="1"/>
    </w:lvl>
  </w:abstractNum>
  <w:abstractNum w:abstractNumId="878">
    <w:nsid w:val="68573DB1"/>
    <w:multiLevelType w:val="hybridMultilevel"/>
    <w:lvl w:ilvl="0">
      <w:lvlJc w:val="left"/>
      <w:lvlText w:val="(%1)"/>
      <w:numFmt w:val="lowerLetter"/>
      <w:start w:val="1"/>
    </w:lvl>
  </w:abstractNum>
  <w:abstractNum w:abstractNumId="879">
    <w:nsid w:val="54097C8E"/>
    <w:multiLevelType w:val="hybridMultilevel"/>
    <w:lvl w:ilvl="0">
      <w:lvlJc w:val="left"/>
      <w:lvlText w:val="(%1)"/>
      <w:numFmt w:val="lowerLetter"/>
      <w:start w:val="11"/>
    </w:lvl>
  </w:abstractNum>
  <w:abstractNum w:abstractNumId="880">
    <w:nsid w:val="C7B7C69"/>
    <w:multiLevelType w:val="hybridMultilevel"/>
    <w:lvl w:ilvl="0">
      <w:lvlJc w:val="left"/>
      <w:lvlText w:val="%1."/>
      <w:numFmt w:val="decimal"/>
      <w:start w:val="2"/>
    </w:lvl>
  </w:abstractNum>
  <w:abstractNum w:abstractNumId="881">
    <w:nsid w:val="453D88"/>
    <w:multiLevelType w:val="hybridMultilevel"/>
    <w:lvl w:ilvl="0">
      <w:lvlJc w:val="left"/>
      <w:lvlText w:val="%1."/>
      <w:numFmt w:val="decimal"/>
      <w:start w:val="3"/>
    </w:lvl>
  </w:abstractNum>
  <w:abstractNum w:abstractNumId="882">
    <w:nsid w:val="488CEFE8"/>
    <w:multiLevelType w:val="hybridMultilevel"/>
    <w:lvl w:ilvl="0">
      <w:lvlJc w:val="left"/>
      <w:lvlText w:val="%1."/>
      <w:numFmt w:val="decimal"/>
      <w:start w:val="4"/>
    </w:lvl>
  </w:abstractNum>
  <w:abstractNum w:abstractNumId="883">
    <w:nsid w:val="64BD4D42"/>
    <w:multiLevelType w:val="hybridMultilevel"/>
    <w:lvl w:ilvl="0">
      <w:lvlJc w:val="left"/>
      <w:lvlText w:val="%1."/>
      <w:numFmt w:val="decimal"/>
      <w:start w:val="5"/>
    </w:lvl>
  </w:abstractNum>
  <w:abstractNum w:abstractNumId="884">
    <w:nsid w:val="3F8B0638"/>
    <w:multiLevelType w:val="hybridMultilevel"/>
    <w:lvl w:ilvl="0">
      <w:lvlJc w:val="left"/>
      <w:lvlText w:val="(%1)"/>
      <w:numFmt w:val="lowerLetter"/>
      <w:start w:val="1"/>
    </w:lvl>
  </w:abstractNum>
  <w:abstractNum w:abstractNumId="885">
    <w:nsid w:val="7CD3DA26"/>
    <w:multiLevelType w:val="hybridMultilevel"/>
    <w:lvl w:ilvl="0">
      <w:lvlJc w:val="left"/>
      <w:lvlText w:val="(%1)"/>
      <w:numFmt w:val="lowerLetter"/>
      <w:start w:val="1"/>
    </w:lvl>
    <w:lvl w:ilvl="1">
      <w:lvlJc w:val="left"/>
      <w:lvlText w:val="(%2)"/>
      <w:numFmt w:val="lowerRoman"/>
      <w:start w:val="1"/>
    </w:lvl>
  </w:abstractNum>
  <w:abstractNum w:abstractNumId="886">
    <w:nsid w:val="2891A7B7"/>
    <w:multiLevelType w:val="hybridMultilevel"/>
    <w:lvl w:ilvl="0">
      <w:lvlJc w:val="left"/>
      <w:lvlText w:val="(%1)"/>
      <w:numFmt w:val="lowerLetter"/>
      <w:start w:val="2"/>
    </w:lvl>
  </w:abstractNum>
  <w:abstractNum w:abstractNumId="887">
    <w:nsid w:val="658E7855"/>
    <w:multiLevelType w:val="hybridMultilevel"/>
    <w:lvl w:ilvl="0">
      <w:lvlJc w:val="left"/>
      <w:lvlText w:val="(%1)"/>
      <w:numFmt w:val="lowerLetter"/>
      <w:start w:val="1"/>
    </w:lvl>
    <w:lvl w:ilvl="1">
      <w:lvlJc w:val="left"/>
      <w:lvlText w:val="(%2)"/>
      <w:numFmt w:val="lowerRoman"/>
      <w:start w:val="1"/>
    </w:lvl>
  </w:abstractNum>
  <w:abstractNum w:abstractNumId="888">
    <w:nsid w:val="151227F6"/>
    <w:multiLevelType w:val="hybridMultilevel"/>
    <w:lvl w:ilvl="0">
      <w:lvlJc w:val="left"/>
      <w:lvlText w:val="(%1)"/>
      <w:numFmt w:val="lowerLetter"/>
      <w:start w:val="5"/>
    </w:lvl>
  </w:abstractNum>
  <w:abstractNum w:abstractNumId="889">
    <w:nsid w:val="7E67F143"/>
    <w:multiLevelType w:val="hybridMultilevel"/>
    <w:lvl w:ilvl="0">
      <w:lvlJc w:val="left"/>
      <w:lvlText w:val="(%1)"/>
      <w:numFmt w:val="lowerLetter"/>
      <w:start w:val="6"/>
    </w:lvl>
  </w:abstractNum>
  <w:abstractNum w:abstractNumId="890">
    <w:nsid w:val="7F744D2C"/>
    <w:multiLevelType w:val="hybridMultilevel"/>
    <w:lvl w:ilvl="0">
      <w:lvlJc w:val="left"/>
      <w:lvlText w:val="%1."/>
      <w:numFmt w:val="decimal"/>
      <w:start w:val="7"/>
    </w:lvl>
  </w:abstractNum>
  <w:abstractNum w:abstractNumId="891">
    <w:nsid w:val="364460A9"/>
    <w:multiLevelType w:val="hybridMultilevel"/>
    <w:lvl w:ilvl="0">
      <w:lvlJc w:val="left"/>
      <w:lvlText w:val="%1."/>
      <w:numFmt w:val="decimal"/>
      <w:start w:val="8"/>
    </w:lvl>
  </w:abstractNum>
  <w:abstractNum w:abstractNumId="892">
    <w:nsid w:val="1313C32B"/>
    <w:multiLevelType w:val="hybridMultilevel"/>
    <w:lvl w:ilvl="0">
      <w:lvlJc w:val="left"/>
      <w:lvlText w:val="(%1)"/>
      <w:numFmt w:val="lowerLetter"/>
      <w:start w:val="1"/>
    </w:lvl>
  </w:abstractNum>
  <w:abstractNum w:abstractNumId="893">
    <w:nsid w:val="50927DBC"/>
    <w:multiLevelType w:val="hybridMultilevel"/>
    <w:lvl w:ilvl="0">
      <w:lvlJc w:val="left"/>
      <w:lvlText w:val="%1"/>
      <w:numFmt w:val="decimal"/>
      <w:start w:val="1"/>
    </w:lvl>
    <w:lvl w:ilvl="1">
      <w:lvlJc w:val="left"/>
      <w:lvlText w:val="(%2)"/>
      <w:numFmt w:val="lowerLetter"/>
      <w:start w:val="6"/>
    </w:lvl>
  </w:abstractNum>
  <w:abstractNum w:abstractNumId="894">
    <w:nsid w:val="48328442"/>
    <w:multiLevelType w:val="hybridMultilevel"/>
    <w:lvl w:ilvl="0">
      <w:lvlJc w:val="left"/>
      <w:lvlText w:val="%1."/>
      <w:numFmt w:val="decimal"/>
      <w:start w:val="9"/>
    </w:lvl>
    <w:lvl w:ilvl="1">
      <w:lvlJc w:val="left"/>
      <w:lvlText w:val="%2"/>
      <w:numFmt w:val="lowerLetter"/>
      <w:start w:val="1"/>
    </w:lvl>
  </w:abstractNum>
  <w:abstractNum w:abstractNumId="895">
    <w:nsid w:val="5A6F5094"/>
    <w:multiLevelType w:val="hybridMultilevel"/>
    <w:lvl w:ilvl="0">
      <w:lvlJc w:val="left"/>
      <w:lvlText w:val="(%1)"/>
      <w:numFmt w:val="lowerLetter"/>
      <w:start w:val="1"/>
    </w:lvl>
  </w:abstractNum>
  <w:abstractNum w:abstractNumId="896">
    <w:nsid w:val="1AD87E5A"/>
    <w:multiLevelType w:val="hybridMultilevel"/>
    <w:lvl w:ilvl="0">
      <w:lvlJc w:val="left"/>
      <w:lvlText w:val="(%1)"/>
      <w:numFmt w:val="lowerLetter"/>
      <w:start w:val="1"/>
    </w:lvl>
  </w:abstractNum>
  <w:abstractNum w:abstractNumId="897">
    <w:nsid w:val="5E5EDAE3"/>
    <w:multiLevelType w:val="hybridMultilevel"/>
    <w:lvl w:ilvl="0">
      <w:lvlJc w:val="left"/>
      <w:lvlText w:val="(%1)"/>
      <w:numFmt w:val="lowerLetter"/>
      <w:start w:val="1"/>
    </w:lvl>
  </w:abstractNum>
  <w:abstractNum w:abstractNumId="898">
    <w:nsid w:val="6E6F8879"/>
    <w:multiLevelType w:val="hybridMultilevel"/>
    <w:lvl w:ilvl="0">
      <w:lvlJc w:val="left"/>
      <w:lvlText w:val="(%1)"/>
      <w:numFmt w:val="lowerLetter"/>
      <w:start w:val="3"/>
    </w:lvl>
  </w:abstractNum>
  <w:abstractNum w:abstractNumId="899">
    <w:nsid w:val="2F787E6A"/>
    <w:multiLevelType w:val="hybridMultilevel"/>
    <w:lvl w:ilvl="0">
      <w:lvlJc w:val="left"/>
      <w:lvlText w:val="(%1)"/>
      <w:numFmt w:val="lowerLetter"/>
      <w:start w:val="1"/>
    </w:lvl>
  </w:abstractNum>
  <w:abstractNum w:abstractNumId="900">
    <w:nsid w:val="3A7426C2"/>
    <w:multiLevelType w:val="hybridMultilevel"/>
    <w:lvl w:ilvl="0">
      <w:lvlJc w:val="left"/>
      <w:lvlText w:val="(%1)"/>
      <w:numFmt w:val="lowerLetter"/>
      <w:start w:val="1"/>
    </w:lvl>
  </w:abstractNum>
  <w:abstractNum w:abstractNumId="901">
    <w:nsid w:val="5F482831"/>
    <w:multiLevelType w:val="hybridMultilevel"/>
    <w:lvl w:ilvl="0">
      <w:lvlJc w:val="left"/>
      <w:lvlText w:val="(%1)"/>
      <w:numFmt w:val="lowerLetter"/>
      <w:start w:val="1"/>
    </w:lvl>
    <w:lvl w:ilvl="1">
      <w:lvlJc w:val="left"/>
      <w:lvlText w:val="(%2)"/>
      <w:numFmt w:val="lowerRoman"/>
      <w:start w:val="1"/>
    </w:lvl>
  </w:abstractNum>
  <w:abstractNum w:abstractNumId="902">
    <w:nsid w:val="55BE58D9"/>
    <w:multiLevelType w:val="hybridMultilevel"/>
    <w:lvl w:ilvl="0">
      <w:lvlJc w:val="left"/>
      <w:lvlText w:val="(%1)"/>
      <w:numFmt w:val="lowerLetter"/>
      <w:start w:val="2"/>
    </w:lvl>
    <w:lvl w:ilvl="1">
      <w:lvlJc w:val="left"/>
      <w:lvlText w:val="(%2)"/>
      <w:numFmt w:val="lowerRoman"/>
      <w:start w:val="1"/>
    </w:lvl>
  </w:abstractNum>
  <w:abstractNum w:abstractNumId="903">
    <w:nsid w:val="5E057E55"/>
    <w:multiLevelType w:val="hybridMultilevel"/>
    <w:lvl w:ilvl="0">
      <w:lvlJc w:val="left"/>
      <w:lvlText w:val="%1"/>
      <w:numFmt w:val="decimal"/>
      <w:start w:val="1"/>
    </w:lvl>
    <w:lvl w:ilvl="1">
      <w:lvlJc w:val="left"/>
      <w:lvlText w:val="(%2)"/>
      <w:numFmt w:val="lowerLetter"/>
      <w:start w:val="1"/>
    </w:lvl>
  </w:abstractNum>
  <w:abstractNum w:abstractNumId="904">
    <w:nsid w:val="1376C762"/>
    <w:multiLevelType w:val="hybridMultilevel"/>
    <w:lvl w:ilvl="0">
      <w:lvlJc w:val="left"/>
      <w:lvlText w:val="%1."/>
      <w:numFmt w:val="decimal"/>
      <w:start w:val="10"/>
    </w:lvl>
    <w:lvl w:ilvl="1">
      <w:lvlJc w:val="left"/>
      <w:lvlText w:val="%2"/>
      <w:numFmt w:val="lowerLetter"/>
      <w:start w:val="1"/>
    </w:lvl>
  </w:abstractNum>
  <w:abstractNum w:abstractNumId="905">
    <w:nsid w:val="1E4549D6"/>
    <w:multiLevelType w:val="hybridMultilevel"/>
    <w:lvl w:ilvl="0">
      <w:lvlJc w:val="left"/>
      <w:lvlText w:val="%1"/>
      <w:numFmt w:val="decimal"/>
      <w:start w:val="1"/>
    </w:lvl>
    <w:lvl w:ilvl="1">
      <w:lvlJc w:val="left"/>
      <w:lvlText w:val="(%2)"/>
      <w:numFmt w:val="lowerLetter"/>
      <w:start w:val="1"/>
    </w:lvl>
  </w:abstractNum>
  <w:abstractNum w:abstractNumId="906">
    <w:nsid w:val="6000E2D6"/>
    <w:multiLevelType w:val="hybridMultilevel"/>
    <w:lvl w:ilvl="0">
      <w:lvlJc w:val="left"/>
      <w:lvlText w:val="%1."/>
      <w:numFmt w:val="decimal"/>
      <w:start w:val="11"/>
    </w:lvl>
    <w:lvl w:ilvl="1">
      <w:lvlJc w:val="left"/>
      <w:lvlText w:val="%2"/>
      <w:numFmt w:val="lowerLetter"/>
      <w:start w:val="1"/>
    </w:lvl>
  </w:abstractNum>
  <w:abstractNum w:abstractNumId="907">
    <w:nsid w:val="55BFE1FD"/>
    <w:multiLevelType w:val="hybridMultilevel"/>
    <w:lvl w:ilvl="0">
      <w:lvlJc w:val="left"/>
      <w:lvlText w:val="(%1)"/>
      <w:numFmt w:val="lowerLetter"/>
      <w:start w:val="1"/>
    </w:lvl>
  </w:abstractNum>
  <w:abstractNum w:abstractNumId="908">
    <w:nsid w:val="42383768"/>
    <w:multiLevelType w:val="hybridMultilevel"/>
    <w:lvl w:ilvl="0">
      <w:lvlJc w:val="left"/>
      <w:lvlText w:val="(%1)"/>
      <w:numFmt w:val="lowerLetter"/>
      <w:start w:val="1"/>
    </w:lvl>
  </w:abstractNum>
  <w:abstractNum w:abstractNumId="909">
    <w:nsid w:val="48582087"/>
    <w:multiLevelType w:val="hybridMultilevel"/>
    <w:lvl w:ilvl="0">
      <w:lvlJc w:val="left"/>
      <w:lvlText w:val="%1"/>
      <w:numFmt w:val="decimal"/>
      <w:start w:val="1"/>
    </w:lvl>
    <w:lvl w:ilvl="1">
      <w:lvlJc w:val="left"/>
      <w:lvlText w:val="(%2)"/>
      <w:numFmt w:val="lowerLetter"/>
      <w:start w:val="2"/>
    </w:lvl>
  </w:abstractNum>
  <w:abstractNum w:abstractNumId="910">
    <w:nsid w:val="29C95E8B"/>
    <w:multiLevelType w:val="hybridMultilevel"/>
    <w:lvl w:ilvl="0">
      <w:lvlJc w:val="left"/>
      <w:lvlText w:val="%1."/>
      <w:numFmt w:val="decimal"/>
      <w:start w:val="12"/>
    </w:lvl>
    <w:lvl w:ilvl="1">
      <w:lvlJc w:val="left"/>
      <w:lvlText w:val="%2"/>
      <w:numFmt w:val="lowerLetter"/>
      <w:start w:val="1"/>
    </w:lvl>
  </w:abstractNum>
  <w:abstractNum w:abstractNumId="911">
    <w:nsid w:val="4EB3B3D2"/>
    <w:multiLevelType w:val="hybridMultilevel"/>
    <w:lvl w:ilvl="0">
      <w:lvlJc w:val="left"/>
      <w:lvlText w:val="(%1)"/>
      <w:numFmt w:val="lowerLetter"/>
      <w:start w:val="1"/>
    </w:lvl>
  </w:abstractNum>
  <w:abstractNum w:abstractNumId="912">
    <w:nsid w:val="489D5E10"/>
    <w:multiLevelType w:val="hybridMultilevel"/>
    <w:lvl w:ilvl="0">
      <w:lvlJc w:val="left"/>
      <w:lvlText w:val="%1."/>
      <w:numFmt w:val="decimal"/>
      <w:start w:val="13"/>
    </w:lvl>
  </w:abstractNum>
  <w:abstractNum w:abstractNumId="913">
    <w:nsid w:val="72564E73"/>
    <w:multiLevelType w:val="hybridMultilevel"/>
    <w:lvl w:ilvl="0">
      <w:lvlJc w:val="left"/>
      <w:lvlText w:val="(%1)"/>
      <w:numFmt w:val="lowerLetter"/>
      <w:start w:val="1"/>
    </w:lvl>
  </w:abstractNum>
  <w:abstractNum w:abstractNumId="914">
    <w:nsid w:val="33710114"/>
    <w:multiLevelType w:val="hybridMultilevel"/>
    <w:lvl w:ilvl="0">
      <w:lvlJc w:val="left"/>
      <w:lvlText w:val="%1."/>
      <w:numFmt w:val="decimal"/>
      <w:start w:val="14"/>
    </w:lvl>
  </w:abstractNum>
  <w:abstractNum w:abstractNumId="915">
    <w:nsid w:val="8286448"/>
    <w:multiLevelType w:val="hybridMultilevel"/>
    <w:lvl w:ilvl="0">
      <w:lvlJc w:val="left"/>
      <w:lvlText w:val="(%1)"/>
      <w:numFmt w:val="lowerLetter"/>
      <w:start w:val="1"/>
    </w:lvl>
  </w:abstractNum>
  <w:abstractNum w:abstractNumId="916">
    <w:nsid w:val="6F2A289A"/>
    <w:multiLevelType w:val="hybridMultilevel"/>
    <w:lvl w:ilvl="0">
      <w:lvlJc w:val="left"/>
      <w:lvlText w:val="%1."/>
      <w:numFmt w:val="decimal"/>
      <w:start w:val="15"/>
    </w:lvl>
  </w:abstractNum>
  <w:abstractNum w:abstractNumId="917">
    <w:nsid w:val="5C02A8CB"/>
    <w:multiLevelType w:val="hybridMultilevel"/>
    <w:lvl w:ilvl="0">
      <w:lvlJc w:val="left"/>
      <w:lvlText w:val="%1."/>
      <w:numFmt w:val="decimal"/>
      <w:start w:val="16"/>
    </w:lvl>
  </w:abstractNum>
  <w:abstractNum w:abstractNumId="918">
    <w:nsid w:val="6DB6DC9D"/>
    <w:multiLevelType w:val="hybridMultilevel"/>
    <w:lvl w:ilvl="0">
      <w:lvlJc w:val="left"/>
      <w:lvlText w:val="(%1)"/>
      <w:numFmt w:val="lowerLetter"/>
      <w:start w:val="1"/>
    </w:lvl>
  </w:abstractNum>
  <w:abstractNum w:abstractNumId="919">
    <w:nsid w:val="43C5090"/>
    <w:multiLevelType w:val="hybridMultilevel"/>
    <w:lvl w:ilvl="0">
      <w:lvlJc w:val="left"/>
      <w:lvlText w:val="%1."/>
      <w:numFmt w:val="decimal"/>
      <w:start w:val="17"/>
    </w:lvl>
  </w:abstractNum>
  <w:abstractNum w:abstractNumId="920">
    <w:nsid w:val="5A6A9A0F"/>
    <w:multiLevelType w:val="hybridMultilevel"/>
    <w:lvl w:ilvl="0">
      <w:lvlJc w:val="left"/>
      <w:lvlText w:val="%1."/>
      <w:numFmt w:val="decimal"/>
      <w:start w:val="18"/>
    </w:lvl>
  </w:abstractNum>
  <w:abstractNum w:abstractNumId="921">
    <w:nsid w:val="6D2B29CA"/>
    <w:multiLevelType w:val="hybridMultilevel"/>
    <w:lvl w:ilvl="0">
      <w:lvlJc w:val="left"/>
      <w:lvlText w:val="%1."/>
      <w:numFmt w:val="decimal"/>
      <w:start w:val="20"/>
    </w:lvl>
  </w:abstractNum>
  <w:abstractNum w:abstractNumId="922">
    <w:nsid w:val="3A80B139"/>
    <w:multiLevelType w:val="hybridMultilevel"/>
    <w:lvl w:ilvl="0">
      <w:lvlJc w:val="left"/>
      <w:lvlText w:val="(%1)"/>
      <w:numFmt w:val="lowerLetter"/>
      <w:start w:val="1"/>
    </w:lvl>
  </w:abstractNum>
  <w:abstractNum w:abstractNumId="923">
    <w:nsid w:val="6D7E5D3A"/>
    <w:multiLevelType w:val="hybridMultilevel"/>
    <w:lvl w:ilvl="0">
      <w:lvlJc w:val="left"/>
      <w:lvlText w:val="%1."/>
      <w:numFmt w:val="decimal"/>
      <w:start w:val="21"/>
    </w:lvl>
  </w:abstractNum>
  <w:abstractNum w:abstractNumId="924">
    <w:nsid w:val="3DBDA786"/>
    <w:multiLevelType w:val="hybridMultilevel"/>
    <w:lvl w:ilvl="0">
      <w:lvlJc w:val="left"/>
      <w:lvlText w:val="%1."/>
      <w:numFmt w:val="decimal"/>
      <w:start w:val="22"/>
    </w:lvl>
    <w:lvl w:ilvl="1">
      <w:lvlJc w:val="left"/>
      <w:lvlText w:val="(%2)"/>
      <w:numFmt w:val="lowerLetter"/>
      <w:start w:val="1"/>
    </w:lvl>
  </w:abstractNum>
  <w:abstractNum w:abstractNumId="925">
    <w:nsid w:val="2B3357B"/>
    <w:multiLevelType w:val="hybridMultilevel"/>
    <w:lvl w:ilvl="0">
      <w:lvlJc w:val="left"/>
      <w:lvlText w:val="%1."/>
      <w:numFmt w:val="decimal"/>
      <w:start w:val="26"/>
    </w:lvl>
  </w:abstractNum>
  <w:abstractNum w:abstractNumId="926">
    <w:nsid w:val="47EDADCF"/>
    <w:multiLevelType w:val="hybridMultilevel"/>
    <w:lvl w:ilvl="0">
      <w:lvlJc w:val="left"/>
      <w:lvlText w:val="%1."/>
      <w:numFmt w:val="decimal"/>
      <w:start w:val="28"/>
    </w:lvl>
  </w:abstractNum>
  <w:abstractNum w:abstractNumId="927">
    <w:nsid w:val="589625E0"/>
    <w:multiLevelType w:val="hybridMultilevel"/>
    <w:lvl w:ilvl="0">
      <w:lvlJc w:val="left"/>
      <w:lvlText w:val="(%1)"/>
      <w:numFmt w:val="lowerLetter"/>
      <w:start w:val="1"/>
    </w:lvl>
    <w:lvl w:ilvl="1">
      <w:lvlJc w:val="left"/>
      <w:lvlText w:val="(%2)"/>
      <w:numFmt w:val="lowerRoman"/>
      <w:start w:val="1"/>
    </w:lvl>
  </w:abstractNum>
  <w:abstractNum w:abstractNumId="928">
    <w:nsid w:val="6112105E"/>
    <w:multiLevelType w:val="hybridMultilevel"/>
    <w:lvl w:ilvl="0">
      <w:lvlJc w:val="left"/>
      <w:lvlText w:val="(%1)"/>
      <w:numFmt w:val="lowerLetter"/>
      <w:start w:val="2"/>
    </w:lvl>
  </w:abstractNum>
  <w:abstractNum w:abstractNumId="929">
    <w:nsid w:val="365D3648"/>
    <w:multiLevelType w:val="hybridMultilevel"/>
    <w:lvl w:ilvl="0">
      <w:lvlJc w:val="left"/>
      <w:lvlText w:val="%1."/>
      <w:numFmt w:val="decimal"/>
      <w:start w:val="1"/>
    </w:lvl>
    <w:lvl w:ilvl="1">
      <w:lvlJc w:val="left"/>
      <w:lvlText w:val="(%2)"/>
      <w:numFmt w:val="lowerLetter"/>
      <w:start w:val="1"/>
    </w:lvl>
  </w:abstractNum>
  <w:abstractNum w:abstractNumId="930">
    <w:nsid w:val="80EA44A"/>
    <w:multiLevelType w:val="hybridMultilevel"/>
    <w:lvl w:ilvl="0">
      <w:lvlJc w:val="left"/>
      <w:lvlText w:val="(%1)"/>
      <w:numFmt w:val="lowerLetter"/>
      <w:start w:val="1"/>
    </w:lvl>
  </w:abstractNum>
  <w:abstractNum w:abstractNumId="931">
    <w:nsid w:val="1B863720"/>
    <w:multiLevelType w:val="hybridMultilevel"/>
    <w:lvl w:ilvl="0">
      <w:lvlJc w:val="left"/>
      <w:lvlText w:val="%1."/>
      <w:numFmt w:val="decimal"/>
      <w:start w:val="2"/>
    </w:lvl>
    <w:lvl w:ilvl="1">
      <w:lvlJc w:val="left"/>
      <w:lvlText w:val="%2."/>
      <w:numFmt w:val="lowerLetter"/>
      <w:start w:val="1"/>
    </w:lvl>
  </w:abstractNum>
  <w:abstractNum w:abstractNumId="932">
    <w:nsid w:val="15A55E79"/>
    <w:multiLevelType w:val="hybridMultilevel"/>
    <w:lvl w:ilvl="0">
      <w:lvlJc w:val="left"/>
      <w:lvlText w:val="%1."/>
      <w:numFmt w:val="decimal"/>
      <w:start w:val="1"/>
    </w:lvl>
  </w:abstractNum>
  <w:abstractNum w:abstractNumId="933">
    <w:nsid w:val="5DCCFD23"/>
    <w:multiLevelType w:val="hybridMultilevel"/>
    <w:lvl w:ilvl="0">
      <w:lvlJc w:val="left"/>
      <w:lvlText w:val="%1."/>
      <w:numFmt w:val="decimal"/>
      <w:start w:val="1"/>
    </w:lvl>
    <w:lvl w:ilvl="1">
      <w:lvlJc w:val="left"/>
      <w:lvlText w:val="(%2)"/>
      <w:numFmt w:val="lowerLetter"/>
      <w:start w:val="1"/>
    </w:lvl>
  </w:abstractNum>
  <w:abstractNum w:abstractNumId="934">
    <w:nsid w:val="798BB575"/>
    <w:multiLevelType w:val="hybridMultilevel"/>
    <w:lvl w:ilvl="0">
      <w:lvlJc w:val="left"/>
      <w:lvlText w:val="%1."/>
      <w:numFmt w:val="decimal"/>
      <w:start w:val="4"/>
    </w:lvl>
    <w:lvl w:ilvl="1">
      <w:lvlJc w:val="left"/>
      <w:lvlText w:val="(%2)"/>
      <w:numFmt w:val="lowerLetter"/>
      <w:start w:val="1"/>
    </w:lvl>
  </w:abstractNum>
  <w:abstractNum w:abstractNumId="935">
    <w:nsid w:val="291C25DB"/>
    <w:multiLevelType w:val="hybridMultilevel"/>
    <w:lvl w:ilvl="0">
      <w:lvlJc w:val="left"/>
      <w:lvlText w:val="%1."/>
      <w:numFmt w:val="decimal"/>
      <w:start w:val="1"/>
    </w:lvl>
    <w:lvl w:ilvl="1">
      <w:lvlJc w:val="left"/>
      <w:lvlText w:val="(%2)"/>
      <w:numFmt w:val="lowerLetter"/>
      <w:start w:val="1"/>
    </w:lvl>
  </w:abstractNum>
  <w:abstractNum w:abstractNumId="936">
    <w:nsid w:val="7C1246F9"/>
    <w:multiLevelType w:val="hybridMultilevel"/>
    <w:lvl w:ilvl="0">
      <w:lvlJc w:val="left"/>
      <w:lvlText w:val="(%1)"/>
      <w:numFmt w:val="lowerLetter"/>
      <w:start w:val="3"/>
    </w:lvl>
  </w:abstractNum>
  <w:abstractNum w:abstractNumId="937">
    <w:nsid w:val="598C984B"/>
    <w:multiLevelType w:val="hybridMultilevel"/>
    <w:lvl w:ilvl="0">
      <w:lvlJc w:val="left"/>
      <w:lvlText w:val="(%1)"/>
      <w:numFmt w:val="decimal"/>
      <w:start w:val="1"/>
    </w:lvl>
  </w:abstractNum>
  <w:abstractNum w:abstractNumId="938">
    <w:nsid w:val="7EDC07D8"/>
    <w:multiLevelType w:val="hybridMultilevel"/>
    <w:lvl w:ilvl="0">
      <w:lvlJc w:val="left"/>
      <w:lvlText w:val="(%1)"/>
      <w:numFmt w:val="upperLetter"/>
      <w:start w:val="1"/>
    </w:lvl>
  </w:abstractNum>
  <w:abstractNum w:abstractNumId="939">
    <w:nsid w:val="3E4A7E62"/>
    <w:multiLevelType w:val="hybridMultilevel"/>
    <w:lvl w:ilvl="0">
      <w:lvlJc w:val="left"/>
      <w:lvlText w:val="%1."/>
      <w:numFmt w:val="decimal"/>
      <w:start w:val="1"/>
    </w:lvl>
  </w:abstractNum>
  <w:abstractNum w:abstractNumId="940">
    <w:nsid w:val="21E4B8D3"/>
    <w:multiLevelType w:val="hybridMultilevel"/>
    <w:lvl w:ilvl="0">
      <w:lvlJc w:val="left"/>
      <w:lvlText w:val="(%1)"/>
      <w:numFmt w:val="lowerLetter"/>
      <w:start w:val="1"/>
    </w:lvl>
  </w:abstractNum>
  <w:abstractNum w:abstractNumId="941">
    <w:nsid w:val="28A56663"/>
    <w:multiLevelType w:val="hybridMultilevel"/>
    <w:lvl w:ilvl="0">
      <w:lvlJc w:val="left"/>
      <w:lvlText w:val="(%1)"/>
      <w:numFmt w:val="lowerLetter"/>
      <w:start w:val="1"/>
    </w:lvl>
  </w:abstractNum>
  <w:abstractNum w:abstractNumId="942">
    <w:nsid w:val="CFE3234"/>
    <w:multiLevelType w:val="hybridMultilevel"/>
    <w:lvl w:ilvl="0">
      <w:lvlJc w:val="left"/>
      <w:lvlText w:val="%1"/>
      <w:numFmt w:val="decimal"/>
      <w:start w:val="1"/>
    </w:lvl>
    <w:lvl w:ilvl="1">
      <w:lvlJc w:val="left"/>
      <w:lvlText w:val="(%2)"/>
      <w:numFmt w:val="lowerLetter"/>
      <w:start w:val="2"/>
    </w:lvl>
  </w:abstractNum>
  <w:abstractNum w:abstractNumId="943">
    <w:nsid w:val="6A8216E3"/>
    <w:multiLevelType w:val="hybridMultilevel"/>
    <w:lvl w:ilvl="0">
      <w:lvlJc w:val="left"/>
      <w:lvlText w:val="%1."/>
      <w:numFmt w:val="decimal"/>
      <w:start w:val="2"/>
    </w:lvl>
    <w:lvl w:ilvl="1">
      <w:lvlJc w:val="left"/>
      <w:lvlText w:val="%2"/>
      <w:numFmt w:val="lowerLetter"/>
      <w:start w:val="1"/>
    </w:lvl>
  </w:abstractNum>
  <w:abstractNum w:abstractNumId="944">
    <w:nsid w:val="1AFBB4D7"/>
    <w:multiLevelType w:val="hybridMultilevel"/>
    <w:lvl w:ilvl="0">
      <w:lvlJc w:val="left"/>
      <w:lvlText w:val="%1."/>
      <w:numFmt w:val="decimal"/>
      <w:start w:val="3"/>
    </w:lvl>
  </w:abstractNum>
  <w:abstractNum w:abstractNumId="945">
    <w:nsid w:val="406F3348"/>
    <w:multiLevelType w:val="hybridMultilevel"/>
    <w:lvl w:ilvl="0">
      <w:lvlJc w:val="left"/>
      <w:lvlText w:val="%1."/>
      <w:numFmt w:val="decimal"/>
      <w:start w:val="4"/>
    </w:lvl>
  </w:abstractNum>
  <w:abstractNum w:abstractNumId="946">
    <w:nsid w:val="72AA7B2B"/>
    <w:multiLevelType w:val="hybridMultilevel"/>
    <w:lvl w:ilvl="0">
      <w:lvlJc w:val="left"/>
      <w:lvlText w:val="%1."/>
      <w:numFmt w:val="decimal"/>
      <w:start w:val="5"/>
    </w:lvl>
  </w:abstractNum>
  <w:abstractNum w:abstractNumId="947">
    <w:nsid w:val="A25DD71"/>
    <w:multiLevelType w:val="hybridMultilevel"/>
    <w:lvl w:ilvl="0">
      <w:lvlJc w:val="left"/>
      <w:lvlText w:val="(%1)"/>
      <w:numFmt w:val="lowerLetter"/>
      <w:start w:val="1"/>
    </w:lvl>
  </w:abstractNum>
  <w:abstractNum w:abstractNumId="948">
    <w:nsid w:val="1C71DC14"/>
    <w:multiLevelType w:val="hybridMultilevel"/>
    <w:lvl w:ilvl="0">
      <w:lvlJc w:val="left"/>
      <w:lvlText w:val="(%1)"/>
      <w:numFmt w:val="lowerLetter"/>
      <w:start w:val="1"/>
    </w:lvl>
  </w:abstractNum>
  <w:abstractNum w:abstractNumId="949">
    <w:nsid w:val="606157C8"/>
    <w:multiLevelType w:val="hybridMultilevel"/>
    <w:lvl w:ilvl="0">
      <w:lvlJc w:val="left"/>
      <w:lvlText w:val="%1."/>
      <w:numFmt w:val="decimal"/>
      <w:start w:val="8"/>
    </w:lvl>
    <w:lvl w:ilvl="1">
      <w:lvlJc w:val="left"/>
      <w:lvlText w:val="(%2)"/>
      <w:numFmt w:val="lowerLetter"/>
      <w:start w:val="1"/>
    </w:lvl>
  </w:abstractNum>
  <w:abstractNum w:abstractNumId="950">
    <w:nsid w:val="E622E01"/>
    <w:multiLevelType w:val="hybridMultilevel"/>
    <w:lvl w:ilvl="0">
      <w:lvlJc w:val="left"/>
      <w:lvlText w:val="%1."/>
      <w:numFmt w:val="decimal"/>
      <w:start w:val="9"/>
    </w:lvl>
    <w:lvl w:ilvl="1">
      <w:lvlJc w:val="left"/>
      <w:lvlText w:val="(%2)"/>
      <w:numFmt w:val="lowerLetter"/>
      <w:start w:val="1"/>
    </w:lvl>
  </w:abstractNum>
  <w:abstractNum w:abstractNumId="951">
    <w:nsid w:val="76DC7623"/>
    <w:multiLevelType w:val="hybridMultilevel"/>
    <w:lvl w:ilvl="0">
      <w:lvlJc w:val="left"/>
      <w:lvlText w:val="(%1)"/>
      <w:numFmt w:val="lowerLetter"/>
      <w:start w:val="1"/>
    </w:lvl>
  </w:abstractNum>
  <w:abstractNum w:abstractNumId="952">
    <w:nsid w:val="4D8C8192"/>
    <w:multiLevelType w:val="hybridMultilevel"/>
    <w:lvl w:ilvl="0">
      <w:lvlJc w:val="left"/>
      <w:lvlText w:val="%1"/>
      <w:numFmt w:val="decimal"/>
      <w:start w:val="1"/>
    </w:lvl>
    <w:lvl w:ilvl="1">
      <w:lvlJc w:val="left"/>
      <w:lvlText w:val="(%2)"/>
      <w:numFmt w:val="lowerLetter"/>
      <w:start w:val="2"/>
    </w:lvl>
  </w:abstractNum>
  <w:abstractNum w:abstractNumId="953">
    <w:nsid w:val="48E2DF3A"/>
    <w:multiLevelType w:val="hybridMultilevel"/>
    <w:lvl w:ilvl="0">
      <w:lvlJc w:val="left"/>
      <w:lvlText w:val="%1."/>
      <w:numFmt w:val="decimal"/>
      <w:start w:val="10"/>
    </w:lvl>
    <w:lvl w:ilvl="1">
      <w:lvlJc w:val="left"/>
      <w:lvlText w:val="%2"/>
      <w:numFmt w:val="lowerLetter"/>
      <w:start w:val="1"/>
    </w:lvl>
  </w:abstractNum>
  <w:abstractNum w:abstractNumId="954">
    <w:nsid w:val="645AD35D"/>
    <w:multiLevelType w:val="hybridMultilevel"/>
    <w:lvl w:ilvl="0">
      <w:lvlJc w:val="left"/>
      <w:lvlText w:val="%1."/>
      <w:numFmt w:val="decimal"/>
      <w:start w:val="12"/>
    </w:lvl>
  </w:abstractNum>
  <w:abstractNum w:abstractNumId="955">
    <w:nsid w:val="B4A2918"/>
    <w:multiLevelType w:val="hybridMultilevel"/>
    <w:lvl w:ilvl="0">
      <w:lvlJc w:val="left"/>
      <w:lvlText w:val="(%1)"/>
      <w:numFmt w:val="lowerLetter"/>
      <w:start w:val="1"/>
    </w:lvl>
  </w:abstractNum>
  <w:abstractNum w:abstractNumId="956">
    <w:nsid w:val="4B9614B5"/>
    <w:multiLevelType w:val="hybridMultilevel"/>
    <w:lvl w:ilvl="0">
      <w:lvlJc w:val="left"/>
      <w:lvlText w:val="%1."/>
      <w:numFmt w:val="decimal"/>
      <w:start w:val="14"/>
    </w:lvl>
  </w:abstractNum>
  <w:abstractNum w:abstractNumId="957">
    <w:nsid w:val="2C48812C"/>
    <w:multiLevelType w:val="hybridMultilevel"/>
    <w:lvl w:ilvl="0">
      <w:lvlJc w:val="left"/>
      <w:lvlText w:val="(%1)"/>
      <w:numFmt w:val="lowerLetter"/>
      <w:start w:val="1"/>
    </w:lvl>
    <w:lvl w:ilvl="1">
      <w:lvlJc w:val="left"/>
      <w:lvlText w:val="(%2)"/>
      <w:numFmt w:val="lowerRoman"/>
      <w:start w:val="1"/>
    </w:lvl>
  </w:abstractNum>
  <w:abstractNum w:abstractNumId="958">
    <w:nsid w:val="63E04EF8"/>
    <w:multiLevelType w:val="hybridMultilevel"/>
    <w:lvl w:ilvl="0">
      <w:lvlJc w:val="left"/>
      <w:lvlText w:val="%1"/>
      <w:numFmt w:val="lowerLetter"/>
      <w:start w:val="1"/>
    </w:lvl>
    <w:lvl w:ilvl="1">
      <w:lvlJc w:val="left"/>
      <w:lvlText w:val="(%2)"/>
      <w:numFmt w:val="lowerRoman"/>
      <w:start w:val="7"/>
    </w:lvl>
  </w:abstractNum>
  <w:abstractNum w:abstractNumId="959">
    <w:nsid w:val="2CA82513"/>
    <w:multiLevelType w:val="hybridMultilevel"/>
    <w:lvl w:ilvl="0">
      <w:lvlJc w:val="left"/>
      <w:lvlText w:val="(%1)"/>
      <w:numFmt w:val="lowerLetter"/>
      <w:start w:val="2"/>
    </w:lvl>
    <w:lvl w:ilvl="1">
      <w:lvlJc w:val="left"/>
      <w:lvlText w:val="%2"/>
      <w:numFmt w:val="lowerRoman"/>
      <w:start w:val="1"/>
    </w:lvl>
  </w:abstractNum>
  <w:abstractNum w:abstractNumId="960">
    <w:nsid w:val="62A5B774"/>
    <w:multiLevelType w:val="hybridMultilevel"/>
    <w:lvl w:ilvl="0">
      <w:lvlJc w:val="left"/>
      <w:lvlText w:val="(%1)"/>
      <w:numFmt w:val="lowerLetter"/>
      <w:start w:val="1"/>
    </w:lvl>
    <w:lvl w:ilvl="1">
      <w:lvlJc w:val="left"/>
      <w:lvlText w:val="(%2)"/>
      <w:numFmt w:val="lowerRoman"/>
      <w:start w:val="1"/>
    </w:lvl>
  </w:abstractNum>
  <w:abstractNum w:abstractNumId="961">
    <w:nsid w:val="6BEEF343"/>
    <w:multiLevelType w:val="hybridMultilevel"/>
    <w:lvl w:ilvl="0">
      <w:lvlJc w:val="left"/>
      <w:lvlText w:val="%1."/>
      <w:numFmt w:val="decimal"/>
      <w:start w:val="15"/>
    </w:lvl>
  </w:abstractNum>
  <w:abstractNum w:abstractNumId="962">
    <w:nsid w:val="482E5C33"/>
    <w:multiLevelType w:val="hybridMultilevel"/>
    <w:lvl w:ilvl="0">
      <w:lvlJc w:val="left"/>
      <w:lvlText w:val="(%1)"/>
      <w:numFmt w:val="lowerLetter"/>
      <w:start w:val="1"/>
    </w:lvl>
  </w:abstractNum>
  <w:abstractNum w:abstractNumId="963">
    <w:nsid w:val="784B15ED"/>
    <w:multiLevelType w:val="hybridMultilevel"/>
    <w:lvl w:ilvl="0">
      <w:lvlJc w:val="left"/>
      <w:lvlText w:val="(%1)"/>
      <w:numFmt w:val="lowerLetter"/>
      <w:start w:val="1"/>
    </w:lvl>
  </w:abstractNum>
  <w:abstractNum w:abstractNumId="964">
    <w:nsid w:val="49BBF066"/>
    <w:multiLevelType w:val="hybridMultilevel"/>
    <w:lvl w:ilvl="0">
      <w:lvlJc w:val="left"/>
      <w:lvlText w:val="(%1)"/>
      <w:numFmt w:val="lowerLetter"/>
      <w:start w:val="1"/>
    </w:lvl>
  </w:abstractNum>
  <w:abstractNum w:abstractNumId="965">
    <w:nsid w:val="41BA11A8"/>
    <w:multiLevelType w:val="hybridMultilevel"/>
    <w:lvl w:ilvl="0">
      <w:lvlJc w:val="left"/>
      <w:lvlText w:val="%1."/>
      <w:numFmt w:val="decimal"/>
      <w:start w:val="16"/>
    </w:lvl>
  </w:abstractNum>
  <w:abstractNum w:abstractNumId="966">
    <w:nsid w:val="21673BC8"/>
    <w:multiLevelType w:val="hybridMultilevel"/>
    <w:lvl w:ilvl="0">
      <w:lvlJc w:val="left"/>
      <w:lvlText w:val="(%1)"/>
      <w:numFmt w:val="lowerLetter"/>
      <w:start w:val="1"/>
    </w:lvl>
  </w:abstractNum>
  <w:abstractNum w:abstractNumId="967">
    <w:nsid w:val="45CE3760"/>
    <w:multiLevelType w:val="hybridMultilevel"/>
    <w:lvl w:ilvl="0">
      <w:lvlJc w:val="left"/>
      <w:lvlText w:val="%1."/>
      <w:numFmt w:val="decimal"/>
      <w:start w:val="17"/>
    </w:lvl>
  </w:abstractNum>
  <w:abstractNum w:abstractNumId="968">
    <w:nsid w:val="1B46A9F3"/>
    <w:multiLevelType w:val="hybridMultilevel"/>
    <w:lvl w:ilvl="0">
      <w:lvlJc w:val="left"/>
      <w:lvlText w:val="%1."/>
      <w:numFmt w:val="decimal"/>
      <w:start w:val="18"/>
    </w:lvl>
  </w:abstractNum>
  <w:abstractNum w:abstractNumId="969">
    <w:nsid w:val="204343A0"/>
    <w:multiLevelType w:val="hybridMultilevel"/>
    <w:lvl w:ilvl="0">
      <w:lvlJc w:val="left"/>
      <w:lvlText w:val="%1."/>
      <w:numFmt w:val="decimal"/>
      <w:start w:val="19"/>
    </w:lvl>
  </w:abstractNum>
  <w:abstractNum w:abstractNumId="970">
    <w:nsid w:val="418B5C2"/>
    <w:multiLevelType w:val="hybridMultilevel"/>
    <w:lvl w:ilvl="0">
      <w:lvlJc w:val="left"/>
      <w:lvlText w:val="%1."/>
      <w:numFmt w:val="decimal"/>
      <w:start w:val="20"/>
    </w:lvl>
  </w:abstractNum>
  <w:abstractNum w:abstractNumId="971">
    <w:nsid w:val="3D2B62C6"/>
    <w:multiLevelType w:val="hybridMultilevel"/>
    <w:lvl w:ilvl="0">
      <w:lvlJc w:val="left"/>
      <w:lvlText w:val="%1."/>
      <w:numFmt w:val="decimal"/>
      <w:start w:val="23"/>
    </w:lvl>
  </w:abstractNum>
  <w:abstractNum w:abstractNumId="972">
    <w:nsid w:val="48E8AA04"/>
    <w:multiLevelType w:val="hybridMultilevel"/>
    <w:lvl w:ilvl="0">
      <w:lvlJc w:val="left"/>
      <w:lvlText w:val="%1."/>
      <w:numFmt w:val="decimal"/>
      <w:start w:val="27"/>
    </w:lvl>
  </w:abstractNum>
  <w:abstractNum w:abstractNumId="973">
    <w:nsid w:val="1116E7F6"/>
    <w:multiLevelType w:val="hybridMultilevel"/>
    <w:lvl w:ilvl="0">
      <w:lvlJc w:val="left"/>
      <w:lvlText w:val="%1."/>
      <w:numFmt w:val="decimal"/>
      <w:start w:val="28"/>
    </w:lvl>
  </w:abstractNum>
  <w:abstractNum w:abstractNumId="974">
    <w:nsid w:val="27AD79A9"/>
    <w:multiLevelType w:val="hybridMultilevel"/>
    <w:lvl w:ilvl="0">
      <w:lvlJc w:val="left"/>
      <w:lvlText w:val="%1."/>
      <w:numFmt w:val="decimal"/>
      <w:start w:val="29"/>
    </w:lvl>
  </w:abstractNum>
  <w:abstractNum w:abstractNumId="975">
    <w:nsid w:val="63E45EDB"/>
    <w:multiLevelType w:val="hybridMultilevel"/>
    <w:lvl w:ilvl="0">
      <w:lvlJc w:val="left"/>
      <w:lvlText w:val="(%1)"/>
      <w:numFmt w:val="lowerLetter"/>
      <w:start w:val="1"/>
    </w:lvl>
    <w:lvl w:ilvl="1">
      <w:lvlJc w:val="left"/>
      <w:lvlText w:val="(%2)"/>
      <w:numFmt w:val="lowerRoman"/>
      <w:start w:val="1"/>
    </w:lvl>
  </w:abstractNum>
  <w:abstractNum w:abstractNumId="976">
    <w:nsid w:val="51861B3E"/>
    <w:multiLevelType w:val="hybridMultilevel"/>
    <w:lvl w:ilvl="0">
      <w:lvlJc w:val="left"/>
      <w:lvlText w:val="%1."/>
      <w:numFmt w:val="decimal"/>
      <w:start w:val="1"/>
    </w:lvl>
    <w:lvl w:ilvl="1">
      <w:lvlJc w:val="left"/>
      <w:lvlText w:val="(%2)"/>
      <w:numFmt w:val="lowerLetter"/>
      <w:start w:val="1"/>
    </w:lvl>
  </w:abstractNum>
  <w:abstractNum w:abstractNumId="977">
    <w:nsid w:val="1A57F4D4"/>
    <w:multiLevelType w:val="hybridMultilevel"/>
    <w:lvl w:ilvl="0">
      <w:lvlJc w:val="left"/>
      <w:lvlText w:val="%1."/>
      <w:numFmt w:val="decimal"/>
      <w:start w:val="3"/>
    </w:lvl>
    <w:lvl w:ilvl="1">
      <w:lvlJc w:val="left"/>
      <w:lvlText w:val="(%2)"/>
      <w:numFmt w:val="lowerLetter"/>
      <w:start w:val="1"/>
    </w:lvl>
  </w:abstractNum>
  <w:abstractNum w:abstractNumId="978">
    <w:nsid w:val="6E0A3C4C"/>
    <w:multiLevelType w:val="hybridMultilevel"/>
    <w:lvl w:ilvl="0">
      <w:lvlJc w:val="left"/>
      <w:lvlText w:val="%1."/>
      <w:numFmt w:val="decimal"/>
      <w:start w:val="1"/>
    </w:lvl>
  </w:abstractNum>
  <w:abstractNum w:abstractNumId="979">
    <w:nsid w:val="6DF7F752"/>
    <w:multiLevelType w:val="hybridMultilevel"/>
    <w:lvl w:ilvl="0">
      <w:lvlJc w:val="left"/>
      <w:lvlText w:val="(%1)"/>
      <w:numFmt w:val="decimal"/>
      <w:start w:val="1"/>
    </w:lvl>
  </w:abstractNum>
  <w:abstractNum w:abstractNumId="980">
    <w:nsid w:val="7AB94C9D"/>
    <w:multiLevelType w:val="hybridMultilevel"/>
    <w:lvl w:ilvl="0">
      <w:lvlJc w:val="left"/>
      <w:lvlText w:val="(%1)"/>
      <w:numFmt w:val="upperLetter"/>
      <w:start w:val="1"/>
    </w:lvl>
  </w:abstractNum>
  <w:abstractNum w:abstractNumId="981">
    <w:nsid w:val="7C6C6A4D"/>
    <w:multiLevelType w:val="hybridMultilevel"/>
    <w:lvl w:ilvl="0">
      <w:lvlJc w:val="left"/>
      <w:lvlText w:val="%1."/>
      <w:numFmt w:val="decimal"/>
      <w:start w:val="1"/>
    </w:lvl>
  </w:abstractNum>
  <w:abstractNum w:abstractNumId="982">
    <w:nsid w:val="64D46D75"/>
    <w:multiLevelType w:val="hybridMultilevel"/>
    <w:lvl w:ilvl="0">
      <w:lvlJc w:val="left"/>
      <w:lvlText w:val="(%1)"/>
      <w:numFmt w:val="lowerLetter"/>
      <w:start w:val="1"/>
    </w:lvl>
  </w:abstractNum>
  <w:abstractNum w:abstractNumId="983">
    <w:nsid w:val="4845CE2F"/>
    <w:multiLevelType w:val="hybridMultilevel"/>
    <w:lvl w:ilvl="0">
      <w:lvlJc w:val="left"/>
      <w:lvlText w:val="(%1)"/>
      <w:numFmt w:val="lowerLetter"/>
      <w:start w:val="3"/>
    </w:lvl>
  </w:abstractNum>
  <w:abstractNum w:abstractNumId="984">
    <w:nsid w:val="454F4987"/>
    <w:multiLevelType w:val="hybridMultilevel"/>
    <w:lvl w:ilvl="0">
      <w:lvlJc w:val="left"/>
      <w:lvlText w:val="%1."/>
      <w:numFmt w:val="decimal"/>
      <w:start w:val="2"/>
    </w:lvl>
  </w:abstractNum>
  <w:abstractNum w:abstractNumId="985">
    <w:nsid w:val="492F40D3"/>
    <w:multiLevelType w:val="hybridMultilevel"/>
    <w:lvl w:ilvl="0">
      <w:lvlJc w:val="left"/>
      <w:lvlText w:val="%1."/>
      <w:numFmt w:val="decimal"/>
      <w:start w:val="3"/>
    </w:lvl>
  </w:abstractNum>
  <w:abstractNum w:abstractNumId="986">
    <w:nsid w:val="538FF748"/>
    <w:multiLevelType w:val="hybridMultilevel"/>
    <w:lvl w:ilvl="0">
      <w:lvlJc w:val="left"/>
      <w:lvlText w:val="%1."/>
      <w:numFmt w:val="decimal"/>
      <w:start w:val="4"/>
    </w:lvl>
  </w:abstractNum>
  <w:abstractNum w:abstractNumId="987">
    <w:nsid w:val="10E55E3C"/>
    <w:multiLevelType w:val="hybridMultilevel"/>
    <w:lvl w:ilvl="0">
      <w:lvlJc w:val="left"/>
      <w:lvlText w:val="%1."/>
      <w:numFmt w:val="decimal"/>
      <w:start w:val="5"/>
    </w:lvl>
  </w:abstractNum>
  <w:abstractNum w:abstractNumId="988">
    <w:nsid w:val="7577C1FF"/>
    <w:multiLevelType w:val="hybridMultilevel"/>
    <w:lvl w:ilvl="0">
      <w:lvlJc w:val="left"/>
      <w:lvlText w:val="(%1)"/>
      <w:numFmt w:val="lowerLetter"/>
      <w:start w:val="1"/>
    </w:lvl>
  </w:abstractNum>
  <w:abstractNum w:abstractNumId="989">
    <w:nsid w:val="37704640"/>
    <w:multiLevelType w:val="hybridMultilevel"/>
    <w:lvl w:ilvl="0">
      <w:lvlJc w:val="left"/>
      <w:lvlText w:val="(%1)"/>
      <w:numFmt w:val="lowerLetter"/>
      <w:start w:val="2"/>
    </w:lvl>
  </w:abstractNum>
  <w:abstractNum w:abstractNumId="990">
    <w:nsid w:val="3D8D834F"/>
    <w:multiLevelType w:val="hybridMultilevel"/>
    <w:lvl w:ilvl="0">
      <w:lvlJc w:val="left"/>
      <w:lvlText w:val="(%1)"/>
      <w:numFmt w:val="lowerLetter"/>
      <w:start w:val="1"/>
    </w:lvl>
    <w:lvl w:ilvl="1">
      <w:lvlJc w:val="left"/>
      <w:lvlText w:val="(%2)"/>
      <w:numFmt w:val="lowerRoman"/>
      <w:start w:val="1"/>
    </w:lvl>
  </w:abstractNum>
  <w:abstractNum w:abstractNumId="991">
    <w:nsid w:val="581D7974"/>
    <w:multiLevelType w:val="hybridMultilevel"/>
    <w:lvl w:ilvl="0">
      <w:lvlJc w:val="left"/>
      <w:lvlText w:val="(%1)"/>
      <w:numFmt w:val="lowerLetter"/>
      <w:start w:val="2"/>
    </w:lvl>
  </w:abstractNum>
  <w:abstractNum w:abstractNumId="992">
    <w:nsid w:val="235F3983"/>
    <w:multiLevelType w:val="hybridMultilevel"/>
    <w:lvl w:ilvl="0">
      <w:lvlJc w:val="left"/>
      <w:lvlText w:val="(%1)"/>
      <w:numFmt w:val="lowerLetter"/>
      <w:start w:val="1"/>
    </w:lvl>
    <w:lvl w:ilvl="1">
      <w:lvlJc w:val="left"/>
      <w:lvlText w:val="(%2)"/>
      <w:numFmt w:val="lowerRoman"/>
      <w:start w:val="1"/>
    </w:lvl>
  </w:abstractNum>
  <w:abstractNum w:abstractNumId="993">
    <w:nsid w:val="5BBDF82"/>
    <w:multiLevelType w:val="hybridMultilevel"/>
    <w:lvl w:ilvl="0">
      <w:lvlJc w:val="left"/>
      <w:lvlText w:val="(%1)"/>
      <w:numFmt w:val="lowerLetter"/>
      <w:start w:val="5"/>
    </w:lvl>
  </w:abstractNum>
  <w:abstractNum w:abstractNumId="994">
    <w:nsid w:val="50688F61"/>
    <w:multiLevelType w:val="hybridMultilevel"/>
    <w:lvl w:ilvl="0">
      <w:lvlJc w:val="left"/>
      <w:lvlText w:val="(%1)"/>
      <w:numFmt w:val="lowerLetter"/>
      <w:start w:val="8"/>
    </w:lvl>
  </w:abstractNum>
  <w:abstractNum w:abstractNumId="995">
    <w:nsid w:val="6D1B29EA"/>
    <w:multiLevelType w:val="hybridMultilevel"/>
    <w:lvl w:ilvl="0">
      <w:lvlJc w:val="left"/>
      <w:lvlText w:val="%1."/>
      <w:numFmt w:val="decimal"/>
      <w:start w:val="7"/>
    </w:lvl>
  </w:abstractNum>
  <w:abstractNum w:abstractNumId="996">
    <w:nsid w:val="4775F12A"/>
    <w:multiLevelType w:val="hybridMultilevel"/>
    <w:lvl w:ilvl="0">
      <w:lvlJc w:val="left"/>
      <w:lvlText w:val="%1."/>
      <w:numFmt w:val="decimal"/>
      <w:start w:val="8"/>
    </w:lvl>
  </w:abstractNum>
  <w:abstractNum w:abstractNumId="997">
    <w:nsid w:val="71CFCB2A"/>
    <w:multiLevelType w:val="hybridMultilevel"/>
    <w:lvl w:ilvl="0">
      <w:lvlJc w:val="left"/>
      <w:lvlText w:val="(%1)"/>
      <w:numFmt w:val="lowerLetter"/>
      <w:start w:val="1"/>
    </w:lvl>
  </w:abstractNum>
  <w:abstractNum w:abstractNumId="998">
    <w:nsid w:val="32E9614A"/>
    <w:multiLevelType w:val="hybridMultilevel"/>
    <w:lvl w:ilvl="0">
      <w:lvlJc w:val="left"/>
      <w:lvlText w:val="(%1)"/>
      <w:numFmt w:val="lowerLetter"/>
      <w:start w:val="7"/>
    </w:lvl>
  </w:abstractNum>
  <w:abstractNum w:abstractNumId="999">
    <w:nsid w:val="62BC9B1D"/>
    <w:multiLevelType w:val="hybridMultilevel"/>
    <w:lvl w:ilvl="0">
      <w:lvlJc w:val="left"/>
      <w:lvlText w:val="%1."/>
      <w:numFmt w:val="decimal"/>
      <w:start w:val="9"/>
    </w:lvl>
  </w:abstractNum>
  <w:abstractNum w:abstractNumId="1000">
    <w:nsid w:val="12130ECA"/>
    <w:multiLevelType w:val="hybridMultilevel"/>
    <w:lvl w:ilvl="0">
      <w:lvlJc w:val="left"/>
      <w:lvlText w:val="(%1)"/>
      <w:numFmt w:val="lowerLetter"/>
      <w:start w:val="1"/>
    </w:lvl>
  </w:abstractNum>
  <w:abstractNum w:abstractNumId="1001">
    <w:nsid w:val="3702170C"/>
    <w:multiLevelType w:val="hybridMultilevel"/>
    <w:lvl w:ilvl="0">
      <w:lvlJc w:val="left"/>
      <w:lvlText w:val="(%1)"/>
      <w:numFmt w:val="lowerLetter"/>
      <w:start w:val="1"/>
    </w:lvl>
  </w:abstractNum>
  <w:abstractNum w:abstractNumId="1002">
    <w:nsid w:val="1FE7FDE4"/>
    <w:multiLevelType w:val="hybridMultilevel"/>
    <w:lvl w:ilvl="0">
      <w:lvlJc w:val="left"/>
      <w:lvlText w:val="(%1)"/>
      <w:numFmt w:val="lowerLetter"/>
      <w:start w:val="3"/>
    </w:lvl>
  </w:abstractNum>
  <w:abstractNum w:abstractNumId="1003">
    <w:nsid w:val="5AFBB8CE"/>
    <w:multiLevelType w:val="hybridMultilevel"/>
    <w:lvl w:ilvl="0">
      <w:lvlJc w:val="left"/>
      <w:lvlText w:val="(%1)"/>
      <w:numFmt w:val="lowerLetter"/>
      <w:start w:val="1"/>
    </w:lvl>
  </w:abstractNum>
  <w:abstractNum w:abstractNumId="1004">
    <w:nsid w:val="4818FF02"/>
    <w:multiLevelType w:val="hybridMultilevel"/>
    <w:lvl w:ilvl="0">
      <w:lvlJc w:val="left"/>
      <w:lvlText w:val="(%1)"/>
      <w:numFmt w:val="lowerLetter"/>
      <w:start w:val="1"/>
    </w:lvl>
  </w:abstractNum>
  <w:abstractNum w:abstractNumId="1005">
    <w:nsid w:val="4795778D"/>
    <w:multiLevelType w:val="hybridMultilevel"/>
    <w:lvl w:ilvl="0">
      <w:lvlJc w:val="left"/>
      <w:lvlText w:val="(%1)"/>
      <w:numFmt w:val="lowerLetter"/>
      <w:start w:val="1"/>
    </w:lvl>
  </w:abstractNum>
  <w:abstractNum w:abstractNumId="1006">
    <w:nsid w:val="3EE017A9"/>
    <w:multiLevelType w:val="hybridMultilevel"/>
    <w:lvl w:ilvl="0">
      <w:lvlJc w:val="left"/>
      <w:lvlText w:val="(%1)"/>
      <w:numFmt w:val="lowerLetter"/>
      <w:start w:val="1"/>
    </w:lvl>
    <w:lvl w:ilvl="1">
      <w:lvlJc w:val="left"/>
      <w:lvlText w:val="(%2)"/>
      <w:numFmt w:val="lowerRoman"/>
      <w:start w:val="1"/>
    </w:lvl>
  </w:abstractNum>
  <w:abstractNum w:abstractNumId="1007">
    <w:nsid w:val="199F1A40"/>
    <w:multiLevelType w:val="hybridMultilevel"/>
    <w:lvl w:ilvl="0">
      <w:lvlJc w:val="left"/>
      <w:lvlText w:val="%1"/>
      <w:numFmt w:val="lowerLetter"/>
      <w:start w:val="1"/>
    </w:lvl>
    <w:lvl w:ilvl="1">
      <w:lvlJc w:val="left"/>
      <w:lvlText w:val="(%2)"/>
      <w:numFmt w:val="lowerLetter"/>
      <w:start w:val="35"/>
    </w:lvl>
  </w:abstractNum>
  <w:abstractNum w:abstractNumId="1008">
    <w:nsid w:val="61ED6C62"/>
    <w:multiLevelType w:val="hybridMultilevel"/>
    <w:lvl w:ilvl="0">
      <w:lvlJc w:val="left"/>
      <w:lvlText w:val="(%1)"/>
      <w:numFmt w:val="lowerLetter"/>
      <w:start w:val="3"/>
    </w:lvl>
    <w:lvl w:ilvl="1">
      <w:lvlJc w:val="left"/>
      <w:lvlText w:val="(%2)"/>
      <w:numFmt w:val="lowerLetter"/>
      <w:start w:val="9"/>
    </w:lvl>
  </w:abstractNum>
  <w:abstractNum w:abstractNumId="1009">
    <w:nsid w:val="2CEA53F5"/>
    <w:multiLevelType w:val="hybridMultilevel"/>
    <w:lvl w:ilvl="0">
      <w:lvlJc w:val="left"/>
      <w:lvlText w:val="(%1)"/>
      <w:numFmt w:val="lowerRoman"/>
      <w:start w:val="2"/>
    </w:lvl>
  </w:abstractNum>
  <w:abstractNum w:abstractNumId="1010">
    <w:nsid w:val="7971193"/>
    <w:multiLevelType w:val="hybridMultilevel"/>
    <w:lvl w:ilvl="0">
      <w:lvlJc w:val="left"/>
      <w:lvlText w:val="(%1)"/>
      <w:numFmt w:val="lowerLetter"/>
      <w:start w:val="4"/>
    </w:lvl>
  </w:abstractNum>
  <w:abstractNum w:abstractNumId="1011">
    <w:nsid w:val="5CA6B8FF"/>
    <w:multiLevelType w:val="hybridMultilevel"/>
    <w:lvl w:ilvl="0">
      <w:lvlJc w:val="left"/>
      <w:lvlText w:val="(%1)"/>
      <w:numFmt w:val="lowerLetter"/>
      <w:start w:val="1"/>
    </w:lvl>
  </w:abstractNum>
  <w:abstractNum w:abstractNumId="1012">
    <w:nsid w:val="2956BE42"/>
    <w:multiLevelType w:val="hybridMultilevel"/>
    <w:lvl w:ilvl="0">
      <w:lvlJc w:val="left"/>
      <w:lvlText w:val="%1."/>
      <w:numFmt w:val="decimal"/>
      <w:start w:val="10"/>
    </w:lvl>
  </w:abstractNum>
  <w:abstractNum w:abstractNumId="1013">
    <w:nsid w:val="6C6B7F08"/>
    <w:multiLevelType w:val="hybridMultilevel"/>
    <w:lvl w:ilvl="0">
      <w:lvlJc w:val="left"/>
      <w:lvlText w:val="%1"/>
      <w:numFmt w:val="decimal"/>
      <w:start w:val="1"/>
    </w:lvl>
    <w:lvl w:ilvl="1">
      <w:lvlJc w:val="left"/>
      <w:lvlText w:val="(%2)"/>
      <w:numFmt w:val="lowerLetter"/>
      <w:start w:val="1"/>
    </w:lvl>
  </w:abstractNum>
  <w:abstractNum w:abstractNumId="1014">
    <w:nsid w:val="24EC872E"/>
    <w:multiLevelType w:val="hybridMultilevel"/>
    <w:lvl w:ilvl="0">
      <w:lvlJc w:val="left"/>
      <w:lvlText w:val="%1."/>
      <w:numFmt w:val="decimal"/>
      <w:start w:val="11"/>
    </w:lvl>
    <w:lvl w:ilvl="1">
      <w:lvlJc w:val="left"/>
      <w:lvlText w:val="%2"/>
      <w:numFmt w:val="lowerLetter"/>
      <w:start w:val="1"/>
    </w:lvl>
  </w:abstractNum>
  <w:abstractNum w:abstractNumId="1015">
    <w:nsid w:val="6EA607C9"/>
    <w:multiLevelType w:val="hybridMultilevel"/>
    <w:lvl w:ilvl="0">
      <w:lvlJc w:val="left"/>
      <w:lvlText w:val="(%1)"/>
      <w:numFmt w:val="lowerLetter"/>
      <w:start w:val="1"/>
    </w:lvl>
  </w:abstractNum>
  <w:abstractNum w:abstractNumId="1016">
    <w:nsid w:val="359ABFDB"/>
    <w:multiLevelType w:val="hybridMultilevel"/>
    <w:lvl w:ilvl="0">
      <w:lvlJc w:val="left"/>
      <w:lvlText w:val="(%1)"/>
      <w:numFmt w:val="lowerLetter"/>
      <w:start w:val="1"/>
    </w:lvl>
  </w:abstractNum>
  <w:abstractNum w:abstractNumId="1017">
    <w:nsid w:val="787C7E76"/>
    <w:multiLevelType w:val="hybridMultilevel"/>
    <w:lvl w:ilvl="0">
      <w:lvlJc w:val="left"/>
      <w:lvlText w:val="%1."/>
      <w:numFmt w:val="decimal"/>
      <w:start w:val="12"/>
    </w:lvl>
  </w:abstractNum>
  <w:abstractNum w:abstractNumId="1018">
    <w:nsid w:val="7F8B6605"/>
    <w:multiLevelType w:val="hybridMultilevel"/>
    <w:lvl w:ilvl="0">
      <w:lvlJc w:val="left"/>
      <w:lvlText w:val="(%1)"/>
      <w:numFmt w:val="lowerLetter"/>
      <w:start w:val="1"/>
    </w:lvl>
  </w:abstractNum>
  <w:abstractNum w:abstractNumId="1019">
    <w:nsid w:val="2B1281DB"/>
    <w:multiLevelType w:val="hybridMultilevel"/>
    <w:lvl w:ilvl="0">
      <w:lvlJc w:val="left"/>
      <w:lvlText w:val="%1."/>
      <w:numFmt w:val="decimal"/>
      <w:start w:val="13"/>
    </w:lvl>
  </w:abstractNum>
  <w:abstractNum w:abstractNumId="1020">
    <w:nsid w:val="2FECC4B7"/>
    <w:multiLevelType w:val="hybridMultilevel"/>
    <w:lvl w:ilvl="0">
      <w:lvlJc w:val="left"/>
      <w:lvlText w:val="(%1)"/>
      <w:numFmt w:val="lowerLetter"/>
      <w:start w:val="1"/>
    </w:lvl>
  </w:abstractNum>
  <w:abstractNum w:abstractNumId="1021">
    <w:nsid w:val="3D18E954"/>
    <w:multiLevelType w:val="hybridMultilevel"/>
    <w:lvl w:ilvl="0">
      <w:lvlJc w:val="left"/>
      <w:lvlText w:val="%1."/>
      <w:numFmt w:val="decimal"/>
      <w:start w:val="14"/>
    </w:lvl>
  </w:abstractNum>
  <w:abstractNum w:abstractNumId="1022">
    <w:nsid w:val="32FFB4F"/>
    <w:multiLevelType w:val="hybridMultilevel"/>
    <w:lvl w:ilvl="0">
      <w:lvlJc w:val="left"/>
      <w:lvlText w:val="(%1)"/>
      <w:numFmt w:val="lowerLetter"/>
      <w:start w:val="1"/>
    </w:lvl>
  </w:abstractNum>
  <w:abstractNum w:abstractNumId="1023">
    <w:nsid w:val="534BFE3A"/>
    <w:multiLevelType w:val="hybridMultilevel"/>
    <w:lvl w:ilvl="0">
      <w:lvlJc w:val="left"/>
      <w:lvlText w:val="%1."/>
      <w:numFmt w:val="decimal"/>
      <w:start w:val="15"/>
    </w:lvl>
  </w:abstractNum>
  <w:abstractNum w:abstractNumId="1024">
    <w:nsid w:val="42D4C8D6"/>
    <w:multiLevelType w:val="hybridMultilevel"/>
    <w:lvl w:ilvl="0">
      <w:lvlJc w:val="left"/>
      <w:lvlText w:val="%1."/>
      <w:numFmt w:val="decimal"/>
      <w:start w:val="16"/>
    </w:lvl>
  </w:abstractNum>
  <w:abstractNum w:abstractNumId="1025">
    <w:nsid w:val="53988AB0"/>
    <w:multiLevelType w:val="hybridMultilevel"/>
    <w:lvl w:ilvl="0">
      <w:lvlJc w:val="left"/>
      <w:lvlText w:val="(%1)"/>
      <w:numFmt w:val="lowerLetter"/>
      <w:start w:val="1"/>
    </w:lvl>
  </w:abstractNum>
  <w:abstractNum w:abstractNumId="1026">
    <w:nsid w:val="40672824"/>
    <w:multiLevelType w:val="hybridMultilevel"/>
    <w:lvl w:ilvl="0">
      <w:lvlJc w:val="left"/>
      <w:lvlText w:val="%1."/>
      <w:numFmt w:val="decimal"/>
      <w:start w:val="17"/>
    </w:lvl>
  </w:abstractNum>
  <w:abstractNum w:abstractNumId="1027">
    <w:nsid w:val="A4ABA00"/>
    <w:multiLevelType w:val="hybridMultilevel"/>
    <w:lvl w:ilvl="0">
      <w:lvlJc w:val="left"/>
      <w:lvlText w:val="%1."/>
      <w:numFmt w:val="decimal"/>
      <w:start w:val="18"/>
    </w:lvl>
  </w:abstractNum>
  <w:abstractNum w:abstractNumId="1028">
    <w:nsid w:val="456855DA"/>
    <w:multiLevelType w:val="hybridMultilevel"/>
    <w:lvl w:ilvl="0">
      <w:lvlJc w:val="left"/>
      <w:lvlText w:val="%1."/>
      <w:numFmt w:val="decimal"/>
      <w:start w:val="20"/>
    </w:lvl>
  </w:abstractNum>
  <w:abstractNum w:abstractNumId="1029">
    <w:nsid w:val="7350896E"/>
    <w:multiLevelType w:val="hybridMultilevel"/>
    <w:lvl w:ilvl="0">
      <w:lvlJc w:val="left"/>
      <w:lvlText w:val="(%1)"/>
      <w:numFmt w:val="lowerLetter"/>
      <w:start w:val="1"/>
    </w:lvl>
  </w:abstractNum>
  <w:abstractNum w:abstractNumId="1030">
    <w:nsid w:val="6D07551E"/>
    <w:multiLevelType w:val="hybridMultilevel"/>
    <w:lvl w:ilvl="0">
      <w:lvlJc w:val="left"/>
      <w:lvlText w:val="(%1)"/>
      <w:numFmt w:val="lowerLetter"/>
      <w:start w:val="2"/>
    </w:lvl>
  </w:abstractNum>
  <w:abstractNum w:abstractNumId="1031">
    <w:nsid w:val="577B64A5"/>
    <w:multiLevelType w:val="hybridMultilevel"/>
    <w:lvl w:ilvl="0">
      <w:lvlJc w:val="left"/>
      <w:lvlText w:val="%1."/>
      <w:numFmt w:val="decimal"/>
      <w:start w:val="21"/>
    </w:lvl>
  </w:abstractNum>
  <w:abstractNum w:abstractNumId="1032">
    <w:nsid w:val="2A52A07A"/>
    <w:multiLevelType w:val="hybridMultilevel"/>
    <w:lvl w:ilvl="0">
      <w:lvlJc w:val="left"/>
      <w:lvlText w:val="%1."/>
      <w:numFmt w:val="decimal"/>
      <w:start w:val="22"/>
    </w:lvl>
    <w:lvl w:ilvl="1">
      <w:lvlJc w:val="left"/>
      <w:lvlText w:val="(%2)"/>
      <w:numFmt w:val="lowerLetter"/>
      <w:start w:val="1"/>
    </w:lvl>
  </w:abstractNum>
  <w:abstractNum w:abstractNumId="1033">
    <w:nsid w:val="CEF5302"/>
    <w:multiLevelType w:val="hybridMultilevel"/>
    <w:lvl w:ilvl="0">
      <w:lvlJc w:val="left"/>
      <w:lvlText w:val="%1."/>
      <w:numFmt w:val="decimal"/>
      <w:start w:val="28"/>
    </w:lvl>
  </w:abstractNum>
  <w:abstractNum w:abstractNumId="1034">
    <w:nsid w:val="32771D73"/>
    <w:multiLevelType w:val="hybridMultilevel"/>
    <w:lvl w:ilvl="0">
      <w:lvlJc w:val="left"/>
      <w:lvlText w:val="(%1)"/>
      <w:numFmt w:val="lowerLetter"/>
      <w:start w:val="1"/>
    </w:lvl>
    <w:lvl w:ilvl="1">
      <w:lvlJc w:val="left"/>
      <w:lvlText w:val="(%2)"/>
      <w:numFmt w:val="lowerRoman"/>
      <w:start w:val="1"/>
    </w:lvl>
  </w:abstractNum>
  <w:abstractNum w:abstractNumId="1035">
    <w:nsid w:val="726B9F7C"/>
    <w:multiLevelType w:val="hybridMultilevel"/>
    <w:lvl w:ilvl="0">
      <w:lvlJc w:val="left"/>
      <w:lvlText w:val="%1."/>
      <w:numFmt w:val="decimal"/>
      <w:start w:val="1"/>
    </w:lvl>
    <w:lvl w:ilvl="1">
      <w:lvlJc w:val="left"/>
      <w:lvlText w:val="(%2)"/>
      <w:numFmt w:val="lowerLetter"/>
      <w:start w:val="1"/>
    </w:lvl>
  </w:abstractNum>
  <w:abstractNum w:abstractNumId="1036">
    <w:nsid w:val="5484CA8F"/>
    <w:multiLevelType w:val="hybridMultilevel"/>
    <w:lvl w:ilvl="0">
      <w:lvlJc w:val="left"/>
      <w:lvlText w:val="(%1)"/>
      <w:numFmt w:val="lowerLetter"/>
      <w:start w:val="1"/>
    </w:lvl>
  </w:abstractNum>
  <w:abstractNum w:abstractNumId="1037">
    <w:nsid w:val="7157351D"/>
    <w:multiLevelType w:val="hybridMultilevel"/>
    <w:lvl w:ilvl="0">
      <w:lvlJc w:val="left"/>
      <w:lvlText w:val="%1."/>
      <w:numFmt w:val="decimal"/>
      <w:start w:val="2"/>
    </w:lvl>
    <w:lvl w:ilvl="1">
      <w:lvlJc w:val="left"/>
      <w:lvlText w:val="%2."/>
      <w:numFmt w:val="lowerLetter"/>
      <w:start w:val="1"/>
    </w:lvl>
  </w:abstractNum>
  <w:abstractNum w:abstractNumId="1038">
    <w:nsid w:val="C0AB9BD"/>
    <w:multiLevelType w:val="hybridMultilevel"/>
    <w:lvl w:ilvl="0">
      <w:lvlJc w:val="left"/>
      <w:lvlText w:val="%1."/>
      <w:numFmt w:val="decimal"/>
      <w:start w:val="1"/>
    </w:lvl>
  </w:abstractNum>
  <w:abstractNum w:abstractNumId="1039">
    <w:nsid w:val="367236F1"/>
    <w:multiLevelType w:val="hybridMultilevel"/>
    <w:lvl w:ilvl="0">
      <w:lvlJc w:val="left"/>
      <w:lvlText w:val="%1."/>
      <w:numFmt w:val="decimal"/>
      <w:start w:val="1"/>
    </w:lvl>
    <w:lvl w:ilvl="1">
      <w:lvlJc w:val="left"/>
      <w:lvlText w:val="(%2)"/>
      <w:numFmt w:val="lowerLetter"/>
      <w:start w:val="1"/>
    </w:lvl>
  </w:abstractNum>
  <w:abstractNum w:abstractNumId="1040">
    <w:nsid w:val="1E418912"/>
    <w:multiLevelType w:val="hybridMultilevel"/>
    <w:lvl w:ilvl="0">
      <w:lvlJc w:val="left"/>
      <w:lvlText w:val="%1."/>
      <w:numFmt w:val="decimal"/>
      <w:start w:val="4"/>
    </w:lvl>
    <w:lvl w:ilvl="1">
      <w:lvlJc w:val="left"/>
      <w:lvlText w:val="(%2)"/>
      <w:numFmt w:val="lowerLetter"/>
      <w:start w:val="1"/>
    </w:lvl>
  </w:abstractNum>
  <w:abstractNum w:abstractNumId="1041">
    <w:nsid w:val="13A1CB50"/>
    <w:multiLevelType w:val="hybridMultilevel"/>
    <w:lvl w:ilvl="0">
      <w:lvlJc w:val="left"/>
      <w:lvlText w:val="%1."/>
      <w:numFmt w:val="decimal"/>
      <w:start w:val="1"/>
    </w:lvl>
    <w:lvl w:ilvl="1">
      <w:lvlJc w:val="left"/>
      <w:lvlText w:val="(%2)"/>
      <w:numFmt w:val="lowerLetter"/>
      <w:start w:val="1"/>
    </w:lvl>
  </w:abstractNum>
  <w:abstractNum w:abstractNumId="1042">
    <w:nsid w:val="1318EFF0"/>
    <w:multiLevelType w:val="hybridMultilevel"/>
    <w:lvl w:ilvl="0">
      <w:lvlJc w:val="left"/>
      <w:lvlText w:val="(%1)"/>
      <w:numFmt w:val="lowerLetter"/>
      <w:start w:val="3"/>
    </w:lvl>
  </w:abstractNum>
  <w:abstractNum w:abstractNumId="1043">
    <w:nsid w:val="47984755"/>
    <w:multiLevelType w:val="hybridMultilevel"/>
    <w:lvl w:ilvl="0">
      <w:lvlJc w:val="left"/>
      <w:lvlText w:val="(%1)"/>
      <w:numFmt w:val="decimal"/>
      <w:start w:val="1"/>
    </w:lvl>
  </w:abstractNum>
  <w:abstractNum w:abstractNumId="1044">
    <w:nsid w:val="D4A58"/>
    <w:multiLevelType w:val="hybridMultilevel"/>
    <w:lvl w:ilvl="0">
      <w:lvlJc w:val="left"/>
      <w:lvlText w:val="(%1)"/>
      <w:numFmt w:val="upperLetter"/>
      <w:start w:val="1"/>
    </w:lvl>
  </w:abstractNum>
  <w:abstractNum w:abstractNumId="1045">
    <w:nsid w:val="3805771F"/>
    <w:multiLevelType w:val="hybridMultilevel"/>
    <w:lvl w:ilvl="0">
      <w:lvlJc w:val="left"/>
      <w:lvlText w:val="%1."/>
      <w:numFmt w:val="decimal"/>
      <w:start w:val="1"/>
    </w:lvl>
  </w:abstractNum>
  <w:abstractNum w:abstractNumId="1046">
    <w:nsid w:val="363E4F1E"/>
    <w:multiLevelType w:val="hybridMultilevel"/>
    <w:lvl w:ilvl="0">
      <w:lvlJc w:val="left"/>
      <w:lvlText w:val="(%1)"/>
      <w:numFmt w:val="lowerLetter"/>
      <w:start w:val="1"/>
    </w:lvl>
  </w:abstractNum>
  <w:abstractNum w:abstractNumId="1047">
    <w:nsid w:val="35A80A34"/>
    <w:multiLevelType w:val="hybridMultilevel"/>
    <w:lvl w:ilvl="0">
      <w:lvlJc w:val="left"/>
      <w:lvlText w:val="(%1)"/>
      <w:numFmt w:val="lowerLetter"/>
      <w:start w:val="1"/>
    </w:lvl>
  </w:abstractNum>
  <w:abstractNum w:abstractNumId="1048">
    <w:nsid w:val="3081F595"/>
    <w:multiLevelType w:val="hybridMultilevel"/>
    <w:lvl w:ilvl="0">
      <w:lvlJc w:val="left"/>
      <w:lvlText w:val="(%1)"/>
      <w:numFmt w:val="lowerLetter"/>
      <w:start w:val="2"/>
    </w:lvl>
  </w:abstractNum>
  <w:abstractNum w:abstractNumId="1049">
    <w:nsid w:val="35C9B524"/>
    <w:multiLevelType w:val="hybridMultilevel"/>
    <w:lvl w:ilvl="0">
      <w:lvlJc w:val="left"/>
      <w:lvlText w:val="%1."/>
      <w:numFmt w:val="decimal"/>
      <w:start w:val="2"/>
    </w:lvl>
  </w:abstractNum>
  <w:abstractNum w:abstractNumId="1050">
    <w:nsid w:val="60BA8C0F"/>
    <w:multiLevelType w:val="hybridMultilevel"/>
    <w:lvl w:ilvl="0">
      <w:lvlJc w:val="left"/>
      <w:lvlText w:val="%1."/>
      <w:numFmt w:val="decimal"/>
      <w:start w:val="3"/>
    </w:lvl>
  </w:abstractNum>
  <w:abstractNum w:abstractNumId="1051">
    <w:nsid w:val="606EBA4C"/>
    <w:multiLevelType w:val="hybridMultilevel"/>
    <w:lvl w:ilvl="0">
      <w:lvlJc w:val="left"/>
      <w:lvlText w:val="%1."/>
      <w:numFmt w:val="decimal"/>
      <w:start w:val="4"/>
    </w:lvl>
  </w:abstractNum>
  <w:abstractNum w:abstractNumId="1052">
    <w:nsid w:val="72E29E78"/>
    <w:multiLevelType w:val="hybridMultilevel"/>
    <w:lvl w:ilvl="0">
      <w:lvlJc w:val="left"/>
      <w:lvlText w:val="%1."/>
      <w:numFmt w:val="decimal"/>
      <w:start w:val="5"/>
    </w:lvl>
  </w:abstractNum>
  <w:abstractNum w:abstractNumId="1053">
    <w:nsid w:val="63EA875E"/>
    <w:multiLevelType w:val="hybridMultilevel"/>
    <w:lvl w:ilvl="0">
      <w:lvlJc w:val="left"/>
      <w:lvlText w:val="(%1)"/>
      <w:numFmt w:val="lowerLetter"/>
      <w:start w:val="1"/>
    </w:lvl>
  </w:abstractNum>
  <w:abstractNum w:abstractNumId="1054">
    <w:nsid w:val="33BAB887"/>
    <w:multiLevelType w:val="hybridMultilevel"/>
    <w:lvl w:ilvl="0">
      <w:lvlJc w:val="left"/>
      <w:lvlText w:val="(%1)"/>
      <w:numFmt w:val="lowerLetter"/>
      <w:start w:val="1"/>
    </w:lvl>
  </w:abstractNum>
  <w:abstractNum w:abstractNumId="1055">
    <w:nsid w:val="35B7674F"/>
    <w:multiLevelType w:val="hybridMultilevel"/>
    <w:lvl w:ilvl="0">
      <w:lvlJc w:val="left"/>
      <w:lvlText w:val="%1"/>
      <w:numFmt w:val="decimal"/>
      <w:start w:val="1"/>
    </w:lvl>
    <w:lvl w:ilvl="1">
      <w:lvlJc w:val="left"/>
      <w:lvlText w:val="(%2)"/>
      <w:numFmt w:val="lowerLetter"/>
      <w:start w:val="3"/>
    </w:lvl>
  </w:abstractNum>
  <w:abstractNum w:abstractNumId="1056">
    <w:nsid w:val="3783120E"/>
    <w:multiLevelType w:val="hybridMultilevel"/>
    <w:lvl w:ilvl="0">
      <w:lvlJc w:val="left"/>
      <w:lvlText w:val="%1."/>
      <w:numFmt w:val="decimal"/>
      <w:start w:val="8"/>
    </w:lvl>
    <w:lvl w:ilvl="1">
      <w:lvlJc w:val="left"/>
      <w:lvlText w:val="(%2)"/>
      <w:numFmt w:val="lowerLetter"/>
      <w:start w:val="1"/>
    </w:lvl>
  </w:abstractNum>
  <w:abstractNum w:abstractNumId="1057">
    <w:nsid w:val="7421E0AB"/>
    <w:multiLevelType w:val="hybridMultilevel"/>
    <w:lvl w:ilvl="0">
      <w:lvlJc w:val="left"/>
      <w:lvlText w:val="%1."/>
      <w:numFmt w:val="decimal"/>
      <w:start w:val="9"/>
    </w:lvl>
    <w:lvl w:ilvl="1">
      <w:lvlJc w:val="left"/>
      <w:lvlText w:val="(%2)"/>
      <w:numFmt w:val="lowerLetter"/>
      <w:start w:val="1"/>
    </w:lvl>
  </w:abstractNum>
  <w:abstractNum w:abstractNumId="1058">
    <w:nsid w:val="4002214F"/>
    <w:multiLevelType w:val="hybridMultilevel"/>
    <w:lvl w:ilvl="0">
      <w:lvlJc w:val="left"/>
      <w:lvlText w:val="%1"/>
      <w:numFmt w:val="decimal"/>
      <w:start w:val="1"/>
    </w:lvl>
    <w:lvl w:ilvl="1">
      <w:lvlJc w:val="left"/>
      <w:lvlText w:val="(%2)"/>
      <w:numFmt w:val="lowerLetter"/>
      <w:start w:val="1"/>
    </w:lvl>
  </w:abstractNum>
  <w:abstractNum w:abstractNumId="1059">
    <w:nsid w:val="7CEB67E9"/>
    <w:multiLevelType w:val="hybridMultilevel"/>
    <w:lvl w:ilvl="0">
      <w:lvlJc w:val="left"/>
      <w:lvlText w:val="%1."/>
      <w:numFmt w:val="decimal"/>
      <w:start w:val="10"/>
    </w:lvl>
    <w:lvl w:ilvl="1">
      <w:lvlJc w:val="left"/>
      <w:lvlText w:val="%2"/>
      <w:numFmt w:val="lowerLetter"/>
      <w:start w:val="1"/>
    </w:lvl>
  </w:abstractNum>
  <w:abstractNum w:abstractNumId="1060">
    <w:nsid w:val="67726A1A"/>
    <w:multiLevelType w:val="hybridMultilevel"/>
    <w:lvl w:ilvl="0">
      <w:lvlJc w:val="left"/>
      <w:lvlText w:val="%1."/>
      <w:numFmt w:val="decimal"/>
      <w:start w:val="12"/>
    </w:lvl>
  </w:abstractNum>
  <w:abstractNum w:abstractNumId="1061">
    <w:nsid w:val="2D09766D"/>
    <w:multiLevelType w:val="hybridMultilevel"/>
    <w:lvl w:ilvl="0">
      <w:lvlJc w:val="left"/>
      <w:lvlText w:val="(%1)"/>
      <w:numFmt w:val="lowerLetter"/>
      <w:start w:val="1"/>
    </w:lvl>
  </w:abstractNum>
  <w:abstractNum w:abstractNumId="1062">
    <w:nsid w:val="5466CC8E"/>
    <w:multiLevelType w:val="hybridMultilevel"/>
    <w:lvl w:ilvl="0">
      <w:lvlJc w:val="left"/>
      <w:lvlText w:val="(%1)"/>
      <w:numFmt w:val="lowerLetter"/>
      <w:start w:val="2"/>
    </w:lvl>
  </w:abstractNum>
  <w:abstractNum w:abstractNumId="1063">
    <w:nsid w:val="11C50A94"/>
    <w:multiLevelType w:val="hybridMultilevel"/>
    <w:lvl w:ilvl="0">
      <w:lvlJc w:val="left"/>
      <w:lvlText w:val="%1."/>
      <w:numFmt w:val="decimal"/>
      <w:start w:val="14"/>
    </w:lvl>
  </w:abstractNum>
  <w:abstractNum w:abstractNumId="1064">
    <w:nsid w:val="39F8C96F"/>
    <w:multiLevelType w:val="hybridMultilevel"/>
    <w:lvl w:ilvl="0">
      <w:lvlJc w:val="left"/>
      <w:lvlText w:val="(%1)"/>
      <w:numFmt w:val="lowerLetter"/>
      <w:start w:val="1"/>
    </w:lvl>
    <w:lvl w:ilvl="1">
      <w:lvlJc w:val="left"/>
      <w:lvlText w:val="(%2)"/>
      <w:numFmt w:val="lowerRoman"/>
      <w:start w:val="1"/>
    </w:lvl>
  </w:abstractNum>
  <w:abstractNum w:abstractNumId="1065">
    <w:nsid w:val="6DDEA01"/>
    <w:multiLevelType w:val="hybridMultilevel"/>
    <w:lvl w:ilvl="0">
      <w:lvlJc w:val="left"/>
      <w:lvlText w:val="%1"/>
      <w:numFmt w:val="lowerLetter"/>
      <w:start w:val="1"/>
    </w:lvl>
    <w:lvl w:ilvl="1">
      <w:lvlJc w:val="left"/>
      <w:lvlText w:val="(%2)"/>
      <w:numFmt w:val="lowerRoman"/>
      <w:start w:val="5"/>
    </w:lvl>
  </w:abstractNum>
  <w:abstractNum w:abstractNumId="1066">
    <w:nsid w:val="430AA11"/>
    <w:multiLevelType w:val="hybridMultilevel"/>
    <w:lvl w:ilvl="0">
      <w:lvlJc w:val="left"/>
      <w:lvlText w:val="(%1)"/>
      <w:numFmt w:val="lowerLetter"/>
      <w:start w:val="2"/>
    </w:lvl>
    <w:lvl w:ilvl="1">
      <w:lvlJc w:val="left"/>
      <w:lvlText w:val="%2"/>
      <w:numFmt w:val="lowerRoman"/>
      <w:start w:val="1"/>
    </w:lvl>
  </w:abstractNum>
  <w:abstractNum w:abstractNumId="1067">
    <w:nsid w:val="E7D93FF"/>
    <w:multiLevelType w:val="hybridMultilevel"/>
    <w:lvl w:ilvl="0">
      <w:lvlJc w:val="left"/>
      <w:lvlText w:val="(%1)"/>
      <w:numFmt w:val="lowerLetter"/>
      <w:start w:val="1"/>
    </w:lvl>
    <w:lvl w:ilvl="1">
      <w:lvlJc w:val="left"/>
      <w:lvlText w:val="(%2)"/>
      <w:numFmt w:val="lowerRoman"/>
      <w:start w:val="1"/>
    </w:lvl>
  </w:abstractNum>
  <w:abstractNum w:abstractNumId="1068">
    <w:nsid w:val="78351F1E"/>
    <w:multiLevelType w:val="hybridMultilevel"/>
    <w:lvl w:ilvl="0">
      <w:lvlJc w:val="left"/>
      <w:lvlText w:val="%1."/>
      <w:numFmt w:val="decimal"/>
      <w:start w:val="15"/>
    </w:lvl>
  </w:abstractNum>
  <w:abstractNum w:abstractNumId="1069">
    <w:nsid w:val="103B63CE"/>
    <w:multiLevelType w:val="hybridMultilevel"/>
    <w:lvl w:ilvl="0">
      <w:lvlJc w:val="left"/>
      <w:lvlText w:val="(%1)"/>
      <w:numFmt w:val="lowerLetter"/>
      <w:start w:val="1"/>
    </w:lvl>
  </w:abstractNum>
  <w:abstractNum w:abstractNumId="1070">
    <w:nsid w:val="44EFCAF0"/>
    <w:multiLevelType w:val="hybridMultilevel"/>
    <w:lvl w:ilvl="0">
      <w:lvlJc w:val="left"/>
      <w:lvlText w:val="(%1)"/>
      <w:numFmt w:val="lowerLetter"/>
      <w:start w:val="1"/>
    </w:lvl>
  </w:abstractNum>
  <w:abstractNum w:abstractNumId="1071">
    <w:nsid w:val="1676A831"/>
    <w:multiLevelType w:val="hybridMultilevel"/>
    <w:lvl w:ilvl="0">
      <w:lvlJc w:val="left"/>
      <w:lvlText w:val="(%1)"/>
      <w:numFmt w:val="lowerLetter"/>
      <w:start w:val="1"/>
    </w:lvl>
  </w:abstractNum>
  <w:abstractNum w:abstractNumId="1072">
    <w:nsid w:val="23DD2F1E"/>
    <w:multiLevelType w:val="hybridMultilevel"/>
    <w:lvl w:ilvl="0">
      <w:lvlJc w:val="left"/>
      <w:lvlText w:val="%1"/>
      <w:numFmt w:val="decimal"/>
      <w:start w:val="1"/>
    </w:lvl>
    <w:lvl w:ilvl="1">
      <w:lvlJc w:val="left"/>
      <w:lvlText w:val="(%2)"/>
      <w:numFmt w:val="lowerLetter"/>
      <w:start w:val="3"/>
    </w:lvl>
  </w:abstractNum>
  <w:abstractNum w:abstractNumId="1073">
    <w:nsid w:val="5808BAE1"/>
    <w:multiLevelType w:val="hybridMultilevel"/>
    <w:lvl w:ilvl="0">
      <w:lvlJc w:val="left"/>
      <w:lvlText w:val="%1."/>
      <w:numFmt w:val="decimal"/>
      <w:start w:val="16"/>
    </w:lvl>
    <w:lvl w:ilvl="1">
      <w:lvlJc w:val="left"/>
      <w:lvlText w:val="%2"/>
      <w:numFmt w:val="lowerLetter"/>
      <w:start w:val="1"/>
    </w:lvl>
  </w:abstractNum>
  <w:abstractNum w:abstractNumId="1074">
    <w:nsid w:val="5E0EEF86"/>
    <w:multiLevelType w:val="hybridMultilevel"/>
    <w:lvl w:ilvl="0">
      <w:lvlJc w:val="left"/>
      <w:lvlText w:val="(%1)"/>
      <w:numFmt w:val="lowerLetter"/>
      <w:start w:val="1"/>
    </w:lvl>
  </w:abstractNum>
  <w:abstractNum w:abstractNumId="1075">
    <w:nsid w:val="23EA7976"/>
    <w:multiLevelType w:val="hybridMultilevel"/>
    <w:lvl w:ilvl="0">
      <w:lvlJc w:val="left"/>
      <w:lvlText w:val="%1."/>
      <w:numFmt w:val="decimal"/>
      <w:start w:val="17"/>
    </w:lvl>
  </w:abstractNum>
  <w:abstractNum w:abstractNumId="1076">
    <w:nsid w:val="100E3200"/>
    <w:multiLevelType w:val="hybridMultilevel"/>
    <w:lvl w:ilvl="0">
      <w:lvlJc w:val="left"/>
      <w:lvlText w:val="%1."/>
      <w:numFmt w:val="decimal"/>
      <w:start w:val="18"/>
    </w:lvl>
  </w:abstractNum>
  <w:abstractNum w:abstractNumId="1077">
    <w:nsid w:val="144D3EA4"/>
    <w:multiLevelType w:val="hybridMultilevel"/>
    <w:lvl w:ilvl="0">
      <w:lvlJc w:val="left"/>
      <w:lvlText w:val="%1."/>
      <w:numFmt w:val="decimal"/>
      <w:start w:val="19"/>
    </w:lvl>
  </w:abstractNum>
  <w:abstractNum w:abstractNumId="1078">
    <w:nsid w:val="599283AA"/>
    <w:multiLevelType w:val="hybridMultilevel"/>
    <w:lvl w:ilvl="0">
      <w:lvlJc w:val="left"/>
      <w:lvlText w:val="%1."/>
      <w:numFmt w:val="decimal"/>
      <w:start w:val="20"/>
    </w:lvl>
  </w:abstractNum>
  <w:abstractNum w:abstractNumId="1079">
    <w:nsid w:val="40902795"/>
    <w:multiLevelType w:val="hybridMultilevel"/>
    <w:lvl w:ilvl="0">
      <w:lvlJc w:val="left"/>
      <w:lvlText w:val="%1"/>
      <w:numFmt w:val="decimal"/>
      <w:start w:val="1"/>
    </w:lvl>
    <w:lvl w:ilvl="1">
      <w:lvlJc w:val="left"/>
      <w:lvlText w:val="(%2)"/>
      <w:numFmt w:val="lowerLetter"/>
      <w:start w:val="1"/>
    </w:lvl>
  </w:abstractNum>
  <w:abstractNum w:abstractNumId="1080">
    <w:nsid w:val="4A16F3C8"/>
    <w:multiLevelType w:val="hybridMultilevel"/>
    <w:lvl w:ilvl="0">
      <w:lvlJc w:val="left"/>
      <w:lvlText w:val="%1."/>
      <w:numFmt w:val="decimal"/>
      <w:start w:val="23"/>
    </w:lvl>
    <w:lvl w:ilvl="1">
      <w:lvlJc w:val="left"/>
      <w:lvlText w:val="%2"/>
      <w:numFmt w:val="lowerLetter"/>
      <w:start w:val="1"/>
    </w:lvl>
  </w:abstractNum>
  <w:abstractNum w:abstractNumId="1081">
    <w:nsid w:val="3A4D0FB9"/>
    <w:multiLevelType w:val="hybridMultilevel"/>
    <w:lvl w:ilvl="0">
      <w:lvlJc w:val="left"/>
      <w:lvlText w:val="%1."/>
      <w:numFmt w:val="decimal"/>
      <w:start w:val="27"/>
    </w:lvl>
  </w:abstractNum>
  <w:abstractNum w:abstractNumId="1082">
    <w:nsid w:val="20FEE1E2"/>
    <w:multiLevelType w:val="hybridMultilevel"/>
    <w:lvl w:ilvl="0">
      <w:lvlJc w:val="left"/>
      <w:lvlText w:val="%1."/>
      <w:numFmt w:val="decimal"/>
      <w:start w:val="28"/>
    </w:lvl>
  </w:abstractNum>
  <w:abstractNum w:abstractNumId="1083">
    <w:nsid w:val="3CF99241"/>
    <w:multiLevelType w:val="hybridMultilevel"/>
    <w:lvl w:ilvl="0">
      <w:lvlJc w:val="left"/>
      <w:lvlText w:val="%1."/>
      <w:numFmt w:val="decimal"/>
      <w:start w:val="29"/>
    </w:lvl>
  </w:abstractNum>
  <w:abstractNum w:abstractNumId="1084">
    <w:nsid w:val="1E379717"/>
    <w:multiLevelType w:val="hybridMultilevel"/>
    <w:lvl w:ilvl="0">
      <w:lvlJc w:val="left"/>
      <w:lvlText w:val="%1."/>
      <w:numFmt w:val="decimal"/>
      <w:start w:val="30"/>
    </w:lvl>
  </w:abstractNum>
  <w:abstractNum w:abstractNumId="1085">
    <w:nsid w:val="54B99A69"/>
    <w:multiLevelType w:val="hybridMultilevel"/>
    <w:lvl w:ilvl="0">
      <w:lvlJc w:val="left"/>
      <w:lvlText w:val="(%1)"/>
      <w:numFmt w:val="lowerLetter"/>
      <w:start w:val="1"/>
    </w:lvl>
    <w:lvl w:ilvl="1">
      <w:lvlJc w:val="left"/>
      <w:lvlText w:val="(%2)"/>
      <w:numFmt w:val="lowerRoman"/>
      <w:start w:val="1"/>
    </w:lvl>
  </w:abstractNum>
  <w:abstractNum w:abstractNumId="1086">
    <w:nsid w:val="72B0F990"/>
    <w:multiLevelType w:val="hybridMultilevel"/>
    <w:lvl w:ilvl="0">
      <w:lvlJc w:val="left"/>
      <w:lvlText w:val="%1."/>
      <w:numFmt w:val="decimal"/>
      <w:start w:val="1"/>
    </w:lvl>
    <w:lvl w:ilvl="1">
      <w:lvlJc w:val="left"/>
      <w:lvlText w:val="(%2)"/>
      <w:numFmt w:val="lowerLetter"/>
      <w:start w:val="1"/>
    </w:lvl>
  </w:abstractNum>
  <w:abstractNum w:abstractNumId="1087">
    <w:nsid w:val="55BAA926"/>
    <w:multiLevelType w:val="hybridMultilevel"/>
    <w:lvl w:ilvl="0">
      <w:lvlJc w:val="left"/>
      <w:lvlText w:val="%1."/>
      <w:numFmt w:val="decimal"/>
      <w:start w:val="1"/>
    </w:lvl>
  </w:abstractNum>
  <w:abstractNum w:abstractNumId="1088">
    <w:nsid w:val="48DB7B14"/>
    <w:multiLevelType w:val="hybridMultilevel"/>
    <w:lvl w:ilvl="0">
      <w:lvlJc w:val="left"/>
      <w:lvlText w:val="%1."/>
      <w:numFmt w:val="decimal"/>
      <w:start w:val="1"/>
    </w:lvl>
  </w:abstractNum>
  <w:abstractNum w:abstractNumId="1089">
    <w:nsid w:val="32B31ADF"/>
    <w:multiLevelType w:val="hybridMultilevel"/>
    <w:lvl w:ilvl="0">
      <w:lvlJc w:val="left"/>
      <w:lvlText w:val="%1."/>
      <w:numFmt w:val="decimal"/>
      <w:start w:val="2"/>
    </w:lvl>
  </w:abstractNum>
  <w:abstractNum w:abstractNumId="1090">
    <w:nsid w:val="52A6110F"/>
    <w:multiLevelType w:val="hybridMultilevel"/>
    <w:lvl w:ilvl="0">
      <w:lvlJc w:val="left"/>
      <w:lvlText w:val="(%1)"/>
      <w:numFmt w:val="lowerRoman"/>
      <w:start w:val="3"/>
    </w:lvl>
    <w:lvl w:ilvl="1">
      <w:lvlJc w:val="left"/>
      <w:lvlText w:val="%2."/>
      <w:numFmt w:val="decimal"/>
      <w:start w:val="3"/>
    </w:lvl>
  </w:abstractNum>
  <w:abstractNum w:abstractNumId="1091">
    <w:nsid w:val="304DE52E"/>
    <w:multiLevelType w:val="hybridMultilevel"/>
    <w:lvl w:ilvl="0">
      <w:lvlJc w:val="left"/>
      <w:lvlText w:val="%1."/>
      <w:numFmt w:val="decimal"/>
      <w:start w:val="5"/>
    </w:lvl>
  </w:abstractNum>
  <w:abstractNum w:abstractNumId="1092">
    <w:nsid w:val="5FBC914D"/>
    <w:multiLevelType w:val="hybridMultilevel"/>
    <w:lvl w:ilvl="0">
      <w:lvlJc w:val="left"/>
      <w:lvlText w:val="%1."/>
      <w:numFmt w:val="decimal"/>
      <w:start w:val="9"/>
    </w:lvl>
  </w:abstractNum>
  <w:abstractNum w:abstractNumId="1093">
    <w:nsid w:val="270CDD9D"/>
    <w:multiLevelType w:val="hybridMultilevel"/>
    <w:lvl w:ilvl="0">
      <w:lvlJc w:val="left"/>
      <w:lvlText w:val="%1."/>
      <w:numFmt w:val="decimal"/>
      <w:start w:val="11"/>
    </w:lvl>
  </w:abstractNum>
  <w:abstractNum w:abstractNumId="1094">
    <w:nsid w:val="4212EFC3"/>
    <w:multiLevelType w:val="hybridMultilevel"/>
    <w:lvl w:ilvl="0">
      <w:lvlJc w:val="left"/>
      <w:lvlText w:val="1"/>
      <w:numFmt w:val="bullet"/>
      <w:start w:val="1"/>
    </w:lvl>
  </w:abstractNum>
  <w:abstractNum w:abstractNumId="1095">
    <w:nsid w:val="19B55ABC"/>
    <w:multiLevelType w:val="hybridMultilevel"/>
    <w:lvl w:ilvl="0">
      <w:lvlJc w:val="left"/>
      <w:lvlText w:val="☐"/>
      <w:numFmt w:val="bullet"/>
      <w:start w:val="1"/>
    </w:lvl>
  </w:abstractNum>
  <w:abstractNum w:abstractNumId="1096">
    <w:nsid w:val="2DEAC79E"/>
    <w:multiLevelType w:val="hybridMultilevel"/>
    <w:lvl w:ilvl="0">
      <w:lvlJc w:val="left"/>
      <w:lvlText w:val="☐"/>
      <w:numFmt w:val="bullet"/>
      <w:start w:val="1"/>
    </w:lvl>
  </w:abstractNum>
  <w:abstractNum w:abstractNumId="1097">
    <w:nsid w:val="464399D4"/>
    <w:multiLevelType w:val="hybridMultilevel"/>
    <w:lvl w:ilvl="0">
      <w:lvlJc w:val="left"/>
      <w:lvlText w:val="(%1)"/>
      <w:numFmt w:val="lowerLetter"/>
      <w:start w:val="1"/>
    </w:lvl>
  </w:abstractNum>
  <w:abstractNum w:abstractNumId="1098">
    <w:nsid w:val="2832EEBB"/>
    <w:multiLevelType w:val="hybridMultilevel"/>
    <w:lvl w:ilvl="0">
      <w:lvlJc w:val="left"/>
      <w:lvlText w:val="(%1)"/>
      <w:numFmt w:val="lowerRoman"/>
      <w:start w:val="3"/>
    </w:lvl>
  </w:abstractNum>
  <w:abstractNum w:abstractNumId="1099">
    <w:nsid w:val="261FE6BD"/>
    <w:multiLevelType w:val="hybridMultilevel"/>
    <w:lvl w:ilvl="0">
      <w:lvlJc w:val="left"/>
      <w:lvlText w:val="(%1)"/>
      <w:numFmt w:val="lowerLetter"/>
      <w:start w:val="1"/>
    </w:lvl>
  </w:abstractNum>
  <w:abstractNum w:abstractNumId="1100">
    <w:nsid w:val="567EFDA2"/>
    <w:multiLevelType w:val="hybridMultilevel"/>
    <w:lvl w:ilvl="0">
      <w:lvlJc w:val="left"/>
      <w:lvlText w:val="(%1)"/>
      <w:numFmt w:val="lowerLetter"/>
      <w:start w:val="2"/>
    </w:lvl>
  </w:abstractNum>
  <w:abstractNum w:abstractNumId="1101">
    <w:nsid w:val="6D22B9AC"/>
    <w:multiLevelType w:val="hybridMultilevel"/>
    <w:lvl w:ilvl="0">
      <w:lvlJc w:val="left"/>
      <w:lvlText w:val="(%1)"/>
      <w:numFmt w:val="lowerLetter"/>
      <w:start w:val="1"/>
    </w:lvl>
  </w:abstractNum>
  <w:abstractNum w:abstractNumId="1102">
    <w:nsid w:val="3C968EEE"/>
    <w:multiLevelType w:val="hybridMultilevel"/>
    <w:lvl w:ilvl="0">
      <w:lvlJc w:val="left"/>
      <w:lvlText w:val="(%1)"/>
      <w:numFmt w:val="lowerLetter"/>
      <w:start w:val="1"/>
    </w:lvl>
  </w:abstractNum>
  <w:abstractNum w:abstractNumId="1103">
    <w:nsid w:val="7A5C2CC0"/>
    <w:multiLevelType w:val="hybridMultilevel"/>
    <w:lvl w:ilvl="0">
      <w:lvlJc w:val="left"/>
      <w:lvlText w:val="(%1)"/>
      <w:numFmt w:val="lowerLetter"/>
      <w:start w:val="8"/>
    </w:lvl>
  </w:abstractNum>
  <w:abstractNum w:abstractNumId="1104">
    <w:nsid w:val="452B748D"/>
    <w:multiLevelType w:val="hybridMultilevel"/>
    <w:lvl w:ilvl="0">
      <w:lvlJc w:val="left"/>
      <w:lvlText w:val="(%1)"/>
      <w:numFmt w:val="lowerLetter"/>
      <w:start w:val="1"/>
    </w:lvl>
    <w:lvl w:ilvl="1">
      <w:lvlJc w:val="left"/>
      <w:lvlText w:val="(%2)"/>
      <w:numFmt w:val="lowerRoman"/>
      <w:start w:val="1"/>
    </w:lvl>
  </w:abstractNum>
  <w:abstractNum w:abstractNumId="1105">
    <w:nsid w:val="1AA57E74"/>
    <w:multiLevelType w:val="hybridMultilevel"/>
    <w:lvl w:ilvl="0">
      <w:lvlJc w:val="left"/>
      <w:lvlText w:val="(%1)"/>
      <w:numFmt w:val="lowerLetter"/>
      <w:start w:val="3"/>
    </w:lvl>
  </w:abstractNum>
  <w:abstractNum w:abstractNumId="1106">
    <w:nsid w:val="1E46A636"/>
    <w:multiLevelType w:val="hybridMultilevel"/>
    <w:lvl w:ilvl="0">
      <w:lvlJc w:val="left"/>
      <w:lvlText w:val="(%1)"/>
      <w:numFmt w:val="lowerRoman"/>
      <w:start w:val="1"/>
    </w:lvl>
  </w:abstractNum>
  <w:abstractNum w:abstractNumId="1107">
    <w:nsid w:val="5539A68D"/>
    <w:multiLevelType w:val="hybridMultilevel"/>
    <w:lvl w:ilvl="0">
      <w:lvlJc w:val="left"/>
      <w:lvlText w:val="(%1)"/>
      <w:numFmt w:val="lowerRoman"/>
      <w:start w:val="2"/>
    </w:lvl>
  </w:abstractNum>
  <w:abstractNum w:abstractNumId="1108">
    <w:nsid w:val="2EF2BD18"/>
    <w:multiLevelType w:val="hybridMultilevel"/>
    <w:lvl w:ilvl="0">
      <w:lvlJc w:val="left"/>
      <w:lvlText w:val="(%1)"/>
      <w:numFmt w:val="lowerLetter"/>
      <w:start w:val="2"/>
    </w:lvl>
  </w:abstractNum>
  <w:abstractNum w:abstractNumId="1109">
    <w:nsid w:val="77D929E1"/>
    <w:multiLevelType w:val="hybridMultilevel"/>
    <w:lvl w:ilvl="0">
      <w:lvlJc w:val="left"/>
      <w:lvlText w:val="(%1)"/>
      <w:numFmt w:val="lowerLetter"/>
      <w:start w:val="1"/>
    </w:lvl>
  </w:abstractNum>
  <w:abstractNum w:abstractNumId="1110">
    <w:nsid w:val="15C9CE22"/>
    <w:multiLevelType w:val="hybridMultilevel"/>
    <w:lvl w:ilvl="0">
      <w:lvlJc w:val="left"/>
      <w:lvlText w:val="(%1)"/>
      <w:numFmt w:val="lowerLetter"/>
      <w:start w:val="4"/>
    </w:lvl>
  </w:abstractNum>
  <w:abstractNum w:abstractNumId="1111">
    <w:nsid w:val="7909B0E1"/>
    <w:multiLevelType w:val="hybridMultilevel"/>
    <w:lvl w:ilvl="0">
      <w:lvlJc w:val="left"/>
      <w:lvlText w:val="(%1)"/>
      <w:numFmt w:val="lowerLetter"/>
      <w:start w:val="1"/>
    </w:lvl>
  </w:abstractNum>
  <w:abstractNum w:abstractNumId="1112">
    <w:nsid w:val="3226399A"/>
    <w:multiLevelType w:val="hybridMultilevel"/>
    <w:lvl w:ilvl="0">
      <w:lvlJc w:val="left"/>
      <w:lvlText w:val="(%1)"/>
      <w:numFmt w:val="lowerLetter"/>
      <w:start w:val="1"/>
    </w:lvl>
  </w:abstractNum>
  <w:abstractNum w:abstractNumId="1113">
    <w:nsid w:val="36C8B004"/>
    <w:multiLevelType w:val="hybridMultilevel"/>
    <w:lvl w:ilvl="0">
      <w:lvlJc w:val="left"/>
      <w:lvlText w:val="(%1)"/>
      <w:numFmt w:val="lowerLetter"/>
      <w:start w:val="2"/>
    </w:lvl>
  </w:abstractNum>
  <w:abstractNum w:abstractNumId="1114">
    <w:nsid w:val="36034322"/>
    <w:multiLevelType w:val="hybridMultilevel"/>
    <w:lvl w:ilvl="0">
      <w:lvlJc w:val="left"/>
      <w:lvlText w:val="(%1)"/>
      <w:numFmt w:val="lowerLetter"/>
      <w:start w:val="3"/>
    </w:lvl>
  </w:abstractNum>
  <w:abstractNum w:abstractNumId="1115">
    <w:nsid w:val="505DD0B2"/>
    <w:multiLevelType w:val="hybridMultilevel"/>
    <w:lvl w:ilvl="0">
      <w:lvlJc w:val="left"/>
      <w:lvlText w:val="(%1)"/>
      <w:numFmt w:val="lowerLetter"/>
      <w:start w:val="1"/>
    </w:lvl>
  </w:abstractNum>
  <w:abstractNum w:abstractNumId="1116">
    <w:nsid w:val="B824A6D"/>
    <w:multiLevelType w:val="hybridMultilevel"/>
    <w:lvl w:ilvl="0">
      <w:lvlJc w:val="left"/>
      <w:lvlText w:val="(%1)"/>
      <w:numFmt w:val="lowerLetter"/>
      <w:start w:val="4"/>
    </w:lvl>
  </w:abstractNum>
  <w:abstractNum w:abstractNumId="1117">
    <w:nsid w:val="28B43CB2"/>
    <w:multiLevelType w:val="hybridMultilevel"/>
    <w:lvl w:ilvl="0">
      <w:lvlJc w:val="left"/>
      <w:lvlText w:val="(%1)"/>
      <w:numFmt w:val="lowerLetter"/>
      <w:start w:val="1"/>
    </w:lvl>
    <w:lvl w:ilvl="1">
      <w:lvlJc w:val="left"/>
      <w:lvlText w:val="(%2)"/>
      <w:numFmt w:val="lowerLetter"/>
      <w:start w:val="9"/>
    </w:lvl>
  </w:abstractNum>
  <w:abstractNum w:abstractNumId="1118">
    <w:nsid w:val="261879D8"/>
    <w:multiLevelType w:val="hybridMultilevel"/>
    <w:lvl w:ilvl="0">
      <w:lvlJc w:val="left"/>
      <w:lvlText w:val="(%1)"/>
      <w:numFmt w:val="lowerRoman"/>
      <w:start w:val="2"/>
    </w:lvl>
  </w:abstractNum>
  <w:abstractNum w:abstractNumId="1119">
    <w:nsid w:val="545DC582"/>
    <w:multiLevelType w:val="hybridMultilevel"/>
    <w:lvl w:ilvl="0">
      <w:lvlJc w:val="left"/>
      <w:lvlText w:val="%1"/>
      <w:numFmt w:val="lowerLetter"/>
      <w:start w:val="1"/>
    </w:lvl>
    <w:lvl w:ilvl="1">
      <w:lvlJc w:val="left"/>
      <w:lvlText w:val="(%2)"/>
      <w:numFmt w:val="lowerLetter"/>
      <w:start w:val="61"/>
    </w:lvl>
  </w:abstractNum>
  <w:abstractNum w:abstractNumId="1120">
    <w:nsid w:val="5B675791"/>
    <w:multiLevelType w:val="hybridMultilevel"/>
    <w:lvl w:ilvl="0">
      <w:lvlJc w:val="left"/>
      <w:lvlText w:val="(%1)"/>
      <w:numFmt w:val="lowerLetter"/>
      <w:start w:val="3"/>
    </w:lvl>
    <w:lvl w:ilvl="1">
      <w:lvlJc w:val="left"/>
      <w:lvlText w:val="%2"/>
      <w:numFmt w:val="lowerLetter"/>
      <w:start w:val="1"/>
    </w:lvl>
  </w:abstractNum>
  <w:abstractNum w:abstractNumId="1121">
    <w:nsid w:val="78BE8AE7"/>
    <w:multiLevelType w:val="hybridMultilevel"/>
    <w:lvl w:ilvl="0">
      <w:lvlJc w:val="left"/>
      <w:lvlText w:val="%1"/>
      <w:numFmt w:val="lowerLetter"/>
      <w:start w:val="1"/>
    </w:lvl>
    <w:lvl w:ilvl="1">
      <w:lvlJc w:val="left"/>
      <w:lvlText w:val="(%2)"/>
      <w:numFmt w:val="lowerLetter"/>
      <w:start w:val="4"/>
    </w:lvl>
  </w:abstractNum>
  <w:abstractNum w:abstractNumId="1122">
    <w:nsid w:val="4ABAAB0"/>
    <w:multiLevelType w:val="hybridMultilevel"/>
    <w:lvl w:ilvl="0">
      <w:lvlJc w:val="left"/>
      <w:lvlText w:val="(%1)"/>
      <w:numFmt w:val="lowerLetter"/>
      <w:start w:val="25"/>
    </w:lvl>
    <w:lvl w:ilvl="1">
      <w:lvlJc w:val="left"/>
      <w:lvlText w:val="%2"/>
      <w:numFmt w:val="lowerLetter"/>
      <w:start w:val="1"/>
    </w:lvl>
  </w:abstractNum>
  <w:abstractNum w:abstractNumId="1123">
    <w:nsid w:val="3B23E8DE"/>
    <w:multiLevelType w:val="hybridMultilevel"/>
    <w:lvl w:ilvl="0">
      <w:lvlJc w:val="left"/>
      <w:lvlText w:val="(%1)"/>
      <w:numFmt w:val="lowerLetter"/>
      <w:start w:val="6"/>
    </w:lvl>
  </w:abstractNum>
  <w:abstractNum w:abstractNumId="1124">
    <w:nsid w:val="1FCB6884"/>
    <w:multiLevelType w:val="hybridMultilevel"/>
    <w:lvl w:ilvl="0">
      <w:lvlJc w:val="left"/>
      <w:lvlText w:val="(%1)"/>
      <w:numFmt w:val="lowerLetter"/>
      <w:start w:val="7"/>
    </w:lvl>
  </w:abstractNum>
  <w:abstractNum w:abstractNumId="1125">
    <w:nsid w:val="46BE9A73"/>
    <w:multiLevelType w:val="hybridMultilevel"/>
    <w:lvl w:ilvl="0">
      <w:lvlJc w:val="left"/>
      <w:lvlText w:val="%1"/>
      <w:numFmt w:val="lowerLetter"/>
      <w:start w:val="1"/>
    </w:lvl>
    <w:lvl w:ilvl="1">
      <w:lvlJc w:val="left"/>
      <w:lvlText w:val="(%2)"/>
      <w:numFmt w:val="lowerLetter"/>
      <w:start w:val="1"/>
    </w:lvl>
  </w:abstractNum>
  <w:abstractNum w:abstractNumId="1126">
    <w:nsid w:val="54D9439B"/>
    <w:multiLevelType w:val="hybridMultilevel"/>
    <w:lvl w:ilvl="0">
      <w:lvlJc w:val="left"/>
      <w:lvlText w:val="(%1)"/>
      <w:numFmt w:val="lowerLetter"/>
      <w:start w:val="35"/>
    </w:lvl>
    <w:lvl w:ilvl="1">
      <w:lvlJc w:val="left"/>
      <w:lvlText w:val="%2"/>
      <w:numFmt w:val="lowerLetter"/>
      <w:start w:val="1"/>
    </w:lvl>
  </w:abstractNum>
  <w:abstractNum w:abstractNumId="1127">
    <w:nsid w:val="4DB63022"/>
    <w:multiLevelType w:val="hybridMultilevel"/>
    <w:lvl w:ilvl="0">
      <w:lvlJc w:val="left"/>
      <w:lvlText w:val="(%1)"/>
      <w:numFmt w:val="lowerLetter"/>
      <w:start w:val="2"/>
    </w:lvl>
  </w:abstractNum>
  <w:abstractNum w:abstractNumId="1128">
    <w:nsid w:val="D023447"/>
    <w:multiLevelType w:val="hybridMultilevel"/>
    <w:lvl w:ilvl="0">
      <w:lvlJc w:val="left"/>
      <w:lvlText w:val="(%1)"/>
      <w:numFmt w:val="lowerLetter"/>
      <w:start w:val="1"/>
    </w:lvl>
  </w:abstractNum>
  <w:abstractNum w:abstractNumId="1129">
    <w:nsid w:val="7D0C3256"/>
    <w:multiLevelType w:val="hybridMultilevel"/>
    <w:lvl w:ilvl="0">
      <w:lvlJc w:val="left"/>
      <w:lvlText w:val="(%1)"/>
      <w:numFmt w:val="lowerLetter"/>
      <w:start w:val="1"/>
    </w:lvl>
  </w:abstractNum>
  <w:abstractNum w:abstractNumId="1130">
    <w:nsid w:val="73D616DF"/>
    <w:multiLevelType w:val="hybridMultilevel"/>
    <w:lvl w:ilvl="0">
      <w:lvlJc w:val="left"/>
      <w:lvlText w:val="(%1)"/>
      <w:numFmt w:val="lowerLetter"/>
      <w:start w:val="1"/>
    </w:lvl>
  </w:abstractNum>
  <w:abstractNum w:abstractNumId="1131">
    <w:nsid w:val="638131E9"/>
    <w:multiLevelType w:val="hybridMultilevel"/>
    <w:lvl w:ilvl="0">
      <w:lvlJc w:val="left"/>
      <w:lvlText w:val="(%1)"/>
      <w:numFmt w:val="lowerLetter"/>
      <w:start w:val="1"/>
    </w:lvl>
    <w:lvl w:ilvl="1">
      <w:lvlJc w:val="left"/>
      <w:lvlText w:val="(%2)"/>
      <w:numFmt w:val="lowerRoman"/>
      <w:start w:val="1"/>
    </w:lvl>
  </w:abstractNum>
  <w:abstractNum w:abstractNumId="1132">
    <w:nsid w:val="6A2EEC02"/>
    <w:multiLevelType w:val="hybridMultilevel"/>
    <w:lvl w:ilvl="0">
      <w:lvlJc w:val="left"/>
      <w:lvlText w:val="(%1)"/>
      <w:numFmt w:val="lowerLetter"/>
      <w:start w:val="1"/>
    </w:lvl>
  </w:abstractNum>
  <w:abstractNum w:abstractNumId="1133">
    <w:nsid w:val="306CA5CD"/>
    <w:multiLevelType w:val="hybridMultilevel"/>
    <w:lvl w:ilvl="0">
      <w:lvlJc w:val="left"/>
      <w:lvlText w:val="(%1)"/>
      <w:numFmt w:val="lowerLetter"/>
      <w:start w:val="1"/>
    </w:lvl>
  </w:abstractNum>
  <w:abstractNum w:abstractNumId="1134">
    <w:nsid w:val="5DDD5EA9"/>
    <w:multiLevelType w:val="hybridMultilevel"/>
    <w:lvl w:ilvl="0">
      <w:lvlJc w:val="left"/>
      <w:lvlText w:val="(%1)"/>
      <w:numFmt w:val="lowerLetter"/>
      <w:start w:val="2"/>
    </w:lvl>
  </w:abstractNum>
  <w:abstractNum w:abstractNumId="1135">
    <w:nsid w:val="2F5A608F"/>
    <w:multiLevelType w:val="hybridMultilevel"/>
    <w:lvl w:ilvl="0">
      <w:lvlJc w:val="left"/>
      <w:lvlText w:val="(%1)"/>
      <w:numFmt w:val="lowerLetter"/>
      <w:start w:val="1"/>
    </w:lvl>
    <w:lvl w:ilvl="1">
      <w:lvlJc w:val="left"/>
      <w:lvlText w:val="(%2)"/>
      <w:numFmt w:val="lowerLetter"/>
      <w:start w:val="9"/>
    </w:lvl>
  </w:abstractNum>
  <w:abstractNum w:abstractNumId="1136">
    <w:nsid w:val="4B122441"/>
    <w:multiLevelType w:val="hybridMultilevel"/>
    <w:lvl w:ilvl="0">
      <w:lvlJc w:val="left"/>
      <w:lvlText w:val="(%1)"/>
      <w:numFmt w:val="lowerLetter"/>
      <w:start w:val="2"/>
    </w:lvl>
  </w:abstractNum>
  <w:abstractNum w:abstractNumId="1137">
    <w:nsid w:val="7C2404E0"/>
    <w:multiLevelType w:val="hybridMultilevel"/>
    <w:lvl w:ilvl="0">
      <w:lvlJc w:val="left"/>
      <w:lvlText w:val="(%1)"/>
      <w:numFmt w:val="lowerLetter"/>
      <w:start w:val="1"/>
    </w:lvl>
  </w:abstractNum>
  <w:abstractNum w:abstractNumId="1138">
    <w:nsid w:val="494071C"/>
    <w:multiLevelType w:val="hybridMultilevel"/>
    <w:lvl w:ilvl="0">
      <w:lvlJc w:val="left"/>
      <w:lvlText w:val="(%1)"/>
      <w:numFmt w:val="lowerLetter"/>
      <w:start w:val="5"/>
    </w:lvl>
  </w:abstractNum>
  <w:abstractNum w:abstractNumId="1139">
    <w:nsid w:val="7A04E15A"/>
    <w:multiLevelType w:val="hybridMultilevel"/>
    <w:lvl w:ilvl="0">
      <w:lvlJc w:val="left"/>
      <w:lvlText w:val="(%1)"/>
      <w:numFmt w:val="lowerLetter"/>
      <w:start w:val="1"/>
    </w:lvl>
  </w:abstractNum>
  <w:abstractNum w:abstractNumId="1140">
    <w:nsid w:val="73FD2EC1"/>
    <w:multiLevelType w:val="hybridMultilevel"/>
    <w:lvl w:ilvl="0">
      <w:lvlJc w:val="left"/>
      <w:lvlText w:val="(%1)"/>
      <w:numFmt w:val="lowerLetter"/>
      <w:start w:val="3"/>
    </w:lvl>
  </w:abstractNum>
  <w:abstractNum w:abstractNumId="1141">
    <w:nsid w:val="1A5DD53F"/>
    <w:multiLevelType w:val="hybridMultilevel"/>
    <w:lvl w:ilvl="0">
      <w:lvlJc w:val="left"/>
      <w:lvlText w:val="(%1)"/>
      <w:numFmt w:val="lowerLetter"/>
      <w:start w:val="1"/>
    </w:lvl>
  </w:abstractNum>
  <w:abstractNum w:abstractNumId="1142">
    <w:nsid w:val="730E923B"/>
    <w:multiLevelType w:val="hybridMultilevel"/>
    <w:lvl w:ilvl="0">
      <w:lvlJc w:val="left"/>
      <w:lvlText w:val="(%1)"/>
      <w:numFmt w:val="lowerRoman"/>
      <w:start w:val="2"/>
    </w:lvl>
  </w:abstractNum>
  <w:abstractNum w:abstractNumId="1143">
    <w:nsid w:val="2623685B"/>
    <w:multiLevelType w:val="hybridMultilevel"/>
    <w:lvl w:ilvl="0">
      <w:lvlJc w:val="left"/>
      <w:lvlText w:val="(%1)"/>
      <w:numFmt w:val="lowerLetter"/>
      <w:start w:val="1"/>
    </w:lvl>
    <w:lvl w:ilvl="1">
      <w:lvlJc w:val="left"/>
      <w:lvlText w:val="(%2)"/>
      <w:numFmt w:val="lowerRoman"/>
      <w:start w:val="1"/>
    </w:lvl>
  </w:abstractNum>
  <w:abstractNum w:abstractNumId="1144">
    <w:nsid w:val="51268543"/>
    <w:multiLevelType w:val="hybridMultilevel"/>
    <w:lvl w:ilvl="0">
      <w:lvlJc w:val="left"/>
      <w:lvlText w:val="(%1)"/>
      <w:numFmt w:val="lowerLetter"/>
      <w:start w:val="1"/>
    </w:lvl>
  </w:abstractNum>
  <w:abstractNum w:abstractNumId="1145">
    <w:nsid w:val="2911D55D"/>
    <w:multiLevelType w:val="hybridMultilevel"/>
    <w:lvl w:ilvl="0">
      <w:lvlJc w:val="left"/>
      <w:lvlText w:val="(%1)"/>
      <w:numFmt w:val="lowerLetter"/>
      <w:start w:val="2"/>
    </w:lvl>
  </w:abstractNum>
  <w:abstractNum w:abstractNumId="1146">
    <w:nsid w:val="7681390D"/>
    <w:multiLevelType w:val="hybridMultilevel"/>
    <w:lvl w:ilvl="0">
      <w:lvlJc w:val="left"/>
      <w:lvlText w:val="(%1)"/>
      <w:numFmt w:val="lowerLetter"/>
      <w:start w:val="1"/>
    </w:lvl>
  </w:abstractNum>
  <w:abstractNum w:abstractNumId="1147">
    <w:nsid w:val="5CA8CFB1"/>
    <w:multiLevelType w:val="hybridMultilevel"/>
    <w:lvl w:ilvl="0">
      <w:lvlJc w:val="left"/>
      <w:lvlText w:val="(%1)"/>
      <w:numFmt w:val="lowerLetter"/>
      <w:start w:val="2"/>
    </w:lvl>
  </w:abstractNum>
  <w:abstractNum w:abstractNumId="1148">
    <w:nsid w:val="51C6120F"/>
    <w:multiLevelType w:val="hybridMultilevel"/>
    <w:lvl w:ilvl="0">
      <w:lvlJc w:val="left"/>
      <w:lvlText w:val="(%1)"/>
      <w:numFmt w:val="lowerLetter"/>
      <w:start w:val="1"/>
    </w:lvl>
  </w:abstractNum>
  <w:abstractNum w:abstractNumId="1149">
    <w:nsid w:val="1C99B2E5"/>
    <w:multiLevelType w:val="hybridMultilevel"/>
    <w:lvl w:ilvl="0">
      <w:lvlJc w:val="left"/>
      <w:lvlText w:val="(%1)"/>
      <w:numFmt w:val="lowerLetter"/>
      <w:start w:val="1"/>
    </w:lvl>
  </w:abstractNum>
  <w:abstractNum w:abstractNumId="1150">
    <w:nsid w:val="31069533"/>
    <w:multiLevelType w:val="hybridMultilevel"/>
    <w:lvl w:ilvl="0">
      <w:lvlJc w:val="left"/>
      <w:lvlText w:val="(%1)"/>
      <w:numFmt w:val="lowerLetter"/>
      <w:start w:val="4"/>
    </w:lvl>
  </w:abstractNum>
  <w:abstractNum w:abstractNumId="1151">
    <w:nsid w:val="2D2D69A0"/>
    <w:multiLevelType w:val="hybridMultilevel"/>
    <w:lvl w:ilvl="0">
      <w:lvlJc w:val="left"/>
      <w:lvlText w:val="(%1)"/>
      <w:numFmt w:val="lowerLetter"/>
      <w:start w:val="1"/>
    </w:lvl>
  </w:abstractNum>
  <w:abstractNum w:abstractNumId="1152">
    <w:nsid w:val="15583DCC"/>
    <w:multiLevelType w:val="hybridMultilevel"/>
    <w:lvl w:ilvl="0">
      <w:lvlJc w:val="left"/>
      <w:lvlText w:val="(%1)"/>
      <w:numFmt w:val="lowerLetter"/>
      <w:start w:val="1"/>
    </w:lvl>
  </w:abstractNum>
  <w:abstractNum w:abstractNumId="1153">
    <w:nsid w:val="35B23FE3"/>
    <w:multiLevelType w:val="hybridMultilevel"/>
    <w:lvl w:ilvl="0">
      <w:lvlJc w:val="left"/>
      <w:lvlText w:val="%1."/>
      <w:numFmt w:val="decimal"/>
      <w:start w:val="2"/>
    </w:lvl>
  </w:abstractNum>
  <w:abstractNum w:abstractNumId="1154">
    <w:nsid w:val="6851527F"/>
    <w:multiLevelType w:val="hybridMultilevel"/>
    <w:lvl w:ilvl="0">
      <w:lvlJc w:val="left"/>
      <w:lvlText w:val="["/>
      <w:numFmt w:val="bullet"/>
      <w:start w:val="1"/>
    </w:lvl>
  </w:abstractNum>
  <w:abstractNum w:abstractNumId="1155">
    <w:nsid w:val="3523A650"/>
    <w:multiLevelType w:val="hybridMultilevel"/>
    <w:lvl w:ilvl="0">
      <w:lvlJc w:val="left"/>
      <w:lvlText w:val="["/>
      <w:numFmt w:val="bullet"/>
      <w:start w:val="1"/>
    </w:lvl>
  </w:abstractNum>
  <w:abstractNum w:abstractNumId="1156">
    <w:nsid w:val="7C70DA57"/>
    <w:multiLevelType w:val="hybridMultilevel"/>
    <w:lvl w:ilvl="0">
      <w:lvlJc w:val="left"/>
      <w:lvlText w:val="["/>
      <w:numFmt w:val="bullet"/>
      <w:start w:val="1"/>
    </w:lvl>
  </w:abstractNum>
  <w:abstractNum w:abstractNumId="1157">
    <w:nsid w:val="3D2A961A"/>
    <w:multiLevelType w:val="hybridMultilevel"/>
    <w:lvl w:ilvl="0">
      <w:lvlJc w:val="left"/>
      <w:lvlText w:val="["/>
      <w:numFmt w:val="bullet"/>
      <w:start w:val="1"/>
    </w:lvl>
  </w:abstractNum>
  <w:abstractNum w:abstractNumId="1158">
    <w:nsid w:val="2D9D673"/>
    <w:multiLevelType w:val="hybridMultilevel"/>
    <w:lvl w:ilvl="0">
      <w:lvlJc w:val="left"/>
      <w:lvlText w:val="["/>
      <w:numFmt w:val="bullet"/>
      <w:start w:val="1"/>
    </w:lvl>
  </w:abstractNum>
  <w:abstractNum w:abstractNumId="1159">
    <w:nsid w:val="9730E9E"/>
    <w:multiLevelType w:val="hybridMultilevel"/>
    <w:lvl w:ilvl="0">
      <w:lvlJc w:val="left"/>
      <w:lvlText w:val="%1."/>
      <w:numFmt w:val="decimal"/>
      <w:start w:val="2"/>
    </w:lvl>
    <w:lvl w:ilvl="1">
      <w:lvlJc w:val="left"/>
      <w:lvlText w:val="["/>
      <w:numFmt w:val="bullet"/>
      <w:start w:val="1"/>
    </w:lvl>
  </w:abstractNum>
  <w:abstractNum w:abstractNumId="1160">
    <w:nsid w:val="3A36C870"/>
    <w:multiLevelType w:val="hybridMultilevel"/>
    <w:lvl w:ilvl="0">
      <w:lvlJc w:val="left"/>
      <w:lvlText w:val="%1."/>
      <w:numFmt w:val="decimal"/>
      <w:start w:val="5"/>
    </w:lvl>
  </w:abstractNum>
  <w:abstractNum w:abstractNumId="1161">
    <w:nsid w:val="76AFED52"/>
    <w:multiLevelType w:val="hybridMultilevel"/>
    <w:lvl w:ilvl="0">
      <w:lvlJc w:val="left"/>
      <w:lvlText w:val="(%1)"/>
      <w:numFmt w:val="lowerLetter"/>
      <w:start w:val="1"/>
    </w:lvl>
  </w:abstractNum>
  <w:abstractNum w:abstractNumId="1162">
    <w:nsid w:val="6CF44088"/>
    <w:multiLevelType w:val="hybridMultilevel"/>
    <w:lvl w:ilvl="0">
      <w:lvlJc w:val="left"/>
      <w:lvlText w:val="(%1)"/>
      <w:numFmt w:val="lowerLetter"/>
      <w:start w:val="1"/>
    </w:lvl>
  </w:abstractNum>
  <w:abstractNum w:abstractNumId="1163">
    <w:nsid w:val="2465B473"/>
    <w:multiLevelType w:val="hybridMultilevel"/>
    <w:lvl w:ilvl="0">
      <w:lvlJc w:val="left"/>
      <w:lvlText w:val="(%1)"/>
      <w:numFmt w:val="lowerLetter"/>
      <w:start w:val="2"/>
    </w:lvl>
  </w:abstractNum>
  <w:abstractNum w:abstractNumId="1164">
    <w:nsid w:val="271C9320"/>
    <w:multiLevelType w:val="hybridMultilevel"/>
    <w:lvl w:ilvl="0">
      <w:lvlJc w:val="left"/>
      <w:lvlText w:val="(%1)"/>
      <w:numFmt w:val="lowerLetter"/>
      <w:start w:val="1"/>
    </w:lvl>
  </w:abstractNum>
  <w:abstractNum w:abstractNumId="1165">
    <w:nsid w:val="4AD19F31"/>
    <w:multiLevelType w:val="hybridMultilevel"/>
    <w:lvl w:ilvl="0">
      <w:lvlJc w:val="left"/>
      <w:lvlText w:val="(%1)"/>
      <w:numFmt w:val="lowerLetter"/>
      <w:start w:val="3"/>
    </w:lvl>
  </w:abstractNum>
  <w:abstractNum w:abstractNumId="1166">
    <w:nsid w:val="53C01502"/>
    <w:multiLevelType w:val="hybridMultilevel"/>
    <w:lvl w:ilvl="0">
      <w:lvlJc w:val="left"/>
      <w:lvlText w:val="(%1)"/>
      <w:numFmt w:val="lowerLetter"/>
      <w:start w:val="1"/>
    </w:lvl>
  </w:abstractNum>
  <w:abstractNum w:abstractNumId="1167">
    <w:nsid w:val="722EB761"/>
    <w:multiLevelType w:val="hybridMultilevel"/>
    <w:lvl w:ilvl="0">
      <w:lvlJc w:val="left"/>
      <w:lvlText w:val="(%1)"/>
      <w:numFmt w:val="lowerLetter"/>
      <w:start w:val="5"/>
    </w:lvl>
  </w:abstractNum>
  <w:abstractNum w:abstractNumId="1168">
    <w:nsid w:val="46F5A411"/>
    <w:multiLevelType w:val="hybridMultilevel"/>
    <w:lvl w:ilvl="0">
      <w:lvlJc w:val="left"/>
      <w:lvlText w:val="(%1)"/>
      <w:numFmt w:val="lowerLetter"/>
      <w:start w:val="1"/>
    </w:lvl>
  </w:abstractNum>
  <w:abstractNum w:abstractNumId="1169">
    <w:nsid w:val="58541C1F"/>
    <w:multiLevelType w:val="hybridMultilevel"/>
    <w:lvl w:ilvl="0">
      <w:lvlJc w:val="left"/>
      <w:lvlText w:val="(%1)"/>
      <w:numFmt w:val="lowerLetter"/>
      <w:start w:val="2"/>
    </w:lvl>
  </w:abstractNum>
  <w:abstractNum w:abstractNumId="1170">
    <w:nsid w:val="6C3398BB"/>
    <w:multiLevelType w:val="hybridMultilevel"/>
    <w:lvl w:ilvl="0">
      <w:lvlJc w:val="left"/>
      <w:lvlText w:val="(%1)"/>
      <w:numFmt w:val="lowerLetter"/>
      <w:start w:val="1"/>
    </w:lvl>
    <w:lvl w:ilvl="1">
      <w:lvlJc w:val="left"/>
      <w:lvlText w:val="(%2)"/>
      <w:numFmt w:val="decimal"/>
      <w:start w:val="1"/>
    </w:lvl>
  </w:abstractNum>
  <w:abstractNum w:abstractNumId="1171">
    <w:nsid w:val="3AF2D2D2"/>
    <w:multiLevelType w:val="hybridMultilevel"/>
    <w:lvl w:ilvl="0">
      <w:lvlJc w:val="left"/>
      <w:lvlText w:val="(%1)"/>
      <w:numFmt w:val="lowerLetter"/>
      <w:start w:val="5"/>
    </w:lvl>
  </w:abstractNum>
  <w:abstractNum w:abstractNumId="1172">
    <w:nsid w:val="72B1F15E"/>
    <w:multiLevelType w:val="hybridMultilevel"/>
    <w:lvl w:ilvl="0">
      <w:lvlJc w:val="left"/>
      <w:lvlText w:val="(%1)"/>
      <w:numFmt w:val="lowerLetter"/>
      <w:start w:val="1"/>
    </w:lvl>
  </w:abstractNum>
  <w:abstractNum w:abstractNumId="1173">
    <w:nsid w:val="5F422AF6"/>
    <w:multiLevelType w:val="hybridMultilevel"/>
    <w:lvl w:ilvl="0">
      <w:lvlJc w:val="left"/>
      <w:lvlText w:val="(%1)"/>
      <w:numFmt w:val="lowerLetter"/>
      <w:start w:val="1"/>
    </w:lvl>
  </w:abstractNum>
  <w:abstractNum w:abstractNumId="1174">
    <w:nsid w:val="61163B2E"/>
    <w:multiLevelType w:val="hybridMultilevel"/>
    <w:lvl w:ilvl="0">
      <w:lvlJc w:val="left"/>
      <w:lvlText w:val="(%1)"/>
      <w:numFmt w:val="lowerLetter"/>
      <w:start w:val="5"/>
    </w:lvl>
  </w:abstractNum>
  <w:abstractNum w:abstractNumId="1175">
    <w:nsid w:val="43D876A1"/>
    <w:multiLevelType w:val="hybridMultilevel"/>
    <w:lvl w:ilvl="0">
      <w:lvlJc w:val="left"/>
      <w:lvlText w:val="(%1)"/>
      <w:numFmt w:val="lowerLetter"/>
      <w:start w:val="1"/>
    </w:lvl>
  </w:abstractNum>
  <w:abstractNum w:abstractNumId="1176">
    <w:nsid w:val="8540053"/>
    <w:multiLevelType w:val="hybridMultilevel"/>
    <w:lvl w:ilvl="0">
      <w:lvlJc w:val="left"/>
      <w:lvlText w:val="(%1)"/>
      <w:numFmt w:val="lowerLetter"/>
      <w:start w:val="1"/>
    </w:lvl>
  </w:abstractNum>
  <w:abstractNum w:abstractNumId="1177">
    <w:nsid w:val="5797743B"/>
    <w:multiLevelType w:val="hybridMultilevel"/>
    <w:lvl w:ilvl="0">
      <w:lvlJc w:val="left"/>
      <w:lvlText w:val="%1"/>
      <w:numFmt w:val="lowerLetter"/>
      <w:start w:val="1"/>
    </w:lvl>
    <w:lvl w:ilvl="1">
      <w:lvlJc w:val="left"/>
      <w:lvlText w:val="(%2)"/>
      <w:numFmt w:val="lowerLetter"/>
      <w:start w:val="2"/>
    </w:lvl>
  </w:abstractNum>
  <w:abstractNum w:abstractNumId="1178">
    <w:nsid w:val="20814652"/>
    <w:multiLevelType w:val="hybridMultilevel"/>
    <w:lvl w:ilvl="0">
      <w:lvlJc w:val="left"/>
      <w:lvlText w:val="(%1)"/>
      <w:numFmt w:val="lowerLetter"/>
      <w:start w:val="9"/>
    </w:lvl>
    <w:lvl w:ilvl="1">
      <w:lvlJc w:val="left"/>
      <w:lvlText w:val="%2"/>
      <w:numFmt w:val="lowerLetter"/>
      <w:start w:val="1"/>
    </w:lvl>
  </w:abstractNum>
  <w:abstractNum w:abstractNumId="1179">
    <w:nsid w:val="5A1A1262"/>
    <w:multiLevelType w:val="hybridMultilevel"/>
    <w:lvl w:ilvl="0">
      <w:lvlJc w:val="left"/>
      <w:lvlText w:val="(%1)"/>
      <w:numFmt w:val="lowerLetter"/>
      <w:start w:val="3"/>
    </w:lvl>
  </w:abstractNum>
  <w:abstractNum w:abstractNumId="1180">
    <w:nsid w:val="74312721"/>
    <w:multiLevelType w:val="hybridMultilevel"/>
    <w:lvl w:ilvl="0">
      <w:lvlJc w:val="left"/>
      <w:lvlText w:val="(%1)"/>
      <w:numFmt w:val="lowerLetter"/>
      <w:start w:val="1"/>
    </w:lvl>
    <w:lvl w:ilvl="1">
      <w:lvlJc w:val="left"/>
      <w:lvlText w:val="(%2)"/>
      <w:numFmt w:val="decimal"/>
      <w:start w:val="1"/>
    </w:lvl>
  </w:abstractNum>
  <w:abstractNum w:abstractNumId="1181">
    <w:nsid w:val="5187DB85"/>
    <w:multiLevelType w:val="hybridMultilevel"/>
    <w:lvl w:ilvl="0">
      <w:lvlJc w:val="left"/>
      <w:lvlText w:val="%1"/>
      <w:numFmt w:val="lowerLetter"/>
      <w:start w:val="1"/>
    </w:lvl>
    <w:lvl w:ilvl="1">
      <w:lvlJc w:val="left"/>
      <w:lvlText w:val="(%2)"/>
      <w:numFmt w:val="decimal"/>
      <w:start w:val="2"/>
    </w:lvl>
  </w:abstractNum>
  <w:abstractNum w:abstractNumId="1182">
    <w:nsid w:val="7477C03"/>
    <w:multiLevelType w:val="hybridMultilevel"/>
    <w:lvl w:ilvl="0">
      <w:lvlJc w:val="left"/>
      <w:lvlText w:val="(%1)"/>
      <w:numFmt w:val="lowerLetter"/>
      <w:start w:val="3"/>
    </w:lvl>
    <w:lvl w:ilvl="1">
      <w:lvlJc w:val="left"/>
      <w:lvlText w:val="%2"/>
      <w:numFmt w:val="decimal"/>
      <w:start w:val="1"/>
    </w:lvl>
  </w:abstractNum>
  <w:abstractNum w:abstractNumId="1183">
    <w:nsid w:val="98964ED"/>
    <w:multiLevelType w:val="hybridMultilevel"/>
    <w:lvl w:ilvl="0">
      <w:lvlJc w:val="left"/>
      <w:lvlText w:val="(%1)"/>
      <w:numFmt w:val="lowerLetter"/>
      <w:start w:val="1"/>
    </w:lvl>
  </w:abstractNum>
  <w:abstractNum w:abstractNumId="1184">
    <w:nsid w:val="73A1B69"/>
    <w:multiLevelType w:val="hybridMultilevel"/>
    <w:lvl w:ilvl="0">
      <w:lvlJc w:val="left"/>
      <w:lvlText w:val="(%1)"/>
      <w:numFmt w:val="lowerLetter"/>
      <w:start w:val="3"/>
    </w:lvl>
  </w:abstractNum>
  <w:abstractNum w:abstractNumId="1185">
    <w:nsid w:val="6F98CE82"/>
    <w:multiLevelType w:val="hybridMultilevel"/>
    <w:lvl w:ilvl="0">
      <w:lvlJc w:val="left"/>
      <w:lvlText w:val="(%1)"/>
      <w:numFmt w:val="lowerLetter"/>
      <w:start w:val="1"/>
    </w:lvl>
  </w:abstractNum>
  <w:abstractNum w:abstractNumId="1186">
    <w:nsid w:val="3EAD0B3E"/>
    <w:multiLevelType w:val="hybridMultilevel"/>
    <w:lvl w:ilvl="0">
      <w:lvlJc w:val="left"/>
      <w:lvlText w:val="(%1)"/>
      <w:numFmt w:val="lowerLetter"/>
      <w:start w:val="1"/>
    </w:lvl>
  </w:abstractNum>
  <w:abstractNum w:abstractNumId="1187">
    <w:nsid w:val="3AAF5C0"/>
    <w:multiLevelType w:val="hybridMultilevel"/>
    <w:lvl w:ilvl="0">
      <w:lvlJc w:val="left"/>
      <w:lvlText w:val="(%1)"/>
      <w:numFmt w:val="lowerLetter"/>
      <w:start w:val="1"/>
    </w:lvl>
  </w:abstractNum>
  <w:abstractNum w:abstractNumId="1188">
    <w:nsid w:val="2CC3649C"/>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189">
    <w:nsid w:val="4186E1B1"/>
    <w:multiLevelType w:val="hybridMultilevel"/>
    <w:lvl w:ilvl="0">
      <w:lvlJc w:val="left"/>
      <w:lvlText w:val="(%1)"/>
      <w:numFmt w:val="lowerRoman"/>
      <w:start w:val="3"/>
    </w:lvl>
  </w:abstractNum>
  <w:abstractNum w:abstractNumId="1190">
    <w:nsid w:val="D1E045E"/>
    <w:multiLevelType w:val="hybridMultilevel"/>
    <w:lvl w:ilvl="0">
      <w:lvlJc w:val="left"/>
      <w:lvlText w:val="(%1)"/>
      <w:numFmt w:val="lowerLetter"/>
      <w:start w:val="1"/>
    </w:lvl>
  </w:abstractNum>
  <w:abstractNum w:abstractNumId="1191">
    <w:nsid w:val="66FA2D0C"/>
    <w:multiLevelType w:val="hybridMultilevel"/>
    <w:lvl w:ilvl="0">
      <w:lvlJc w:val="left"/>
      <w:lvlText w:val="(%1)"/>
      <w:numFmt w:val="lowerLetter"/>
      <w:start w:val="1"/>
    </w:lvl>
  </w:abstractNum>
  <w:abstractNum w:abstractNumId="1192">
    <w:nsid w:val="3836CF03"/>
    <w:multiLevelType w:val="hybridMultilevel"/>
    <w:lvl w:ilvl="0">
      <w:lvlJc w:val="left"/>
      <w:lvlText w:val="(%1)"/>
      <w:numFmt w:val="lowerLetter"/>
      <w:start w:val="2"/>
    </w:lvl>
  </w:abstractNum>
  <w:abstractNum w:abstractNumId="1193">
    <w:nsid w:val="7A1244E6"/>
    <w:multiLevelType w:val="hybridMultilevel"/>
    <w:lvl w:ilvl="0">
      <w:lvlJc w:val="left"/>
      <w:lvlText w:val="(%1)"/>
      <w:numFmt w:val="lowerLetter"/>
      <w:start w:val="5"/>
    </w:lvl>
  </w:abstractNum>
  <w:abstractNum w:abstractNumId="1194">
    <w:nsid w:val="B5FE17F"/>
    <w:multiLevelType w:val="hybridMultilevel"/>
    <w:lvl w:ilvl="0">
      <w:lvlJc w:val="left"/>
      <w:lvlText w:val="(%1)"/>
      <w:numFmt w:val="lowerLetter"/>
      <w:start w:val="2"/>
    </w:lvl>
  </w:abstractNum>
  <w:abstractNum w:abstractNumId="1195">
    <w:nsid w:val="5F536223"/>
    <w:multiLevelType w:val="hybridMultilevel"/>
    <w:lvl w:ilvl="0">
      <w:lvlJc w:val="left"/>
      <w:lvlText w:val="(%1)"/>
      <w:numFmt w:val="lowerLetter"/>
      <w:start w:val="2"/>
    </w:lvl>
  </w:abstractNum>
  <w:abstractNum w:abstractNumId="1196">
    <w:nsid w:val="44E3E418"/>
    <w:multiLevelType w:val="hybridMultilevel"/>
    <w:lvl w:ilvl="0">
      <w:lvlJc w:val="left"/>
      <w:lvlText w:val="☐"/>
      <w:numFmt w:val="bullet"/>
      <w:start w:val="1"/>
    </w:lvl>
  </w:abstractNum>
  <w:abstractNum w:abstractNumId="1197">
    <w:nsid w:val="5F1FF682"/>
    <w:multiLevelType w:val="hybridMultilevel"/>
    <w:lvl w:ilvl="0">
      <w:lvlJc w:val="left"/>
      <w:lvlText w:val="(%1)"/>
      <w:numFmt w:val="lowerLetter"/>
      <w:start w:val="1"/>
    </w:lvl>
    <w:lvl w:ilvl="1">
      <w:lvlJc w:val="left"/>
      <w:lvlText w:val="(%2)"/>
      <w:numFmt w:val="lowerLetter"/>
      <w:start w:val="9"/>
    </w:lvl>
  </w:abstractNum>
  <w:abstractNum w:abstractNumId="1198">
    <w:nsid w:val="51821985"/>
    <w:multiLevelType w:val="hybridMultilevel"/>
    <w:lvl w:ilvl="0">
      <w:lvlJc w:val="left"/>
      <w:lvlText w:val="(%1)"/>
      <w:numFmt w:val="lowerRoman"/>
      <w:start w:val="2"/>
    </w:lvl>
  </w:abstractNum>
  <w:abstractNum w:abstractNumId="1199">
    <w:nsid w:val="BD98829"/>
    <w:multiLevelType w:val="hybridMultilevel"/>
    <w:lvl w:ilvl="0">
      <w:lvlJc w:val="left"/>
      <w:lvlText w:val="%1"/>
      <w:numFmt w:val="lowerLetter"/>
      <w:start w:val="1"/>
    </w:lvl>
    <w:lvl w:ilvl="1">
      <w:lvlJc w:val="left"/>
      <w:lvlText w:val="(%2)"/>
      <w:numFmt w:val="lowerRoman"/>
      <w:start w:val="4"/>
    </w:lvl>
  </w:abstractNum>
  <w:abstractNum w:abstractNumId="1200">
    <w:nsid w:val="377412A1"/>
    <w:multiLevelType w:val="hybridMultilevel"/>
    <w:lvl w:ilvl="0">
      <w:lvlJc w:val="left"/>
      <w:lvlText w:val="(%1)"/>
      <w:numFmt w:val="lowerLetter"/>
      <w:start w:val="5"/>
    </w:lvl>
    <w:lvl w:ilvl="1">
      <w:lvlJc w:val="left"/>
      <w:lvlText w:val="%2"/>
      <w:numFmt w:val="lowerRoman"/>
      <w:start w:val="1"/>
    </w:lvl>
  </w:abstractNum>
  <w:abstractNum w:abstractNumId="1201">
    <w:nsid w:val="3DB5B240"/>
    <w:multiLevelType w:val="hybridMultilevel"/>
    <w:lvl w:ilvl="0">
      <w:lvlJc w:val="left"/>
      <w:lvlText w:val="(%1)"/>
      <w:numFmt w:val="lowerLetter"/>
      <w:start w:val="1"/>
    </w:lvl>
  </w:abstractNum>
  <w:abstractNum w:abstractNumId="1202">
    <w:nsid w:val="46CC5AFC"/>
    <w:multiLevelType w:val="hybridMultilevel"/>
    <w:lvl w:ilvl="0">
      <w:lvlJc w:val="left"/>
      <w:lvlText w:val="(%1)"/>
      <w:numFmt w:val="lowerLetter"/>
      <w:start w:val="2"/>
    </w:lvl>
  </w:abstractNum>
  <w:abstractNum w:abstractNumId="1203">
    <w:nsid w:val="2A2603FF"/>
    <w:multiLevelType w:val="hybridMultilevel"/>
    <w:lvl w:ilvl="0">
      <w:lvlJc w:val="left"/>
      <w:lvlText w:val="(%1)"/>
      <w:numFmt w:val="lowerLetter"/>
      <w:start w:val="1"/>
    </w:lvl>
  </w:abstractNum>
  <w:abstractNum w:abstractNumId="1204">
    <w:nsid w:val="1CF7DD37"/>
    <w:multiLevelType w:val="hybridMultilevel"/>
    <w:lvl w:ilvl="0">
      <w:lvlJc w:val="left"/>
      <w:lvlText w:val="(%1)"/>
      <w:numFmt w:val="lowerRoman"/>
      <w:start w:val="2"/>
    </w:lvl>
  </w:abstractNum>
  <w:abstractNum w:abstractNumId="1205">
    <w:nsid w:val="27E2962A"/>
    <w:multiLevelType w:val="hybridMultilevel"/>
    <w:lvl w:ilvl="0">
      <w:lvlJc w:val="left"/>
      <w:lvlText w:val="(%1)"/>
      <w:numFmt w:val="lowerRoman"/>
      <w:start w:val="2"/>
    </w:lvl>
  </w:abstractNum>
  <w:abstractNum w:abstractNumId="1206">
    <w:nsid w:val="6DFE7AA0"/>
    <w:multiLevelType w:val="hybridMultilevel"/>
    <w:lvl w:ilvl="0">
      <w:lvlJc w:val="left"/>
      <w:lvlText w:val="(%1)"/>
      <w:numFmt w:val="lowerLetter"/>
      <w:start w:val="2"/>
    </w:lvl>
  </w:abstractNum>
  <w:abstractNum w:abstractNumId="1207">
    <w:nsid w:val="254BDD8A"/>
    <w:multiLevelType w:val="hybridMultilevel"/>
    <w:lvl w:ilvl="0">
      <w:lvlJc w:val="left"/>
      <w:lvlText w:val="(%1)"/>
      <w:numFmt w:val="lowerLetter"/>
      <w:start w:val="1"/>
    </w:lvl>
  </w:abstractNum>
  <w:abstractNum w:abstractNumId="1208">
    <w:nsid w:val="7F7A0A65"/>
    <w:multiLevelType w:val="hybridMultilevel"/>
    <w:lvl w:ilvl="0">
      <w:lvlJc w:val="left"/>
      <w:lvlText w:val="(%1)"/>
      <w:numFmt w:val="lowerLetter"/>
      <w:start w:val="3"/>
    </w:lvl>
  </w:abstractNum>
  <w:abstractNum w:abstractNumId="1209">
    <w:nsid w:val="E7FC0F3"/>
    <w:multiLevelType w:val="hybridMultilevel"/>
    <w:lvl w:ilvl="0">
      <w:lvlJc w:val="left"/>
      <w:lvlText w:val="(%1)"/>
      <w:numFmt w:val="lowerLetter"/>
      <w:start w:val="9"/>
    </w:lvl>
  </w:abstractNum>
  <w:abstractNum w:abstractNumId="1210">
    <w:nsid w:val="7F65EFED"/>
    <w:multiLevelType w:val="hybridMultilevel"/>
    <w:lvl w:ilvl="0">
      <w:lvlJc w:val="left"/>
      <w:lvlText w:val="(%1)"/>
      <w:numFmt w:val="lowerLetter"/>
      <w:start w:val="13"/>
    </w:lvl>
  </w:abstractNum>
  <w:abstractNum w:abstractNumId="1211">
    <w:nsid w:val="73AB3186"/>
    <w:multiLevelType w:val="hybridMultilevel"/>
    <w:lvl w:ilvl="0">
      <w:lvlJc w:val="left"/>
      <w:lvlText w:val="%1"/>
      <w:numFmt w:val="lowerLetter"/>
      <w:start w:val="1"/>
    </w:lvl>
    <w:lvl w:ilvl="1">
      <w:lvlJc w:val="left"/>
      <w:lvlText w:val="(%2)"/>
      <w:numFmt w:val="lowerLetter"/>
      <w:start w:val="1"/>
    </w:lvl>
  </w:abstractNum>
  <w:abstractNum w:abstractNumId="1212">
    <w:nsid w:val="60079C78"/>
    <w:multiLevelType w:val="hybridMultilevel"/>
    <w:lvl w:ilvl="0">
      <w:lvlJc w:val="left"/>
      <w:lvlText w:val="(%1)"/>
      <w:numFmt w:val="lowerLetter"/>
      <w:start w:val="26"/>
    </w:lvl>
    <w:lvl w:ilvl="1">
      <w:lvlJc w:val="left"/>
      <w:lvlText w:val="(%2)"/>
      <w:numFmt w:val="lowerLetter"/>
      <w:start w:val="2"/>
    </w:lvl>
  </w:abstractNum>
  <w:abstractNum w:abstractNumId="1213">
    <w:nsid w:val="6AD6BF0"/>
    <w:multiLevelType w:val="hybridMultilevel"/>
    <w:lvl w:ilvl="0">
      <w:lvlJc w:val="left"/>
      <w:lvlText w:val="(%1)"/>
      <w:numFmt w:val="lowerLetter"/>
      <w:start w:val="1"/>
    </w:lvl>
  </w:abstractNum>
  <w:abstractNum w:abstractNumId="1214">
    <w:nsid w:val="7D349674"/>
    <w:multiLevelType w:val="hybridMultilevel"/>
    <w:lvl w:ilvl="0">
      <w:lvlJc w:val="left"/>
      <w:lvlText w:val="%1."/>
      <w:numFmt w:val="decimal"/>
      <w:start w:val="1"/>
    </w:lvl>
    <w:lvl w:ilvl="1">
      <w:lvlJc w:val="left"/>
      <w:lvlText w:val="(%2)"/>
      <w:numFmt w:val="lowerLetter"/>
      <w:start w:val="2"/>
    </w:lvl>
  </w:abstractNum>
  <w:abstractNum w:abstractNumId="1215">
    <w:nsid w:val="6741B7E1"/>
    <w:multiLevelType w:val="hybridMultilevel"/>
    <w:lvl w:ilvl="0">
      <w:lvlJc w:val="left"/>
      <w:lvlText w:val="%1."/>
      <w:numFmt w:val="decimal"/>
      <w:start w:val="3"/>
    </w:lvl>
  </w:abstractNum>
  <w:abstractNum w:abstractNumId="1216">
    <w:nsid w:val="76463A72"/>
    <w:multiLevelType w:val="hybridMultilevel"/>
    <w:lvl w:ilvl="0">
      <w:lvlJc w:val="left"/>
      <w:lvlText w:val="%1."/>
      <w:numFmt w:val="decimal"/>
      <w:start w:val="4"/>
    </w:lvl>
  </w:abstractNum>
  <w:abstractNum w:abstractNumId="1217">
    <w:nsid w:val="3BE1A1B2"/>
    <w:multiLevelType w:val="hybridMultilevel"/>
    <w:lvl w:ilvl="0">
      <w:lvlJc w:val="left"/>
      <w:lvlText w:val="%1."/>
      <w:numFmt w:val="decimal"/>
      <w:start w:val="5"/>
    </w:lvl>
  </w:abstractNum>
  <w:abstractNum w:abstractNumId="1218">
    <w:nsid w:val="6AECADA1"/>
    <w:multiLevelType w:val="hybridMultilevel"/>
    <w:lvl w:ilvl="0">
      <w:lvlJc w:val="left"/>
      <w:lvlText w:val="%1."/>
      <w:numFmt w:val="decimal"/>
      <w:start w:val="6"/>
    </w:lvl>
  </w:abstractNum>
  <w:abstractNum w:abstractNumId="1219">
    <w:nsid w:val="23099F0E"/>
    <w:multiLevelType w:val="hybridMultilevel"/>
    <w:lvl w:ilvl="0">
      <w:lvlJc w:val="left"/>
      <w:lvlText w:val="(%1)"/>
      <w:numFmt w:val="lowerRoman"/>
      <w:start w:val="1"/>
    </w:lvl>
  </w:abstractNum>
  <w:abstractNum w:abstractNumId="1220">
    <w:nsid w:val="7D688363"/>
    <w:multiLevelType w:val="hybridMultilevel"/>
    <w:lvl w:ilvl="0">
      <w:lvlJc w:val="left"/>
      <w:lvlText w:val="%1."/>
      <w:numFmt w:val="decimal"/>
      <w:start w:val="1"/>
    </w:lvl>
  </w:abstractNum>
  <w:abstractNum w:abstractNumId="1221">
    <w:nsid w:val="780AB200"/>
    <w:multiLevelType w:val="hybridMultilevel"/>
    <w:lvl w:ilvl="0">
      <w:lvlJc w:val="left"/>
      <w:lvlText w:val="%1."/>
      <w:numFmt w:val="decimal"/>
      <w:start w:val="5"/>
    </w:lvl>
  </w:abstractNum>
  <w:abstractNum w:abstractNumId="1222">
    <w:nsid w:val="A03CC1A"/>
    <w:multiLevelType w:val="hybridMultilevel"/>
    <w:lvl w:ilvl="0">
      <w:lvlJc w:val="left"/>
      <w:lvlText w:val="%1."/>
      <w:numFmt w:val="decimal"/>
      <w:start w:val="1"/>
    </w:lvl>
  </w:abstractNum>
  <w:abstractNum w:abstractNumId="1223">
    <w:nsid w:val="359F5266"/>
    <w:multiLevelType w:val="hybridMultilevel"/>
    <w:lvl w:ilvl="0">
      <w:lvlJc w:val="left"/>
      <w:lvlText w:val="%1."/>
      <w:numFmt w:val="decimal"/>
      <w:start w:val="2"/>
    </w:lvl>
  </w:abstractNum>
  <w:abstractNum w:abstractNumId="1224">
    <w:nsid w:val="721CF6E6"/>
    <w:multiLevelType w:val="hybridMultilevel"/>
    <w:lvl w:ilvl="0">
      <w:lvlJc w:val="left"/>
      <w:lvlText w:val="(%1)"/>
      <w:numFmt w:val="lowerLetter"/>
      <w:start w:val="1"/>
    </w:lvl>
  </w:abstractNum>
  <w:abstractNum w:abstractNumId="1225">
    <w:nsid w:val="1563AD9A"/>
    <w:multiLevelType w:val="hybridMultilevel"/>
    <w:lvl w:ilvl="0">
      <w:lvlJc w:val="left"/>
      <w:lvlText w:val="(%1)"/>
      <w:numFmt w:val="lowerRoman"/>
      <w:start w:val="1"/>
    </w:lvl>
  </w:abstractNum>
  <w:abstractNum w:abstractNumId="1226">
    <w:nsid w:val="14F2B48A"/>
    <w:multiLevelType w:val="hybridMultilevel"/>
    <w:lvl w:ilvl="0">
      <w:lvlJc w:val="left"/>
      <w:lvlText w:val="(%1)"/>
      <w:numFmt w:val="lowerLetter"/>
      <w:start w:val="6"/>
    </w:lvl>
  </w:abstractNum>
  <w:abstractNum w:abstractNumId="1227">
    <w:nsid w:val="3700DAFE"/>
    <w:multiLevelType w:val="hybridMultilevel"/>
    <w:lvl w:ilvl="0">
      <w:lvlJc w:val="left"/>
      <w:lvlText w:val="(%1)"/>
      <w:numFmt w:val="lowerRoman"/>
      <w:start w:val="1"/>
    </w:lvl>
  </w:abstractNum>
  <w:abstractNum w:abstractNumId="1228">
    <w:nsid w:val="7483A41C"/>
    <w:multiLevelType w:val="hybridMultilevel"/>
    <w:lvl w:ilvl="0">
      <w:lvlJc w:val="left"/>
      <w:lvlText w:val="(%1)"/>
      <w:numFmt w:val="lowerRoman"/>
      <w:start w:val="4"/>
    </w:lvl>
  </w:abstractNum>
  <w:abstractNum w:abstractNumId="1229">
    <w:nsid w:val="6674CE0F"/>
    <w:multiLevelType w:val="hybridMultilevel"/>
    <w:lvl w:ilvl="0">
      <w:lvlJc w:val="left"/>
      <w:lvlText w:val="(%1)"/>
      <w:numFmt w:val="lowerLetter"/>
      <w:start w:val="12"/>
    </w:lvl>
  </w:abstractNum>
  <w:abstractNum w:abstractNumId="1230">
    <w:nsid w:val="42DA6328"/>
    <w:multiLevelType w:val="hybridMultilevel"/>
    <w:lvl w:ilvl="0">
      <w:lvlJc w:val="left"/>
      <w:lvlText w:val="(%1)"/>
      <w:numFmt w:val="lowerLetter"/>
      <w:start w:val="17"/>
    </w:lvl>
  </w:abstractNum>
  <w:abstractNum w:abstractNumId="1231">
    <w:nsid w:val="2BF7B6BD"/>
    <w:multiLevelType w:val="hybridMultilevel"/>
    <w:lvl w:ilvl="0">
      <w:lvlJc w:val="left"/>
      <w:lvlText w:val="(%1)"/>
      <w:numFmt w:val="lowerLetter"/>
      <w:start w:val="25"/>
    </w:lvl>
  </w:abstractNum>
  <w:abstractNum w:abstractNumId="1232">
    <w:nsid w:val="242A804F"/>
    <w:multiLevelType w:val="hybridMultilevel"/>
    <w:lvl w:ilvl="0">
      <w:lvlJc w:val="left"/>
      <w:lvlText w:val="%1"/>
      <w:numFmt w:val="lowerRoman"/>
      <w:start w:val="1"/>
    </w:lvl>
    <w:lvl w:ilvl="1">
      <w:lvlJc w:val="left"/>
      <w:lvlText w:val="(%2)"/>
      <w:numFmt w:val="lowerLetter"/>
      <w:start w:val="27"/>
    </w:lvl>
  </w:abstractNum>
  <w:abstractNum w:abstractNumId="1233">
    <w:nsid w:val="9A6BE24"/>
    <w:multiLevelType w:val="hybridMultilevel"/>
    <w:lvl w:ilvl="0">
      <w:lvlJc w:val="left"/>
      <w:lvlText w:val="(%1)"/>
      <w:numFmt w:val="lowerRoman"/>
      <w:start w:val="9"/>
    </w:lvl>
    <w:lvl w:ilvl="1">
      <w:lvlJc w:val="left"/>
      <w:lvlText w:val="%2"/>
      <w:numFmt w:val="lowerLetter"/>
      <w:start w:val="1"/>
    </w:lvl>
  </w:abstractNum>
  <w:abstractNum w:abstractNumId="1234">
    <w:nsid w:val="561DBABC"/>
    <w:multiLevelType w:val="hybridMultilevel"/>
    <w:lvl w:ilvl="0">
      <w:lvlJc w:val="left"/>
      <w:lvlText w:val="(%1)"/>
      <w:numFmt w:val="lowerRoman"/>
      <w:start w:val="13"/>
    </w:lvl>
    <w:lvl w:ilvl="1">
      <w:lvlJc w:val="left"/>
      <w:lvlText w:val="(%2)"/>
      <w:numFmt w:val="lowerLetter"/>
      <w:start w:val="33"/>
    </w:lvl>
  </w:abstractNum>
  <w:abstractNum w:abstractNumId="1235">
    <w:nsid w:val="41225D86"/>
    <w:multiLevelType w:val="hybridMultilevel"/>
    <w:lvl w:ilvl="0">
      <w:lvlJc w:val="left"/>
      <w:lvlText w:val="%1"/>
      <w:numFmt w:val="lowerLetter"/>
      <w:start w:val="1"/>
    </w:lvl>
    <w:lvl w:ilvl="1">
      <w:lvlJc w:val="left"/>
      <w:lvlText w:val="(%2)"/>
      <w:numFmt w:val="lowerLetter"/>
      <w:start w:val="34"/>
    </w:lvl>
  </w:abstractNum>
  <w:abstractNum w:abstractNumId="1236">
    <w:nsid w:val="3189544E"/>
    <w:multiLevelType w:val="hybridMultilevel"/>
    <w:lvl w:ilvl="0">
      <w:lvlJc w:val="left"/>
      <w:lvlText w:val="(%1)"/>
      <w:numFmt w:val="lowerLetter"/>
      <w:start w:val="61"/>
    </w:lvl>
    <w:lvl w:ilvl="1">
      <w:lvlJc w:val="left"/>
      <w:lvlText w:val="(%2)"/>
      <w:numFmt w:val="lowerLetter"/>
      <w:start w:val="37"/>
    </w:lvl>
  </w:abstractNum>
  <w:abstractNum w:abstractNumId="1237">
    <w:nsid w:val="441C355C"/>
    <w:multiLevelType w:val="hybridMultilevel"/>
    <w:lvl w:ilvl="0">
      <w:lvlJc w:val="left"/>
      <w:lvlText w:val="%1"/>
      <w:numFmt w:val="decimal"/>
      <w:start w:val="1"/>
    </w:lvl>
    <w:lvl w:ilvl="1">
      <w:lvlJc w:val="left"/>
      <w:lvlText w:val="(%2)"/>
      <w:numFmt w:val="lowerLetter"/>
      <w:start w:val="46"/>
    </w:lvl>
  </w:abstractNum>
  <w:abstractNum w:abstractNumId="1238">
    <w:nsid w:val="666E3B11"/>
    <w:multiLevelType w:val="hybridMultilevel"/>
    <w:lvl w:ilvl="0">
      <w:lvlJc w:val="left"/>
      <w:lvlText w:val="%1."/>
      <w:numFmt w:val="decimal"/>
      <w:start w:val="3"/>
    </w:lvl>
    <w:lvl w:ilvl="1">
      <w:lvlJc w:val="left"/>
      <w:lvlText w:val="(%2)"/>
      <w:numFmt w:val="lowerLetter"/>
      <w:start w:val="1"/>
    </w:lvl>
  </w:abstractNum>
  <w:abstractNum w:abstractNumId="1239">
    <w:nsid w:val="31035EB3"/>
    <w:multiLevelType w:val="hybridMultilevel"/>
    <w:lvl w:ilvl="0">
      <w:lvlJc w:val="left"/>
      <w:lvlText w:val="(%1)"/>
      <w:numFmt w:val="lowerLetter"/>
      <w:start w:val="2"/>
    </w:lvl>
  </w:abstractNum>
  <w:abstractNum w:abstractNumId="1240">
    <w:nsid w:val="529BF64F"/>
    <w:multiLevelType w:val="hybridMultilevel"/>
    <w:lvl w:ilvl="0">
      <w:lvlJc w:val="left"/>
      <w:lvlText w:val="(%1)"/>
      <w:numFmt w:val="lowerLetter"/>
      <w:start w:val="3"/>
    </w:lvl>
  </w:abstractNum>
  <w:abstractNum w:abstractNumId="1241">
    <w:nsid w:val="65D42AFE"/>
    <w:multiLevelType w:val="hybridMultilevel"/>
    <w:lvl w:ilvl="0">
      <w:lvlJc w:val="left"/>
      <w:lvlText w:val="(%1)"/>
      <w:numFmt w:val="lowerLetter"/>
      <w:start w:val="4"/>
    </w:lvl>
  </w:abstractNum>
  <w:abstractNum w:abstractNumId="1242">
    <w:nsid w:val="24AE903A"/>
    <w:multiLevelType w:val="hybridMultilevel"/>
    <w:lvl w:ilvl="0">
      <w:lvlJc w:val="left"/>
      <w:lvlText w:val="(%1)"/>
      <w:numFmt w:val="lowerLetter"/>
      <w:start w:val="5"/>
    </w:lvl>
  </w:abstractNum>
  <w:abstractNum w:abstractNumId="1243">
    <w:nsid w:val="32A392C8"/>
    <w:multiLevelType w:val="hybridMultilevel"/>
    <w:lvl w:ilvl="0">
      <w:lvlJc w:val="left"/>
      <w:lvlText w:val="(%1)"/>
      <w:numFmt w:val="lowerLetter"/>
      <w:start w:val="6"/>
    </w:lvl>
  </w:abstractNum>
  <w:abstractNum w:abstractNumId="1244">
    <w:nsid w:val="6C8196EE"/>
    <w:multiLevelType w:val="hybridMultilevel"/>
    <w:lvl w:ilvl="0">
      <w:lvlJc w:val="left"/>
      <w:lvlText w:val="%1."/>
      <w:numFmt w:val="decimal"/>
      <w:start w:val="4"/>
    </w:lvl>
  </w:abstractNum>
  <w:abstractNum w:abstractNumId="1245">
    <w:nsid w:val="21E326AE"/>
    <w:multiLevelType w:val="hybridMultilevel"/>
    <w:lvl w:ilvl="0">
      <w:lvlJc w:val="left"/>
      <w:lvlText w:val="(%1)"/>
      <w:numFmt w:val="lowerLetter"/>
      <w:start w:val="1"/>
    </w:lvl>
  </w:abstractNum>
  <w:abstractNum w:abstractNumId="1246">
    <w:nsid w:val="19E54AA9"/>
    <w:multiLevelType w:val="hybridMultilevel"/>
    <w:lvl w:ilvl="0">
      <w:lvlJc w:val="left"/>
      <w:lvlText w:val="(%1)"/>
      <w:numFmt w:val="lowerLetter"/>
      <w:start w:val="2"/>
    </w:lvl>
  </w:abstractNum>
  <w:abstractNum w:abstractNumId="1247">
    <w:nsid w:val="62C7D160"/>
    <w:multiLevelType w:val="hybridMultilevel"/>
    <w:lvl w:ilvl="0">
      <w:lvlJc w:val="left"/>
      <w:lvlText w:val="(%1)"/>
      <w:numFmt w:val="lowerRoman"/>
      <w:start w:val="1"/>
    </w:lvl>
  </w:abstractNum>
  <w:abstractNum w:abstractNumId="1248">
    <w:nsid w:val="5DC4C860"/>
    <w:multiLevelType w:val="hybridMultilevel"/>
    <w:lvl w:ilvl="0">
      <w:lvlJc w:val="left"/>
      <w:lvlText w:val="(%1)"/>
      <w:numFmt w:val="lowerLetter"/>
      <w:start w:val="3"/>
    </w:lvl>
  </w:abstractNum>
  <w:abstractNum w:abstractNumId="1249">
    <w:nsid w:val="4D1F84B"/>
    <w:multiLevelType w:val="hybridMultilevel"/>
    <w:lvl w:ilvl="0">
      <w:lvlJc w:val="left"/>
      <w:lvlText w:val="%1."/>
      <w:numFmt w:val="decimal"/>
      <w:start w:val="5"/>
    </w:lvl>
    <w:lvl w:ilvl="1">
      <w:lvlJc w:val="left"/>
      <w:lvlText w:val="(%2)"/>
      <w:numFmt w:val="lowerLetter"/>
      <w:start w:val="1"/>
    </w:lvl>
  </w:abstractNum>
  <w:abstractNum w:abstractNumId="1250">
    <w:nsid w:val="5D1706E"/>
    <w:multiLevelType w:val="hybridMultilevel"/>
    <w:lvl w:ilvl="0">
      <w:lvlJc w:val="left"/>
      <w:lvlText w:val="(%1)"/>
      <w:numFmt w:val="lowerLetter"/>
      <w:start w:val="2"/>
    </w:lvl>
  </w:abstractNum>
  <w:abstractNum w:abstractNumId="1251">
    <w:nsid w:val="5B2D4BC3"/>
    <w:multiLevelType w:val="hybridMultilevel"/>
    <w:lvl w:ilvl="0">
      <w:lvlJc w:val="left"/>
      <w:lvlText w:val="(%1)"/>
      <w:numFmt w:val="lowerLetter"/>
      <w:start w:val="3"/>
    </w:lvl>
  </w:abstractNum>
  <w:abstractNum w:abstractNumId="1252">
    <w:nsid w:val="7CDCAA4B"/>
    <w:multiLevelType w:val="hybridMultilevel"/>
    <w:lvl w:ilvl="0">
      <w:lvlJc w:val="left"/>
      <w:lvlText w:val="(%1)"/>
      <w:numFmt w:val="lowerLetter"/>
      <w:start w:val="4"/>
    </w:lvl>
  </w:abstractNum>
  <w:abstractNum w:abstractNumId="1253">
    <w:nsid w:val="FD53C88"/>
    <w:multiLevelType w:val="hybridMultilevel"/>
    <w:lvl w:ilvl="0">
      <w:lvlJc w:val="left"/>
      <w:lvlText w:val="(%1)"/>
      <w:numFmt w:val="lowerLetter"/>
      <w:start w:val="5"/>
    </w:lvl>
  </w:abstractNum>
  <w:abstractNum w:abstractNumId="1254">
    <w:nsid w:val="10CC9E29"/>
    <w:multiLevelType w:val="hybridMultilevel"/>
    <w:lvl w:ilvl="0">
      <w:lvlJc w:val="left"/>
      <w:lvlText w:val="%1."/>
      <w:numFmt w:val="decimal"/>
      <w:start w:val="6"/>
    </w:lvl>
    <w:lvl w:ilvl="1">
      <w:lvlJc w:val="left"/>
      <w:lvlText w:val="(%2)"/>
      <w:numFmt w:val="lowerLetter"/>
      <w:start w:val="1"/>
    </w:lvl>
  </w:abstractNum>
  <w:abstractNum w:abstractNumId="1255">
    <w:nsid w:val="6EF9A131"/>
    <w:multiLevelType w:val="hybridMultilevel"/>
    <w:lvl w:ilvl="0">
      <w:lvlJc w:val="left"/>
      <w:lvlText w:val="(%1)"/>
      <w:numFmt w:val="lowerLetter"/>
      <w:start w:val="2"/>
    </w:lvl>
  </w:abstractNum>
  <w:abstractNum w:abstractNumId="1256">
    <w:nsid w:val="2538EA22"/>
    <w:multiLevelType w:val="hybridMultilevel"/>
    <w:lvl w:ilvl="0">
      <w:lvlJc w:val="left"/>
      <w:lvlText w:val="(%1)"/>
      <w:numFmt w:val="lowerLetter"/>
      <w:start w:val="3"/>
    </w:lvl>
  </w:abstractNum>
  <w:abstractNum w:abstractNumId="1257">
    <w:nsid w:val="25BF52B3"/>
    <w:multiLevelType w:val="hybridMultilevel"/>
    <w:lvl w:ilvl="0">
      <w:lvlJc w:val="left"/>
      <w:lvlText w:val="(%1)"/>
      <w:numFmt w:val="lowerLetter"/>
      <w:start w:val="4"/>
    </w:lvl>
  </w:abstractNum>
  <w:abstractNum w:abstractNumId="1258">
    <w:nsid w:val="25FA7C30"/>
    <w:multiLevelType w:val="hybridMultilevel"/>
    <w:lvl w:ilvl="0">
      <w:lvlJc w:val="left"/>
      <w:lvlText w:val="(%1)"/>
      <w:numFmt w:val="lowerLetter"/>
      <w:start w:val="5"/>
    </w:lvl>
  </w:abstractNum>
  <w:abstractNum w:abstractNumId="1259">
    <w:nsid w:val="19BC8E3E"/>
    <w:multiLevelType w:val="hybridMultilevel"/>
    <w:lvl w:ilvl="0">
      <w:lvlJc w:val="left"/>
      <w:lvlText w:val="(%1)"/>
      <w:numFmt w:val="lowerLetter"/>
      <w:start w:val="6"/>
    </w:lvl>
  </w:abstractNum>
  <w:abstractNum w:abstractNumId="1260">
    <w:nsid w:val="C3420C2"/>
    <w:multiLevelType w:val="hybridMultilevel"/>
    <w:lvl w:ilvl="0">
      <w:lvlJc w:val="left"/>
      <w:lvlText w:val="%1."/>
      <w:numFmt w:val="decimal"/>
      <w:start w:val="7"/>
    </w:lvl>
    <w:lvl w:ilvl="1">
      <w:lvlJc w:val="left"/>
      <w:lvlText w:val="(%2)"/>
      <w:numFmt w:val="lowerLetter"/>
      <w:start w:val="1"/>
    </w:lvl>
  </w:abstractNum>
  <w:abstractNum w:abstractNumId="1261">
    <w:nsid w:val="68D4DF58"/>
    <w:multiLevelType w:val="hybridMultilevel"/>
    <w:lvl w:ilvl="0">
      <w:lvlJc w:val="left"/>
      <w:lvlText w:val="(%1)"/>
      <w:numFmt w:val="lowerLetter"/>
      <w:start w:val="2"/>
    </w:lvl>
  </w:abstractNum>
  <w:abstractNum w:abstractNumId="1262">
    <w:nsid w:val="45B444FB"/>
    <w:multiLevelType w:val="hybridMultilevel"/>
    <w:lvl w:ilvl="0">
      <w:lvlJc w:val="left"/>
      <w:lvlText w:val="(%1)"/>
      <w:numFmt w:val="lowerLetter"/>
      <w:start w:val="3"/>
    </w:lvl>
  </w:abstractNum>
  <w:abstractNum w:abstractNumId="1263">
    <w:nsid w:val="305EA112"/>
    <w:multiLevelType w:val="hybridMultilevel"/>
    <w:lvl w:ilvl="0">
      <w:lvlJc w:val="left"/>
      <w:lvlText w:val="(%1)"/>
      <w:numFmt w:val="lowerLetter"/>
      <w:start w:val="4"/>
    </w:lvl>
  </w:abstractNum>
  <w:abstractNum w:abstractNumId="1264">
    <w:nsid w:val="727B9D7C"/>
    <w:multiLevelType w:val="hybridMultilevel"/>
    <w:lvl w:ilvl="0">
      <w:lvlJc w:val="left"/>
      <w:lvlText w:val="(%1)"/>
      <w:numFmt w:val="lowerLetter"/>
      <w:start w:val="5"/>
    </w:lvl>
  </w:abstractNum>
  <w:abstractNum w:abstractNumId="1265">
    <w:nsid w:val="1BD1FFB7"/>
    <w:multiLevelType w:val="hybridMultilevel"/>
    <w:lvl w:ilvl="0">
      <w:lvlJc w:val="left"/>
      <w:lvlText w:val="(%1)"/>
      <w:numFmt w:val="lowerLetter"/>
      <w:start w:val="6"/>
    </w:lvl>
  </w:abstractNum>
  <w:abstractNum w:abstractNumId="1266">
    <w:nsid w:val="7180FE98"/>
    <w:multiLevelType w:val="hybridMultilevel"/>
    <w:lvl w:ilvl="0">
      <w:lvlJc w:val="left"/>
      <w:lvlText w:val="%1."/>
      <w:numFmt w:val="decimal"/>
      <w:start w:val="8"/>
    </w:lvl>
    <w:lvl w:ilvl="1">
      <w:lvlJc w:val="left"/>
      <w:lvlText w:val="(%2)"/>
      <w:numFmt w:val="lowerLetter"/>
      <w:start w:val="1"/>
    </w:lvl>
  </w:abstractNum>
  <w:abstractNum w:abstractNumId="1267">
    <w:nsid w:val="2404F1CA"/>
    <w:multiLevelType w:val="hybridMultilevel"/>
    <w:lvl w:ilvl="0">
      <w:lvlJc w:val="left"/>
      <w:lvlText w:val="(%1)"/>
      <w:numFmt w:val="upperLetter"/>
      <w:start w:val="3"/>
    </w:lvl>
  </w:abstractNum>
  <w:abstractNum w:abstractNumId="1268">
    <w:nsid w:val="5FEE3514"/>
    <w:multiLevelType w:val="hybridMultilevel"/>
    <w:lvl w:ilvl="0">
      <w:lvlJc w:val="left"/>
      <w:lvlText w:val="(%1)"/>
      <w:numFmt w:val="lowerLetter"/>
      <w:start w:val="2"/>
    </w:lvl>
  </w:abstractNum>
  <w:abstractNum w:abstractNumId="1269">
    <w:nsid w:val="57EF39A9"/>
    <w:multiLevelType w:val="hybridMultilevel"/>
    <w:lvl w:ilvl="0">
      <w:lvlJc w:val="left"/>
      <w:lvlText w:val="(%1)"/>
      <w:numFmt w:val="lowerLetter"/>
      <w:start w:val="3"/>
    </w:lvl>
  </w:abstractNum>
  <w:abstractNum w:abstractNumId="1270">
    <w:nsid w:val="5508507D"/>
    <w:multiLevelType w:val="hybridMultilevel"/>
    <w:lvl w:ilvl="0">
      <w:lvlJc w:val="left"/>
      <w:lvlText w:val="%1."/>
      <w:numFmt w:val="decimal"/>
      <w:start w:val="9"/>
    </w:lvl>
  </w:abstractNum>
  <w:abstractNum w:abstractNumId="1271">
    <w:nsid w:val="328A2B63"/>
    <w:multiLevelType w:val="hybridMultilevel"/>
    <w:lvl w:ilvl="0">
      <w:lvlJc w:val="left"/>
      <w:lvlText w:val="(%1)"/>
      <w:numFmt w:val="lowerLetter"/>
      <w:start w:val="1"/>
    </w:lvl>
  </w:abstractNum>
  <w:abstractNum w:abstractNumId="1272">
    <w:nsid w:val="3DC364A7"/>
    <w:multiLevelType w:val="hybridMultilevel"/>
    <w:lvl w:ilvl="0">
      <w:lvlJc w:val="left"/>
      <w:lvlText w:val="(%1)"/>
      <w:numFmt w:val="lowerLetter"/>
      <w:start w:val="2"/>
    </w:lvl>
  </w:abstractNum>
  <w:abstractNum w:abstractNumId="1273">
    <w:nsid w:val="79B6E0B7"/>
    <w:multiLevelType w:val="hybridMultilevel"/>
    <w:lvl w:ilvl="0">
      <w:lvlJc w:val="left"/>
      <w:lvlText w:val="(%1)"/>
      <w:numFmt w:val="lowerLetter"/>
      <w:start w:val="3"/>
    </w:lvl>
  </w:abstractNum>
  <w:abstractNum w:abstractNumId="1274">
    <w:nsid w:val="652DBE2B"/>
    <w:multiLevelType w:val="hybridMultilevel"/>
    <w:lvl w:ilvl="0">
      <w:lvlJc w:val="left"/>
      <w:lvlText w:val="(%1)"/>
      <w:numFmt w:val="lowerLetter"/>
      <w:start w:val="4"/>
    </w:lvl>
  </w:abstractNum>
  <w:abstractNum w:abstractNumId="1275">
    <w:nsid w:val="2A44FB95"/>
    <w:multiLevelType w:val="hybridMultilevel"/>
    <w:lvl w:ilvl="0">
      <w:lvlJc w:val="left"/>
      <w:lvlText w:val="%1."/>
      <w:numFmt w:val="decimal"/>
      <w:start w:val="10"/>
    </w:lvl>
    <w:lvl w:ilvl="1">
      <w:lvlJc w:val="left"/>
      <w:lvlText w:val="(%2)"/>
      <w:numFmt w:val="lowerLetter"/>
      <w:start w:val="1"/>
    </w:lvl>
  </w:abstractNum>
  <w:abstractNum w:abstractNumId="1276">
    <w:nsid w:val="1B9A0765"/>
    <w:multiLevelType w:val="hybridMultilevel"/>
    <w:lvl w:ilvl="0">
      <w:lvlJc w:val="left"/>
      <w:lvlText w:val="(%1)"/>
      <w:numFmt w:val="lowerLetter"/>
      <w:start w:val="2"/>
    </w:lvl>
  </w:abstractNum>
  <w:abstractNum w:abstractNumId="1277">
    <w:nsid w:val="7F1308D5"/>
    <w:multiLevelType w:val="hybridMultilevel"/>
    <w:lvl w:ilvl="0">
      <w:lvlJc w:val="left"/>
      <w:lvlText w:val="%1"/>
      <w:numFmt w:val="lowerRoman"/>
      <w:start w:val="1"/>
    </w:lvl>
    <w:lvl w:ilvl="1">
      <w:lvlJc w:val="left"/>
      <w:lvlText w:val="(%2)"/>
      <w:numFmt w:val="lowerRoman"/>
      <w:start w:val="1"/>
    </w:lvl>
  </w:abstractNum>
  <w:abstractNum w:abstractNumId="1278">
    <w:nsid w:val="D0CCCF5"/>
    <w:multiLevelType w:val="hybridMultilevel"/>
    <w:lvl w:ilvl="0">
      <w:lvlJc w:val="left"/>
      <w:lvlText w:val="(%1)"/>
      <w:numFmt w:val="lowerRoman"/>
      <w:start w:val="2"/>
    </w:lvl>
    <w:lvl w:ilvl="1">
      <w:lvlJc w:val="left"/>
      <w:lvlText w:val="%2"/>
      <w:numFmt w:val="lowerRoman"/>
      <w:start w:val="1"/>
    </w:lvl>
  </w:abstractNum>
  <w:abstractNum w:abstractNumId="1279">
    <w:nsid w:val="795ECFC5"/>
    <w:multiLevelType w:val="hybridMultilevel"/>
    <w:lvl w:ilvl="0">
      <w:lvlJc w:val="left"/>
      <w:lvlText w:val="(%1)"/>
      <w:numFmt w:val="lowerLetter"/>
      <w:start w:val="3"/>
    </w:lvl>
  </w:abstractNum>
  <w:abstractNum w:abstractNumId="1280">
    <w:nsid w:val="3E50120"/>
    <w:multiLevelType w:val="hybridMultilevel"/>
    <w:lvl w:ilvl="0">
      <w:lvlJc w:val="left"/>
      <w:lvlText w:val="(%1)"/>
      <w:numFmt w:val="lowerLetter"/>
      <w:start w:val="4"/>
    </w:lvl>
  </w:abstractNum>
  <w:abstractNum w:abstractNumId="1281">
    <w:nsid w:val="12DE3D63"/>
    <w:multiLevelType w:val="hybridMultilevel"/>
    <w:lvl w:ilvl="0">
      <w:lvlJc w:val="left"/>
      <w:lvlText w:val="(%1)"/>
      <w:numFmt w:val="lowerLetter"/>
      <w:start w:val="5"/>
    </w:lvl>
  </w:abstractNum>
  <w:abstractNum w:abstractNumId="1282">
    <w:nsid w:val="548C1B88"/>
    <w:multiLevelType w:val="hybridMultilevel"/>
    <w:lvl w:ilvl="0">
      <w:lvlJc w:val="left"/>
      <w:lvlText w:val="(%1)"/>
      <w:numFmt w:val="lowerLetter"/>
      <w:start w:val="6"/>
    </w:lvl>
  </w:abstractNum>
  <w:abstractNum w:abstractNumId="1283">
    <w:nsid w:val="C1AB6B"/>
    <w:multiLevelType w:val="hybridMultilevel"/>
    <w:lvl w:ilvl="0">
      <w:lvlJc w:val="left"/>
      <w:lvlText w:val="%1."/>
      <w:numFmt w:val="decimal"/>
      <w:start w:val="11"/>
    </w:lvl>
  </w:abstractNum>
  <w:abstractNum w:abstractNumId="1284">
    <w:nsid w:val="22B379EC"/>
    <w:multiLevelType w:val="hybridMultilevel"/>
    <w:lvl w:ilvl="0">
      <w:lvlJc w:val="left"/>
      <w:lvlText w:val="(%1)"/>
      <w:numFmt w:val="lowerLetter"/>
      <w:start w:val="1"/>
    </w:lvl>
  </w:abstractNum>
  <w:abstractNum w:abstractNumId="1285">
    <w:nsid w:val="6558B9B2"/>
    <w:multiLevelType w:val="hybridMultilevel"/>
    <w:lvl w:ilvl="0">
      <w:lvlJc w:val="left"/>
      <w:lvlText w:val="(%1)"/>
      <w:numFmt w:val="lowerLetter"/>
      <w:start w:val="2"/>
    </w:lvl>
  </w:abstractNum>
  <w:abstractNum w:abstractNumId="1286">
    <w:nsid w:val="6FBB4C9C"/>
    <w:multiLevelType w:val="hybridMultilevel"/>
    <w:lvl w:ilvl="0">
      <w:lvlJc w:val="left"/>
      <w:lvlText w:val="(%1)"/>
      <w:numFmt w:val="lowerRoman"/>
      <w:start w:val="1"/>
    </w:lvl>
  </w:abstractNum>
  <w:abstractNum w:abstractNumId="1287">
    <w:nsid w:val="47EC640E"/>
    <w:multiLevelType w:val="hybridMultilevel"/>
    <w:lvl w:ilvl="0">
      <w:lvlJc w:val="left"/>
      <w:lvlText w:val="(%1)"/>
      <w:numFmt w:val="lowerLetter"/>
      <w:start w:val="3"/>
    </w:lvl>
  </w:abstractNum>
  <w:abstractNum w:abstractNumId="1288">
    <w:nsid w:val="B180C65"/>
    <w:multiLevelType w:val="hybridMultilevel"/>
    <w:lvl w:ilvl="0">
      <w:lvlJc w:val="left"/>
      <w:lvlText w:val="(%1)"/>
      <w:numFmt w:val="lowerLetter"/>
      <w:start w:val="4"/>
    </w:lvl>
  </w:abstractNum>
  <w:abstractNum w:abstractNumId="1289">
    <w:nsid w:val="15B5C8CC"/>
    <w:multiLevelType w:val="hybridMultilevel"/>
    <w:lvl w:ilvl="0">
      <w:lvlJc w:val="left"/>
      <w:lvlText w:val="%1."/>
      <w:numFmt w:val="decimal"/>
      <w:start w:val="12"/>
    </w:lvl>
  </w:abstractNum>
  <w:abstractNum w:abstractNumId="1290">
    <w:nsid w:val="61A8F24D"/>
    <w:multiLevelType w:val="hybridMultilevel"/>
    <w:lvl w:ilvl="0">
      <w:lvlJc w:val="left"/>
      <w:lvlText w:val="%1."/>
      <w:numFmt w:val="decimal"/>
      <w:start w:val="13"/>
    </w:lvl>
  </w:abstractNum>
  <w:abstractNum w:abstractNumId="1291">
    <w:nsid w:val="174C2D28"/>
    <w:multiLevelType w:val="hybridMultilevel"/>
    <w:lvl w:ilvl="0">
      <w:lvlJc w:val="left"/>
      <w:lvlText w:val="%1."/>
      <w:numFmt w:val="decimal"/>
      <w:start w:val="14"/>
    </w:lvl>
    <w:lvl w:ilvl="1">
      <w:lvlJc w:val="left"/>
      <w:lvlText w:val="(%2)"/>
      <w:numFmt w:val="lowerLetter"/>
      <w:start w:val="1"/>
    </w:lvl>
  </w:abstractNum>
  <w:abstractNum w:abstractNumId="1292">
    <w:nsid w:val="7E8AA824"/>
    <w:multiLevelType w:val="hybridMultilevel"/>
    <w:lvl w:ilvl="0">
      <w:lvlJc w:val="left"/>
      <w:lvlText w:val="(%1)"/>
      <w:numFmt w:val="lowerLetter"/>
      <w:start w:val="2"/>
    </w:lvl>
  </w:abstractNum>
  <w:abstractNum w:abstractNumId="1293">
    <w:nsid w:val="275D3748"/>
    <w:multiLevelType w:val="hybridMultilevel"/>
    <w:lvl w:ilvl="0">
      <w:lvlJc w:val="left"/>
      <w:lvlText w:val="(%1)"/>
      <w:numFmt w:val="lowerLetter"/>
      <w:start w:val="3"/>
    </w:lvl>
  </w:abstractNum>
  <w:abstractNum w:abstractNumId="1294">
    <w:nsid w:val="47AACE3A"/>
    <w:multiLevelType w:val="hybridMultilevel"/>
    <w:lvl w:ilvl="0">
      <w:lvlJc w:val="left"/>
      <w:lvlText w:val="%1."/>
      <w:numFmt w:val="decimal"/>
      <w:start w:val="15"/>
    </w:lvl>
  </w:abstractNum>
  <w:abstractNum w:abstractNumId="1295">
    <w:nsid w:val="710645A0"/>
    <w:multiLevelType w:val="hybridMultilevel"/>
    <w:lvl w:ilvl="0">
      <w:lvlJc w:val="left"/>
      <w:lvlText w:val="%1."/>
      <w:numFmt w:val="decimal"/>
      <w:start w:val="16"/>
    </w:lvl>
  </w:abstractNum>
  <w:abstractNum w:abstractNumId="1296">
    <w:nsid w:val="432F3700"/>
    <w:multiLevelType w:val="hybridMultilevel"/>
    <w:lvl w:ilvl="0">
      <w:lvlJc w:val="left"/>
      <w:lvlText w:val="%1."/>
      <w:numFmt w:val="decimal"/>
      <w:start w:val="17"/>
    </w:lvl>
  </w:abstractNum>
  <w:abstractNum w:abstractNumId="1297">
    <w:nsid w:val="392BCCD2"/>
    <w:multiLevelType w:val="hybridMultilevel"/>
    <w:lvl w:ilvl="0">
      <w:lvlJc w:val="left"/>
      <w:lvlText w:val="%1."/>
      <w:numFmt w:val="decimal"/>
      <w:start w:val="18"/>
    </w:lvl>
  </w:abstractNum>
  <w:abstractNum w:abstractNumId="1298">
    <w:nsid w:val="150B376A"/>
    <w:multiLevelType w:val="hybridMultilevel"/>
    <w:lvl w:ilvl="0">
      <w:lvlJc w:val="left"/>
      <w:lvlText w:val="%1."/>
      <w:numFmt w:val="decimal"/>
      <w:start w:val="19"/>
    </w:lvl>
  </w:abstractNum>
  <w:abstractNum w:abstractNumId="1299">
    <w:nsid w:val="231D6C14"/>
    <w:multiLevelType w:val="hybridMultilevel"/>
    <w:lvl w:ilvl="0">
      <w:lvlJc w:val="left"/>
      <w:lvlText w:val="%1."/>
      <w:numFmt w:val="decimal"/>
      <w:start w:val="20"/>
    </w:lvl>
  </w:abstractNum>
  <w:abstractNum w:abstractNumId="1300">
    <w:nsid w:val="111B067C"/>
    <w:multiLevelType w:val="hybridMultilevel"/>
    <w:lvl w:ilvl="0">
      <w:lvlJc w:val="left"/>
      <w:lvlText w:val="%1."/>
      <w:numFmt w:val="decimal"/>
      <w:start w:val="21"/>
    </w:lvl>
  </w:abstractNum>
  <w:abstractNum w:abstractNumId="1301">
    <w:nsid w:val="6A1387E8"/>
    <w:multiLevelType w:val="hybridMultilevel"/>
    <w:lvl w:ilvl="0">
      <w:lvlJc w:val="left"/>
      <w:lvlText w:val="%1."/>
      <w:numFmt w:val="decimal"/>
      <w:start w:val="22"/>
    </w:lvl>
  </w:abstractNum>
  <w:abstractNum w:abstractNumId="1302">
    <w:nsid w:val="55A79777"/>
    <w:multiLevelType w:val="hybridMultilevel"/>
    <w:lvl w:ilvl="0">
      <w:lvlJc w:val="left"/>
      <w:lvlText w:val="1"/>
      <w:numFmt w:val="bullet"/>
      <w:start w:val="1"/>
    </w:lvl>
  </w:abstractNum>
  <w:abstractNum w:abstractNumId="1303">
    <w:nsid w:val="4EDE6B2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jpe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png"/><Relationship Id="rId769" Type="http://schemas.openxmlformats.org/officeDocument/2006/relationships/image" Target="media/image760.png"/><Relationship Id="rId770" Type="http://schemas.openxmlformats.org/officeDocument/2006/relationships/image" Target="media/image761.png"/><Relationship Id="rId771" Type="http://schemas.openxmlformats.org/officeDocument/2006/relationships/image" Target="media/image762.png"/><Relationship Id="rId772" Type="http://schemas.openxmlformats.org/officeDocument/2006/relationships/image" Target="media/image763.png"/><Relationship Id="rId773" Type="http://schemas.openxmlformats.org/officeDocument/2006/relationships/image" Target="media/image764.pn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png"/><Relationship Id="rId780" Type="http://schemas.openxmlformats.org/officeDocument/2006/relationships/image" Target="media/image771.png"/><Relationship Id="rId781" Type="http://schemas.openxmlformats.org/officeDocument/2006/relationships/image" Target="media/image772.png"/><Relationship Id="rId782" Type="http://schemas.openxmlformats.org/officeDocument/2006/relationships/image" Target="media/image773.pn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pn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803" Type="http://schemas.openxmlformats.org/officeDocument/2006/relationships/image" Target="media/image794.png"/><Relationship Id="rId804" Type="http://schemas.openxmlformats.org/officeDocument/2006/relationships/image" Target="media/image795.png"/><Relationship Id="rId805" Type="http://schemas.openxmlformats.org/officeDocument/2006/relationships/image" Target="media/image796.png"/><Relationship Id="rId806" Type="http://schemas.openxmlformats.org/officeDocument/2006/relationships/image" Target="media/image797.pn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png"/><Relationship Id="rId822" Type="http://schemas.openxmlformats.org/officeDocument/2006/relationships/image" Target="media/image813.png"/><Relationship Id="rId823" Type="http://schemas.openxmlformats.org/officeDocument/2006/relationships/image" Target="media/image814.png"/><Relationship Id="rId824" Type="http://schemas.openxmlformats.org/officeDocument/2006/relationships/image" Target="media/image815.png"/><Relationship Id="rId825" Type="http://schemas.openxmlformats.org/officeDocument/2006/relationships/image" Target="media/image816.png"/><Relationship Id="rId826" Type="http://schemas.openxmlformats.org/officeDocument/2006/relationships/image" Target="media/image817.png"/><Relationship Id="rId827" Type="http://schemas.openxmlformats.org/officeDocument/2006/relationships/image" Target="media/image818.png"/><Relationship Id="rId828" Type="http://schemas.openxmlformats.org/officeDocument/2006/relationships/image" Target="media/image819.png"/><Relationship Id="rId829" Type="http://schemas.openxmlformats.org/officeDocument/2006/relationships/image" Target="media/image820.png"/><Relationship Id="rId830" Type="http://schemas.openxmlformats.org/officeDocument/2006/relationships/image" Target="media/image821.png"/><Relationship Id="rId831" Type="http://schemas.openxmlformats.org/officeDocument/2006/relationships/image" Target="media/image822.png"/><Relationship Id="rId832" Type="http://schemas.openxmlformats.org/officeDocument/2006/relationships/image" Target="media/image823.png"/><Relationship Id="rId833" Type="http://schemas.openxmlformats.org/officeDocument/2006/relationships/image" Target="media/image824.png"/><Relationship Id="rId834" Type="http://schemas.openxmlformats.org/officeDocument/2006/relationships/image" Target="media/image825.png"/><Relationship Id="rId835" Type="http://schemas.openxmlformats.org/officeDocument/2006/relationships/image" Target="media/image826.png"/><Relationship Id="rId836" Type="http://schemas.openxmlformats.org/officeDocument/2006/relationships/image" Target="media/image827.png"/><Relationship Id="rId837" Type="http://schemas.openxmlformats.org/officeDocument/2006/relationships/image" Target="media/image828.png"/><Relationship Id="rId838" Type="http://schemas.openxmlformats.org/officeDocument/2006/relationships/image" Target="media/image829.png"/><Relationship Id="rId839" Type="http://schemas.openxmlformats.org/officeDocument/2006/relationships/image" Target="media/image830.png"/><Relationship Id="rId840" Type="http://schemas.openxmlformats.org/officeDocument/2006/relationships/image" Target="media/image831.png"/><Relationship Id="rId841" Type="http://schemas.openxmlformats.org/officeDocument/2006/relationships/image" Target="media/image832.png"/><Relationship Id="rId842" Type="http://schemas.openxmlformats.org/officeDocument/2006/relationships/image" Target="media/image833.png"/><Relationship Id="rId843" Type="http://schemas.openxmlformats.org/officeDocument/2006/relationships/image" Target="media/image834.png"/><Relationship Id="rId844" Type="http://schemas.openxmlformats.org/officeDocument/2006/relationships/image" Target="media/image835.png"/><Relationship Id="rId845" Type="http://schemas.openxmlformats.org/officeDocument/2006/relationships/image" Target="media/image836.png"/><Relationship Id="rId846" Type="http://schemas.openxmlformats.org/officeDocument/2006/relationships/image" Target="media/image837.png"/><Relationship Id="rId847" Type="http://schemas.openxmlformats.org/officeDocument/2006/relationships/image" Target="media/image838.png"/><Relationship Id="rId848" Type="http://schemas.openxmlformats.org/officeDocument/2006/relationships/image" Target="media/image839.png"/><Relationship Id="rId849" Type="http://schemas.openxmlformats.org/officeDocument/2006/relationships/image" Target="media/image840.png"/><Relationship Id="rId850" Type="http://schemas.openxmlformats.org/officeDocument/2006/relationships/image" Target="media/image841.png"/><Relationship Id="rId851" Type="http://schemas.openxmlformats.org/officeDocument/2006/relationships/image" Target="media/image842.png"/><Relationship Id="rId852" Type="http://schemas.openxmlformats.org/officeDocument/2006/relationships/image" Target="media/image843.png"/><Relationship Id="rId853" Type="http://schemas.openxmlformats.org/officeDocument/2006/relationships/image" Target="media/image844.png"/><Relationship Id="rId854" Type="http://schemas.openxmlformats.org/officeDocument/2006/relationships/image" Target="media/image845.png"/><Relationship Id="rId855" Type="http://schemas.openxmlformats.org/officeDocument/2006/relationships/image" Target="media/image846.png"/><Relationship Id="rId856" Type="http://schemas.openxmlformats.org/officeDocument/2006/relationships/image" Target="media/image847.png"/><Relationship Id="rId857" Type="http://schemas.openxmlformats.org/officeDocument/2006/relationships/image" Target="media/image848.png"/><Relationship Id="rId858" Type="http://schemas.openxmlformats.org/officeDocument/2006/relationships/image" Target="media/image849.png"/><Relationship Id="rId859" Type="http://schemas.openxmlformats.org/officeDocument/2006/relationships/image" Target="media/image850.png"/><Relationship Id="rId860" Type="http://schemas.openxmlformats.org/officeDocument/2006/relationships/image" Target="media/image851.png"/><Relationship Id="rId861" Type="http://schemas.openxmlformats.org/officeDocument/2006/relationships/image" Target="media/image852.png"/><Relationship Id="rId862" Type="http://schemas.openxmlformats.org/officeDocument/2006/relationships/image" Target="media/image853.png"/><Relationship Id="rId863" Type="http://schemas.openxmlformats.org/officeDocument/2006/relationships/image" Target="media/image854.png"/><Relationship Id="rId864" Type="http://schemas.openxmlformats.org/officeDocument/2006/relationships/image" Target="media/image855.png"/><Relationship Id="rId865" Type="http://schemas.openxmlformats.org/officeDocument/2006/relationships/image" Target="media/image856.png"/><Relationship Id="rId866" Type="http://schemas.openxmlformats.org/officeDocument/2006/relationships/image" Target="media/image857.png"/><Relationship Id="rId867" Type="http://schemas.openxmlformats.org/officeDocument/2006/relationships/image" Target="media/image858.png"/><Relationship Id="rId868" Type="http://schemas.openxmlformats.org/officeDocument/2006/relationships/image" Target="media/image859.png"/><Relationship Id="rId869" Type="http://schemas.openxmlformats.org/officeDocument/2006/relationships/image" Target="media/image860.png"/><Relationship Id="rId870" Type="http://schemas.openxmlformats.org/officeDocument/2006/relationships/image" Target="media/image861.png"/><Relationship Id="rId871" Type="http://schemas.openxmlformats.org/officeDocument/2006/relationships/image" Target="media/image862.png"/><Relationship Id="rId872" Type="http://schemas.openxmlformats.org/officeDocument/2006/relationships/image" Target="media/image863.png"/><Relationship Id="rId873" Type="http://schemas.openxmlformats.org/officeDocument/2006/relationships/image" Target="media/image864.png"/><Relationship Id="rId874" Type="http://schemas.openxmlformats.org/officeDocument/2006/relationships/image" Target="media/image865.png"/><Relationship Id="rId875" Type="http://schemas.openxmlformats.org/officeDocument/2006/relationships/image" Target="media/image866.png"/><Relationship Id="rId876" Type="http://schemas.openxmlformats.org/officeDocument/2006/relationships/image" Target="media/image867.png"/><Relationship Id="rId877" Type="http://schemas.openxmlformats.org/officeDocument/2006/relationships/image" Target="media/image868.png"/><Relationship Id="rId878" Type="http://schemas.openxmlformats.org/officeDocument/2006/relationships/image" Target="media/image869.png"/><Relationship Id="rId879" Type="http://schemas.openxmlformats.org/officeDocument/2006/relationships/image" Target="media/image870.png"/><Relationship Id="rId880" Type="http://schemas.openxmlformats.org/officeDocument/2006/relationships/image" Target="media/image871.png"/><Relationship Id="rId881" Type="http://schemas.openxmlformats.org/officeDocument/2006/relationships/image" Target="media/image872.png"/><Relationship Id="rId882" Type="http://schemas.openxmlformats.org/officeDocument/2006/relationships/image" Target="media/image873.png"/><Relationship Id="rId883" Type="http://schemas.openxmlformats.org/officeDocument/2006/relationships/image" Target="media/image874.png"/><Relationship Id="rId884" Type="http://schemas.openxmlformats.org/officeDocument/2006/relationships/image" Target="media/image875.png"/><Relationship Id="rId885" Type="http://schemas.openxmlformats.org/officeDocument/2006/relationships/image" Target="media/image876.png"/><Relationship Id="rId886" Type="http://schemas.openxmlformats.org/officeDocument/2006/relationships/image" Target="media/image877.png"/><Relationship Id="rId887" Type="http://schemas.openxmlformats.org/officeDocument/2006/relationships/image" Target="media/image878.png"/><Relationship Id="rId888" Type="http://schemas.openxmlformats.org/officeDocument/2006/relationships/image" Target="media/image879.png"/><Relationship Id="rId889" Type="http://schemas.openxmlformats.org/officeDocument/2006/relationships/image" Target="media/image880.png"/><Relationship Id="rId890" Type="http://schemas.openxmlformats.org/officeDocument/2006/relationships/image" Target="media/image881.png"/><Relationship Id="rId891" Type="http://schemas.openxmlformats.org/officeDocument/2006/relationships/image" Target="media/image882.png"/><Relationship Id="rId892" Type="http://schemas.openxmlformats.org/officeDocument/2006/relationships/image" Target="media/image883.png"/><Relationship Id="rId893" Type="http://schemas.openxmlformats.org/officeDocument/2006/relationships/image" Target="media/image884.png"/><Relationship Id="rId894" Type="http://schemas.openxmlformats.org/officeDocument/2006/relationships/image" Target="media/image885.png"/><Relationship Id="rId895" Type="http://schemas.openxmlformats.org/officeDocument/2006/relationships/image" Target="media/image886.png"/><Relationship Id="rId896" Type="http://schemas.openxmlformats.org/officeDocument/2006/relationships/image" Target="media/image887.png"/><Relationship Id="rId897" Type="http://schemas.openxmlformats.org/officeDocument/2006/relationships/image" Target="media/image888.png"/><Relationship Id="rId898" Type="http://schemas.openxmlformats.org/officeDocument/2006/relationships/image" Target="media/image889.png"/><Relationship Id="rId899" Type="http://schemas.openxmlformats.org/officeDocument/2006/relationships/image" Target="media/image890.png"/><Relationship Id="rId900" Type="http://schemas.openxmlformats.org/officeDocument/2006/relationships/image" Target="media/image891.png"/><Relationship Id="rId901" Type="http://schemas.openxmlformats.org/officeDocument/2006/relationships/image" Target="media/image892.png"/><Relationship Id="rId902" Type="http://schemas.openxmlformats.org/officeDocument/2006/relationships/image" Target="media/image893.png"/><Relationship Id="rId903" Type="http://schemas.openxmlformats.org/officeDocument/2006/relationships/image" Target="media/image894.png"/><Relationship Id="rId904" Type="http://schemas.openxmlformats.org/officeDocument/2006/relationships/image" Target="media/image895.png"/><Relationship Id="rId905" Type="http://schemas.openxmlformats.org/officeDocument/2006/relationships/image" Target="media/image896.png"/><Relationship Id="rId906" Type="http://schemas.openxmlformats.org/officeDocument/2006/relationships/image" Target="media/image897.png"/><Relationship Id="rId907" Type="http://schemas.openxmlformats.org/officeDocument/2006/relationships/image" Target="media/image898.png"/><Relationship Id="rId908" Type="http://schemas.openxmlformats.org/officeDocument/2006/relationships/image" Target="media/image899.png"/><Relationship Id="rId909" Type="http://schemas.openxmlformats.org/officeDocument/2006/relationships/image" Target="media/image900.png"/><Relationship Id="rId910" Type="http://schemas.openxmlformats.org/officeDocument/2006/relationships/image" Target="media/image901.png"/><Relationship Id="rId911" Type="http://schemas.openxmlformats.org/officeDocument/2006/relationships/image" Target="media/image902.png"/><Relationship Id="rId912" Type="http://schemas.openxmlformats.org/officeDocument/2006/relationships/image" Target="media/image903.png"/><Relationship Id="rId913" Type="http://schemas.openxmlformats.org/officeDocument/2006/relationships/image" Target="media/image904.png"/><Relationship Id="rId914" Type="http://schemas.openxmlformats.org/officeDocument/2006/relationships/image" Target="media/image905.png"/><Relationship Id="rId915" Type="http://schemas.openxmlformats.org/officeDocument/2006/relationships/image" Target="media/image906.png"/><Relationship Id="rId916" Type="http://schemas.openxmlformats.org/officeDocument/2006/relationships/image" Target="media/image907.png"/><Relationship Id="rId917" Type="http://schemas.openxmlformats.org/officeDocument/2006/relationships/image" Target="media/image908.png"/><Relationship Id="rId918" Type="http://schemas.openxmlformats.org/officeDocument/2006/relationships/image" Target="media/image909.png"/><Relationship Id="rId919" Type="http://schemas.openxmlformats.org/officeDocument/2006/relationships/image" Target="media/image910.png"/><Relationship Id="rId920" Type="http://schemas.openxmlformats.org/officeDocument/2006/relationships/image" Target="media/image911.png"/><Relationship Id="rId921" Type="http://schemas.openxmlformats.org/officeDocument/2006/relationships/image" Target="media/image912.png"/><Relationship Id="rId922" Type="http://schemas.openxmlformats.org/officeDocument/2006/relationships/image" Target="media/image913.png"/><Relationship Id="rId923" Type="http://schemas.openxmlformats.org/officeDocument/2006/relationships/image" Target="media/image914.png"/><Relationship Id="rId924" Type="http://schemas.openxmlformats.org/officeDocument/2006/relationships/image" Target="media/image915.png"/><Relationship Id="rId925" Type="http://schemas.openxmlformats.org/officeDocument/2006/relationships/image" Target="media/image916.png"/><Relationship Id="rId926" Type="http://schemas.openxmlformats.org/officeDocument/2006/relationships/image" Target="media/image917.png"/><Relationship Id="rId927" Type="http://schemas.openxmlformats.org/officeDocument/2006/relationships/image" Target="media/image918.png"/><Relationship Id="rId928" Type="http://schemas.openxmlformats.org/officeDocument/2006/relationships/image" Target="media/image919.png"/><Relationship Id="rId929" Type="http://schemas.openxmlformats.org/officeDocument/2006/relationships/image" Target="media/image920.png"/><Relationship Id="rId930" Type="http://schemas.openxmlformats.org/officeDocument/2006/relationships/image" Target="media/image921.png"/><Relationship Id="rId931" Type="http://schemas.openxmlformats.org/officeDocument/2006/relationships/image" Target="media/image922.png"/><Relationship Id="rId932" Type="http://schemas.openxmlformats.org/officeDocument/2006/relationships/image" Target="media/image923.png"/><Relationship Id="rId933" Type="http://schemas.openxmlformats.org/officeDocument/2006/relationships/image" Target="media/image924.png"/><Relationship Id="rId934" Type="http://schemas.openxmlformats.org/officeDocument/2006/relationships/image" Target="media/image925.png"/><Relationship Id="rId935" Type="http://schemas.openxmlformats.org/officeDocument/2006/relationships/image" Target="media/image926.png"/><Relationship Id="rId936" Type="http://schemas.openxmlformats.org/officeDocument/2006/relationships/image" Target="media/image927.png"/><Relationship Id="rId937" Type="http://schemas.openxmlformats.org/officeDocument/2006/relationships/image" Target="media/image928.png"/><Relationship Id="rId938" Type="http://schemas.openxmlformats.org/officeDocument/2006/relationships/image" Target="media/image929.png"/><Relationship Id="rId939" Type="http://schemas.openxmlformats.org/officeDocument/2006/relationships/image" Target="media/image930.png"/><Relationship Id="rId940" Type="http://schemas.openxmlformats.org/officeDocument/2006/relationships/image" Target="media/image931.png"/><Relationship Id="rId941" Type="http://schemas.openxmlformats.org/officeDocument/2006/relationships/image" Target="media/image932.png"/><Relationship Id="rId942" Type="http://schemas.openxmlformats.org/officeDocument/2006/relationships/image" Target="media/image933.png"/><Relationship Id="rId943" Type="http://schemas.openxmlformats.org/officeDocument/2006/relationships/image" Target="media/image934.png"/><Relationship Id="rId944" Type="http://schemas.openxmlformats.org/officeDocument/2006/relationships/image" Target="media/image935.png"/><Relationship Id="rId945" Type="http://schemas.openxmlformats.org/officeDocument/2006/relationships/image" Target="media/image936.png"/><Relationship Id="rId946" Type="http://schemas.openxmlformats.org/officeDocument/2006/relationships/image" Target="media/image937.png"/><Relationship Id="rId947" Type="http://schemas.openxmlformats.org/officeDocument/2006/relationships/image" Target="media/image938.png"/><Relationship Id="rId948" Type="http://schemas.openxmlformats.org/officeDocument/2006/relationships/image" Target="media/image939.png"/><Relationship Id="rId949" Type="http://schemas.openxmlformats.org/officeDocument/2006/relationships/image" Target="media/image940.png"/><Relationship Id="rId950" Type="http://schemas.openxmlformats.org/officeDocument/2006/relationships/image" Target="media/image941.png"/><Relationship Id="rId951" Type="http://schemas.openxmlformats.org/officeDocument/2006/relationships/image" Target="media/image942.png"/><Relationship Id="rId952" Type="http://schemas.openxmlformats.org/officeDocument/2006/relationships/image" Target="media/image943.png"/><Relationship Id="rId953" Type="http://schemas.openxmlformats.org/officeDocument/2006/relationships/image" Target="media/image944.png"/><Relationship Id="rId954" Type="http://schemas.openxmlformats.org/officeDocument/2006/relationships/image" Target="media/image945.png"/><Relationship Id="rId955" Type="http://schemas.openxmlformats.org/officeDocument/2006/relationships/image" Target="media/image946.png"/><Relationship Id="rId956" Type="http://schemas.openxmlformats.org/officeDocument/2006/relationships/image" Target="media/image947.png"/><Relationship Id="rId957" Type="http://schemas.openxmlformats.org/officeDocument/2006/relationships/image" Target="media/image948.png"/><Relationship Id="rId958" Type="http://schemas.openxmlformats.org/officeDocument/2006/relationships/image" Target="media/image949.png"/><Relationship Id="rId959" Type="http://schemas.openxmlformats.org/officeDocument/2006/relationships/image" Target="media/image950.png"/><Relationship Id="rId960" Type="http://schemas.openxmlformats.org/officeDocument/2006/relationships/image" Target="media/image951.png"/><Relationship Id="rId961" Type="http://schemas.openxmlformats.org/officeDocument/2006/relationships/image" Target="media/image952.png"/><Relationship Id="rId962" Type="http://schemas.openxmlformats.org/officeDocument/2006/relationships/image" Target="media/image953.png"/><Relationship Id="rId963" Type="http://schemas.openxmlformats.org/officeDocument/2006/relationships/image" Target="media/image954.png"/><Relationship Id="rId964" Type="http://schemas.openxmlformats.org/officeDocument/2006/relationships/image" Target="media/image955.png"/><Relationship Id="rId965" Type="http://schemas.openxmlformats.org/officeDocument/2006/relationships/image" Target="media/image956.png"/><Relationship Id="rId966" Type="http://schemas.openxmlformats.org/officeDocument/2006/relationships/image" Target="media/image957.png"/><Relationship Id="rId967" Type="http://schemas.openxmlformats.org/officeDocument/2006/relationships/image" Target="media/image958.png"/><Relationship Id="rId968" Type="http://schemas.openxmlformats.org/officeDocument/2006/relationships/image" Target="media/image959.png"/><Relationship Id="rId969" Type="http://schemas.openxmlformats.org/officeDocument/2006/relationships/image" Target="media/image960.png"/><Relationship Id="rId970" Type="http://schemas.openxmlformats.org/officeDocument/2006/relationships/image" Target="media/image961.png"/><Relationship Id="rId971" Type="http://schemas.openxmlformats.org/officeDocument/2006/relationships/image" Target="media/image962.png"/><Relationship Id="rId972" Type="http://schemas.openxmlformats.org/officeDocument/2006/relationships/image" Target="media/image963.png"/><Relationship Id="rId973" Type="http://schemas.openxmlformats.org/officeDocument/2006/relationships/image" Target="media/image964.png"/><Relationship Id="rId974" Type="http://schemas.openxmlformats.org/officeDocument/2006/relationships/image" Target="media/image965.png"/><Relationship Id="rId975" Type="http://schemas.openxmlformats.org/officeDocument/2006/relationships/image" Target="media/image966.png"/><Relationship Id="rId976" Type="http://schemas.openxmlformats.org/officeDocument/2006/relationships/image" Target="media/image967.png"/><Relationship Id="rId977" Type="http://schemas.openxmlformats.org/officeDocument/2006/relationships/image" Target="media/image968.png"/><Relationship Id="rId978" Type="http://schemas.openxmlformats.org/officeDocument/2006/relationships/image" Target="media/image969.png"/><Relationship Id="rId979" Type="http://schemas.openxmlformats.org/officeDocument/2006/relationships/image" Target="media/image970.png"/><Relationship Id="rId980" Type="http://schemas.openxmlformats.org/officeDocument/2006/relationships/image" Target="media/image971.png"/><Relationship Id="rId981" Type="http://schemas.openxmlformats.org/officeDocument/2006/relationships/image" Target="media/image972.png"/><Relationship Id="rId982" Type="http://schemas.openxmlformats.org/officeDocument/2006/relationships/image" Target="media/image973.png"/><Relationship Id="rId983" Type="http://schemas.openxmlformats.org/officeDocument/2006/relationships/image" Target="media/image974.png"/><Relationship Id="rId984" Type="http://schemas.openxmlformats.org/officeDocument/2006/relationships/image" Target="media/image975.png"/><Relationship Id="rId985" Type="http://schemas.openxmlformats.org/officeDocument/2006/relationships/image" Target="media/image976.png"/><Relationship Id="rId986" Type="http://schemas.openxmlformats.org/officeDocument/2006/relationships/image" Target="media/image977.png"/><Relationship Id="rId987" Type="http://schemas.openxmlformats.org/officeDocument/2006/relationships/image" Target="media/image978.png"/><Relationship Id="rId988" Type="http://schemas.openxmlformats.org/officeDocument/2006/relationships/image" Target="media/image979.png"/><Relationship Id="rId989" Type="http://schemas.openxmlformats.org/officeDocument/2006/relationships/image" Target="media/image980.png"/><Relationship Id="rId990" Type="http://schemas.openxmlformats.org/officeDocument/2006/relationships/image" Target="media/image981.png"/><Relationship Id="rId991" Type="http://schemas.openxmlformats.org/officeDocument/2006/relationships/image" Target="media/image982.png"/><Relationship Id="rId992" Type="http://schemas.openxmlformats.org/officeDocument/2006/relationships/image" Target="media/image983.png"/><Relationship Id="rId993" Type="http://schemas.openxmlformats.org/officeDocument/2006/relationships/image" Target="media/image984.png"/><Relationship Id="rId994" Type="http://schemas.openxmlformats.org/officeDocument/2006/relationships/image" Target="media/image985.png"/><Relationship Id="rId995" Type="http://schemas.openxmlformats.org/officeDocument/2006/relationships/image" Target="media/image986.png"/><Relationship Id="rId996" Type="http://schemas.openxmlformats.org/officeDocument/2006/relationships/image" Target="media/image987.png"/><Relationship Id="rId997" Type="http://schemas.openxmlformats.org/officeDocument/2006/relationships/image" Target="media/image988.png"/><Relationship Id="rId998" Type="http://schemas.openxmlformats.org/officeDocument/2006/relationships/image" Target="media/image989.png"/><Relationship Id="rId999" Type="http://schemas.openxmlformats.org/officeDocument/2006/relationships/image" Target="media/image990.png"/><Relationship Id="rId1000" Type="http://schemas.openxmlformats.org/officeDocument/2006/relationships/image" Target="media/image991.png"/><Relationship Id="rId1001" Type="http://schemas.openxmlformats.org/officeDocument/2006/relationships/image" Target="media/image992.png"/><Relationship Id="rId1002" Type="http://schemas.openxmlformats.org/officeDocument/2006/relationships/image" Target="media/image993.png"/><Relationship Id="rId1003" Type="http://schemas.openxmlformats.org/officeDocument/2006/relationships/image" Target="media/image994.png"/><Relationship Id="rId1004" Type="http://schemas.openxmlformats.org/officeDocument/2006/relationships/image" Target="media/image995.png"/><Relationship Id="rId1005" Type="http://schemas.openxmlformats.org/officeDocument/2006/relationships/image" Target="media/image996.png"/><Relationship Id="rId1006" Type="http://schemas.openxmlformats.org/officeDocument/2006/relationships/image" Target="media/image997.png"/><Relationship Id="rId1007" Type="http://schemas.openxmlformats.org/officeDocument/2006/relationships/image" Target="media/image998.png"/><Relationship Id="rId1008" Type="http://schemas.openxmlformats.org/officeDocument/2006/relationships/image" Target="media/image999.png"/><Relationship Id="rId1009" Type="http://schemas.openxmlformats.org/officeDocument/2006/relationships/image" Target="media/image1000.png"/><Relationship Id="rId1010" Type="http://schemas.openxmlformats.org/officeDocument/2006/relationships/image" Target="media/image1001.png"/><Relationship Id="rId1011" Type="http://schemas.openxmlformats.org/officeDocument/2006/relationships/image" Target="media/image1002.png"/><Relationship Id="rId1012" Type="http://schemas.openxmlformats.org/officeDocument/2006/relationships/image" Target="media/image1003.png"/><Relationship Id="rId1013" Type="http://schemas.openxmlformats.org/officeDocument/2006/relationships/image" Target="media/image1004.png"/><Relationship Id="rId1014" Type="http://schemas.openxmlformats.org/officeDocument/2006/relationships/image" Target="media/image1005.png"/><Relationship Id="rId1015" Type="http://schemas.openxmlformats.org/officeDocument/2006/relationships/image" Target="media/image1006.png"/><Relationship Id="rId1016" Type="http://schemas.openxmlformats.org/officeDocument/2006/relationships/image" Target="media/image1007.png"/><Relationship Id="rId1017" Type="http://schemas.openxmlformats.org/officeDocument/2006/relationships/image" Target="media/image1008.png"/><Relationship Id="rId1018" Type="http://schemas.openxmlformats.org/officeDocument/2006/relationships/image" Target="media/image1009.png"/><Relationship Id="rId1019" Type="http://schemas.openxmlformats.org/officeDocument/2006/relationships/image" Target="media/image1010.png"/><Relationship Id="rId1020" Type="http://schemas.openxmlformats.org/officeDocument/2006/relationships/image" Target="media/image1011.png"/><Relationship Id="rId1021" Type="http://schemas.openxmlformats.org/officeDocument/2006/relationships/image" Target="media/image1012.png"/><Relationship Id="rId1022" Type="http://schemas.openxmlformats.org/officeDocument/2006/relationships/image" Target="media/image1013.png"/><Relationship Id="rId1023" Type="http://schemas.openxmlformats.org/officeDocument/2006/relationships/image" Target="media/image1014.png"/><Relationship Id="rId1024" Type="http://schemas.openxmlformats.org/officeDocument/2006/relationships/image" Target="media/image1015.png"/><Relationship Id="rId1025" Type="http://schemas.openxmlformats.org/officeDocument/2006/relationships/image" Target="media/image1016.png"/><Relationship Id="rId1026" Type="http://schemas.openxmlformats.org/officeDocument/2006/relationships/image" Target="media/image1017.png"/><Relationship Id="rId1027" Type="http://schemas.openxmlformats.org/officeDocument/2006/relationships/image" Target="media/image1018.png"/><Relationship Id="rId1028" Type="http://schemas.openxmlformats.org/officeDocument/2006/relationships/image" Target="media/image1019.png"/><Relationship Id="rId1029" Type="http://schemas.openxmlformats.org/officeDocument/2006/relationships/image" Target="media/image1020.png"/><Relationship Id="rId1030" Type="http://schemas.openxmlformats.org/officeDocument/2006/relationships/image" Target="media/image1021.png"/><Relationship Id="rId1031" Type="http://schemas.openxmlformats.org/officeDocument/2006/relationships/image" Target="media/image1022.png"/><Relationship Id="rId1032" Type="http://schemas.openxmlformats.org/officeDocument/2006/relationships/image" Target="media/image1023.png"/><Relationship Id="rId1033" Type="http://schemas.openxmlformats.org/officeDocument/2006/relationships/image" Target="media/image1024.png"/><Relationship Id="rId1034" Type="http://schemas.openxmlformats.org/officeDocument/2006/relationships/image" Target="media/image1025.png"/><Relationship Id="rId1035" Type="http://schemas.openxmlformats.org/officeDocument/2006/relationships/image" Target="media/image1026.png"/><Relationship Id="rId1036" Type="http://schemas.openxmlformats.org/officeDocument/2006/relationships/image" Target="media/image1027.png"/><Relationship Id="rId1037" Type="http://schemas.openxmlformats.org/officeDocument/2006/relationships/image" Target="media/image1028.png"/><Relationship Id="rId1038" Type="http://schemas.openxmlformats.org/officeDocument/2006/relationships/image" Target="media/image1029.png"/><Relationship Id="rId1039" Type="http://schemas.openxmlformats.org/officeDocument/2006/relationships/image" Target="media/image1030.png"/><Relationship Id="rId1040" Type="http://schemas.openxmlformats.org/officeDocument/2006/relationships/image" Target="media/image1031.jpeg"/><Relationship Id="rId1041" Type="http://schemas.openxmlformats.org/officeDocument/2006/relationships/image" Target="media/image1032.png"/><Relationship Id="rId1042" Type="http://schemas.openxmlformats.org/officeDocument/2006/relationships/image" Target="media/image1033.png"/><Relationship Id="rId1043" Type="http://schemas.openxmlformats.org/officeDocument/2006/relationships/image" Target="media/image1034.png"/><Relationship Id="rId1044" Type="http://schemas.openxmlformats.org/officeDocument/2006/relationships/image" Target="media/image1035.png"/><Relationship Id="rId1045" Type="http://schemas.openxmlformats.org/officeDocument/2006/relationships/image" Target="media/image1036.png"/><Relationship Id="rId1046" Type="http://schemas.openxmlformats.org/officeDocument/2006/relationships/image" Target="media/image1037.png"/><Relationship Id="rId1047" Type="http://schemas.openxmlformats.org/officeDocument/2006/relationships/image" Target="media/image1038.png"/><Relationship Id="rId1048" Type="http://schemas.openxmlformats.org/officeDocument/2006/relationships/image" Target="media/image1039.png"/><Relationship Id="rId1049" Type="http://schemas.openxmlformats.org/officeDocument/2006/relationships/image" Target="media/image1040.png"/><Relationship Id="rId1050" Type="http://schemas.openxmlformats.org/officeDocument/2006/relationships/image" Target="media/image1041.png"/><Relationship Id="rId1051" Type="http://schemas.openxmlformats.org/officeDocument/2006/relationships/image" Target="media/image1042.png"/><Relationship Id="rId1052" Type="http://schemas.openxmlformats.org/officeDocument/2006/relationships/image" Target="media/image1043.png"/><Relationship Id="rId1053" Type="http://schemas.openxmlformats.org/officeDocument/2006/relationships/image" Target="media/image1044.png"/><Relationship Id="rId1054" Type="http://schemas.openxmlformats.org/officeDocument/2006/relationships/image" Target="media/image1045.png"/><Relationship Id="rId1055" Type="http://schemas.openxmlformats.org/officeDocument/2006/relationships/image" Target="media/image1046.png"/><Relationship Id="rId1056" Type="http://schemas.openxmlformats.org/officeDocument/2006/relationships/image" Target="media/image1047.png"/><Relationship Id="rId1057" Type="http://schemas.openxmlformats.org/officeDocument/2006/relationships/image" Target="media/image1048.png"/><Relationship Id="rId1058" Type="http://schemas.openxmlformats.org/officeDocument/2006/relationships/image" Target="media/image1049.png"/><Relationship Id="rId1059" Type="http://schemas.openxmlformats.org/officeDocument/2006/relationships/image" Target="media/image1050.png"/><Relationship Id="rId1060" Type="http://schemas.openxmlformats.org/officeDocument/2006/relationships/image" Target="media/image1051.png"/><Relationship Id="rId1061" Type="http://schemas.openxmlformats.org/officeDocument/2006/relationships/image" Target="media/image1052.png"/><Relationship Id="rId1062" Type="http://schemas.openxmlformats.org/officeDocument/2006/relationships/image" Target="media/image1053.png"/><Relationship Id="rId1063" Type="http://schemas.openxmlformats.org/officeDocument/2006/relationships/image" Target="media/image1054.png"/><Relationship Id="rId1064" Type="http://schemas.openxmlformats.org/officeDocument/2006/relationships/image" Target="media/image1055.png"/><Relationship Id="rId1065" Type="http://schemas.openxmlformats.org/officeDocument/2006/relationships/image" Target="media/image1056.png"/><Relationship Id="rId1066" Type="http://schemas.openxmlformats.org/officeDocument/2006/relationships/image" Target="media/image1057.png"/><Relationship Id="rId1067" Type="http://schemas.openxmlformats.org/officeDocument/2006/relationships/image" Target="media/image1058.png"/><Relationship Id="rId1068" Type="http://schemas.openxmlformats.org/officeDocument/2006/relationships/image" Target="media/image1059.png"/><Relationship Id="rId1069" Type="http://schemas.openxmlformats.org/officeDocument/2006/relationships/image" Target="media/image1060.png"/><Relationship Id="rId1070" Type="http://schemas.openxmlformats.org/officeDocument/2006/relationships/image" Target="media/image1061.png"/><Relationship Id="rId1071" Type="http://schemas.openxmlformats.org/officeDocument/2006/relationships/image" Target="media/image1062.png"/><Relationship Id="rId1072" Type="http://schemas.openxmlformats.org/officeDocument/2006/relationships/image" Target="media/image1063.png"/><Relationship Id="rId1073" Type="http://schemas.openxmlformats.org/officeDocument/2006/relationships/image" Target="media/image1064.png"/><Relationship Id="rId1074" Type="http://schemas.openxmlformats.org/officeDocument/2006/relationships/image" Target="media/image1065.png"/><Relationship Id="rId1075" Type="http://schemas.openxmlformats.org/officeDocument/2006/relationships/image" Target="media/image1066.png"/><Relationship Id="rId1076" Type="http://schemas.openxmlformats.org/officeDocument/2006/relationships/image" Target="media/image1067.png"/><Relationship Id="rId1077" Type="http://schemas.openxmlformats.org/officeDocument/2006/relationships/image" Target="media/image1068.png"/><Relationship Id="rId1078" Type="http://schemas.openxmlformats.org/officeDocument/2006/relationships/image" Target="media/image1069.png"/><Relationship Id="rId1079" Type="http://schemas.openxmlformats.org/officeDocument/2006/relationships/image" Target="media/image1070.png"/><Relationship Id="rId1080" Type="http://schemas.openxmlformats.org/officeDocument/2006/relationships/image" Target="media/image1071.png"/><Relationship Id="rId1081" Type="http://schemas.openxmlformats.org/officeDocument/2006/relationships/image" Target="media/image1072.png"/><Relationship Id="rId1082" Type="http://schemas.openxmlformats.org/officeDocument/2006/relationships/image" Target="media/image1073.png"/><Relationship Id="rId1083" Type="http://schemas.openxmlformats.org/officeDocument/2006/relationships/image" Target="media/image1074.png"/><Relationship Id="rId1084" Type="http://schemas.openxmlformats.org/officeDocument/2006/relationships/image" Target="media/image1075.png"/><Relationship Id="rId1085" Type="http://schemas.openxmlformats.org/officeDocument/2006/relationships/image" Target="media/image1076.png"/><Relationship Id="rId1086" Type="http://schemas.openxmlformats.org/officeDocument/2006/relationships/image" Target="media/image1077.png"/><Relationship Id="rId1087" Type="http://schemas.openxmlformats.org/officeDocument/2006/relationships/image" Target="media/image1078.png"/><Relationship Id="rId1088" Type="http://schemas.openxmlformats.org/officeDocument/2006/relationships/image" Target="media/image1079.png"/><Relationship Id="rId1089" Type="http://schemas.openxmlformats.org/officeDocument/2006/relationships/image" Target="media/image1080.png"/><Relationship Id="rId1090" Type="http://schemas.openxmlformats.org/officeDocument/2006/relationships/image" Target="media/image1081.png"/><Relationship Id="rId1091" Type="http://schemas.openxmlformats.org/officeDocument/2006/relationships/image" Target="media/image1082.png"/><Relationship Id="rId1092" Type="http://schemas.openxmlformats.org/officeDocument/2006/relationships/image" Target="media/image1083.png"/><Relationship Id="rId1093" Type="http://schemas.openxmlformats.org/officeDocument/2006/relationships/image" Target="media/image1084.png"/><Relationship Id="rId1094" Type="http://schemas.openxmlformats.org/officeDocument/2006/relationships/image" Target="media/image1085.png"/><Relationship Id="rId1095" Type="http://schemas.openxmlformats.org/officeDocument/2006/relationships/image" Target="media/image1086.png"/><Relationship Id="rId1096" Type="http://schemas.openxmlformats.org/officeDocument/2006/relationships/image" Target="media/image1087.png"/><Relationship Id="rId1097" Type="http://schemas.openxmlformats.org/officeDocument/2006/relationships/image" Target="media/image1088.jpeg"/><Relationship Id="rId1098" Type="http://schemas.openxmlformats.org/officeDocument/2006/relationships/image" Target="media/image1089.png"/><Relationship Id="rId1099" Type="http://schemas.openxmlformats.org/officeDocument/2006/relationships/image" Target="media/image1090.png"/><Relationship Id="rId1100" Type="http://schemas.openxmlformats.org/officeDocument/2006/relationships/image" Target="media/image1091.png"/><Relationship Id="rId1101" Type="http://schemas.openxmlformats.org/officeDocument/2006/relationships/image" Target="media/image1092.png"/><Relationship Id="rId1102" Type="http://schemas.openxmlformats.org/officeDocument/2006/relationships/image" Target="media/image1093.png"/><Relationship Id="rId1103" Type="http://schemas.openxmlformats.org/officeDocument/2006/relationships/image" Target="media/image1094.png"/><Relationship Id="rId1104" Type="http://schemas.openxmlformats.org/officeDocument/2006/relationships/image" Target="media/image1095.png"/><Relationship Id="rId1105" Type="http://schemas.openxmlformats.org/officeDocument/2006/relationships/image" Target="media/image1096.png"/><Relationship Id="rId1106" Type="http://schemas.openxmlformats.org/officeDocument/2006/relationships/image" Target="media/image1097.png"/><Relationship Id="rId1107" Type="http://schemas.openxmlformats.org/officeDocument/2006/relationships/image" Target="media/image1098.png"/><Relationship Id="rId1108" Type="http://schemas.openxmlformats.org/officeDocument/2006/relationships/image" Target="media/image1099.png"/><Relationship Id="rId1109" Type="http://schemas.openxmlformats.org/officeDocument/2006/relationships/image" Target="media/image1100.png"/><Relationship Id="rId1110" Type="http://schemas.openxmlformats.org/officeDocument/2006/relationships/image" Target="media/image1101.png"/><Relationship Id="rId1111" Type="http://schemas.openxmlformats.org/officeDocument/2006/relationships/image" Target="media/image1102.png"/><Relationship Id="rId1112" Type="http://schemas.openxmlformats.org/officeDocument/2006/relationships/image" Target="media/image1103.png"/><Relationship Id="rId1113" Type="http://schemas.openxmlformats.org/officeDocument/2006/relationships/image" Target="media/image1104.png"/><Relationship Id="rId1114" Type="http://schemas.openxmlformats.org/officeDocument/2006/relationships/image" Target="media/image1105.png"/><Relationship Id="rId1115" Type="http://schemas.openxmlformats.org/officeDocument/2006/relationships/image" Target="media/image1106.png"/><Relationship Id="rId1116" Type="http://schemas.openxmlformats.org/officeDocument/2006/relationships/image" Target="media/image1107.png"/><Relationship Id="rId1117" Type="http://schemas.openxmlformats.org/officeDocument/2006/relationships/image" Target="media/image1108.png"/><Relationship Id="rId1118" Type="http://schemas.openxmlformats.org/officeDocument/2006/relationships/image" Target="media/image1109.png"/><Relationship Id="rId1119" Type="http://schemas.openxmlformats.org/officeDocument/2006/relationships/image" Target="media/image1110.png"/><Relationship Id="rId1120" Type="http://schemas.openxmlformats.org/officeDocument/2006/relationships/image" Target="media/image1111.png"/><Relationship Id="rId1121" Type="http://schemas.openxmlformats.org/officeDocument/2006/relationships/image" Target="media/image1112.png"/><Relationship Id="rId1122" Type="http://schemas.openxmlformats.org/officeDocument/2006/relationships/image" Target="media/image1113.png"/><Relationship Id="rId1123" Type="http://schemas.openxmlformats.org/officeDocument/2006/relationships/image" Target="media/image1114.png"/><Relationship Id="rId1124" Type="http://schemas.openxmlformats.org/officeDocument/2006/relationships/image" Target="media/image1115.png"/><Relationship Id="rId1125" Type="http://schemas.openxmlformats.org/officeDocument/2006/relationships/image" Target="media/image1116.png"/><Relationship Id="rId1126" Type="http://schemas.openxmlformats.org/officeDocument/2006/relationships/image" Target="media/image1117.jpeg"/><Relationship Id="rId1127" Type="http://schemas.openxmlformats.org/officeDocument/2006/relationships/image" Target="media/image1118.png"/><Relationship Id="rId1128" Type="http://schemas.openxmlformats.org/officeDocument/2006/relationships/image" Target="media/image1119.png"/><Relationship Id="rId1129" Type="http://schemas.openxmlformats.org/officeDocument/2006/relationships/image" Target="media/image1120.png"/><Relationship Id="rId1130" Type="http://schemas.openxmlformats.org/officeDocument/2006/relationships/image" Target="media/image1121.png"/><Relationship Id="rId1131" Type="http://schemas.openxmlformats.org/officeDocument/2006/relationships/image" Target="media/image1122.png"/><Relationship Id="rId1132" Type="http://schemas.openxmlformats.org/officeDocument/2006/relationships/image" Target="media/image1123.png"/><Relationship Id="rId1133" Type="http://schemas.openxmlformats.org/officeDocument/2006/relationships/image" Target="media/image1124.png"/><Relationship Id="rId1134" Type="http://schemas.openxmlformats.org/officeDocument/2006/relationships/image" Target="media/image1125.png"/><Relationship Id="rId1135" Type="http://schemas.openxmlformats.org/officeDocument/2006/relationships/image" Target="media/image1126.png"/><Relationship Id="rId1136" Type="http://schemas.openxmlformats.org/officeDocument/2006/relationships/image" Target="media/image1127.png"/><Relationship Id="rId1137" Type="http://schemas.openxmlformats.org/officeDocument/2006/relationships/image" Target="media/image1128.png"/><Relationship Id="rId1138" Type="http://schemas.openxmlformats.org/officeDocument/2006/relationships/image" Target="media/image1129.png"/><Relationship Id="rId1139" Type="http://schemas.openxmlformats.org/officeDocument/2006/relationships/image" Target="media/image1130.png"/><Relationship Id="rId1140" Type="http://schemas.openxmlformats.org/officeDocument/2006/relationships/image" Target="media/image1131.png"/><Relationship Id="rId1141" Type="http://schemas.openxmlformats.org/officeDocument/2006/relationships/image" Target="media/image1132.png"/><Relationship Id="rId1142" Type="http://schemas.openxmlformats.org/officeDocument/2006/relationships/image" Target="media/image1133.png"/><Relationship Id="rId1143" Type="http://schemas.openxmlformats.org/officeDocument/2006/relationships/image" Target="media/image1134.png"/><Relationship Id="rId1144" Type="http://schemas.openxmlformats.org/officeDocument/2006/relationships/image" Target="media/image1135.png"/><Relationship Id="rId1145" Type="http://schemas.openxmlformats.org/officeDocument/2006/relationships/image" Target="media/image1136.png"/><Relationship Id="rId1146" Type="http://schemas.openxmlformats.org/officeDocument/2006/relationships/image" Target="media/image1137.png"/><Relationship Id="rId1147" Type="http://schemas.openxmlformats.org/officeDocument/2006/relationships/image" Target="media/image1138.png"/><Relationship Id="rId1148" Type="http://schemas.openxmlformats.org/officeDocument/2006/relationships/image" Target="media/image1139.png"/><Relationship Id="rId1149" Type="http://schemas.openxmlformats.org/officeDocument/2006/relationships/image" Target="media/image1140.png"/><Relationship Id="rId1150" Type="http://schemas.openxmlformats.org/officeDocument/2006/relationships/image" Target="media/image1141.png"/><Relationship Id="rId1151" Type="http://schemas.openxmlformats.org/officeDocument/2006/relationships/image" Target="media/image1142.png"/><Relationship Id="rId1152" Type="http://schemas.openxmlformats.org/officeDocument/2006/relationships/image" Target="media/image1143.png"/><Relationship Id="rId1153" Type="http://schemas.openxmlformats.org/officeDocument/2006/relationships/image" Target="media/image1144.png"/><Relationship Id="rId1154" Type="http://schemas.openxmlformats.org/officeDocument/2006/relationships/image" Target="media/image1145.png"/><Relationship Id="rId1155" Type="http://schemas.openxmlformats.org/officeDocument/2006/relationships/image" Target="media/image1146.png"/><Relationship Id="rId1156" Type="http://schemas.openxmlformats.org/officeDocument/2006/relationships/image" Target="media/image1147.png"/><Relationship Id="rId1157" Type="http://schemas.openxmlformats.org/officeDocument/2006/relationships/image" Target="media/image1148.png"/><Relationship Id="rId1158" Type="http://schemas.openxmlformats.org/officeDocument/2006/relationships/image" Target="media/image1149.png"/><Relationship Id="rId1159" Type="http://schemas.openxmlformats.org/officeDocument/2006/relationships/image" Target="media/image1150.png"/><Relationship Id="rId1160" Type="http://schemas.openxmlformats.org/officeDocument/2006/relationships/image" Target="media/image1151.png"/><Relationship Id="rId1161" Type="http://schemas.openxmlformats.org/officeDocument/2006/relationships/image" Target="media/image1152.png"/><Relationship Id="rId1162" Type="http://schemas.openxmlformats.org/officeDocument/2006/relationships/image" Target="media/image1153.png"/><Relationship Id="rId1163" Type="http://schemas.openxmlformats.org/officeDocument/2006/relationships/image" Target="media/image1154.png"/><Relationship Id="rId1164" Type="http://schemas.openxmlformats.org/officeDocument/2006/relationships/image" Target="media/image1155.png"/><Relationship Id="rId1165" Type="http://schemas.openxmlformats.org/officeDocument/2006/relationships/image" Target="media/image1156.png"/><Relationship Id="rId1166" Type="http://schemas.openxmlformats.org/officeDocument/2006/relationships/image" Target="media/image1157.png"/><Relationship Id="rId1167" Type="http://schemas.openxmlformats.org/officeDocument/2006/relationships/image" Target="media/image1158.png"/><Relationship Id="rId1168" Type="http://schemas.openxmlformats.org/officeDocument/2006/relationships/image" Target="media/image1159.png"/><Relationship Id="rId1169" Type="http://schemas.openxmlformats.org/officeDocument/2006/relationships/image" Target="media/image1160.png"/><Relationship Id="rId1170" Type="http://schemas.openxmlformats.org/officeDocument/2006/relationships/image" Target="media/image1161.png"/><Relationship Id="rId1171" Type="http://schemas.openxmlformats.org/officeDocument/2006/relationships/image" Target="media/image1162.png"/><Relationship Id="rId1172" Type="http://schemas.openxmlformats.org/officeDocument/2006/relationships/image" Target="media/image1163.png"/><Relationship Id="rId1173" Type="http://schemas.openxmlformats.org/officeDocument/2006/relationships/image" Target="media/image1164.png"/><Relationship Id="rId1174" Type="http://schemas.openxmlformats.org/officeDocument/2006/relationships/image" Target="media/image1165.png"/><Relationship Id="rId1175" Type="http://schemas.openxmlformats.org/officeDocument/2006/relationships/image" Target="media/image1166.png"/><Relationship Id="rId1176" Type="http://schemas.openxmlformats.org/officeDocument/2006/relationships/image" Target="media/image1167.png"/><Relationship Id="rId1177" Type="http://schemas.openxmlformats.org/officeDocument/2006/relationships/image" Target="media/image1168.png"/><Relationship Id="rId1178" Type="http://schemas.openxmlformats.org/officeDocument/2006/relationships/image" Target="media/image1169.png"/><Relationship Id="rId1179" Type="http://schemas.openxmlformats.org/officeDocument/2006/relationships/image" Target="media/image1170.png"/><Relationship Id="rId1180" Type="http://schemas.openxmlformats.org/officeDocument/2006/relationships/image" Target="media/image1171.png"/><Relationship Id="rId1181" Type="http://schemas.openxmlformats.org/officeDocument/2006/relationships/image" Target="media/image1172.png"/><Relationship Id="rId1182" Type="http://schemas.openxmlformats.org/officeDocument/2006/relationships/image" Target="media/image1173.png"/><Relationship Id="rId1183" Type="http://schemas.openxmlformats.org/officeDocument/2006/relationships/image" Target="media/image1174.png"/><Relationship Id="rId1184" Type="http://schemas.openxmlformats.org/officeDocument/2006/relationships/image" Target="media/image1175.png"/><Relationship Id="rId1185" Type="http://schemas.openxmlformats.org/officeDocument/2006/relationships/image" Target="media/image1176.png"/><Relationship Id="rId1186" Type="http://schemas.openxmlformats.org/officeDocument/2006/relationships/image" Target="media/image1177.png"/><Relationship Id="rId1187" Type="http://schemas.openxmlformats.org/officeDocument/2006/relationships/image" Target="media/image1178.png"/><Relationship Id="rId1188" Type="http://schemas.openxmlformats.org/officeDocument/2006/relationships/image" Target="media/image1179.png"/><Relationship Id="rId1189" Type="http://schemas.openxmlformats.org/officeDocument/2006/relationships/image" Target="media/image1180.png"/><Relationship Id="rId1190" Type="http://schemas.openxmlformats.org/officeDocument/2006/relationships/image" Target="media/image1181.png"/><Relationship Id="rId1191" Type="http://schemas.openxmlformats.org/officeDocument/2006/relationships/image" Target="media/image1182.png"/><Relationship Id="rId1192" Type="http://schemas.openxmlformats.org/officeDocument/2006/relationships/image" Target="media/image1183.png"/><Relationship Id="rId1193" Type="http://schemas.openxmlformats.org/officeDocument/2006/relationships/image" Target="media/image1184.jpeg"/><Relationship Id="rId1194" Type="http://schemas.openxmlformats.org/officeDocument/2006/relationships/image" Target="media/image1185.png"/><Relationship Id="rId1195" Type="http://schemas.openxmlformats.org/officeDocument/2006/relationships/image" Target="media/image1186.png"/><Relationship Id="rId1196" Type="http://schemas.openxmlformats.org/officeDocument/2006/relationships/image" Target="media/image1187.png"/><Relationship Id="rId1197" Type="http://schemas.openxmlformats.org/officeDocument/2006/relationships/image" Target="media/image1188.png"/><Relationship Id="rId1198" Type="http://schemas.openxmlformats.org/officeDocument/2006/relationships/image" Target="media/image1189.png"/><Relationship Id="rId1199" Type="http://schemas.openxmlformats.org/officeDocument/2006/relationships/image" Target="media/image1190.png"/><Relationship Id="rId1200" Type="http://schemas.openxmlformats.org/officeDocument/2006/relationships/image" Target="media/image1191.png"/><Relationship Id="rId1201" Type="http://schemas.openxmlformats.org/officeDocument/2006/relationships/image" Target="media/image1192.png"/><Relationship Id="rId1202" Type="http://schemas.openxmlformats.org/officeDocument/2006/relationships/image" Target="media/image1193.png"/><Relationship Id="rId1203" Type="http://schemas.openxmlformats.org/officeDocument/2006/relationships/image" Target="media/image1194.png"/><Relationship Id="rId1204" Type="http://schemas.openxmlformats.org/officeDocument/2006/relationships/image" Target="media/image1195.png"/><Relationship Id="rId1205" Type="http://schemas.openxmlformats.org/officeDocument/2006/relationships/image" Target="media/image1196.png"/><Relationship Id="rId1206" Type="http://schemas.openxmlformats.org/officeDocument/2006/relationships/image" Target="media/image1197.png"/><Relationship Id="rId1207" Type="http://schemas.openxmlformats.org/officeDocument/2006/relationships/image" Target="media/image1198.png"/><Relationship Id="rId1208" Type="http://schemas.openxmlformats.org/officeDocument/2006/relationships/image" Target="media/image1199.png"/><Relationship Id="rId1209" Type="http://schemas.openxmlformats.org/officeDocument/2006/relationships/image" Target="media/image1200.png"/><Relationship Id="rId1210" Type="http://schemas.openxmlformats.org/officeDocument/2006/relationships/image" Target="media/image1201.png"/><Relationship Id="rId1211" Type="http://schemas.openxmlformats.org/officeDocument/2006/relationships/image" Target="media/image1202.png"/><Relationship Id="rId1212" Type="http://schemas.openxmlformats.org/officeDocument/2006/relationships/image" Target="media/image1203.png"/><Relationship Id="rId1213" Type="http://schemas.openxmlformats.org/officeDocument/2006/relationships/image" Target="media/image1204.png"/><Relationship Id="rId1214" Type="http://schemas.openxmlformats.org/officeDocument/2006/relationships/image" Target="media/image1205.png"/><Relationship Id="rId1215" Type="http://schemas.openxmlformats.org/officeDocument/2006/relationships/image" Target="media/image1206.png"/><Relationship Id="rId1216" Type="http://schemas.openxmlformats.org/officeDocument/2006/relationships/image" Target="media/image1207.png"/><Relationship Id="rId1217" Type="http://schemas.openxmlformats.org/officeDocument/2006/relationships/image" Target="media/image1208.png"/><Relationship Id="rId1218" Type="http://schemas.openxmlformats.org/officeDocument/2006/relationships/image" Target="media/image1209.png"/><Relationship Id="rId1219" Type="http://schemas.openxmlformats.org/officeDocument/2006/relationships/image" Target="media/image1210.png"/><Relationship Id="rId1220" Type="http://schemas.openxmlformats.org/officeDocument/2006/relationships/image" Target="media/image1211.png"/><Relationship Id="rId1221" Type="http://schemas.openxmlformats.org/officeDocument/2006/relationships/image" Target="media/image1212.png"/><Relationship Id="rId1222" Type="http://schemas.openxmlformats.org/officeDocument/2006/relationships/image" Target="media/image1213.png"/><Relationship Id="rId1223" Type="http://schemas.openxmlformats.org/officeDocument/2006/relationships/image" Target="media/image1214.png"/><Relationship Id="rId1224" Type="http://schemas.openxmlformats.org/officeDocument/2006/relationships/image" Target="media/image1215.png"/><Relationship Id="rId1225" Type="http://schemas.openxmlformats.org/officeDocument/2006/relationships/image" Target="media/image1216.png"/><Relationship Id="rId1226" Type="http://schemas.openxmlformats.org/officeDocument/2006/relationships/image" Target="media/image1217.png"/><Relationship Id="rId1227" Type="http://schemas.openxmlformats.org/officeDocument/2006/relationships/image" Target="media/image1218.png"/><Relationship Id="rId1228" Type="http://schemas.openxmlformats.org/officeDocument/2006/relationships/image" Target="media/image1219.png"/><Relationship Id="rId1229" Type="http://schemas.openxmlformats.org/officeDocument/2006/relationships/image" Target="media/image1220.png"/><Relationship Id="rId1230" Type="http://schemas.openxmlformats.org/officeDocument/2006/relationships/image" Target="media/image1221.png"/><Relationship Id="rId1231" Type="http://schemas.openxmlformats.org/officeDocument/2006/relationships/image" Target="media/image1222.png"/><Relationship Id="rId1232" Type="http://schemas.openxmlformats.org/officeDocument/2006/relationships/image" Target="media/image1223.png"/><Relationship Id="rId1233" Type="http://schemas.openxmlformats.org/officeDocument/2006/relationships/image" Target="media/image1224.png"/><Relationship Id="rId1234" Type="http://schemas.openxmlformats.org/officeDocument/2006/relationships/image" Target="media/image1225.png"/><Relationship Id="rId1235" Type="http://schemas.openxmlformats.org/officeDocument/2006/relationships/image" Target="media/image1226.png"/><Relationship Id="rId1236" Type="http://schemas.openxmlformats.org/officeDocument/2006/relationships/image" Target="media/image1227.png"/><Relationship Id="rId1237" Type="http://schemas.openxmlformats.org/officeDocument/2006/relationships/image" Target="media/image1228.png"/><Relationship Id="rId1238" Type="http://schemas.openxmlformats.org/officeDocument/2006/relationships/image" Target="media/image1229.png"/><Relationship Id="rId1239" Type="http://schemas.openxmlformats.org/officeDocument/2006/relationships/image" Target="media/image1230.png"/><Relationship Id="rId1240" Type="http://schemas.openxmlformats.org/officeDocument/2006/relationships/image" Target="media/image1231.png"/><Relationship Id="rId1241" Type="http://schemas.openxmlformats.org/officeDocument/2006/relationships/image" Target="media/image1232.png"/><Relationship Id="rId1242" Type="http://schemas.openxmlformats.org/officeDocument/2006/relationships/image" Target="media/image1233.png"/><Relationship Id="rId1243" Type="http://schemas.openxmlformats.org/officeDocument/2006/relationships/image" Target="media/image1234.png"/><Relationship Id="rId1244" Type="http://schemas.openxmlformats.org/officeDocument/2006/relationships/image" Target="media/image1235.png"/><Relationship Id="rId1245" Type="http://schemas.openxmlformats.org/officeDocument/2006/relationships/image" Target="media/image1236.png"/><Relationship Id="rId1246" Type="http://schemas.openxmlformats.org/officeDocument/2006/relationships/image" Target="media/image1237.png"/><Relationship Id="rId1247" Type="http://schemas.openxmlformats.org/officeDocument/2006/relationships/image" Target="media/image1238.png"/><Relationship Id="rId1248" Type="http://schemas.openxmlformats.org/officeDocument/2006/relationships/image" Target="media/image1239.png"/><Relationship Id="rId1249" Type="http://schemas.openxmlformats.org/officeDocument/2006/relationships/image" Target="media/image1240.png"/><Relationship Id="rId1250" Type="http://schemas.openxmlformats.org/officeDocument/2006/relationships/image" Target="media/image1241.png"/><Relationship Id="rId1251" Type="http://schemas.openxmlformats.org/officeDocument/2006/relationships/image" Target="media/image1242.png"/><Relationship Id="rId1252" Type="http://schemas.openxmlformats.org/officeDocument/2006/relationships/image" Target="media/image1243.png"/><Relationship Id="rId1253" Type="http://schemas.openxmlformats.org/officeDocument/2006/relationships/image" Target="media/image1244.png"/><Relationship Id="rId1254" Type="http://schemas.openxmlformats.org/officeDocument/2006/relationships/image" Target="media/image1245.png"/><Relationship Id="rId1255" Type="http://schemas.openxmlformats.org/officeDocument/2006/relationships/image" Target="media/image1246.png"/><Relationship Id="rId1256" Type="http://schemas.openxmlformats.org/officeDocument/2006/relationships/image" Target="media/image1247.png"/><Relationship Id="rId1257" Type="http://schemas.openxmlformats.org/officeDocument/2006/relationships/image" Target="media/image1248.png"/><Relationship Id="rId1258" Type="http://schemas.openxmlformats.org/officeDocument/2006/relationships/image" Target="media/image1249.png"/><Relationship Id="rId1259" Type="http://schemas.openxmlformats.org/officeDocument/2006/relationships/image" Target="media/image1250.png"/><Relationship Id="rId1260" Type="http://schemas.openxmlformats.org/officeDocument/2006/relationships/image" Target="media/image1251.png"/><Relationship Id="rId1261" Type="http://schemas.openxmlformats.org/officeDocument/2006/relationships/image" Target="media/image1252.png"/><Relationship Id="rId1262" Type="http://schemas.openxmlformats.org/officeDocument/2006/relationships/image" Target="media/image1253.png"/><Relationship Id="rId1263" Type="http://schemas.openxmlformats.org/officeDocument/2006/relationships/image" Target="media/image1254.png"/><Relationship Id="rId1264" Type="http://schemas.openxmlformats.org/officeDocument/2006/relationships/image" Target="media/image1255.png"/><Relationship Id="rId1265" Type="http://schemas.openxmlformats.org/officeDocument/2006/relationships/image" Target="media/image1256.png"/><Relationship Id="rId1266" Type="http://schemas.openxmlformats.org/officeDocument/2006/relationships/image" Target="media/image1257.png"/><Relationship Id="rId1267" Type="http://schemas.openxmlformats.org/officeDocument/2006/relationships/image" Target="media/image1258.png"/><Relationship Id="rId1268" Type="http://schemas.openxmlformats.org/officeDocument/2006/relationships/image" Target="media/image1259.png"/><Relationship Id="rId1269" Type="http://schemas.openxmlformats.org/officeDocument/2006/relationships/image" Target="media/image1260.png"/><Relationship Id="rId1270" Type="http://schemas.openxmlformats.org/officeDocument/2006/relationships/image" Target="media/image1261.png"/><Relationship Id="rId1271" Type="http://schemas.openxmlformats.org/officeDocument/2006/relationships/image" Target="media/image1262.png"/><Relationship Id="rId1272" Type="http://schemas.openxmlformats.org/officeDocument/2006/relationships/image" Target="media/image1263.png"/><Relationship Id="rId1273" Type="http://schemas.openxmlformats.org/officeDocument/2006/relationships/image" Target="media/image1264.png"/><Relationship Id="rId1274" Type="http://schemas.openxmlformats.org/officeDocument/2006/relationships/image" Target="media/image1265.png"/><Relationship Id="rId1275" Type="http://schemas.openxmlformats.org/officeDocument/2006/relationships/image" Target="media/image1266.png"/><Relationship Id="rId1276" Type="http://schemas.openxmlformats.org/officeDocument/2006/relationships/image" Target="media/image1267.png"/><Relationship Id="rId1277" Type="http://schemas.openxmlformats.org/officeDocument/2006/relationships/image" Target="media/image1268.png"/><Relationship Id="rId1278" Type="http://schemas.openxmlformats.org/officeDocument/2006/relationships/image" Target="media/image1269.png"/><Relationship Id="rId1279" Type="http://schemas.openxmlformats.org/officeDocument/2006/relationships/image" Target="media/image1270.png"/><Relationship Id="rId1280" Type="http://schemas.openxmlformats.org/officeDocument/2006/relationships/image" Target="media/image1271.png"/><Relationship Id="rId1281" Type="http://schemas.openxmlformats.org/officeDocument/2006/relationships/image" Target="media/image1272.png"/><Relationship Id="rId1282" Type="http://schemas.openxmlformats.org/officeDocument/2006/relationships/image" Target="media/image1273.png"/><Relationship Id="rId1283" Type="http://schemas.openxmlformats.org/officeDocument/2006/relationships/image" Target="media/image1274.png"/><Relationship Id="rId1284" Type="http://schemas.openxmlformats.org/officeDocument/2006/relationships/image" Target="media/image1275.png"/><Relationship Id="rId1285" Type="http://schemas.openxmlformats.org/officeDocument/2006/relationships/image" Target="media/image1276.png"/><Relationship Id="rId1286" Type="http://schemas.openxmlformats.org/officeDocument/2006/relationships/image" Target="media/image1277.png"/><Relationship Id="rId1287" Type="http://schemas.openxmlformats.org/officeDocument/2006/relationships/image" Target="media/image1278.png"/><Relationship Id="rId1288" Type="http://schemas.openxmlformats.org/officeDocument/2006/relationships/image" Target="media/image1279.png"/><Relationship Id="rId1289" Type="http://schemas.openxmlformats.org/officeDocument/2006/relationships/image" Target="media/image1280.png"/><Relationship Id="rId1290" Type="http://schemas.openxmlformats.org/officeDocument/2006/relationships/image" Target="media/image1281.png"/><Relationship Id="rId1291" Type="http://schemas.openxmlformats.org/officeDocument/2006/relationships/image" Target="media/image1282.png"/><Relationship Id="rId1292" Type="http://schemas.openxmlformats.org/officeDocument/2006/relationships/image" Target="media/image1283.png"/><Relationship Id="rId1293" Type="http://schemas.openxmlformats.org/officeDocument/2006/relationships/image" Target="media/image1284.png"/><Relationship Id="rId1294" Type="http://schemas.openxmlformats.org/officeDocument/2006/relationships/image" Target="media/image1285.png"/><Relationship Id="rId1295" Type="http://schemas.openxmlformats.org/officeDocument/2006/relationships/image" Target="media/image1286.png"/><Relationship Id="rId1296" Type="http://schemas.openxmlformats.org/officeDocument/2006/relationships/image" Target="media/image1287.png"/><Relationship Id="rId1297" Type="http://schemas.openxmlformats.org/officeDocument/2006/relationships/image" Target="media/image1288.png"/><Relationship Id="rId1298" Type="http://schemas.openxmlformats.org/officeDocument/2006/relationships/image" Target="media/image1289.png"/><Relationship Id="rId1299" Type="http://schemas.openxmlformats.org/officeDocument/2006/relationships/image" Target="media/image1290.png"/><Relationship Id="rId1300" Type="http://schemas.openxmlformats.org/officeDocument/2006/relationships/image" Target="media/image1291.png"/><Relationship Id="rId1301" Type="http://schemas.openxmlformats.org/officeDocument/2006/relationships/image" Target="media/image1292.png"/><Relationship Id="rId1302" Type="http://schemas.openxmlformats.org/officeDocument/2006/relationships/image" Target="media/image1293.png"/><Relationship Id="rId1303" Type="http://schemas.openxmlformats.org/officeDocument/2006/relationships/image" Target="media/image1294.png"/><Relationship Id="rId1304" Type="http://schemas.openxmlformats.org/officeDocument/2006/relationships/image" Target="media/image1295.png"/><Relationship Id="rId1305" Type="http://schemas.openxmlformats.org/officeDocument/2006/relationships/image" Target="media/image1296.png"/><Relationship Id="rId1306" Type="http://schemas.openxmlformats.org/officeDocument/2006/relationships/image" Target="media/image1297.png"/><Relationship Id="rId1307" Type="http://schemas.openxmlformats.org/officeDocument/2006/relationships/image" Target="media/image1298.png"/><Relationship Id="rId1308" Type="http://schemas.openxmlformats.org/officeDocument/2006/relationships/image" Target="media/image1299.png"/><Relationship Id="rId1309" Type="http://schemas.openxmlformats.org/officeDocument/2006/relationships/image" Target="media/image1300.png"/><Relationship Id="rId1310" Type="http://schemas.openxmlformats.org/officeDocument/2006/relationships/image" Target="media/image1301.png"/><Relationship Id="rId1311" Type="http://schemas.openxmlformats.org/officeDocument/2006/relationships/image" Target="media/image1302.png"/><Relationship Id="rId1312" Type="http://schemas.openxmlformats.org/officeDocument/2006/relationships/image" Target="media/image1303.png"/><Relationship Id="rId1313" Type="http://schemas.openxmlformats.org/officeDocument/2006/relationships/image" Target="media/image1304.png"/><Relationship Id="rId1314" Type="http://schemas.openxmlformats.org/officeDocument/2006/relationships/image" Target="media/image1305.png"/><Relationship Id="rId1315" Type="http://schemas.openxmlformats.org/officeDocument/2006/relationships/image" Target="media/image1306.png"/><Relationship Id="rId1316" Type="http://schemas.openxmlformats.org/officeDocument/2006/relationships/image" Target="media/image1307.png"/><Relationship Id="rId1317" Type="http://schemas.openxmlformats.org/officeDocument/2006/relationships/image" Target="media/image1308.png"/><Relationship Id="rId1318" Type="http://schemas.openxmlformats.org/officeDocument/2006/relationships/image" Target="media/image1309.png"/><Relationship Id="rId1319" Type="http://schemas.openxmlformats.org/officeDocument/2006/relationships/image" Target="media/image1310.png"/><Relationship Id="rId1320" Type="http://schemas.openxmlformats.org/officeDocument/2006/relationships/image" Target="media/image1311.png"/><Relationship Id="rId1321" Type="http://schemas.openxmlformats.org/officeDocument/2006/relationships/image" Target="media/image1312.png"/><Relationship Id="rId1322" Type="http://schemas.openxmlformats.org/officeDocument/2006/relationships/image" Target="media/image1313.png"/><Relationship Id="rId1323" Type="http://schemas.openxmlformats.org/officeDocument/2006/relationships/image" Target="media/image1314.png"/><Relationship Id="rId1324" Type="http://schemas.openxmlformats.org/officeDocument/2006/relationships/image" Target="media/image1315.png"/><Relationship Id="rId1325" Type="http://schemas.openxmlformats.org/officeDocument/2006/relationships/image" Target="media/image1316.png"/><Relationship Id="rId1326" Type="http://schemas.openxmlformats.org/officeDocument/2006/relationships/image" Target="media/image1317.png"/><Relationship Id="rId1327" Type="http://schemas.openxmlformats.org/officeDocument/2006/relationships/image" Target="media/image1318.png"/><Relationship Id="rId1328" Type="http://schemas.openxmlformats.org/officeDocument/2006/relationships/image" Target="media/image1319.png"/><Relationship Id="rId1329" Type="http://schemas.openxmlformats.org/officeDocument/2006/relationships/image" Target="media/image1320.png"/><Relationship Id="rId1330" Type="http://schemas.openxmlformats.org/officeDocument/2006/relationships/image" Target="media/image1321.png"/><Relationship Id="rId1331" Type="http://schemas.openxmlformats.org/officeDocument/2006/relationships/image" Target="media/image1322.png"/><Relationship Id="rId1332" Type="http://schemas.openxmlformats.org/officeDocument/2006/relationships/image" Target="media/image1323.png"/><Relationship Id="rId1333" Type="http://schemas.openxmlformats.org/officeDocument/2006/relationships/image" Target="media/image1324.png"/><Relationship Id="rId1334" Type="http://schemas.openxmlformats.org/officeDocument/2006/relationships/image" Target="media/image1325.png"/><Relationship Id="rId1335" Type="http://schemas.openxmlformats.org/officeDocument/2006/relationships/image" Target="media/image1326.png"/><Relationship Id="rId1336" Type="http://schemas.openxmlformats.org/officeDocument/2006/relationships/image" Target="media/image1327.png"/><Relationship Id="rId1337" Type="http://schemas.openxmlformats.org/officeDocument/2006/relationships/image" Target="media/image1328.png"/><Relationship Id="rId1338" Type="http://schemas.openxmlformats.org/officeDocument/2006/relationships/image" Target="media/image1329.png"/><Relationship Id="rId1339" Type="http://schemas.openxmlformats.org/officeDocument/2006/relationships/image" Target="media/image1330.png"/><Relationship Id="rId1340" Type="http://schemas.openxmlformats.org/officeDocument/2006/relationships/image" Target="media/image1331.png"/><Relationship Id="rId1341" Type="http://schemas.openxmlformats.org/officeDocument/2006/relationships/image" Target="media/image1332.png"/><Relationship Id="rId1342" Type="http://schemas.openxmlformats.org/officeDocument/2006/relationships/image" Target="media/image1333.png"/><Relationship Id="rId1343" Type="http://schemas.openxmlformats.org/officeDocument/2006/relationships/image" Target="media/image1334.png"/><Relationship Id="rId1344" Type="http://schemas.openxmlformats.org/officeDocument/2006/relationships/image" Target="media/image1335.png"/><Relationship Id="rId1345" Type="http://schemas.openxmlformats.org/officeDocument/2006/relationships/image" Target="media/image1336.png"/><Relationship Id="rId1346" Type="http://schemas.openxmlformats.org/officeDocument/2006/relationships/image" Target="media/image1337.png"/><Relationship Id="rId1347" Type="http://schemas.openxmlformats.org/officeDocument/2006/relationships/image" Target="media/image1338.png"/><Relationship Id="rId1348" Type="http://schemas.openxmlformats.org/officeDocument/2006/relationships/image" Target="media/image1339.png"/><Relationship Id="rId1349" Type="http://schemas.openxmlformats.org/officeDocument/2006/relationships/image" Target="media/image1340.png"/><Relationship Id="rId1350" Type="http://schemas.openxmlformats.org/officeDocument/2006/relationships/image" Target="media/image1341.png"/><Relationship Id="rId1351" Type="http://schemas.openxmlformats.org/officeDocument/2006/relationships/image" Target="media/image1342.png"/><Relationship Id="rId1352" Type="http://schemas.openxmlformats.org/officeDocument/2006/relationships/image" Target="media/image1343.png"/><Relationship Id="rId1353" Type="http://schemas.openxmlformats.org/officeDocument/2006/relationships/image" Target="media/image1344.png"/><Relationship Id="rId1354" Type="http://schemas.openxmlformats.org/officeDocument/2006/relationships/image" Target="media/image1345.png"/><Relationship Id="rId1355" Type="http://schemas.openxmlformats.org/officeDocument/2006/relationships/image" Target="media/image1346.png"/><Relationship Id="rId1356" Type="http://schemas.openxmlformats.org/officeDocument/2006/relationships/image" Target="media/image1347.png"/><Relationship Id="rId1357" Type="http://schemas.openxmlformats.org/officeDocument/2006/relationships/image" Target="media/image1348.png"/><Relationship Id="rId1358" Type="http://schemas.openxmlformats.org/officeDocument/2006/relationships/image" Target="media/image1349.png"/><Relationship Id="rId1359" Type="http://schemas.openxmlformats.org/officeDocument/2006/relationships/image" Target="media/image1350.png"/><Relationship Id="rId1360" Type="http://schemas.openxmlformats.org/officeDocument/2006/relationships/image" Target="media/image1351.png"/><Relationship Id="rId1361" Type="http://schemas.openxmlformats.org/officeDocument/2006/relationships/image" Target="media/image1352.png"/><Relationship Id="rId1362" Type="http://schemas.openxmlformats.org/officeDocument/2006/relationships/image" Target="media/image1353.png"/><Relationship Id="rId1363" Type="http://schemas.openxmlformats.org/officeDocument/2006/relationships/image" Target="media/image1354.png"/><Relationship Id="rId1364" Type="http://schemas.openxmlformats.org/officeDocument/2006/relationships/image" Target="media/image1355.png"/><Relationship Id="rId1365" Type="http://schemas.openxmlformats.org/officeDocument/2006/relationships/image" Target="media/image1356.png"/><Relationship Id="rId1366" Type="http://schemas.openxmlformats.org/officeDocument/2006/relationships/image" Target="media/image1357.png"/><Relationship Id="rId1367" Type="http://schemas.openxmlformats.org/officeDocument/2006/relationships/image" Target="media/image1358.png"/><Relationship Id="rId1368" Type="http://schemas.openxmlformats.org/officeDocument/2006/relationships/image" Target="media/image1359.png"/><Relationship Id="rId1369" Type="http://schemas.openxmlformats.org/officeDocument/2006/relationships/image" Target="media/image1360.png"/><Relationship Id="rId1370" Type="http://schemas.openxmlformats.org/officeDocument/2006/relationships/image" Target="media/image1361.png"/><Relationship Id="rId1371" Type="http://schemas.openxmlformats.org/officeDocument/2006/relationships/image" Target="media/image1362.png"/><Relationship Id="rId1372" Type="http://schemas.openxmlformats.org/officeDocument/2006/relationships/image" Target="media/image1363.png"/><Relationship Id="rId1373" Type="http://schemas.openxmlformats.org/officeDocument/2006/relationships/image" Target="media/image1364.png"/><Relationship Id="rId1374" Type="http://schemas.openxmlformats.org/officeDocument/2006/relationships/image" Target="media/image1365.png"/><Relationship Id="rId1375" Type="http://schemas.openxmlformats.org/officeDocument/2006/relationships/image" Target="media/image1366.png"/><Relationship Id="rId1376" Type="http://schemas.openxmlformats.org/officeDocument/2006/relationships/image" Target="media/image1367.png"/><Relationship Id="rId1377" Type="http://schemas.openxmlformats.org/officeDocument/2006/relationships/image" Target="media/image1368.png"/><Relationship Id="rId1378" Type="http://schemas.openxmlformats.org/officeDocument/2006/relationships/image" Target="media/image1369.png"/><Relationship Id="rId1379" Type="http://schemas.openxmlformats.org/officeDocument/2006/relationships/image" Target="media/image1370.png"/><Relationship Id="rId1380" Type="http://schemas.openxmlformats.org/officeDocument/2006/relationships/image" Target="media/image1371.png"/><Relationship Id="rId1381" Type="http://schemas.openxmlformats.org/officeDocument/2006/relationships/image" Target="media/image1372.png"/><Relationship Id="rId1382" Type="http://schemas.openxmlformats.org/officeDocument/2006/relationships/image" Target="media/image1373.png"/><Relationship Id="rId1383" Type="http://schemas.openxmlformats.org/officeDocument/2006/relationships/image" Target="media/image1374.png"/><Relationship Id="rId1384" Type="http://schemas.openxmlformats.org/officeDocument/2006/relationships/image" Target="media/image1375.png"/><Relationship Id="rId1385" Type="http://schemas.openxmlformats.org/officeDocument/2006/relationships/image" Target="media/image1376.png"/><Relationship Id="rId1386" Type="http://schemas.openxmlformats.org/officeDocument/2006/relationships/image" Target="media/image1377.png"/><Relationship Id="rId1387" Type="http://schemas.openxmlformats.org/officeDocument/2006/relationships/image" Target="media/image1378.png"/><Relationship Id="rId1388" Type="http://schemas.openxmlformats.org/officeDocument/2006/relationships/image" Target="media/image1379.png"/><Relationship Id="rId1389" Type="http://schemas.openxmlformats.org/officeDocument/2006/relationships/image" Target="media/image1380.png"/><Relationship Id="rId1390" Type="http://schemas.openxmlformats.org/officeDocument/2006/relationships/image" Target="media/image1381.png"/><Relationship Id="rId1391" Type="http://schemas.openxmlformats.org/officeDocument/2006/relationships/image" Target="media/image1382.png"/><Relationship Id="rId1392" Type="http://schemas.openxmlformats.org/officeDocument/2006/relationships/image" Target="media/image1383.png"/><Relationship Id="rId1393" Type="http://schemas.openxmlformats.org/officeDocument/2006/relationships/image" Target="media/image1384.png"/><Relationship Id="rId1394" Type="http://schemas.openxmlformats.org/officeDocument/2006/relationships/image" Target="media/image1385.png"/><Relationship Id="rId1395" Type="http://schemas.openxmlformats.org/officeDocument/2006/relationships/image" Target="media/image1386.png"/><Relationship Id="rId1396" Type="http://schemas.openxmlformats.org/officeDocument/2006/relationships/image" Target="media/image1387.png"/><Relationship Id="rId1397" Type="http://schemas.openxmlformats.org/officeDocument/2006/relationships/image" Target="media/image1388.png"/><Relationship Id="rId1398" Type="http://schemas.openxmlformats.org/officeDocument/2006/relationships/image" Target="media/image1389.png"/><Relationship Id="rId1399" Type="http://schemas.openxmlformats.org/officeDocument/2006/relationships/image" Target="media/image1390.png"/><Relationship Id="rId1400" Type="http://schemas.openxmlformats.org/officeDocument/2006/relationships/image" Target="media/image1391.png"/><Relationship Id="rId1401" Type="http://schemas.openxmlformats.org/officeDocument/2006/relationships/image" Target="media/image1392.png"/><Relationship Id="rId1402" Type="http://schemas.openxmlformats.org/officeDocument/2006/relationships/image" Target="media/image1393.png"/><Relationship Id="rId1403" Type="http://schemas.openxmlformats.org/officeDocument/2006/relationships/image" Target="media/image1394.png"/><Relationship Id="rId1404" Type="http://schemas.openxmlformats.org/officeDocument/2006/relationships/image" Target="media/image1395.png"/><Relationship Id="rId1405" Type="http://schemas.openxmlformats.org/officeDocument/2006/relationships/image" Target="media/image1396.png"/><Relationship Id="rId1406" Type="http://schemas.openxmlformats.org/officeDocument/2006/relationships/image" Target="media/image1397.png"/><Relationship Id="rId1407" Type="http://schemas.openxmlformats.org/officeDocument/2006/relationships/image" Target="media/image1398.png"/><Relationship Id="rId1408" Type="http://schemas.openxmlformats.org/officeDocument/2006/relationships/image" Target="media/image1399.png"/><Relationship Id="rId1409" Type="http://schemas.openxmlformats.org/officeDocument/2006/relationships/image" Target="media/image1400.png"/><Relationship Id="rId1410" Type="http://schemas.openxmlformats.org/officeDocument/2006/relationships/image" Target="media/image1401.png"/><Relationship Id="rId1411" Type="http://schemas.openxmlformats.org/officeDocument/2006/relationships/image" Target="media/image1402.png"/><Relationship Id="rId1412" Type="http://schemas.openxmlformats.org/officeDocument/2006/relationships/image" Target="media/image1403.png"/><Relationship Id="rId1413" Type="http://schemas.openxmlformats.org/officeDocument/2006/relationships/image" Target="media/image1404.png"/><Relationship Id="rId1414" Type="http://schemas.openxmlformats.org/officeDocument/2006/relationships/image" Target="media/image1405.png"/><Relationship Id="rId1415" Type="http://schemas.openxmlformats.org/officeDocument/2006/relationships/image" Target="media/image1406.png"/><Relationship Id="rId1416" Type="http://schemas.openxmlformats.org/officeDocument/2006/relationships/image" Target="media/image1407.png"/><Relationship Id="rId1417" Type="http://schemas.openxmlformats.org/officeDocument/2006/relationships/image" Target="media/image1408.png"/><Relationship Id="rId1418" Type="http://schemas.openxmlformats.org/officeDocument/2006/relationships/image" Target="media/image1409.png"/><Relationship Id="rId1419" Type="http://schemas.openxmlformats.org/officeDocument/2006/relationships/image" Target="media/image1410.png"/><Relationship Id="rId1420" Type="http://schemas.openxmlformats.org/officeDocument/2006/relationships/image" Target="media/image1411.png"/><Relationship Id="rId1421" Type="http://schemas.openxmlformats.org/officeDocument/2006/relationships/image" Target="media/image1412.png"/><Relationship Id="rId1422" Type="http://schemas.openxmlformats.org/officeDocument/2006/relationships/image" Target="media/image1413.png"/><Relationship Id="rId1423" Type="http://schemas.openxmlformats.org/officeDocument/2006/relationships/image" Target="media/image1414.png"/><Relationship Id="rId1424" Type="http://schemas.openxmlformats.org/officeDocument/2006/relationships/image" Target="media/image1415.png"/><Relationship Id="rId1425" Type="http://schemas.openxmlformats.org/officeDocument/2006/relationships/image" Target="media/image1416.png"/><Relationship Id="rId1426" Type="http://schemas.openxmlformats.org/officeDocument/2006/relationships/image" Target="media/image1417.png"/><Relationship Id="rId1427" Type="http://schemas.openxmlformats.org/officeDocument/2006/relationships/image" Target="media/image1418.png"/><Relationship Id="rId1428" Type="http://schemas.openxmlformats.org/officeDocument/2006/relationships/image" Target="media/image1419.png"/><Relationship Id="rId1429" Type="http://schemas.openxmlformats.org/officeDocument/2006/relationships/image" Target="media/image1420.png"/><Relationship Id="rId1430" Type="http://schemas.openxmlformats.org/officeDocument/2006/relationships/image" Target="media/image1421.png"/><Relationship Id="rId1431" Type="http://schemas.openxmlformats.org/officeDocument/2006/relationships/image" Target="media/image1422.png"/><Relationship Id="rId1432" Type="http://schemas.openxmlformats.org/officeDocument/2006/relationships/image" Target="media/image1423.png"/><Relationship Id="rId1433" Type="http://schemas.openxmlformats.org/officeDocument/2006/relationships/image" Target="media/image1424.png"/><Relationship Id="rId1434" Type="http://schemas.openxmlformats.org/officeDocument/2006/relationships/image" Target="media/image1425.png"/><Relationship Id="rId1435" Type="http://schemas.openxmlformats.org/officeDocument/2006/relationships/image" Target="media/image1426.png"/><Relationship Id="rId1436" Type="http://schemas.openxmlformats.org/officeDocument/2006/relationships/image" Target="media/image1427.png"/><Relationship Id="rId1437" Type="http://schemas.openxmlformats.org/officeDocument/2006/relationships/image" Target="media/image1428.png"/><Relationship Id="rId1438" Type="http://schemas.openxmlformats.org/officeDocument/2006/relationships/image" Target="media/image1429.png"/><Relationship Id="rId1439" Type="http://schemas.openxmlformats.org/officeDocument/2006/relationships/image" Target="media/image1430.png"/><Relationship Id="rId1440" Type="http://schemas.openxmlformats.org/officeDocument/2006/relationships/image" Target="media/image1431.png"/><Relationship Id="rId1441" Type="http://schemas.openxmlformats.org/officeDocument/2006/relationships/image" Target="media/image1432.png"/><Relationship Id="rId1442" Type="http://schemas.openxmlformats.org/officeDocument/2006/relationships/image" Target="media/image1433.png"/><Relationship Id="rId1443" Type="http://schemas.openxmlformats.org/officeDocument/2006/relationships/image" Target="media/image1434.png"/><Relationship Id="rId1444" Type="http://schemas.openxmlformats.org/officeDocument/2006/relationships/image" Target="media/image1435.png"/><Relationship Id="rId1445" Type="http://schemas.openxmlformats.org/officeDocument/2006/relationships/image" Target="media/image1436.png"/><Relationship Id="rId1446" Type="http://schemas.openxmlformats.org/officeDocument/2006/relationships/image" Target="media/image1437.png"/><Relationship Id="rId1447" Type="http://schemas.openxmlformats.org/officeDocument/2006/relationships/image" Target="media/image1438.png"/><Relationship Id="rId1448" Type="http://schemas.openxmlformats.org/officeDocument/2006/relationships/image" Target="media/image1439.png"/><Relationship Id="rId1449" Type="http://schemas.openxmlformats.org/officeDocument/2006/relationships/image" Target="media/image1440.png"/><Relationship Id="rId1450" Type="http://schemas.openxmlformats.org/officeDocument/2006/relationships/image" Target="media/image1441.png"/><Relationship Id="rId1451" Type="http://schemas.openxmlformats.org/officeDocument/2006/relationships/image" Target="media/image1442.png"/><Relationship Id="rId1452" Type="http://schemas.openxmlformats.org/officeDocument/2006/relationships/image" Target="media/image1443.png"/><Relationship Id="rId1453" Type="http://schemas.openxmlformats.org/officeDocument/2006/relationships/image" Target="media/image1444.png"/><Relationship Id="rId1454" Type="http://schemas.openxmlformats.org/officeDocument/2006/relationships/image" Target="media/image1445.png"/><Relationship Id="rId1455" Type="http://schemas.openxmlformats.org/officeDocument/2006/relationships/image" Target="media/image1446.png"/><Relationship Id="rId1456" Type="http://schemas.openxmlformats.org/officeDocument/2006/relationships/image" Target="media/image1447.png"/><Relationship Id="rId1457" Type="http://schemas.openxmlformats.org/officeDocument/2006/relationships/image" Target="media/image1448.png"/><Relationship Id="rId1458" Type="http://schemas.openxmlformats.org/officeDocument/2006/relationships/image" Target="media/image1449.png"/><Relationship Id="rId1459" Type="http://schemas.openxmlformats.org/officeDocument/2006/relationships/image" Target="media/image1450.png"/><Relationship Id="rId1460" Type="http://schemas.openxmlformats.org/officeDocument/2006/relationships/image" Target="media/image1451.png"/><Relationship Id="rId1461" Type="http://schemas.openxmlformats.org/officeDocument/2006/relationships/image" Target="media/image1452.png"/><Relationship Id="rId1462" Type="http://schemas.openxmlformats.org/officeDocument/2006/relationships/image" Target="media/image1453.png"/><Relationship Id="rId1463" Type="http://schemas.openxmlformats.org/officeDocument/2006/relationships/image" Target="media/image1454.png"/><Relationship Id="rId1464" Type="http://schemas.openxmlformats.org/officeDocument/2006/relationships/image" Target="media/image1455.png"/><Relationship Id="rId1465" Type="http://schemas.openxmlformats.org/officeDocument/2006/relationships/image" Target="media/image1456.png"/><Relationship Id="rId1466" Type="http://schemas.openxmlformats.org/officeDocument/2006/relationships/image" Target="media/image1457.png"/><Relationship Id="rId1467" Type="http://schemas.openxmlformats.org/officeDocument/2006/relationships/image" Target="media/image1458.png"/><Relationship Id="rId1468" Type="http://schemas.openxmlformats.org/officeDocument/2006/relationships/image" Target="media/image1459.png"/><Relationship Id="rId1469" Type="http://schemas.openxmlformats.org/officeDocument/2006/relationships/image" Target="media/image1460.png"/><Relationship Id="rId1470" Type="http://schemas.openxmlformats.org/officeDocument/2006/relationships/image" Target="media/image1461.png"/><Relationship Id="rId1471" Type="http://schemas.openxmlformats.org/officeDocument/2006/relationships/image" Target="media/image1462.png"/><Relationship Id="rId24" Type="http://schemas.openxmlformats.org/officeDocument/2006/relationships/hyperlink" Target="http://www.sec.gov/Archives/edgar/data/1603923/000141057819001140/tv529109_ex99-1.htm" TargetMode="External"/><Relationship Id="rId25" Type="http://schemas.openxmlformats.org/officeDocument/2006/relationships/hyperlink" Target="http://www.sec.gov/Archives/edgar/data/1603923/000160392316000287/ex101formofchangeincontr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2019-12-28T01:01:20Z</dcterms:created>
  <dcterms:modified xsi:type="dcterms:W3CDTF">2019-12-28T01:01:20Z</dcterms:modified>
</cp:coreProperties>
</file>