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-224155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December 5, 2019</w:t>
      </w:r>
    </w:p>
    <w:p>
      <w:pPr>
        <w:spacing w:after="0" w:line="348"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plc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8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4"/>
              </w:rPr>
              <w:t>Ireland</w:t>
            </w:r>
          </w:p>
        </w:tc>
        <w:tc>
          <w:tcPr>
            <w:tcW w:w="24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2460" w:type="dxa"/>
            <w:vAlign w:val="bottom"/>
          </w:tcPr>
          <w:p>
            <w:pPr>
              <w:ind w:left="1260"/>
              <w:spacing w:after="0"/>
              <w:rPr>
                <w:sz w:val="20"/>
                <w:szCs w:val="20"/>
                <w:color w:val="auto"/>
              </w:rPr>
            </w:pPr>
            <w:r>
              <w:rPr>
                <w:rFonts w:ascii="Arial" w:cs="Arial" w:eastAsia="Arial" w:hAnsi="Arial"/>
                <w:sz w:val="18"/>
                <w:szCs w:val="18"/>
                <w:b w:val="1"/>
                <w:bCs w:val="1"/>
                <w:color w:val="auto"/>
              </w:rPr>
              <w:t>98-0606750</w:t>
            </w:r>
          </w:p>
        </w:tc>
        <w:tc>
          <w:tcPr>
            <w:tcW w:w="780" w:type="dxa"/>
            <w:vAlign w:val="bottom"/>
          </w:tcPr>
          <w:p>
            <w:pPr>
              <w:spacing w:after="0"/>
              <w:rPr>
                <w:sz w:val="20"/>
                <w:szCs w:val="20"/>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3600" w:type="dxa"/>
            <w:vAlign w:val="bottom"/>
            <w:gridSpan w:val="2"/>
          </w:tcPr>
          <w:p>
            <w:pPr>
              <w:jc w:val="center"/>
              <w:ind w:right="430"/>
              <w:spacing w:after="0"/>
              <w:rPr>
                <w:sz w:val="20"/>
                <w:szCs w:val="20"/>
                <w:color w:val="auto"/>
              </w:rPr>
            </w:pPr>
            <w:r>
              <w:rPr>
                <w:rFonts w:ascii="Arial" w:cs="Arial" w:eastAsia="Arial" w:hAnsi="Arial"/>
                <w:sz w:val="18"/>
                <w:szCs w:val="18"/>
                <w:color w:val="auto"/>
                <w:w w:val="92"/>
              </w:rPr>
              <w:t>(State or other jurisdiction of</w:t>
            </w:r>
          </w:p>
        </w:tc>
        <w:tc>
          <w:tcPr>
            <w:tcW w:w="2400" w:type="dxa"/>
            <w:vAlign w:val="bottom"/>
          </w:tcPr>
          <w:p>
            <w:pPr>
              <w:jc w:val="center"/>
              <w:ind w:right="29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ind w:left="38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780" w:type="dxa"/>
            <w:vAlign w:val="bottom"/>
          </w:tcPr>
          <w:p>
            <w:pPr>
              <w:spacing w:after="0"/>
              <w:rPr>
                <w:sz w:val="20"/>
                <w:szCs w:val="20"/>
                <w:color w:val="auto"/>
              </w:rPr>
            </w:pPr>
          </w:p>
        </w:tc>
        <w:tc>
          <w:tcPr>
            <w:tcW w:w="2820" w:type="dxa"/>
            <w:vAlign w:val="bottom"/>
          </w:tcPr>
          <w:p>
            <w:pPr>
              <w:jc w:val="center"/>
              <w:ind w:right="1230"/>
              <w:spacing w:after="0"/>
              <w:rPr>
                <w:sz w:val="20"/>
                <w:szCs w:val="20"/>
                <w:color w:val="auto"/>
              </w:rPr>
            </w:pPr>
            <w:r>
              <w:rPr>
                <w:rFonts w:ascii="Arial" w:cs="Arial" w:eastAsia="Arial" w:hAnsi="Arial"/>
                <w:sz w:val="18"/>
                <w:szCs w:val="18"/>
                <w:color w:val="auto"/>
                <w:w w:val="92"/>
              </w:rPr>
              <w:t>incorporation)</w:t>
            </w:r>
          </w:p>
        </w:tc>
        <w:tc>
          <w:tcPr>
            <w:tcW w:w="2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21"/>
        </w:trPr>
        <w:tc>
          <w:tcPr>
            <w:tcW w:w="780" w:type="dxa"/>
            <w:vAlign w:val="bottom"/>
          </w:tcPr>
          <w:p>
            <w:pPr>
              <w:spacing w:after="0"/>
              <w:rPr>
                <w:sz w:val="24"/>
                <w:szCs w:val="24"/>
                <w:color w:val="auto"/>
              </w:rPr>
            </w:pPr>
          </w:p>
        </w:tc>
        <w:tc>
          <w:tcPr>
            <w:tcW w:w="2820" w:type="dxa"/>
            <w:vAlign w:val="bottom"/>
          </w:tcPr>
          <w:p>
            <w:pPr>
              <w:ind w:left="380"/>
              <w:spacing w:after="0"/>
              <w:rPr>
                <w:sz w:val="20"/>
                <w:szCs w:val="20"/>
                <w:color w:val="auto"/>
              </w:rPr>
            </w:pPr>
            <w:r>
              <w:rPr>
                <w:rFonts w:ascii="Arial" w:cs="Arial" w:eastAsia="Arial" w:hAnsi="Arial"/>
                <w:sz w:val="18"/>
                <w:szCs w:val="18"/>
                <w:b w:val="1"/>
                <w:bCs w:val="1"/>
                <w:color w:val="auto"/>
                <w:w w:val="89"/>
              </w:rPr>
              <w:t>2000 St. James Place , Houston</w:t>
            </w:r>
          </w:p>
        </w:tc>
        <w:tc>
          <w:tcPr>
            <w:tcW w:w="2400" w:type="dxa"/>
            <w:vAlign w:val="bottom"/>
          </w:tcPr>
          <w:p>
            <w:pPr>
              <w:ind w:left="120"/>
              <w:spacing w:after="0"/>
              <w:rPr>
                <w:sz w:val="20"/>
                <w:szCs w:val="20"/>
                <w:color w:val="auto"/>
              </w:rPr>
            </w:pPr>
            <w:r>
              <w:rPr>
                <w:rFonts w:ascii="Arial" w:cs="Arial" w:eastAsia="Arial" w:hAnsi="Arial"/>
                <w:sz w:val="18"/>
                <w:szCs w:val="18"/>
                <w:b w:val="1"/>
                <w:bCs w:val="1"/>
                <w:color w:val="auto"/>
              </w:rPr>
              <w:t>, Texas</w:t>
            </w:r>
          </w:p>
        </w:tc>
        <w:tc>
          <w:tcPr>
            <w:tcW w:w="2460" w:type="dxa"/>
            <w:vAlign w:val="bottom"/>
          </w:tcPr>
          <w:p>
            <w:pPr>
              <w:jc w:val="right"/>
              <w:ind w:right="490"/>
              <w:spacing w:after="0"/>
              <w:rPr>
                <w:sz w:val="20"/>
                <w:szCs w:val="20"/>
                <w:color w:val="auto"/>
              </w:rPr>
            </w:pPr>
            <w:r>
              <w:rPr>
                <w:rFonts w:ascii="Arial" w:cs="Arial" w:eastAsia="Arial" w:hAnsi="Arial"/>
                <w:sz w:val="18"/>
                <w:szCs w:val="18"/>
                <w:b w:val="1"/>
                <w:bCs w:val="1"/>
                <w:color w:val="auto"/>
              </w:rPr>
              <w:t>77056</w:t>
            </w:r>
          </w:p>
        </w:tc>
        <w:tc>
          <w:tcPr>
            <w:tcW w:w="780" w:type="dxa"/>
            <w:vAlign w:val="bottom"/>
          </w:tcPr>
          <w:p>
            <w:pPr>
              <w:spacing w:after="0"/>
              <w:rPr>
                <w:sz w:val="24"/>
                <w:szCs w:val="24"/>
                <w:color w:val="auto"/>
              </w:rPr>
            </w:pPr>
          </w:p>
        </w:tc>
      </w:tr>
      <w:tr>
        <w:trPr>
          <w:trHeight w:val="27"/>
        </w:trPr>
        <w:tc>
          <w:tcPr>
            <w:tcW w:w="780" w:type="dxa"/>
            <w:vAlign w:val="bottom"/>
          </w:tcPr>
          <w:p>
            <w:pPr>
              <w:spacing w:after="0"/>
              <w:rPr>
                <w:sz w:val="2"/>
                <w:szCs w:val="2"/>
                <w:color w:val="auto"/>
              </w:rPr>
            </w:pPr>
          </w:p>
        </w:tc>
        <w:tc>
          <w:tcPr>
            <w:tcW w:w="5220" w:type="dxa"/>
            <w:vAlign w:val="bottom"/>
            <w:tcBorders>
              <w:bottom w:val="single" w:sz="8" w:color="auto"/>
            </w:tcBorders>
            <w:gridSpan w:val="2"/>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220" w:type="dxa"/>
            <w:vAlign w:val="bottom"/>
            <w:gridSpan w:val="2"/>
          </w:tcPr>
          <w:p>
            <w:pPr>
              <w:ind w:left="600"/>
              <w:spacing w:after="0"/>
              <w:rPr>
                <w:sz w:val="20"/>
                <w:szCs w:val="20"/>
                <w:color w:val="auto"/>
              </w:rPr>
            </w:pPr>
            <w:r>
              <w:rPr>
                <w:rFonts w:ascii="Arial" w:cs="Arial" w:eastAsia="Arial" w:hAnsi="Arial"/>
                <w:sz w:val="18"/>
                <w:szCs w:val="18"/>
                <w:color w:val="auto"/>
              </w:rPr>
              <w:t>(Address of principal executive offices)</w:t>
            </w:r>
          </w:p>
        </w:tc>
        <w:tc>
          <w:tcPr>
            <w:tcW w:w="3240" w:type="dxa"/>
            <w:vAlign w:val="bottom"/>
            <w:gridSpan w:val="2"/>
          </w:tcPr>
          <w:p>
            <w:pPr>
              <w:ind w:left="1240"/>
              <w:spacing w:after="0"/>
              <w:rPr>
                <w:sz w:val="20"/>
                <w:szCs w:val="20"/>
                <w:color w:val="auto"/>
              </w:rPr>
            </w:pPr>
            <w:r>
              <w:rPr>
                <w:rFonts w:ascii="Arial" w:cs="Arial" w:eastAsia="Arial" w:hAnsi="Arial"/>
                <w:sz w:val="18"/>
                <w:szCs w:val="18"/>
                <w:color w:val="auto"/>
              </w:rPr>
              <w:t>(Zip Code)</w:t>
            </w:r>
          </w:p>
        </w:tc>
      </w:tr>
    </w:tbl>
    <w:p>
      <w:pPr>
        <w:spacing w:after="0" w:line="9"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4"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4" w:lineRule="exact"/>
        <w:rPr>
          <w:rFonts w:ascii="MS PGothic" w:cs="MS PGothic" w:eastAsia="MS PGothic" w:hAnsi="MS PGothic"/>
          <w:sz w:val="22"/>
          <w:szCs w:val="22"/>
          <w:color w:val="auto"/>
        </w:rPr>
      </w:pPr>
    </w:p>
    <w:p>
      <w:pPr>
        <w:ind w:right="3080" w:firstLine="8"/>
        <w:spacing w:after="0" w:line="448"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90" w:type="dxa"/>
        <w:tblCellMar>
          <w:top w:w="0" w:type="dxa"/>
          <w:left w:w="0" w:type="dxa"/>
          <w:bottom w:w="0" w:type="dxa"/>
          <w:right w:w="0" w:type="dxa"/>
        </w:tblCellMar>
      </w:tblPr>
      <w:tr>
        <w:trPr>
          <w:trHeight w:val="237"/>
        </w:trPr>
        <w:tc>
          <w:tcPr>
            <w:tcW w:w="41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par value $0.001 per share</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WFTIQ</w:t>
            </w:r>
          </w:p>
        </w:tc>
        <w:tc>
          <w:tcPr>
            <w:tcW w:w="4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2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30" w:lineRule="exact"/>
        <w:rPr>
          <w:sz w:val="24"/>
          <w:szCs w:val="24"/>
          <w:color w:val="auto"/>
        </w:rPr>
      </w:pPr>
    </w:p>
    <w:p>
      <w:pPr>
        <w:ind w:right="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976" w:right="29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under the Restructuring Support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previously announced, on May 10, 2019, Weatherford International plc, Weatherford International Ltd., and Weatherford International, LLC (collectively, the “Weatherford Parties” or the “Company”) entered into a Restructuring Support Agreement (the “Original RSA”) with certain of the holders of the Company’s outstanding unsecured notes (the “Noteholders”), which was amended on July 1, 2019, further amended on August 23, 2019 and further amended on September 9, 2019 (the Original RSA as so amended, the “RSA”).</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previously announced, on November 22, 2019, pursuant to Section 11 of the RSA, the Supermajority Noteholders (as defined therein) provided written notice of consent to extend the RSA Outside Date (as defined therein) from November 30, 2019 until December 6, 2019.</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5, 2019, pursuant to Section 11 of the RSA, the Supermajority Noteholders provided written notice of consent to further extend the RSA Outside Date from December 6, 2019 until December 13,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Amendment to the Backstop Commitment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previously announced, on July 1, 2019, the Weatherford Parties and the commitment parties thereto (the “Initial Commitment Parties”) entered into a Backstop Commitment Agreement (as amended, the “Backstop Commitment Agreement”), which was amended on September 9, 2019, to add additional Commitment Parties (the “Additional Commitment Parties” and, together with the Initial Commitment Parties signatory thereto, the “Commitment Parties”) and increase the backstop commitment, and further amended on November 25, 2019 to provide for the extension of the Outside Date (as defined therein) until December 6, 2019.</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5, 2019, pursuant to Section 9.2(a)(i) of the Backstop Commitment Agreement, Akin Gump Strauss Hauer &amp; Feld LLP, on behalf of the Requisite Commitment Parties (as defined therein), provided written notice of consent to further extend the Outside Date from December 6, 2019 until December 13, 2019.</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entered into among the Weatherford Parties and the other parties thereto; risks attendant to the bankruptcy process, the outcomes of bankruptcy cases and examinership proceedings in general and the length of time that we may be required to operate in bankruptcy; the effectiveness of the overall restructuring activities and any additional strategies that we may employ to address our liquidity and capital resources; restrictions on us due to the terms of any debtor-in-possession credit facility that we have entered into in connection with the cases and restrictions imposed by the U.S Bankruptcy Court for the Southern District of Texas;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w:t>
      </w:r>
    </w:p>
    <w:p>
      <w:pPr>
        <w:sectPr>
          <w:pgSz w:w="11900" w:h="16838" w:orient="portrait"/>
          <w:cols w:equalWidth="0" w:num="1">
            <w:col w:w="11420"/>
          </w:cols>
          <w:pgMar w:left="240" w:top="715"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ectPr>
          <w:pgSz w:w="11900" w:h="16838" w:orient="portrait"/>
          <w:cols w:equalWidth="0" w:num="1">
            <w:col w:w="11420"/>
          </w:cols>
          <w:pgMar w:left="240" w:top="557"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Date: December 6, 2019</w:t>
      </w:r>
    </w:p>
    <w:p>
      <w:pPr>
        <w:spacing w:after="0" w:line="6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Christina M. Ibrahim</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 Executive Vice President, General Counsel, Chief Compliance Officer</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and Corporate Secretary</w:t>
      </w:r>
    </w:p>
    <w:sectPr>
      <w:pgSz w:w="11900" w:h="16838" w:orient="portrait"/>
      <w:cols w:equalWidth="0" w:num="1">
        <w:col w:w="11220"/>
      </w:cols>
      <w:pgMar w:left="240" w:top="55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2019-12-06T15:41:33Z</dcterms:created>
  <dcterms:modified xsi:type="dcterms:W3CDTF">2019-12-06T15:41:33Z</dcterms:modified>
</cp:coreProperties>
</file>