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913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1375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Blanchard Karl</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Weatherford International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NONE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12/13/2019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4"/>
        <w:spacing w:after="0"/>
        <w:rPr>
          <w:sz w:val="20"/>
          <w:szCs w:val="20"/>
          <w:color w:val="auto"/>
        </w:rPr>
      </w:pPr>
      <w:r>
        <w:rPr>
          <w:rFonts w:ascii="Arial" w:cs="Arial" w:eastAsia="Arial" w:hAnsi="Arial"/>
          <w:sz w:val="17"/>
          <w:szCs w:val="17"/>
          <w:color w:val="0000FF"/>
        </w:rPr>
        <w:t>EVP and COO</w:t>
      </w:r>
    </w:p>
    <w:p>
      <w:pPr>
        <w:spacing w:after="0" w:line="323" w:lineRule="exact"/>
        <w:rPr>
          <w:sz w:val="24"/>
          <w:szCs w:val="24"/>
          <w:color w:val="auto"/>
        </w:rPr>
      </w:pPr>
    </w:p>
    <w:p>
      <w:pPr>
        <w:sectPr>
          <w:pgSz w:w="11900" w:h="16838" w:orient="portrait"/>
          <w:cols w:equalWidth="0" w:num="3">
            <w:col w:w="3360" w:space="720"/>
            <w:col w:w="3320" w:space="656"/>
            <w:col w:w="3464"/>
          </w:cols>
          <w:pgMar w:left="240" w:top="226" w:right="139" w:bottom="0" w:gutter="0" w:footer="0" w:header="0"/>
          <w:type w:val="continuous"/>
        </w:sectPr>
      </w:pP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77056</w:t>
            </w:r>
          </w:p>
        </w:tc>
      </w:tr>
      <w:tr>
        <w:trPr>
          <w:trHeight w:val="157"/>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3"/>
                <w:szCs w:val="13"/>
                <w:color w:val="auto"/>
              </w:rPr>
            </w:pPr>
          </w:p>
        </w:tc>
        <w:tc>
          <w:tcPr>
            <w:tcW w:w="25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 Disposed</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4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w w:val="99"/>
              </w:rPr>
              <w:t>Of (D) (Instr. 3, 4 and 5)</w:t>
            </w:r>
          </w:p>
        </w:tc>
        <w:tc>
          <w:tcPr>
            <w:tcW w:w="10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jc w:val="center"/>
              <w:ind w:left="423"/>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9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10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0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20" w:type="dxa"/>
            <w:vAlign w:val="bottom"/>
            <w:tcBorders>
              <w:bottom w:val="single" w:sz="8" w:color="2C2C2C"/>
            </w:tcBorders>
          </w:tcPr>
          <w:p>
            <w:pPr>
              <w:jc w:val="center"/>
              <w:ind w:left="42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w w:val="98"/>
                <w:vertAlign w:val="subscript"/>
              </w:rPr>
              <w:t>F</w:t>
            </w:r>
            <w:r>
              <w:rPr>
                <w:rFonts w:ascii="Arial" w:cs="Arial" w:eastAsia="Arial" w:hAnsi="Arial"/>
                <w:sz w:val="11"/>
                <w:szCs w:val="11"/>
                <w:color w:val="008000"/>
                <w:w w:val="98"/>
              </w:rPr>
              <w:t>(1)(2)(3)</w:t>
            </w: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157,894</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line="323" w:lineRule="exact"/>
              <w:rPr>
                <w:sz w:val="20"/>
                <w:szCs w:val="20"/>
                <w:color w:val="auto"/>
              </w:rPr>
            </w:pPr>
            <w:r>
              <w:rPr>
                <w:rFonts w:ascii="Arial" w:cs="Arial" w:eastAsia="Arial" w:hAnsi="Arial"/>
                <w:sz w:val="34"/>
                <w:szCs w:val="34"/>
                <w:color w:val="000000"/>
                <w:w w:val="80"/>
                <w:vertAlign w:val="subscript"/>
              </w:rPr>
              <w:t>$</w:t>
            </w:r>
            <w:r>
              <w:rPr>
                <w:rFonts w:ascii="Arial" w:cs="Arial" w:eastAsia="Arial" w:hAnsi="Arial"/>
                <w:sz w:val="34"/>
                <w:szCs w:val="34"/>
                <w:color w:val="0000FF"/>
                <w:w w:val="80"/>
                <w:vertAlign w:val="subscript"/>
              </w:rPr>
              <w:t>0.0156</w:t>
            </w:r>
            <w:r>
              <w:rPr>
                <w:rFonts w:ascii="Arial" w:cs="Arial" w:eastAsia="Arial" w:hAnsi="Arial"/>
                <w:sz w:val="11"/>
                <w:szCs w:val="11"/>
                <w:color w:val="008000"/>
                <w:w w:val="80"/>
              </w:rPr>
              <w:t>(1)(2)(3)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555,493</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20" w:type="dxa"/>
            <w:vAlign w:val="bottom"/>
            <w:tcBorders>
              <w:bottom w:val="single" w:sz="8" w:color="2C2C2C"/>
            </w:tcBorders>
          </w:tcPr>
          <w:p>
            <w:pPr>
              <w:jc w:val="center"/>
              <w:ind w:left="42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(1)(4)</w:t>
            </w: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809,242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0.0156</w:t>
            </w:r>
            <w:r>
              <w:rPr>
                <w:rFonts w:ascii="Arial" w:cs="Arial" w:eastAsia="Arial" w:hAnsi="Arial"/>
                <w:sz w:val="22"/>
                <w:szCs w:val="22"/>
                <w:color w:val="008000"/>
                <w:w w:val="86"/>
                <w:vertAlign w:val="superscript"/>
              </w:rPr>
              <w:t>(1)(4)</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1,364,735</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20" w:type="dxa"/>
            <w:vAlign w:val="bottom"/>
            <w:tcBorders>
              <w:bottom w:val="single" w:sz="8" w:color="2C2C2C"/>
            </w:tcBorders>
          </w:tcPr>
          <w:p>
            <w:pPr>
              <w:jc w:val="center"/>
              <w:ind w:left="42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w w:val="98"/>
                <w:vertAlign w:val="subscript"/>
              </w:rPr>
              <w:t>F</w:t>
            </w:r>
            <w:r>
              <w:rPr>
                <w:rFonts w:ascii="Arial" w:cs="Arial" w:eastAsia="Arial" w:hAnsi="Arial"/>
                <w:sz w:val="11"/>
                <w:szCs w:val="11"/>
                <w:color w:val="008000"/>
                <w:w w:val="98"/>
              </w:rPr>
              <w:t>(1)(4)(5)</w:t>
            </w: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318,437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line="323" w:lineRule="exact"/>
              <w:rPr>
                <w:sz w:val="20"/>
                <w:szCs w:val="20"/>
                <w:color w:val="auto"/>
              </w:rPr>
            </w:pPr>
            <w:r>
              <w:rPr>
                <w:rFonts w:ascii="Arial" w:cs="Arial" w:eastAsia="Arial" w:hAnsi="Arial"/>
                <w:sz w:val="34"/>
                <w:szCs w:val="34"/>
                <w:color w:val="000000"/>
                <w:w w:val="80"/>
                <w:vertAlign w:val="subscript"/>
              </w:rPr>
              <w:t>$</w:t>
            </w:r>
            <w:r>
              <w:rPr>
                <w:rFonts w:ascii="Arial" w:cs="Arial" w:eastAsia="Arial" w:hAnsi="Arial"/>
                <w:sz w:val="34"/>
                <w:szCs w:val="34"/>
                <w:color w:val="0000FF"/>
                <w:w w:val="80"/>
                <w:vertAlign w:val="subscript"/>
              </w:rPr>
              <w:t>0.0156</w:t>
            </w:r>
            <w:r>
              <w:rPr>
                <w:rFonts w:ascii="Arial" w:cs="Arial" w:eastAsia="Arial" w:hAnsi="Arial"/>
                <w:sz w:val="11"/>
                <w:szCs w:val="11"/>
                <w:color w:val="008000"/>
                <w:w w:val="80"/>
              </w:rPr>
              <w:t>(1)(4)(5)</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1,046,298</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20" w:type="dxa"/>
            <w:vAlign w:val="bottom"/>
            <w:tcBorders>
              <w:bottom w:val="single" w:sz="8" w:color="2C2C2C"/>
            </w:tcBorders>
          </w:tcPr>
          <w:p>
            <w:pPr>
              <w:jc w:val="center"/>
              <w:ind w:left="42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(1)(6)</w:t>
            </w: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2"/>
              </w:rPr>
              <w:t>1,046,298</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line="323" w:lineRule="exact"/>
              <w:rPr>
                <w:sz w:val="20"/>
                <w:szCs w:val="20"/>
                <w:color w:val="auto"/>
              </w:rPr>
            </w:pPr>
            <w:r>
              <w:rPr>
                <w:rFonts w:ascii="Arial" w:cs="Arial" w:eastAsia="Arial" w:hAnsi="Arial"/>
                <w:sz w:val="34"/>
                <w:szCs w:val="34"/>
                <w:color w:val="000000"/>
                <w:w w:val="84"/>
                <w:vertAlign w:val="subscript"/>
              </w:rPr>
              <w:t>$</w:t>
            </w: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(1)(6)</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0</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20" w:type="dxa"/>
            <w:vAlign w:val="bottom"/>
            <w:tcBorders>
              <w:bottom w:val="single" w:sz="8" w:color="2C2C2C"/>
            </w:tcBorders>
          </w:tcPr>
          <w:p>
            <w:pPr>
              <w:jc w:val="center"/>
              <w:ind w:left="423"/>
              <w:spacing w:after="0"/>
              <w:rPr>
                <w:sz w:val="20"/>
                <w:szCs w:val="20"/>
                <w:color w:val="auto"/>
              </w:rPr>
            </w:pPr>
            <w:r>
              <w:rPr>
                <w:rFonts w:ascii="Arial" w:cs="Arial" w:eastAsia="Arial" w:hAnsi="Arial"/>
                <w:sz w:val="17"/>
                <w:szCs w:val="17"/>
                <w:color w:val="0000FF"/>
                <w:w w:val="93"/>
              </w:rPr>
              <w:t>12/13/2019</w:t>
            </w: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(1)(7)</w:t>
            </w:r>
          </w:p>
        </w:tc>
        <w:tc>
          <w:tcPr>
            <w:tcW w:w="2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1"/>
              </w:rPr>
              <w:t>725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1080" w:type="dxa"/>
            <w:vAlign w:val="bottom"/>
            <w:tcBorders>
              <w:bottom w:val="single" w:sz="8" w:color="2C2C2C"/>
            </w:tcBorders>
          </w:tcPr>
          <w:p>
            <w:pPr>
              <w:jc w:val="center"/>
              <w:spacing w:after="0" w:line="323" w:lineRule="exact"/>
              <w:rPr>
                <w:sz w:val="20"/>
                <w:szCs w:val="20"/>
                <w:color w:val="auto"/>
              </w:rPr>
            </w:pPr>
            <w:r>
              <w:rPr>
                <w:rFonts w:ascii="Arial" w:cs="Arial" w:eastAsia="Arial" w:hAnsi="Arial"/>
                <w:sz w:val="34"/>
                <w:szCs w:val="34"/>
                <w:color w:val="000000"/>
                <w:w w:val="84"/>
                <w:vertAlign w:val="subscript"/>
              </w:rPr>
              <w:t>$</w:t>
            </w: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(1)(7)</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725</w:t>
            </w:r>
          </w:p>
        </w:tc>
        <w:tc>
          <w:tcPr>
            <w:tcW w:w="9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6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Warrants</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(1)(8)</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8,061</w:t>
            </w:r>
          </w:p>
        </w:tc>
        <w:tc>
          <w:tcPr>
            <w:tcW w:w="720" w:type="dxa"/>
            <w:vAlign w:val="bottom"/>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(1)(8)</w:t>
            </w: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99.96</w:t>
            </w:r>
          </w:p>
        </w:tc>
        <w:tc>
          <w:tcPr>
            <w:tcW w:w="1120" w:type="dxa"/>
            <w:vAlign w:val="bottom"/>
            <w:vMerge w:val="restart"/>
          </w:tcPr>
          <w:p>
            <w:pPr>
              <w:jc w:val="right"/>
              <w:ind w:right="198"/>
              <w:spacing w:after="0" w:line="148" w:lineRule="exact"/>
              <w:rPr>
                <w:sz w:val="20"/>
                <w:szCs w:val="20"/>
                <w:color w:val="auto"/>
              </w:rPr>
            </w:pPr>
            <w:r>
              <w:rPr>
                <w:rFonts w:ascii="Arial" w:cs="Arial" w:eastAsia="Arial" w:hAnsi="Arial"/>
                <w:sz w:val="13"/>
                <w:szCs w:val="13"/>
                <w:color w:val="0000FF"/>
              </w:rPr>
              <w:t>12/13/2019</w:t>
            </w:r>
          </w:p>
        </w:tc>
        <w:tc>
          <w:tcPr>
            <w:tcW w:w="114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500" w:type="dxa"/>
            <w:vAlign w:val="bottom"/>
            <w:vMerge w:val="restart"/>
          </w:tcPr>
          <w:p>
            <w:pPr>
              <w:ind w:left="100"/>
              <w:spacing w:after="0" w:line="148" w:lineRule="exact"/>
              <w:rPr>
                <w:sz w:val="20"/>
                <w:szCs w:val="20"/>
                <w:color w:val="auto"/>
              </w:rPr>
            </w:pPr>
            <w:r>
              <w:rPr>
                <w:rFonts w:ascii="Arial" w:cs="Arial" w:eastAsia="Arial" w:hAnsi="Arial"/>
                <w:sz w:val="13"/>
                <w:szCs w:val="13"/>
                <w:color w:val="0000FF"/>
              </w:rPr>
              <w:t>8,061</w:t>
            </w:r>
          </w:p>
        </w:tc>
        <w:tc>
          <w:tcPr>
            <w:tcW w:w="280" w:type="dxa"/>
            <w:vAlign w:val="bottom"/>
          </w:tcPr>
          <w:p>
            <w:pPr>
              <w:spacing w:after="0"/>
              <w:rPr>
                <w:sz w:val="5"/>
                <w:szCs w:val="5"/>
                <w:color w:val="auto"/>
              </w:rPr>
            </w:pPr>
          </w:p>
        </w:tc>
        <w:tc>
          <w:tcPr>
            <w:tcW w:w="82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rPr>
              <w:t>12/13/2019</w:t>
            </w: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12/13/2023</w:t>
            </w: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8,061</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2"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July 1, 2019, Weatherford International plc (the "Issuer"), Weatherford International Ltd., and Weatherford International, LLC (collectively, the "Company") commenced voluntary cases under Chapter 11 of the United States Bankruptcy Code in the U.S. Bankruptcy Court for the Southern District of Texas (the "Bankruptcy Court") under the caption In re Weatherford International plc, et al. seeking relief under the provisions of Chapter 11 of Title 11 of the United States Code. On September 9, 2019, the Company filed with the Bankruptcy Court the proposed Second Amended Joint Prepackaged Plan of Reorganization of Weatherford International plc and its Affiliate Debtors, dated September 9, 2019 (the "Plan"). On September 11, 2019, the Bankruptcy Court entered an order, Docket No. 343, confirming and approving the Plan. On December 13, 2019 (the "Effective Date"), the Plan became effective pursuant to its terms and the Company emerged from bankruptcy.</w:t>
      </w:r>
    </w:p>
    <w:p>
      <w:pPr>
        <w:spacing w:after="0" w:line="12"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terms of the award agreements, immediately prior to the Effective Date, all outstanding restricted stock units vested.</w:t>
      </w:r>
    </w:p>
    <w:p>
      <w:pPr>
        <w:spacing w:after="0" w:line="52" w:lineRule="exact"/>
        <w:rPr>
          <w:rFonts w:ascii="Arial" w:cs="Arial" w:eastAsia="Arial" w:hAnsi="Arial"/>
          <w:sz w:val="13"/>
          <w:szCs w:val="13"/>
          <w:color w:val="008000"/>
        </w:rPr>
      </w:pPr>
    </w:p>
    <w:p>
      <w:pPr>
        <w:ind w:left="40" w:right="34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restricted share units to satisfy the reporting person's tax withholding obligations upon vesting, pursuant to the award agreements and associated equity incentive plan under which the awards were granted.</w:t>
      </w:r>
    </w:p>
    <w:p>
      <w:pPr>
        <w:spacing w:after="0" w:line="9" w:lineRule="exact"/>
        <w:rPr>
          <w:rFonts w:ascii="Arial" w:cs="Arial" w:eastAsia="Arial" w:hAnsi="Arial"/>
          <w:sz w:val="13"/>
          <w:szCs w:val="13"/>
          <w:color w:val="008000"/>
        </w:rPr>
      </w:pPr>
    </w:p>
    <w:p>
      <w:pPr>
        <w:ind w:left="40" w:right="54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terms of the award agreements, immediately prior to the Effective Time, all outstanding performance share units previously granted vested at a multiple of two times the number of units granted. Includes awards that were granted on September 21, 2017 and January 31, 2018.</w:t>
      </w:r>
    </w:p>
    <w:p>
      <w:pPr>
        <w:spacing w:after="0" w:line="9" w:lineRule="exact"/>
        <w:rPr>
          <w:rFonts w:ascii="Arial" w:cs="Arial" w:eastAsia="Arial" w:hAnsi="Arial"/>
          <w:sz w:val="13"/>
          <w:szCs w:val="13"/>
          <w:color w:val="008000"/>
        </w:rPr>
      </w:pPr>
    </w:p>
    <w:p>
      <w:pPr>
        <w:ind w:left="40" w:right="16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withholding of a portion of vested performance share units to satisfy the reporting person's tax withholding obligations upon vesting, pursuant to the award agreements and associated equity incentive plan under which the awards were granted.</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the Effective Date, all of the Issuer's outstanding ordinary shares were cancelled and extinguished pursuant to the Plan.</w:t>
      </w:r>
    </w:p>
    <w:p>
      <w:pPr>
        <w:spacing w:after="0" w:line="52" w:lineRule="exact"/>
        <w:rPr>
          <w:rFonts w:ascii="Arial" w:cs="Arial" w:eastAsia="Arial" w:hAnsi="Arial"/>
          <w:sz w:val="13"/>
          <w:szCs w:val="13"/>
          <w:color w:val="008000"/>
        </w:rPr>
      </w:pPr>
    </w:p>
    <w:p>
      <w:pPr>
        <w:ind w:left="40" w:right="50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New shares of the Issuer's ordinary shares, par value $.001 per share (the "New Ordinary Shares") were issued to the Reporting Person on the Effective Date pursuant to the Plan. The receipt of the New Ordinary Shares by the Reporting Person was involuntary, without additional consideration and in accordance with the Plan approved by the Bankruptcy Court.</w:t>
      </w:r>
    </w:p>
    <w:p>
      <w:pPr>
        <w:spacing w:after="0" w:line="9" w:lineRule="exact"/>
        <w:rPr>
          <w:rFonts w:ascii="Arial" w:cs="Arial" w:eastAsia="Arial" w:hAnsi="Arial"/>
          <w:sz w:val="13"/>
          <w:szCs w:val="13"/>
          <w:color w:val="008000"/>
        </w:rPr>
      </w:pPr>
    </w:p>
    <w:p>
      <w:pPr>
        <w:ind w:left="40" w:right="720" w:firstLine="8"/>
        <w:spacing w:after="0" w:line="297"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Warrants to purchase New Ordinary Shares (the "Warrants") were issued to the Reporting Person on the Effective Date pursuant to the Plan. The Warrants may be exercised at any time prior to their expiration. The receipt of the Warrants by the Reporting Person was involuntary, without additional consideration and in accordance with the Plan approved by the Bankruptcy Court.</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Christine M. Morrison by</w:t>
            </w:r>
          </w:p>
        </w:tc>
        <w:tc>
          <w:tcPr>
            <w:tcW w:w="320" w:type="dxa"/>
            <w:vAlign w:val="bottom"/>
          </w:tcPr>
          <w:p>
            <w:pPr>
              <w:spacing w:after="0"/>
              <w:rPr>
                <w:sz w:val="16"/>
                <w:szCs w:val="16"/>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12/17/2019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rPr>
                <w:sz w:val="20"/>
                <w:szCs w:val="20"/>
                <w:color w:val="auto"/>
              </w:rPr>
            </w:pPr>
            <w:r>
              <w:rPr>
                <w:rFonts w:ascii="Arial" w:cs="Arial" w:eastAsia="Arial" w:hAnsi="Arial"/>
                <w:sz w:val="17"/>
                <w:szCs w:val="17"/>
                <w:color w:val="0000FF"/>
              </w:rPr>
              <w:t>Power of Attorney</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108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2019-12-17T17:39:41Z</dcterms:created>
  <dcterms:modified xsi:type="dcterms:W3CDTF">2019-12-17T17:39:41Z</dcterms:modified>
</cp:coreProperties>
</file>