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Invesco Ltd.</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98-0557567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Bermuda</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w w:val="87"/>
              </w:rPr>
              <w:t>70,655,716</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73,916,114</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73,916,114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HC,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line="182" w:lineRule="auto"/>
        <w:framePr w:w="680" w:h="193" w:wrap="auto" w:vAnchor="page" w:hAnchor="page" w:x="1660" w:y="9563"/>
        <w:rPr>
          <w:rFonts w:ascii="Arial" w:cs="Arial" w:eastAsia="Arial" w:hAnsi="Arial"/>
          <w:sz w:val="22"/>
          <w:szCs w:val="22"/>
          <w:color w:val="auto"/>
        </w:rPr>
      </w:pPr>
      <w:r>
        <w:rPr>
          <w:rFonts w:ascii="Arial" w:cs="Arial" w:eastAsia="Arial" w:hAnsi="Arial"/>
          <w:sz w:val="22"/>
          <w:szCs w:val="22"/>
          <w:color w:val="auto"/>
        </w:rPr>
        <w:t>(i)  [ ]</w:t>
      </w:r>
    </w:p>
    <w:p>
      <w:pPr>
        <w:spacing w:after="0" w:line="182" w:lineRule="auto"/>
        <w:framePr w:w="680" w:h="193" w:wrap="auto" w:vAnchor="page" w:hAnchor="page" w:x="1660" w:y="10063"/>
        <w:rPr>
          <w:rFonts w:ascii="Arial" w:cs="Arial" w:eastAsia="Arial" w:hAnsi="Arial"/>
          <w:sz w:val="22"/>
          <w:szCs w:val="22"/>
          <w:color w:val="auto"/>
        </w:rPr>
      </w:pPr>
      <w:r>
        <w:rPr>
          <w:rFonts w:ascii="Arial" w:cs="Arial" w:eastAsia="Arial" w:hAnsi="Arial"/>
          <w:sz w:val="22"/>
          <w:szCs w:val="22"/>
          <w:color w:val="auto"/>
        </w:rPr>
        <w:t>(j)  [ ]</w:t>
      </w:r>
    </w:p>
    <w:p>
      <w:pPr>
        <w:spacing w:after="0" w:line="182" w:lineRule="auto"/>
        <w:framePr w:w="680" w:h="193" w:wrap="auto" w:vAnchor="page" w:hAnchor="page" w:x="1660" w:y="7429"/>
        <w:rPr>
          <w:rFonts w:ascii="Arial" w:cs="Arial" w:eastAsia="Arial" w:hAnsi="Arial"/>
          <w:sz w:val="22"/>
          <w:szCs w:val="22"/>
          <w:color w:val="auto"/>
        </w:rPr>
      </w:pPr>
      <w:r>
        <w:rPr>
          <w:rFonts w:ascii="Arial" w:cs="Arial" w:eastAsia="Arial" w:hAnsi="Arial"/>
          <w:sz w:val="22"/>
          <w:szCs w:val="22"/>
          <w:color w:val="auto"/>
        </w:rPr>
        <w:t>(d)  [ ]</w:t>
      </w:r>
    </w:p>
    <w:p>
      <w:pPr>
        <w:spacing w:after="0" w:line="26" w:lineRule="exact"/>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Weatherford International PLC</w:t>
      </w:r>
    </w:p>
    <w:p>
      <w:pPr>
        <w:spacing w:after="0" w:line="101" w:lineRule="exact"/>
        <w:rPr>
          <w:rFonts w:ascii="Arial" w:cs="Arial" w:eastAsia="Arial" w:hAnsi="Arial"/>
          <w:sz w:val="22"/>
          <w:szCs w:val="22"/>
          <w:b w:val="1"/>
          <w:bCs w:val="1"/>
          <w:color w:val="auto"/>
        </w:rPr>
      </w:pPr>
    </w:p>
    <w:p>
      <w:pPr>
        <w:ind w:left="1780" w:right="5180" w:hanging="407"/>
        <w:spacing w:after="0" w:line="256"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Bahnofstrasse 1, CH 6340 Baar</w:t>
      </w:r>
    </w:p>
    <w:p>
      <w:pPr>
        <w:spacing w:after="0" w:line="82"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80" w:right="69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780" w:right="4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780" w:right="844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G48833100</w:t>
      </w:r>
    </w:p>
    <w:p>
      <w:pPr>
        <w:spacing w:after="0" w:line="11" w:lineRule="exact"/>
        <w:rPr>
          <w:rFonts w:ascii="Arial" w:cs="Arial" w:eastAsia="Arial" w:hAnsi="Arial"/>
          <w:sz w:val="22"/>
          <w:szCs w:val="22"/>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80a-8).</w:t>
      </w:r>
    </w:p>
    <w:p>
      <w:pPr>
        <w:spacing w:after="0" w:line="107"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60" w:lineRule="exact"/>
        <w:rPr>
          <w:rFonts w:ascii="Arial" w:cs="Arial" w:eastAsia="Arial" w:hAnsi="Arial"/>
          <w:sz w:val="22"/>
          <w:szCs w:val="22"/>
          <w:color w:val="auto"/>
        </w:rPr>
      </w:pPr>
    </w:p>
    <w:p>
      <w:pPr>
        <w:ind w:left="2240" w:right="12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2240"/>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100"/>
        <w:spacing w:after="0" w:line="251" w:lineRule="auto"/>
        <w:rPr>
          <w:rFonts w:ascii="Arial" w:cs="Arial" w:eastAsia="Arial" w:hAnsi="Arial"/>
          <w:sz w:val="22"/>
          <w:szCs w:val="22"/>
          <w:color w:val="auto"/>
        </w:rPr>
      </w:pPr>
      <w:r>
        <w:rPr>
          <w:rFonts w:ascii="Arial" w:cs="Arial" w:eastAsia="Arial" w:hAnsi="Arial"/>
          <w:sz w:val="22"/>
          <w:szCs w:val="22"/>
          <w:color w:val="auto"/>
        </w:rPr>
        <w:t>Invesco Ltd. , in its capacity as investment adviser, may be deemed to beneficially own 73,916,114 shares of the Issuer which are held of record by clients of Invesco Ltd. ..</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70,655,716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73,916,114</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bl>
    <w:p>
      <w:pPr>
        <w:spacing w:after="0" w:line="98"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rFonts w:ascii="Arial" w:cs="Arial" w:eastAsia="Arial" w:hAnsi="Arial"/>
          <w:sz w:val="22"/>
          <w:szCs w:val="22"/>
          <w:color w:val="auto"/>
        </w:rPr>
      </w:pPr>
    </w:p>
    <w:p>
      <w:pPr>
        <w:ind w:left="1380" w:right="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rFonts w:ascii="Arial" w:cs="Arial" w:eastAsia="Arial" w:hAnsi="Arial"/>
          <w:sz w:val="22"/>
          <w:szCs w:val="22"/>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rFonts w:ascii="Arial" w:cs="Arial" w:eastAsia="Arial" w:hAnsi="Arial"/>
          <w:sz w:val="22"/>
          <w:szCs w:val="22"/>
          <w:color w:val="auto"/>
        </w:rPr>
      </w:pPr>
    </w:p>
    <w:p>
      <w:pPr>
        <w:ind w:left="1380"/>
        <w:spacing w:after="0"/>
        <w:rPr>
          <w:sz w:val="20"/>
          <w:szCs w:val="20"/>
          <w:color w:val="auto"/>
        </w:rPr>
      </w:pPr>
      <w:r>
        <w:rPr>
          <w:rFonts w:ascii="Arial" w:cs="Arial" w:eastAsia="Arial" w:hAnsi="Arial"/>
          <w:sz w:val="19"/>
          <w:szCs w:val="19"/>
          <w:color w:val="auto"/>
        </w:rPr>
        <w:t>However, no one individual has greater than 5% economic ownership. The shareholders of the Fund have the</w:t>
      </w:r>
    </w:p>
    <w:p>
      <w:pPr>
        <w:sectPr>
          <w:pgSz w:w="11900" w:h="16865" w:orient="portrait"/>
          <w:cols w:equalWidth="0" w:num="1">
            <w:col w:w="11260"/>
          </w:cols>
          <w:pgMar w:left="320" w:top="423" w:right="319" w:bottom="0" w:gutter="0" w:footer="0" w:header="0"/>
        </w:sectPr>
      </w:pPr>
    </w:p>
    <w:bookmarkStart w:id="3" w:name="page4"/>
    <w:bookmarkEnd w:id="3"/>
    <w:p>
      <w:pPr>
        <w:ind w:left="1380" w:right="520"/>
        <w:spacing w:after="0" w:line="251" w:lineRule="auto"/>
        <w:rPr>
          <w:sz w:val="20"/>
          <w:szCs w:val="20"/>
          <w:color w:val="auto"/>
        </w:rPr>
      </w:pPr>
      <w:r>
        <w:rPr>
          <w:rFonts w:ascii="Arial" w:cs="Arial" w:eastAsia="Arial" w:hAnsi="Arial"/>
          <w:sz w:val="22"/>
          <w:szCs w:val="22"/>
          <w:color w:val="auto"/>
        </w:rPr>
        <w:t>right to receive or the power to direct the receipt of dividends and proceeds from the sale of securities listed above.</w:t>
      </w:r>
    </w:p>
    <w:p>
      <w:pPr>
        <w:spacing w:after="0" w:line="87" w:lineRule="exact"/>
        <w:rPr>
          <w:sz w:val="20"/>
          <w:szCs w:val="20"/>
          <w:color w:val="auto"/>
        </w:rPr>
      </w:pPr>
    </w:p>
    <w:p>
      <w:pPr>
        <w:ind w:left="1380" w:right="10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Invesco Advisers, Inc.</w:t>
      </w:r>
    </w:p>
    <w:p>
      <w:pPr>
        <w:ind w:left="1380"/>
        <w:spacing w:after="0" w:line="238" w:lineRule="auto"/>
        <w:rPr>
          <w:sz w:val="20"/>
          <w:szCs w:val="20"/>
          <w:color w:val="auto"/>
        </w:rPr>
      </w:pPr>
      <w:r>
        <w:rPr>
          <w:rFonts w:ascii="Arial" w:cs="Arial" w:eastAsia="Arial" w:hAnsi="Arial"/>
          <w:sz w:val="22"/>
          <w:szCs w:val="22"/>
          <w:color w:val="auto"/>
        </w:rPr>
        <w:t>Invesco Asset Management Deutschland GmbH</w:t>
      </w:r>
    </w:p>
    <w:p>
      <w:pPr>
        <w:ind w:left="1380"/>
        <w:spacing w:after="0" w:line="230" w:lineRule="auto"/>
        <w:rPr>
          <w:sz w:val="20"/>
          <w:szCs w:val="20"/>
          <w:color w:val="auto"/>
        </w:rPr>
      </w:pPr>
      <w:r>
        <w:rPr>
          <w:rFonts w:ascii="Arial" w:cs="Arial" w:eastAsia="Arial" w:hAnsi="Arial"/>
          <w:sz w:val="22"/>
          <w:szCs w:val="22"/>
          <w:color w:val="auto"/>
        </w:rPr>
        <w:t>Invesco Asset Management Japan Limited</w:t>
      </w:r>
    </w:p>
    <w:p>
      <w:pPr>
        <w:ind w:left="1380"/>
        <w:spacing w:after="0" w:line="231" w:lineRule="auto"/>
        <w:rPr>
          <w:sz w:val="20"/>
          <w:szCs w:val="20"/>
          <w:color w:val="auto"/>
        </w:rPr>
      </w:pPr>
      <w:r>
        <w:rPr>
          <w:rFonts w:ascii="Arial" w:cs="Arial" w:eastAsia="Arial" w:hAnsi="Arial"/>
          <w:sz w:val="22"/>
          <w:szCs w:val="22"/>
          <w:color w:val="auto"/>
        </w:rPr>
        <w:t>INVESCO CANADA LTD.</w:t>
      </w:r>
    </w:p>
    <w:p>
      <w:pPr>
        <w:ind w:left="1380"/>
        <w:spacing w:after="0" w:line="231" w:lineRule="auto"/>
        <w:rPr>
          <w:sz w:val="20"/>
          <w:szCs w:val="20"/>
          <w:color w:val="auto"/>
        </w:rPr>
      </w:pPr>
      <w:r>
        <w:rPr>
          <w:rFonts w:ascii="Arial" w:cs="Arial" w:eastAsia="Arial" w:hAnsi="Arial"/>
          <w:sz w:val="22"/>
          <w:szCs w:val="22"/>
          <w:color w:val="auto"/>
        </w:rPr>
        <w:t>Invesco Investment Advisers, LLC</w:t>
      </w:r>
    </w:p>
    <w:p>
      <w:pPr>
        <w:ind w:left="138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left="138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00"/>
          </w:cols>
          <w:pgMar w:left="320" w:top="1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16, 2016</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2/1/2016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Lisa O. Brinkley</w:t>
      </w:r>
    </w:p>
    <w:p>
      <w:pPr>
        <w:spacing w:after="0" w:line="230" w:lineRule="auto"/>
        <w:rPr>
          <w:sz w:val="20"/>
          <w:szCs w:val="20"/>
          <w:color w:val="auto"/>
        </w:rPr>
      </w:pPr>
      <w:r>
        <w:rPr>
          <w:rFonts w:ascii="Arial" w:cs="Arial" w:eastAsia="Arial" w:hAnsi="Arial"/>
          <w:sz w:val="22"/>
          <w:szCs w:val="22"/>
          <w:color w:val="auto"/>
        </w:rPr>
        <w:t>Name: Lisa O. Brinkley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Daniela Nalli</w:t>
      </w:r>
    </w:p>
    <w:p>
      <w:pPr>
        <w:spacing w:after="0" w:line="230" w:lineRule="auto"/>
        <w:rPr>
          <w:sz w:val="20"/>
          <w:szCs w:val="20"/>
          <w:color w:val="auto"/>
        </w:rPr>
      </w:pPr>
      <w:r>
        <w:rPr>
          <w:rFonts w:ascii="Arial" w:cs="Arial" w:eastAsia="Arial" w:hAnsi="Arial"/>
          <w:sz w:val="22"/>
          <w:szCs w:val="22"/>
          <w:color w:val="auto"/>
        </w:rPr>
        <w:t>Name: Daniela Nalli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Kevin Lyman</w:t>
      </w:r>
    </w:p>
    <w:p>
      <w:pPr>
        <w:spacing w:after="0" w:line="230" w:lineRule="auto"/>
        <w:rPr>
          <w:sz w:val="20"/>
          <w:szCs w:val="20"/>
          <w:color w:val="auto"/>
        </w:rPr>
      </w:pPr>
      <w:r>
        <w:rPr>
          <w:rFonts w:ascii="Arial" w:cs="Arial" w:eastAsia="Arial" w:hAnsi="Arial"/>
          <w:sz w:val="22"/>
          <w:szCs w:val="22"/>
          <w:color w:val="auto"/>
        </w:rPr>
        <w:t>Name: Kevin Lyman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Matthieu Grosclaude</w:t>
      </w:r>
    </w:p>
    <w:p>
      <w:pPr>
        <w:spacing w:after="0" w:line="230" w:lineRule="auto"/>
        <w:rPr>
          <w:sz w:val="20"/>
          <w:szCs w:val="20"/>
          <w:color w:val="auto"/>
        </w:rPr>
      </w:pPr>
      <w:r>
        <w:rPr>
          <w:rFonts w:ascii="Arial" w:cs="Arial" w:eastAsia="Arial" w:hAnsi="Arial"/>
          <w:sz w:val="22"/>
          <w:szCs w:val="22"/>
          <w:color w:val="auto"/>
        </w:rPr>
        <w:t>Name: Matthieu Grosclaude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COO, EMEA Retail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Osterreich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Thomas Kraus</w:t>
      </w:r>
    </w:p>
    <w:p>
      <w:pPr>
        <w:spacing w:after="0" w:line="230" w:lineRule="auto"/>
        <w:rPr>
          <w:sz w:val="20"/>
          <w:szCs w:val="20"/>
          <w:color w:val="auto"/>
        </w:rPr>
      </w:pPr>
      <w:r>
        <w:rPr>
          <w:rFonts w:ascii="Arial" w:cs="Arial" w:eastAsia="Arial" w:hAnsi="Arial"/>
          <w:sz w:val="22"/>
          <w:szCs w:val="22"/>
          <w:color w:val="auto"/>
        </w:rPr>
        <w:t>Name: Thomas Kraus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Institutional Business D-A-CH</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Invesco Asset Management (Japan) Limited</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Asha Balachandra</w:t>
      </w:r>
    </w:p>
    <w:p>
      <w:pPr>
        <w:spacing w:after="0" w:line="230" w:lineRule="auto"/>
        <w:rPr>
          <w:sz w:val="20"/>
          <w:szCs w:val="20"/>
          <w:color w:val="auto"/>
        </w:rPr>
      </w:pPr>
      <w:r>
        <w:rPr>
          <w:rFonts w:ascii="Arial" w:cs="Arial" w:eastAsia="Arial" w:hAnsi="Arial"/>
          <w:sz w:val="22"/>
          <w:szCs w:val="22"/>
          <w:color w:val="auto"/>
        </w:rPr>
        <w:t>Name: Asha Balachandra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Reg. Head of Legal, AP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Global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Cormac O'Sullivan</w:t>
      </w:r>
    </w:p>
    <w:p>
      <w:pPr>
        <w:spacing w:after="0" w:line="230" w:lineRule="auto"/>
        <w:rPr>
          <w:sz w:val="20"/>
          <w:szCs w:val="20"/>
          <w:color w:val="auto"/>
        </w:rPr>
      </w:pPr>
      <w:r>
        <w:rPr>
          <w:rFonts w:ascii="Arial" w:cs="Arial" w:eastAsia="Arial" w:hAnsi="Arial"/>
          <w:sz w:val="22"/>
          <w:szCs w:val="22"/>
          <w:color w:val="auto"/>
        </w:rPr>
        <w:t>Name: Cormac O'Sullivan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PMO, EU</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PowerShares Capital Management, LLC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Christopher Joe</w:t>
      </w:r>
    </w:p>
    <w:p>
      <w:pPr>
        <w:spacing w:after="0" w:line="230" w:lineRule="auto"/>
        <w:rPr>
          <w:sz w:val="20"/>
          <w:szCs w:val="20"/>
          <w:color w:val="auto"/>
        </w:rPr>
      </w:pPr>
      <w:r>
        <w:rPr>
          <w:rFonts w:ascii="Arial" w:cs="Arial" w:eastAsia="Arial" w:hAnsi="Arial"/>
          <w:sz w:val="22"/>
          <w:szCs w:val="22"/>
          <w:color w:val="auto"/>
        </w:rPr>
        <w:t>Name: Christopher Joe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Miranda O'Keefe</w:t>
      </w:r>
    </w:p>
    <w:p>
      <w:pPr>
        <w:spacing w:after="0" w:line="230" w:lineRule="auto"/>
        <w:rPr>
          <w:sz w:val="20"/>
          <w:szCs w:val="20"/>
          <w:color w:val="auto"/>
        </w:rPr>
      </w:pPr>
      <w:r>
        <w:rPr>
          <w:rFonts w:ascii="Arial" w:cs="Arial" w:eastAsia="Arial" w:hAnsi="Arial"/>
          <w:sz w:val="22"/>
          <w:szCs w:val="22"/>
          <w:color w:val="auto"/>
        </w:rPr>
        <w:t>Name: Miranda O'Keefe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Jane Stewart</w:t>
      </w:r>
    </w:p>
    <w:p>
      <w:pPr>
        <w:spacing w:after="0" w:line="230" w:lineRule="auto"/>
        <w:rPr>
          <w:sz w:val="20"/>
          <w:szCs w:val="20"/>
          <w:color w:val="auto"/>
        </w:rPr>
      </w:pPr>
      <w:r>
        <w:rPr>
          <w:rFonts w:ascii="Arial" w:cs="Arial" w:eastAsia="Arial" w:hAnsi="Arial"/>
          <w:sz w:val="22"/>
          <w:szCs w:val="22"/>
          <w:color w:val="auto"/>
        </w:rPr>
        <w:t>Name: Jane Stewart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Manager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5"/>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2019-12-09T00:31:40Z</dcterms:created>
  <dcterms:modified xsi:type="dcterms:W3CDTF">2019-12-09T00:31:40Z</dcterms:modified>
</cp:coreProperties>
</file>