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22,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41"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40"/>
          </w:cols>
          <w:pgMar w:left="240" w:top="841" w:right="23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420"/>
          </w:cols>
          <w:pgMar w:left="240" w:top="841" w:right="239" w:bottom="1440" w:gutter="0" w:footer="0" w:header="0"/>
          <w:type w:val="continuous"/>
        </w:sectPr>
      </w:pPr>
    </w:p>
    <w:p>
      <w:pPr>
        <w:spacing w:after="0" w:line="245" w:lineRule="exact"/>
        <w:rPr>
          <w:sz w:val="24"/>
          <w:szCs w:val="24"/>
          <w:color w:val="auto"/>
        </w:rPr>
      </w:pPr>
    </w:p>
    <w:p>
      <w:pPr>
        <w:ind w:left="1380"/>
        <w:spacing w:after="0"/>
        <w:rPr>
          <w:sz w:val="20"/>
          <w:szCs w:val="20"/>
          <w:color w:val="auto"/>
        </w:rPr>
      </w:pPr>
      <w:r>
        <w:rPr>
          <w:rFonts w:ascii="Arial" w:cs="Arial" w:eastAsia="Arial" w:hAnsi="Arial"/>
          <w:sz w:val="15"/>
          <w:szCs w:val="15"/>
          <w:b w:val="1"/>
          <w:bCs w:val="1"/>
          <w:color w:val="auto"/>
        </w:rPr>
        <w:t>2000 St. James Place, Houston, Texas</w:t>
      </w:r>
    </w:p>
    <w:p>
      <w:pPr>
        <w:spacing w:after="0" w:line="62"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77056</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841"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836-4000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Title of each class</w:t>
            </w:r>
          </w:p>
        </w:tc>
        <w:tc>
          <w:tcPr>
            <w:tcW w:w="3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Trading symbol</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Ordinary Shares, par value $0.001 per share</w:t>
            </w:r>
          </w:p>
        </w:tc>
        <w:tc>
          <w:tcPr>
            <w:tcW w:w="240" w:type="dxa"/>
            <w:vAlign w:val="bottom"/>
          </w:tcPr>
          <w:p>
            <w:pPr>
              <w:spacing w:after="0"/>
              <w:rPr>
                <w:sz w:val="19"/>
                <w:szCs w:val="19"/>
                <w:color w:val="auto"/>
              </w:rPr>
            </w:pP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WFTIQ</w:t>
            </w:r>
          </w:p>
        </w:tc>
        <w:tc>
          <w:tcPr>
            <w:tcW w:w="240" w:type="dxa"/>
            <w:vAlign w:val="bottom"/>
          </w:tcPr>
          <w:p>
            <w:pPr>
              <w:spacing w:after="0"/>
              <w:rPr>
                <w:sz w:val="19"/>
                <w:szCs w:val="19"/>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340"/>
        <w:spacing w:after="0" w:line="207" w:lineRule="exact"/>
        <w:tabs>
          <w:tab w:leader="none" w:pos="2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under the Restructuring Support Agreement</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previously announced, on May 10, 2019, Weatherford International plc, Weatherford International Ltd., and Weatherford International, LLC (collectively, the “Weatherford Parties” or the “Company”) entered into a Restructuring Support Agreement (the “Original RSA”) with certain of the holders of the Company’s outstanding unsecured notes (the “Noteholders”), which was amended on July 1, 2019, further amended on August 23, 2019 and further amended on September 9, 2019 (the Original RSA as so amended, the “RSA”).</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November 22, 2019, pursuant to Section 11 of the RSA, the Supermajority Noteholders (as defined therein) provided written notice of consent to extend the RSA Outside Date (as defined therein) from November 30, 2019 until December 6,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Amendment to the Backstop Commitment Agreement</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previously announced, on July 1, 2019, the Weatherford Parties and the commitment parties thereto (the “Initial Commitment Parties”) entered into a Backstop Commitment Agreement (as amended, the “Backstop Commitment Agreement”), which was amended on September 9, 2019, to add additional Commitment Parties (the “Additional Commitment Parties” and, together with the Initial Commitment Parties signatory thereto, the “Commitment Parties”) and increase the backstop commitment.</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On November 25, 2019, the Weatherford Parties and certain of the Commitment Parties entered into an amendment to the Backstop Commitment Agreement (the “Second Backstop Commitment Agreement Amendment”). The Second Backstop Commitment Agreement Amendment provides for the extension of the Outside Date (as defined therein) until December 6, 2019.</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foregoing description of the Backstop Commitment Agreement Amendment does not purport to be complete and is qualified in its entirety by the full text of the Backstop Commitment Agreement Amendment, a copy of which is filed as Exhibit 10.1 to this Current Report on Form 8-K and is incorporated by reference in this Item 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Certain statements in this Current Report on Form 8-K, including the exhibit hereto,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consummate a plan of reorganization in accordance with the terms of the Restructuring Support Agreement entered into among the Weatherford Parties and the other parties thereto; risks attendant to the bankruptcy process, the outcomes of bankruptcy cases and examinership proceedings in general and the length of time that we may be required to operate in bankruptcy; the effectiveness of the overall restructuring activities and any additional strategies that we may employ to address our liquidity and capital resources; restrictions on us due to the terms of any debtor-in-possession credit facility that we have entered into in connection with the cases and restrictions imposed by the U.S Bankruptcy Court for the Southern District of Texas;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38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3840" w:type="dxa"/>
            <w:vAlign w:val="bottom"/>
          </w:tcPr>
          <w:p>
            <w:pPr>
              <w:spacing w:after="0"/>
              <w:rPr>
                <w:sz w:val="20"/>
                <w:szCs w:val="20"/>
                <w:color w:val="auto"/>
              </w:rPr>
            </w:pPr>
          </w:p>
        </w:tc>
        <w:tc>
          <w:tcPr>
            <w:tcW w:w="6420" w:type="dxa"/>
            <w:vAlign w:val="bottom"/>
            <w:gridSpan w:val="2"/>
          </w:tcPr>
          <w:p>
            <w:pPr>
              <w:ind w:left="8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2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40" w:type="dxa"/>
            <w:vAlign w:val="bottom"/>
          </w:tcPr>
          <w:p>
            <w:pPr>
              <w:spacing w:after="0"/>
              <w:rPr>
                <w:sz w:val="24"/>
                <w:szCs w:val="24"/>
                <w:color w:val="auto"/>
              </w:rPr>
            </w:pPr>
          </w:p>
        </w:tc>
        <w:tc>
          <w:tcPr>
            <w:tcW w:w="10260" w:type="dxa"/>
            <w:vAlign w:val="bottom"/>
            <w:tcBorders>
              <w:top w:val="single" w:sz="8" w:color="auto"/>
            </w:tcBorders>
            <w:gridSpan w:val="3"/>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Second Amendment to Backstop Commitment Agreement, by and among Weatherford International plc, its Affiliate Debtors and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Commitment Parties, dated as of November 25, 2019</w:t>
              </w:r>
            </w:hyperlink>
          </w:p>
        </w:tc>
        <w:tc>
          <w:tcPr>
            <w:tcW w:w="57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26, 2019</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Christina M. Ibrahim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Title: Executive Vice President, General Counsel, Chief Compliance Officer</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Corporate Secretary</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to Form 8- K – RSA Consent and Backstop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AMENDMENT TO BACKSTOP COMMITMENT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SECOND AMENDMENT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to the Backstop Commitment Agreement, dated as of July 1, 2019, by and among:</w:t>
      </w:r>
    </w:p>
    <w:p>
      <w:pPr>
        <w:spacing w:after="0" w:line="23" w:lineRule="exact"/>
        <w:rPr>
          <w:sz w:val="20"/>
          <w:szCs w:val="20"/>
          <w:color w:val="auto"/>
        </w:rPr>
      </w:pPr>
    </w:p>
    <w:p>
      <w:pPr>
        <w:jc w:val="both"/>
        <w:ind w:firstLine="8"/>
        <w:spacing w:after="0" w:line="281" w:lineRule="auto"/>
        <w:tabs>
          <w:tab w:leader="none" w:pos="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Weatherford International Plc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(ii) each of the other Debtors (defined therein) (together with the Company, the “</w:t>
      </w:r>
      <w:r>
        <w:rPr>
          <w:rFonts w:ascii="Arial" w:cs="Arial" w:eastAsia="Arial" w:hAnsi="Arial"/>
          <w:sz w:val="16"/>
          <w:szCs w:val="16"/>
          <w:b w:val="1"/>
          <w:bCs w:val="1"/>
          <w:i w:val="1"/>
          <w:iCs w:val="1"/>
          <w:color w:val="auto"/>
        </w:rPr>
        <w:t>Company Parties</w:t>
      </w:r>
      <w:r>
        <w:rPr>
          <w:rFonts w:ascii="Arial" w:cs="Arial" w:eastAsia="Arial" w:hAnsi="Arial"/>
          <w:sz w:val="16"/>
          <w:szCs w:val="16"/>
          <w:color w:val="auto"/>
        </w:rPr>
        <w:t>” and each individually, a “</w:t>
      </w:r>
      <w:r>
        <w:rPr>
          <w:rFonts w:ascii="Arial" w:cs="Arial" w:eastAsia="Arial" w:hAnsi="Arial"/>
          <w:sz w:val="16"/>
          <w:szCs w:val="16"/>
          <w:b w:val="1"/>
          <w:bCs w:val="1"/>
          <w:i w:val="1"/>
          <w:iCs w:val="1"/>
          <w:color w:val="auto"/>
        </w:rPr>
        <w:t>Company Party</w:t>
      </w:r>
      <w:r>
        <w:rPr>
          <w:rFonts w:ascii="Arial" w:cs="Arial" w:eastAsia="Arial" w:hAnsi="Arial"/>
          <w:sz w:val="16"/>
          <w:szCs w:val="16"/>
          <w:color w:val="auto"/>
        </w:rPr>
        <w:t>”), and (iii) each of the entities signatory thereto (collectively, the “</w:t>
      </w:r>
      <w:r>
        <w:rPr>
          <w:rFonts w:ascii="Arial" w:cs="Arial" w:eastAsia="Arial" w:hAnsi="Arial"/>
          <w:sz w:val="16"/>
          <w:szCs w:val="16"/>
          <w:b w:val="1"/>
          <w:bCs w:val="1"/>
          <w:i w:val="1"/>
          <w:iCs w:val="1"/>
          <w:color w:val="auto"/>
        </w:rPr>
        <w:t>Initial Commitment Parties</w:t>
      </w:r>
      <w:r>
        <w:rPr>
          <w:rFonts w:ascii="Arial" w:cs="Arial" w:eastAsia="Arial" w:hAnsi="Arial"/>
          <w:sz w:val="16"/>
          <w:szCs w:val="16"/>
          <w:color w:val="auto"/>
        </w:rPr>
        <w:t>”), as amended by that First Amendment to Backstop Commitment Agreement, dated as of September 9, 2019, by and among (i) the Company Parties, (ii) the Backstop Parties and</w:t>
      </w:r>
    </w:p>
    <w:p>
      <w:pPr>
        <w:spacing w:after="0" w:line="2" w:lineRule="exact"/>
        <w:rPr>
          <w:rFonts w:ascii="Arial" w:cs="Arial" w:eastAsia="Arial" w:hAnsi="Arial"/>
          <w:sz w:val="16"/>
          <w:szCs w:val="16"/>
          <w:color w:val="auto"/>
        </w:rPr>
      </w:pPr>
    </w:p>
    <w:p>
      <w:pPr>
        <w:jc w:val="both"/>
        <w:ind w:firstLine="8"/>
        <w:spacing w:after="0" w:line="292" w:lineRule="auto"/>
        <w:tabs>
          <w:tab w:leader="none" w:pos="327"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of the additional entities that are signatories hereto (the “</w:t>
      </w:r>
      <w:r>
        <w:rPr>
          <w:rFonts w:ascii="Arial" w:cs="Arial" w:eastAsia="Arial" w:hAnsi="Arial"/>
          <w:sz w:val="16"/>
          <w:szCs w:val="16"/>
          <w:b w:val="1"/>
          <w:bCs w:val="1"/>
          <w:i w:val="1"/>
          <w:iCs w:val="1"/>
          <w:color w:val="auto"/>
        </w:rPr>
        <w:t>Additional Commitment Parties</w:t>
      </w:r>
      <w:r>
        <w:rPr>
          <w:rFonts w:ascii="Arial" w:cs="Arial" w:eastAsia="Arial" w:hAnsi="Arial"/>
          <w:sz w:val="16"/>
          <w:szCs w:val="16"/>
          <w:color w:val="auto"/>
        </w:rPr>
        <w:t>” and, together with the Initial Commitment Parties, the “</w:t>
      </w:r>
      <w:r>
        <w:rPr>
          <w:rFonts w:ascii="Arial" w:cs="Arial" w:eastAsia="Arial" w:hAnsi="Arial"/>
          <w:sz w:val="16"/>
          <w:szCs w:val="16"/>
          <w:b w:val="1"/>
          <w:bCs w:val="1"/>
          <w:i w:val="1"/>
          <w:iCs w:val="1"/>
          <w:color w:val="auto"/>
        </w:rPr>
        <w:t>Commitment Parties</w:t>
      </w:r>
      <w:r>
        <w:rPr>
          <w:rFonts w:ascii="Arial" w:cs="Arial" w:eastAsia="Arial" w:hAnsi="Arial"/>
          <w:sz w:val="16"/>
          <w:szCs w:val="16"/>
          <w:color w:val="auto"/>
        </w:rPr>
        <w:t>”) (together with the schedules, annexes and exhibits (including the term sheets) attached thereto, the “</w:t>
      </w:r>
      <w:r>
        <w:rPr>
          <w:rFonts w:ascii="Arial" w:cs="Arial" w:eastAsia="Arial" w:hAnsi="Arial"/>
          <w:sz w:val="16"/>
          <w:szCs w:val="16"/>
          <w:b w:val="1"/>
          <w:bCs w:val="1"/>
          <w:i w:val="1"/>
          <w:iCs w:val="1"/>
          <w:color w:val="auto"/>
        </w:rPr>
        <w:t>Backstop Agreement</w:t>
      </w:r>
      <w:r>
        <w:rPr>
          <w:rFonts w:ascii="Arial" w:cs="Arial" w:eastAsia="Arial" w:hAnsi="Arial"/>
          <w:sz w:val="16"/>
          <w:szCs w:val="16"/>
          <w:color w:val="auto"/>
        </w:rPr>
        <w:t>”), is being entered into as of November 25, 2019, by and among (i) the Company Parties and (ii) the Requisite Commitment Parties (as defined in the Backstop Agreement). This Amendment collectively refers to the Company Parties and the Requisite Commitment Parties as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and each individually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Capitalized terms used but not defined herein shall have the meanings ascribed to them in the Backstop Agreement.</w:t>
      </w:r>
    </w:p>
    <w:p>
      <w:pPr>
        <w:spacing w:after="0" w:line="15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certain terms of the Backstop Agreement as set forth in this Amendment to facilitate the consummation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as contemplated in the Backstop Agreement (collectively, the “</w:t>
      </w:r>
      <w:r>
        <w:rPr>
          <w:rFonts w:ascii="Arial" w:cs="Arial" w:eastAsia="Arial" w:hAnsi="Arial"/>
          <w:sz w:val="18"/>
          <w:szCs w:val="18"/>
          <w:b w:val="1"/>
          <w:bCs w:val="1"/>
          <w:i w:val="1"/>
          <w:iCs w:val="1"/>
          <w:color w:val="auto"/>
        </w:rPr>
        <w:t>Proposed Amendment</w:t>
      </w:r>
      <w:r>
        <w:rPr>
          <w:rFonts w:ascii="Arial" w:cs="Arial" w:eastAsia="Arial" w:hAnsi="Arial"/>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10.8 of the Backstop Agreement, the Proposed Amendment requires the prior written consent of the Debtors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Requisite Commitment Parties (other than a Defaulting Commitment Party);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Commitment Parties, taken as a whole, constitute the Requisite Commitment Parties as defined in the Backstop</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it applies to the Proposed Amendment.</w:t>
      </w:r>
    </w:p>
    <w:p>
      <w:pPr>
        <w:spacing w:after="0" w:line="16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promises,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each of the Parties, intending to be legally bound, hereby agrees as follows:</w:t>
      </w:r>
    </w:p>
    <w:p>
      <w:pPr>
        <w:spacing w:after="0" w:line="120" w:lineRule="exact"/>
        <w:rPr>
          <w:sz w:val="20"/>
          <w:szCs w:val="20"/>
          <w:color w:val="auto"/>
        </w:rPr>
      </w:pPr>
    </w:p>
    <w:p>
      <w:pPr>
        <w:ind w:left="1380" w:hanging="724"/>
        <w:spacing w:after="0"/>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Amendment to Backstop Agreement</w:t>
      </w:r>
      <w:r>
        <w:rPr>
          <w:rFonts w:ascii="Arial" w:cs="Arial" w:eastAsia="Arial" w:hAnsi="Arial"/>
          <w:sz w:val="16"/>
          <w:szCs w:val="16"/>
          <w:color w:val="auto"/>
        </w:rPr>
        <w:t>. Section 9.2(a)(i) of the Backstop Agreement be, and it hereby is, amended and restated in its entirety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read as follows:</w:t>
      </w:r>
    </w:p>
    <w:p>
      <w:pPr>
        <w:spacing w:after="0" w:line="211" w:lineRule="exact"/>
        <w:rPr>
          <w:sz w:val="20"/>
          <w:szCs w:val="20"/>
          <w:color w:val="auto"/>
        </w:rPr>
      </w:pPr>
    </w:p>
    <w:p>
      <w:pPr>
        <w:jc w:val="both"/>
        <w:ind w:left="660" w:firstLine="1297"/>
        <w:spacing w:after="0" w:line="264" w:lineRule="auto"/>
        <w:rPr>
          <w:sz w:val="20"/>
          <w:szCs w:val="20"/>
          <w:color w:val="auto"/>
        </w:rPr>
      </w:pPr>
      <w:r>
        <w:rPr>
          <w:rFonts w:ascii="Arial" w:cs="Arial" w:eastAsia="Arial" w:hAnsi="Arial"/>
          <w:sz w:val="18"/>
          <w:szCs w:val="18"/>
          <w:color w:val="auto"/>
        </w:rPr>
        <w:t>“(i) the Closing Date has not occurred by 11:59 p.m., New York City time on December 6, 2019, as such date may be extended upon written notice to the Debtors by Akin Gump Strauss Hauer &amp; Feld LLP, signing on behalf of the Requisite Commitment Parties (the “</w:t>
      </w:r>
      <w:r>
        <w:rPr>
          <w:rFonts w:ascii="Arial" w:cs="Arial" w:eastAsia="Arial" w:hAnsi="Arial"/>
          <w:sz w:val="18"/>
          <w:szCs w:val="18"/>
          <w:b w:val="1"/>
          <w:bCs w:val="1"/>
          <w:u w:val="single" w:color="auto"/>
          <w:color w:val="auto"/>
        </w:rPr>
        <w:t>Outside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4" w:firstLine="1941"/>
        <w:spacing w:after="0" w:line="279" w:lineRule="auto"/>
        <w:tabs>
          <w:tab w:leader="none" w:pos="2938"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following provisions of the Backstop Agreement: 10.1 (Notices), 10.2 (Assignment; Third-Party Beneficiaries), 10.4 (Governing Law and Consent to Jurisdiction and Venue), 10.6 (Waiver of Jury Trial), 10.7 (Counterparts), 10.8 (Waivers and Amendments; Rights Cumulative; Consent), 10.9 (Headings), 10.10 (Specific Performance), and 10.14 (Settlement Discussions), be, and each of them hereby is, incorporated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 as if such provisions were set forth fully herein.</w:t>
      </w:r>
    </w:p>
    <w:p>
      <w:pPr>
        <w:spacing w:after="0" w:line="171" w:lineRule="exact"/>
        <w:rPr>
          <w:rFonts w:ascii="Arial" w:cs="Arial" w:eastAsia="Arial" w:hAnsi="Arial"/>
          <w:sz w:val="17"/>
          <w:szCs w:val="17"/>
          <w:color w:val="auto"/>
        </w:rPr>
      </w:pPr>
    </w:p>
    <w:p>
      <w:pPr>
        <w:jc w:val="both"/>
        <w:ind w:left="4" w:right="20" w:firstLine="1941"/>
        <w:spacing w:after="0" w:line="264" w:lineRule="auto"/>
        <w:tabs>
          <w:tab w:leader="none" w:pos="27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Amendment, together with the Backstop Agreement, as amended hereby, constitute the complete and exclusive statement of agreement among the Parties with respect to the subject matter hereof and thereof, and supersede all prior written and oral statements by and among the Parties or any of them.</w:t>
      </w:r>
    </w:p>
    <w:p>
      <w:pPr>
        <w:spacing w:after="0" w:line="181" w:lineRule="exact"/>
        <w:rPr>
          <w:rFonts w:ascii="Arial" w:cs="Arial" w:eastAsia="Arial" w:hAnsi="Arial"/>
          <w:sz w:val="18"/>
          <w:szCs w:val="18"/>
          <w:color w:val="auto"/>
        </w:rPr>
      </w:pPr>
    </w:p>
    <w:p>
      <w:pPr>
        <w:ind w:left="2484" w:hanging="539"/>
        <w:spacing w:after="0"/>
        <w:tabs>
          <w:tab w:leader="none" w:pos="2484"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specifically amended hereby, the Backstop Agreement shall remain in full force and effect.</w:t>
      </w:r>
    </w:p>
    <w:p>
      <w:pPr>
        <w:spacing w:after="0" w:line="225" w:lineRule="exact"/>
        <w:rPr>
          <w:sz w:val="20"/>
          <w:szCs w:val="20"/>
          <w:color w:val="auto"/>
        </w:rPr>
      </w:pPr>
    </w:p>
    <w:p>
      <w:pPr>
        <w:ind w:left="4164"/>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289560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set forth above.</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5300"/>
        <w:spacing w:after="0"/>
        <w:tabs>
          <w:tab w:leader="none" w:pos="5720" w:val="left"/>
        </w:tabs>
        <w:rPr>
          <w:sz w:val="20"/>
          <w:szCs w:val="20"/>
          <w:color w:val="auto"/>
        </w:rPr>
      </w:pPr>
      <w:r>
        <w:rPr>
          <w:rFonts w:ascii="Arial" w:cs="Arial" w:eastAsia="Arial" w:hAnsi="Arial"/>
          <w:sz w:val="18"/>
          <w:szCs w:val="18"/>
          <w:color w:val="auto"/>
        </w:rPr>
        <w:t>By:</w:t>
        <w:tab/>
        <w:t>/s/ Christina M. Ibrahim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-130810</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jc w:val="both"/>
        <w:ind w:left="5960"/>
        <w:spacing w:after="0"/>
        <w:tabs>
          <w:tab w:leader="none" w:pos="6520" w:val="left"/>
        </w:tabs>
        <w:rPr>
          <w:sz w:val="20"/>
          <w:szCs w:val="20"/>
          <w:color w:val="auto"/>
        </w:rPr>
      </w:pPr>
      <w:r>
        <w:rPr>
          <w:rFonts w:ascii="Arial" w:cs="Arial" w:eastAsia="Arial" w:hAnsi="Arial"/>
          <w:sz w:val="18"/>
          <w:szCs w:val="18"/>
          <w:color w:val="auto"/>
        </w:rPr>
        <w:t>Title:</w:t>
        <w:tab/>
        <w:t>Executive Vice President, General Counsel, Chief</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Compliance Officer and Secretary</w:t>
      </w:r>
    </w:p>
    <w:p>
      <w:pPr>
        <w:spacing w:after="0" w:line="20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ind w:left="5300"/>
        <w:spacing w:after="0"/>
        <w:tabs>
          <w:tab w:leader="none" w:pos="572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-130810</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WEATHERFORD INTERNATIONAL, LLC</w:t>
      </w:r>
    </w:p>
    <w:p>
      <w:pPr>
        <w:spacing w:after="0" w:line="229" w:lineRule="exact"/>
        <w:rPr>
          <w:sz w:val="20"/>
          <w:szCs w:val="20"/>
          <w:color w:val="auto"/>
        </w:rPr>
      </w:pPr>
    </w:p>
    <w:p>
      <w:pPr>
        <w:ind w:left="5300"/>
        <w:spacing w:after="0"/>
        <w:tabs>
          <w:tab w:leader="none" w:pos="572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-130810</wp:posOffset>
            </wp:positionV>
            <wp:extent cx="318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40"/>
          </w:cols>
          <w:pgMar w:left="900" w:top="337" w:right="8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[COMMITMENT PARTY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lowerRoman"/>
      <w:start w:val="3"/>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2019-12-28T01:17:56Z</dcterms:created>
  <dcterms:modified xsi:type="dcterms:W3CDTF">2019-12-28T01:17:56Z</dcterms:modified>
</cp:coreProperties>
</file>