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ectPr>
          <w:pgSz w:w="11900" w:h="16838" w:orient="portrait"/>
          <w:cols w:equalWidth="0" w:num="1">
            <w:col w:w="11240"/>
          </w:cols>
          <w:pgMar w:left="240" w:top="688" w:right="419" w:bottom="1440" w:gutter="0" w:footer="0" w:header="0"/>
        </w:sectPr>
      </w:pP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32"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97" w:lineRule="exact"/>
        <w:rPr>
          <w:sz w:val="24"/>
          <w:szCs w:val="24"/>
          <w:color w:val="auto"/>
        </w:rPr>
      </w:pPr>
    </w:p>
    <w:p>
      <w:pPr>
        <w:sectPr>
          <w:pgSz w:w="11900" w:h="16838" w:orient="portrait"/>
          <w:cols w:equalWidth="0" w:num="2">
            <w:col w:w="7580" w:space="100"/>
            <w:col w:w="3560"/>
          </w:cols>
          <w:pgMar w:left="240" w:top="688" w:right="41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2480" w:space="720"/>
            <w:col w:w="2960" w:space="100"/>
            <w:col w:w="4980"/>
          </w:cols>
          <w:pgMar w:left="240" w:top="688" w:right="419" w:bottom="1440" w:gutter="0" w:footer="0" w:header="0"/>
          <w:type w:val="continuous"/>
        </w:sect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240"/>
          </w:cols>
          <w:pgMar w:left="240" w:top="688" w:right="419" w:bottom="1440" w:gutter="0" w:footer="0" w:header="0"/>
          <w:type w:val="continuous"/>
        </w:sectPr>
      </w:pPr>
    </w:p>
    <w:p>
      <w:pPr>
        <w:spacing w:after="0" w:line="160" w:lineRule="exact"/>
        <w:rPr>
          <w:sz w:val="24"/>
          <w:szCs w:val="24"/>
          <w:color w:val="auto"/>
        </w:rPr>
      </w:pPr>
    </w:p>
    <w:p>
      <w:pPr>
        <w:ind w:left="760" w:hanging="57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760" w:hanging="57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p>
    <w:p>
      <w:pPr>
        <w:ind w:left="760" w:hanging="57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60" w:hanging="57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760" w:hanging="57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4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20" w:hanging="570"/>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720" w:hanging="570"/>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MS PGothic" w:cs="MS PGothic" w:eastAsia="MS PGothic" w:hAnsi="MS PGothic"/>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251"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720" w:hanging="570"/>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720"/>
        <w:spacing w:after="0"/>
        <w:rPr>
          <w:rFonts w:ascii="MS PGothic" w:cs="MS PGothic" w:eastAsia="MS PGothic" w:hAnsi="MS PGothic"/>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w:t>
      </w:r>
    </w:p>
    <w:p>
      <w:pPr>
        <w:spacing w:after="0" w:line="46" w:lineRule="exact"/>
        <w:rPr>
          <w:rFonts w:ascii="MS PGothic" w:cs="MS PGothic" w:eastAsia="MS PGothic" w:hAnsi="MS PGothic"/>
          <w:sz w:val="18"/>
          <w:szCs w:val="18"/>
          <w:color w:val="auto"/>
        </w:rPr>
      </w:pPr>
    </w:p>
    <w:p>
      <w:pPr>
        <w:ind w:left="720" w:hanging="570"/>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152400</wp:posOffset>
            </wp:positionV>
            <wp:extent cx="6457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-147320</wp:posOffset>
            </wp:positionV>
            <wp:extent cx="6457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-447675</wp:posOffset>
            </wp:positionV>
            <wp:extent cx="6457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-748030</wp:posOffset>
            </wp:positionV>
            <wp:extent cx="6457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-1751330</wp:posOffset>
            </wp:positionV>
            <wp:extent cx="645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-2051050</wp:posOffset>
            </wp:positionV>
            <wp:extent cx="6457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-2351405</wp:posOffset>
            </wp:positionV>
            <wp:extent cx="6457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-2788920</wp:posOffset>
            </wp:positionV>
            <wp:extent cx="6457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-3088640</wp:posOffset>
            </wp:positionV>
            <wp:extent cx="6457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ectPr>
          <w:pgSz w:w="11900" w:h="16838" w:orient="portrait"/>
          <w:cols w:equalWidth="0" w:num="1">
            <w:col w:w="11240"/>
          </w:cols>
          <w:pgMar w:left="240" w:top="68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Dear fellow Weatherford shareholder:</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We are writing to you concerning Weatherford’s 2017 Annual General Meeting of Shareholders to be held on Thursday, June 15th, 2017, in Switzerland. You have previously received a copy our Proxy Statement, which is also available at </w:t>
      </w:r>
      <w:r>
        <w:rPr>
          <w:rFonts w:ascii="Arial" w:cs="Arial" w:eastAsia="Arial" w:hAnsi="Arial"/>
          <w:sz w:val="18"/>
          <w:szCs w:val="18"/>
          <w:u w:val="single" w:color="auto"/>
          <w:color w:val="0000FF"/>
        </w:rPr>
        <w:t>www.weatherfordannualmeeting.com</w:t>
      </w:r>
      <w:r>
        <w:rPr>
          <w:rFonts w:ascii="Arial" w:cs="Arial" w:eastAsia="Arial" w:hAnsi="Arial"/>
          <w:sz w:val="18"/>
          <w:szCs w:val="18"/>
          <w:color w:val="auto"/>
        </w:rPr>
        <w:t>. In our Proxy Statement, our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our director nominees.</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you may be aware, ISS Proxy Advisory Services (“ISS”), initially recommended a vote “FOR” the election of all of Weatherford’s director nominees. However, ISS recently changed their initial recommendation with respect to Dr. Guillermo Ortiz, one of our directors, based on their characterization of his service as being “overboarded”. It is worth noting, Glass Lewis, another proxy advisory firm, has voted in favor of Dr. Ortiz.</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Dr. Ortiz serves on the board of Banco BTG Pactual and BTG Pactual Participations. BTG Pactual is structured as two separate sub-groups of commonly owned entities: (i) Banco BTG Pactual and (ii) BTG Pactual Participations, which is the general partner of, and controls, BTGI. However, the two sub-groups are managed in a strategically unified manner for the benefit of the overall enterprise. As such, Weatherford considers this service, and the related time commitment of Dr. Ortiz, to be for the benefit of one company and we do not view him as “overboarded”.</w:t>
      </w:r>
    </w:p>
    <w:p>
      <w:pPr>
        <w:spacing w:after="0" w:line="17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set forth in our corporate governance principles, when evaluating our directors in consideration of re-election, “[d]</w:t>
      </w:r>
      <w:r>
        <w:rPr>
          <w:rFonts w:ascii="Arial" w:cs="Arial" w:eastAsia="Arial" w:hAnsi="Arial"/>
          <w:sz w:val="16"/>
          <w:szCs w:val="16"/>
          <w:i w:val="1"/>
          <w:iCs w:val="1"/>
          <w:color w:val="auto"/>
        </w:rPr>
        <w:t>irectors are evaluated based on their</w:t>
      </w:r>
      <w:r>
        <w:rPr>
          <w:rFonts w:ascii="Arial" w:cs="Arial" w:eastAsia="Arial" w:hAnsi="Arial"/>
          <w:sz w:val="16"/>
          <w:szCs w:val="16"/>
          <w:color w:val="auto"/>
        </w:rPr>
        <w:t xml:space="preserve"> </w:t>
      </w:r>
      <w:r>
        <w:rPr>
          <w:rFonts w:ascii="Arial" w:cs="Arial" w:eastAsia="Arial" w:hAnsi="Arial"/>
          <w:sz w:val="16"/>
          <w:szCs w:val="16"/>
          <w:i w:val="1"/>
          <w:iCs w:val="1"/>
          <w:color w:val="auto"/>
        </w:rPr>
        <w:t>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r>
        <w:rPr>
          <w:rFonts w:ascii="Arial" w:cs="Arial" w:eastAsia="Arial" w:hAnsi="Arial"/>
          <w:sz w:val="16"/>
          <w:szCs w:val="16"/>
          <w:color w:val="auto"/>
        </w:rPr>
        <w:t>.”</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strongly believe Dr. Ortiz has devoted, and will continue to devote, sufficient time to carry out his Weatherford board duties effectively. The boards of Banco BTG Pactual and BTG Pactual Participations meet at the same time and belong to the same group of companies. Dr. Ortiz service on these boards does not detract from his service on Weatherford’s board. As described on page 8 of our proxy statement along with his biography, Dr. Ortiz has: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international finance and banking experience in the public and private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expertise regarding global economic matters and multi-national financing, an important element of the Company’s global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perspective, with a focus on Latin America; and he is 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frequent speaker, author of topical articles, and educator, providing a current perspective on financial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CONTINUES TO RECOMMEND THAT YOU VOTE “</w:t>
      </w:r>
      <w:r>
        <w:rPr>
          <w:rFonts w:ascii="Arial" w:cs="Arial" w:eastAsia="Arial" w:hAnsi="Arial"/>
          <w:sz w:val="18"/>
          <w:szCs w:val="18"/>
          <w:b w:val="1"/>
          <w:bCs w:val="1"/>
          <w:color w:val="auto"/>
        </w:rPr>
        <w:t>FOR</w:t>
      </w:r>
      <w:r>
        <w:rPr>
          <w:rFonts w:ascii="Arial" w:cs="Arial" w:eastAsia="Arial" w:hAnsi="Arial"/>
          <w:sz w:val="18"/>
          <w:szCs w:val="18"/>
          <w:color w:val="auto"/>
        </w:rPr>
        <w:t>” EACH NOMINEE FOR DIRECTOR.</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have not voted, you may still vote your shares until the voting deadline set forth in the Proxy Statement: (</w:t>
      </w:r>
      <w:r>
        <w:rPr>
          <w:rFonts w:ascii="Arial" w:cs="Arial" w:eastAsia="Arial" w:hAnsi="Arial"/>
          <w:sz w:val="18"/>
          <w:szCs w:val="18"/>
          <w:i w:val="1"/>
          <w:iCs w:val="1"/>
          <w:color w:val="auto"/>
        </w:rPr>
        <w:t>5:59 a.m. (Central European Time) on June</w:t>
      </w:r>
      <w:r>
        <w:rPr>
          <w:rFonts w:ascii="Arial" w:cs="Arial" w:eastAsia="Arial" w:hAnsi="Arial"/>
          <w:sz w:val="18"/>
          <w:szCs w:val="18"/>
          <w:color w:val="auto"/>
        </w:rPr>
        <w:t xml:space="preserve"> </w:t>
      </w:r>
      <w:r>
        <w:rPr>
          <w:rFonts w:ascii="Arial" w:cs="Arial" w:eastAsia="Arial" w:hAnsi="Arial"/>
          <w:sz w:val="18"/>
          <w:szCs w:val="18"/>
          <w:i w:val="1"/>
          <w:iCs w:val="1"/>
          <w:color w:val="auto"/>
        </w:rPr>
        <w:t>14, 2017 (11:59 p.m. (Eastern Time) on June 13, 2017</w:t>
      </w:r>
      <w:r>
        <w:rPr>
          <w:rFonts w:ascii="Arial" w:cs="Arial" w:eastAsia="Arial" w:hAnsi="Arial"/>
          <w:sz w:val="18"/>
          <w:szCs w:val="18"/>
          <w:color w:val="auto"/>
        </w:rPr>
        <w: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have already voted your shares and wish to change your vote, you may still do so. Please let us know if you wish to discuss. Contact information is below.</w:t>
      </w:r>
    </w:p>
    <w:p>
      <w:pPr>
        <w:spacing w:after="0" w:line="170" w:lineRule="exact"/>
        <w:rPr>
          <w:sz w:val="20"/>
          <w:szCs w:val="20"/>
          <w:color w:val="auto"/>
        </w:rPr>
      </w:pPr>
    </w:p>
    <w:p>
      <w:pPr>
        <w:ind w:left="660" w:right="12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Karen David-Green, Vice President of Investor Relations and Marketing and Communications, Phone: 713.836.7430, </w:t>
      </w:r>
      <w:r>
        <w:rPr>
          <w:rFonts w:ascii="Arial" w:cs="Arial" w:eastAsia="Arial" w:hAnsi="Arial"/>
          <w:sz w:val="18"/>
          <w:szCs w:val="18"/>
          <w:u w:val="single" w:color="auto"/>
          <w:color w:val="0000FF"/>
        </w:rPr>
        <w:t>Karen.David-Green@weatherford.com</w:t>
      </w:r>
      <w:r>
        <w:rPr>
          <w:rFonts w:ascii="Arial" w:cs="Arial" w:eastAsia="Arial" w:hAnsi="Arial"/>
          <w:sz w:val="18"/>
          <w:szCs w:val="18"/>
          <w:color w:val="000000"/>
        </w:rPr>
        <w:t>; or</w:t>
      </w:r>
    </w:p>
    <w:p>
      <w:pPr>
        <w:spacing w:after="0" w:line="1" w:lineRule="exact"/>
        <w:rPr>
          <w:rFonts w:ascii="Arial" w:cs="Arial" w:eastAsia="Arial" w:hAnsi="Arial"/>
          <w:sz w:val="18"/>
          <w:szCs w:val="18"/>
          <w:color w:val="auto"/>
        </w:rPr>
      </w:pPr>
    </w:p>
    <w:p>
      <w:pPr>
        <w:ind w:left="660" w:right="25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Christina M. Ibrahim, Executive Vice President, General Counsel and Corporate Secretary, Phone: 713.836.7024, </w:t>
      </w:r>
      <w:r>
        <w:rPr>
          <w:rFonts w:ascii="Arial" w:cs="Arial" w:eastAsia="Arial" w:hAnsi="Arial"/>
          <w:sz w:val="18"/>
          <w:szCs w:val="18"/>
          <w:u w:val="single" w:color="auto"/>
          <w:color w:val="0000FF"/>
        </w:rPr>
        <w:t>Christina.Ibrahim@weatherford.com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time and consideration of this matter.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Kindest Regards,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Karen David-Green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 and Marketing and Communications</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2019-12-07T22:58:26Z</dcterms:created>
  <dcterms:modified xsi:type="dcterms:W3CDTF">2019-12-07T22:58:26Z</dcterms:modified>
</cp:coreProperties>
</file>