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2016</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48"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19, 2016, there were 896,151,597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Form 10-Q for the Six Months Ended June 30,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ind w:left="60"/>
              <w:spacing w:after="0"/>
              <w:rPr>
                <w:sz w:val="20"/>
                <w:szCs w:val="20"/>
                <w:color w:val="auto"/>
              </w:rPr>
            </w:pPr>
            <w:r>
              <w:rPr>
                <w:rFonts w:ascii="Arial" w:cs="Arial" w:eastAsia="Arial" w:hAnsi="Arial"/>
                <w:sz w:val="17"/>
                <w:szCs w:val="17"/>
                <w:b w:val="1"/>
                <w:bCs w:val="1"/>
                <w:color w:val="auto"/>
              </w:rPr>
              <w:t>Three Months Ended</w:t>
            </w:r>
          </w:p>
        </w:tc>
        <w:tc>
          <w:tcPr>
            <w:tcW w:w="19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Six Months Ended June</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79"/>
              </w:rPr>
              <w:t>30,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5"/>
              <w:spacing w:after="0"/>
              <w:rPr>
                <w:sz w:val="20"/>
                <w:szCs w:val="20"/>
                <w:color w:val="auto"/>
              </w:rPr>
            </w:pPr>
            <w:r>
              <w:rPr>
                <w:rFonts w:ascii="Arial" w:cs="Arial" w:eastAsia="Arial" w:hAnsi="Arial"/>
                <w:sz w:val="17"/>
                <w:szCs w:val="17"/>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55"/>
              <w:spacing w:after="0"/>
              <w:rPr>
                <w:sz w:val="20"/>
                <w:szCs w:val="20"/>
                <w:color w:val="auto"/>
              </w:rPr>
            </w:pPr>
            <w:r>
              <w:rPr>
                <w:rFonts w:ascii="Arial" w:cs="Arial" w:eastAsia="Arial" w:hAnsi="Arial"/>
                <w:sz w:val="17"/>
                <w:szCs w:val="17"/>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Products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1,039</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3,253</w:t>
            </w:r>
          </w:p>
        </w:tc>
        <w:tc>
          <w:tcPr>
            <w:tcW w:w="0" w:type="dxa"/>
            <w:vAlign w:val="bottom"/>
          </w:tcPr>
          <w:p>
            <w:pPr>
              <w:spacing w:after="0"/>
              <w:rPr>
                <w:sz w:val="1"/>
                <w:szCs w:val="1"/>
                <w:color w:val="auto"/>
              </w:rPr>
            </w:pP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2,390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2,987</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5,184</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1,214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2,513</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Asset Write-Downs and Other Charges</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Investment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Loss on Sale of Businesses, Net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5,598</w:t>
            </w: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Income Tax Benefit</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(1.24)</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31"/>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192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9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Six Months Ended June</w:t>
            </w: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30,</w:t>
            </w:r>
          </w:p>
        </w:tc>
        <w:tc>
          <w:tcPr>
            <w:tcW w:w="7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60" w:type="dxa"/>
            <w:vAlign w:val="bottom"/>
          </w:tcPr>
          <w:p>
            <w:pPr>
              <w:jc w:val="center"/>
              <w:ind w:left="161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8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$95 in 2016 and $113 in 2015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w:t>
            </w:r>
          </w:p>
        </w:tc>
      </w:tr>
      <w:tr>
        <w:trPr>
          <w:trHeight w:val="32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of Accumulated Depreciation of $7,369 in 2016 and $7,235 in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$818 in 2016 and $783 in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97"/>
        </w:trPr>
        <w:tc>
          <w:tcPr>
            <w:tcW w:w="84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31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5,852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10,395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1"/>
              </w:rPr>
              <w:t>Shares - Par Value $0.001; Authorized 1,356 shares, Issued and Outstanding 896 shares at June 30, 2016 and 779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shares at December 31, 2015</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5,502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Retained (Deficit) Earnings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4,304</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r>
      <w:tr>
        <w:trPr>
          <w:trHeight w:val="25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14,760</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627</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Long-Lived Assets Impairment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 Write-Downs and Other Related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Equity Investment Impairment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64"/>
        </w:trPr>
        <w:tc>
          <w:tcPr>
            <w:tcW w:w="9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Intellectual Property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Insurance Proceeds Related to Rig Loss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 and Businesses,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Payment Related to Sale of Business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64"/>
        </w:trPr>
        <w:tc>
          <w:tcPr>
            <w:tcW w:w="9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Borrowings of Long-term Debt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Borrowings (Repayments) of Short-term Debt,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Ordinary Common Shares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9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410" w:gutter="0" w:footer="0" w:header="0"/>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of a normal recurring nature which, in our opinion, are necessary to present fairly our Condensed Consolidated Balance Sheets at June 30, 2016 and December 31, 2015, Condensed Consolidated Statements of Operations and Condensed Consolidated Statements of Comprehensive Income (Loss) for the three and six months ended June 30, 2016 and 2015, and Condensed Consolidated Statements of Cash Flows for the six months ended June 30, 2016 and 2015.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8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2015 included in our Annual Report on Form 10-K. The results of operations for the three and six months ended June 30, 2016 are not necessarily indicative of the results expected for the year ending December 31, 2016.</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Certain prior year amounts have been reclassified to conform to the current year presentation related to the adoption of new accounting standards. Net income and shareholders’ equity were not affected by these reclassifications. See “Note 17 – New Accounting Pronouncements” for additional details.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3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and 2015, currency devaluation charges reflect the impact of the devaluation of the Angolan kwanza of $31 million and the Venezuelan bolivar of $26 million, respectively. In the second quarter of 2015, the Angolan kwanza devalued approximately 11% and we recognized foreign exchange related charges of $16 million. The currency devaluation charges are included in current earnings in the line captioned “Currency Devaluation Charges” on the accompanying Condensed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continuing crude oil prices fluctuation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2016 Plan, we recognized restructuring charges of $51 million and $128 million in the second quarter and the first six months of 2016, respectively, which include termination (severance) benefits of $36 million and $108 million, respectively, and other restructuring charges of $15 million and $20 million, respectively. Other restructuring charges include contract termination costs, relocation and other associated costs.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fourth quarter of 2014, we announced a cost reduction plan (the “2015 Plan”), which included a worldwide workforce reduction and other cost reduction measures. In the second quarter and the first six months of 2015, we recognized restructuring charges of $69 million and $110 million for the 2015 Plan, which include termination (severance) benefits of $19 million and $59 million, respectively, and other restructuring charges of $50 million and $51 million, respectively. Other restructuring charges include contract termination costs, relocation and other associated costs.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the 2016 Plan and the 2015 Plan restructuring charges by segment for the second quarter and the first six months of 2016 and 2015.</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 30, 2016</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80" w:type="dxa"/>
            <w:vAlign w:val="bottom"/>
          </w:tcPr>
          <w:p>
            <w:pPr>
              <w:spacing w:after="0"/>
              <w:rPr>
                <w:sz w:val="23"/>
                <w:szCs w:val="23"/>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June 30, 2015</w:t>
            </w:r>
          </w:p>
        </w:tc>
      </w:tr>
      <w:tr>
        <w:trPr>
          <w:trHeight w:val="27"/>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180" w:type="dxa"/>
            <w:vAlign w:val="bottom"/>
          </w:tcPr>
          <w:p>
            <w:pPr>
              <w:spacing w:after="0"/>
              <w:rPr>
                <w:sz w:val="23"/>
                <w:szCs w:val="23"/>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jc w:val="right"/>
              <w:ind w:right="141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8" w:name="page9"/>
    <w:bookmarkEnd w:id="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2016</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2015</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plans mentioned previously as well as our 2014 cost reduction plan (the “2014 Plan”)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At June 30, 2016</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2016 Plan</w:t>
            </w:r>
          </w:p>
        </w:tc>
        <w:tc>
          <w:tcPr>
            <w:tcW w:w="240" w:type="dxa"/>
            <w:vAlign w:val="bottom"/>
          </w:tcPr>
          <w:p>
            <w:pPr>
              <w:spacing w:after="0"/>
              <w:rPr>
                <w:sz w:val="20"/>
                <w:szCs w:val="20"/>
                <w:color w:val="auto"/>
              </w:rPr>
            </w:pPr>
          </w:p>
        </w:tc>
        <w:tc>
          <w:tcPr>
            <w:tcW w:w="22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2015 and 2014 Plans</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Severance</w:t>
            </w:r>
          </w:p>
        </w:tc>
        <w:tc>
          <w:tcPr>
            <w:tcW w:w="24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Severance</w:t>
            </w:r>
          </w:p>
        </w:tc>
        <w:tc>
          <w:tcPr>
            <w:tcW w:w="240" w:type="dxa"/>
            <w:vAlign w:val="bottom"/>
          </w:tcPr>
          <w:p>
            <w:pPr>
              <w:spacing w:after="0"/>
              <w:rPr>
                <w:sz w:val="23"/>
                <w:szCs w:val="23"/>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Other</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Liability</w:t>
            </w:r>
          </w:p>
        </w:tc>
        <w:tc>
          <w:tcPr>
            <w:tcW w:w="24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6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92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9" w:name="page10"/>
    <w:bookmarkEnd w:id="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7800" w:type="dxa"/>
            <w:vAlign w:val="bottom"/>
            <w:gridSpan w:val="11"/>
          </w:tcPr>
          <w:p>
            <w:pPr>
              <w:spacing w:after="0"/>
              <w:rPr>
                <w:sz w:val="20"/>
                <w:szCs w:val="20"/>
                <w:color w:val="auto"/>
              </w:rPr>
            </w:pPr>
            <w:r>
              <w:rPr>
                <w:rFonts w:ascii="Arial" w:cs="Arial" w:eastAsia="Arial" w:hAnsi="Arial"/>
                <w:sz w:val="18"/>
                <w:szCs w:val="18"/>
                <w:color w:val="auto"/>
              </w:rPr>
              <w:t>The following table presents the restructuring liability activity for the first six months of 2016.</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Six Months Ended June 30, 2016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2016</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Percentage-of-Completion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our long-term early production facility construction contracts in Iraq under the percentage-of-completion method. In the second quarter of 2016, we recognized an estimated project income of $52 million for our Zubair contract, and in the first six months of 2016 we are break-even. Cumulative estimated loss from the Iraq contracts was $532 million as of June 30, 2016.</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26, 2016, we entered into an agreement with our customer containing the terms and conditions of the settlement on the Zubair contract. The settlement to be paid to us is a gross amount of $150 million, of which $62 million was received in the second quarter 2016, and includes variation order requests, claims for extension of time, payments of remaining contract milestones and new project completion timelines that resulted in relief from the liquidated damages provisions. Of the remaining gross settlement, we expect to collect $72 million in the second half of 2016 and the last $16 million in the first quarter of 2017.</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2016, we have no claims revenue, and our percentage-of-completion project estimate includes $25 million in newly approved change orders and $32 million of back charges. Our net billings in excess of costs as of June 30, 2016 were $39 million and are shown in the “Other Current Liabilities” line on the Consolidated Balance Sheet.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and the first six months of 2015, we recognized estimated project losses of $69 million and $27 million, respectively, related to our long-term early production facility construction contracts in Iraq accounted for under the percentage-of-completion method. Cumulative estimated losses on these projects were $406 million at June 30, 2015. As of June 30, 2015, our percentage-of-completion project estimates include $137 million of claims revenue and $21 million of back charges.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Accounts Receivable Factoring and Other Receivables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six months of 2016, we sold approximately $77 million of accounts receivable. We received cash totaling $76 million and recognized a loss of $0.3 million. Our factoring transactions in the six months ended June 30, 2016 qualified for sale accounting under U.S. GAAP, and the proceeds are included in operating cash flows in our Condensed Consolidated Statements of Cash Flows. We did not sell any accounts receivable during the six months ended June 30, 2015.</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Petroleos de Venezuela, S.A. (“PDVSA”) in exchange for $120 million in trade receivables. The note has a three year term at a 6.5% stated interest rate. We may decide to sell this note in the future and have classified the note in “Other Non-Current Assets” on the accompanying Condensed Consolidated Balance Sheets. We carry the note at lower of cost or fair value and recognized a loss of $84 million to adjust the note to fair value.</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first six months ended June 30,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North</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Latin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America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284</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288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color w:val="auto"/>
              </w:rPr>
              <w:t>7. Short-term Borrowings and Other Debt Obligations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Current portion of long-term debt and term loan agreement</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4, 2016, we entered into an amended and restated revolving credit facility (the “A&amp;R Credit Agreement”) in the amount of $1.38 billion and a $500 million secured term loan agreement (the “Term Loan Agreement” and collectively with the A&amp;R Credit Agreement, the “Credit Agreements”). For lenders that have agreed to extend their commitments (“extending lenders”), the A&amp;R Credit Agreement matures in July of 2019. For lenders that did not agree to extend their commitments (such lenders, representing $229 million, the “non-extending lenders”), the A&amp;R Credit Agreement matures in July of 2017. The Term Loan Agreement matures on July of 2020, and beginning September 30, 2016, a principal repayment of $12.5 million is required on the last day of each quarter. At June 30, 2016, we had $1.31 billion available for borrowing under our A&amp;R Credit Agreement and there were $26 million in outstanding letters of credit.</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 We also incur a quarterly facility fee on the amount of the A&amp;R Credit Agreement. See Note 8 – Long-term Debt, for information related to interest rate applicable for the Term Loan Agreement.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Eurodollar Loans. </w:t>
      </w:r>
      <w:r>
        <w:rPr>
          <w:rFonts w:ascii="Arial" w:cs="Arial" w:eastAsia="Arial" w:hAnsi="Arial"/>
          <w:sz w:val="17"/>
          <w:szCs w:val="17"/>
          <w:color w:val="auto"/>
        </w:rPr>
        <w:t>Eurodollar loans bear interest at the Eurodollar rate, which is LIBOR,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Eurodollar loans under the A&amp;R Credit Agreement depends on whether the lender is an extending lender or a non-extending lender. For non-extending lenders, the applicable margin under the A&amp;R Credit Agreement ranges from 0.75% to 1.925% depending on our credit rating, and for extending lenders under the A&amp;R Credit Agreement the applicable margin ranges from 1.925% to 3.7% depending on our leverage ratio.</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Alternate Base Rate Loans. </w:t>
      </w:r>
      <w:r>
        <w:rPr>
          <w:rFonts w:ascii="Arial" w:cs="Arial" w:eastAsia="Arial" w:hAnsi="Arial"/>
          <w:sz w:val="17"/>
          <w:szCs w:val="17"/>
          <w:color w:val="auto"/>
        </w:rPr>
        <w:t>Alternate base rate loans bear interest at the alternate base rate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alternate base rate loans under the A&amp;R Credit Agreement depends on whether the lender is an extending lender or a non-extending lender. For non-extending lenders, the applicable margin under the A&amp;R Credit Agreement ranges from 0.0% to 0.925% depending on our credit rating, and for extending lenders the applicable margin under the A&amp;R Credit Agreement ranges from 0.925% to 2.7% depending on our leverage ratio.</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Borrowings under our A&amp;R Credit Agreement may be repaid from time to time without penalty. Obligations under the Term Loan Agreement are secured by substantially all of our assets. In addition, obligations under the Credit Agreements are guaranteed by a material portion of our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contain covenants including, among others, the following:</w:t>
      </w:r>
    </w:p>
    <w:p>
      <w:pPr>
        <w:spacing w:after="0" w:line="63"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restriction on creating liens on our assets and the assets of our operating subsidiaries,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mergers or asset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 and</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63"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leverage ratio of no greater than 3 to 1 through December 31, 2016 and 2.5 to 1 thereafter until maturity. This ratio measures our indebtedness guaranteed by subsidiaries under the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 to 1 on or before December 31, 2016 and 3.5 to 1 thereafter calculated as our indebtedness guaranteed by subsidiaries under the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right="20" w:hanging="323"/>
        <w:spacing w:after="0" w:line="277" w:lineRule="auto"/>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asset coverage ratio of at least 4 to 1, which is calculated as our asset value to indebtedness guaranteed by subsidiaries under the Credit Agreements and other guaranteed facilities.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described above. As of June 30, 2016, we were in compliance with these financial covenants.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July 19, 2016, we amended these facilities to make minor changes and amendments to certain collateral provisions, negative covenants and related definitions, and to add an accordion feature to permit new and existing lenders to add up to a maximum of $250 million in additional commitments.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June 30, 2016, we had $73 million in short-term borrowings under these arrangements, primarily from overdraft facility borrowings. In the first six months of 2016, we repaid $180 million borrowed under a credit agreement that matured on March 20, 2016 and June 20, 2016. In addition, we had $590 million of letters of credit under various uncommitted facilities and $149 million of surety bonds, primarily performance bonds, issued by financial sureties against an indemnification from us at June 30, 2016.</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2016, the current portion of long-term debt was primarily related to our 6.35% Senior Notes due 2017 and the current portion of our secured term loan and capital leases. Our 5.50% senior notes with a principal balance of $350 million were repaid in February 2016.</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June 30, 2016</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5.875% Exchangeable Senior Notes due 2021</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7.75% Senior Notes due 2021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8.25% Senior Notes due 2023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6.50% Senior Notes due 2036</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7.00% Senior Notes due 2038</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9.875% Senior Notes due 2039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6.75% Senior Notes due 2040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Secured Term Loan due 2020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4.82% secured borrowing</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and other lease obligations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Senior Notes and other debt</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7,113</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6,253</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due in one year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6,943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5,852</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4, 2016, we entered into an amended and restated revolving credit facility (the “A&amp;R Credit Agreement”) and borrowed $500 million under the “Term Loan Agreement.” The interest rate under the Term Loan Agreement is variable and is determined by our leverage ratio as of the most recent fiscal quarter, as either (1) the one-month London Interbank Offered Rate (“LIBOR”) plus a variable margin rate ranging from 1.425% to 3.20% or (2) the alternate base rate plus the applicable margin ranging from 0.425% to 2.20%. For the quarter ended June 30, 2016, the interest rate for the Term Loan Agreement was LIBOR plus a margin rate of 2.30% and the interest rate for the A&amp;R Credit Agreement was LIBOR plus a margin rate of 2.80%. Beginning September 30, 2016, the Term Loan Agreement requires a principal repayment of $12.5 million on the last day of each quarter.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 Senior Notes and Tender Offers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Exchangeable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or on or after January 1, 2021. The notes mature on July 1, 2021. We have the choice to settle the exchange of the notes in any combination of cash or shares. As of June 30, 2016, the if-converted value did not exceed the principal amount of the notes.</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exchange feature is reported with a carrying amount of $97 million in the line captioned “Capital in Excess of Par Value” on the accompanying Condensed Consolidated Balance Sheets. The debt component of the exchangeable notes has been reported separately in the line captioned “Long-term Debt” on the accompanying Condensed Consolidated Balance Sheets with a carrying value of $1.136 billion at June 30, 2016 net of remaining unamortized discount and debt issue costs of $129 million. The discount on the debt component will be amortized over the remaining maturity of the exchangeable notes at an effective interest rate of 8.4%. For the quarter ended June 30, 2016, interest expense on the notes was $6 million, of which $5 million related to accrued interest and $1 million related to amortization of the discount.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17, 2016, we issued $750 million in aggregate principal amount of 7.75% senior notes due 2021 and $750 million in aggregate principal amount of 8.25% senior notes due 2023.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Offer and Early Retirement of Senior Notes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commenced a cash tender offer on June 1, 2016 (and amended the offer on June 8, 2016 and June 10, 2016), which included an early tender option with an early settlement date of June 17, 2016 and an expiration date of June 30, 2016 with a final settlement date of July 1, 2016 to repurchase a portion of our 6.35% senior notes due 2017, 6.00% senior notes due 2018, 9.625% senior notes due 2019, and 5.125% senior notes due 2020. On June 17, 2016, we settled the early tender offer in cash in the amount of $1.972 billion, retiring an aggregate face value of senior notes tendered of $1.867 billion and accrued interest of $27 million. We recognized a cumulative loss of $78 million on these transactions in the line captioned “Bond Tender Premium, Net” on the accompanying Consolidated Statements of Operations. On June 30, 2016, we accepted additional tenders of an additional $2 million of debt, which we settled in cash on July 1, 2016.</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six months of 2015, through a series of open market transactions, we repurchased certain of our 4.5% senior notes, 5.95% senior notes, 6.5% senior notes and 6.75% senior notes with a total book value of $160 million. We recognized a cumulative gain of approximately $12 million on these transactions in the line captioned “Other, Net” on the accompanying Consolidated Statements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Fair Value of Financial Instruments, Assets and Equity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10 – Derivative Instruments,” we had no other material assets or liabilities measured and recognized at fair value on a recurring basis at June 30, 2016 and December 31,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interest rate at which the debt was originally issued. The fair value of our long-term debt is classified as Level 2 in the fair value hierarchy and is established based on observable inputs in less active markets.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8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r>
      <w:tr>
        <w:trPr>
          <w:trHeight w:val="243"/>
        </w:trPr>
        <w:tc>
          <w:tcPr>
            <w:tcW w:w="6800" w:type="dxa"/>
            <w:vAlign w:val="bottom"/>
            <w:gridSpan w:val="3"/>
          </w:tcPr>
          <w:p>
            <w:pPr>
              <w:ind w:left="40"/>
              <w:spacing w:after="0"/>
              <w:rPr>
                <w:sz w:val="20"/>
                <w:szCs w:val="20"/>
                <w:color w:val="auto"/>
              </w:rPr>
            </w:pPr>
            <w:r>
              <w:rPr>
                <w:rFonts w:ascii="Arial" w:cs="Arial" w:eastAsia="Arial" w:hAnsi="Arial"/>
                <w:sz w:val="18"/>
                <w:szCs w:val="18"/>
                <w:color w:val="auto"/>
              </w:rPr>
              <w:t>Carrying value</w:t>
            </w:r>
          </w:p>
        </w:tc>
        <w:tc>
          <w:tcPr>
            <w:tcW w:w="1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2015, long-lived pressure pumping assets and an equity investment were impaired and written down to their estimated fair values. The Level 3 fair value of the long-lived assets was determined using a combination of the cost approach and the market approach, which used inputs that included replacement costs (unobservable), physical deterioration estimates (unobservable), and market sales data for comparable assets. The equity investment Level 3 fair value was determined using an income based approach utilizing estimates of future cash flow, discount rate, long-term growth rate, and marketability discount, all of which were unobservable.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2016, we adjusted the note from PDVSA to its estimated fair value. The Level 3 fair value was estimated based on unobservable pricing indications.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June 30, 2016, we did not have any fair value hedge designated.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2016, we had net unamortized premiums on fixed-rate debt of $9 million associated with fair value hedge terminations. These premiums are being amortized over the remaining term of the originally hedged debt as a reduction in interest expense included in the line captioned “Interest Expense, Net” on the accompanying Condensed Consolidated Statements of Operations.</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32"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June 30, 2016, we had net unamortized losses of $9 million associated with our cash flow hedge terminations. As of June 30, 2016, we did not have any cash flow hedges designated.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June 30, 2016 and December 31, 2015, we had outstanding foreign currency forward contracts with notional amounts aggregating to $1.6 billion and $1.7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2016, we had no cross-currency swaps as we settled our cross-currency swap arrangements in the first quarter of 2015.</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the line captioned “Other, Net” on the accompanying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2016</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97"/>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7"/>
        </w:trPr>
        <w:tc>
          <w:tcPr>
            <w:tcW w:w="5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Three Months Ended June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20"/>
                <w:szCs w:val="20"/>
                <w:color w:val="auto"/>
              </w:rPr>
            </w:pPr>
          </w:p>
        </w:tc>
        <w:tc>
          <w:tcPr>
            <w:tcW w:w="2480" w:type="dxa"/>
            <w:vAlign w:val="bottom"/>
            <w:gridSpan w:val="4"/>
          </w:tcPr>
          <w:p>
            <w:pPr>
              <w:ind w:left="160"/>
              <w:spacing w:after="0"/>
              <w:rPr>
                <w:sz w:val="20"/>
                <w:szCs w:val="20"/>
                <w:color w:val="auto"/>
              </w:rPr>
            </w:pPr>
            <w:r>
              <w:rPr>
                <w:rFonts w:ascii="Arial" w:cs="Arial" w:eastAsia="Arial" w:hAnsi="Arial"/>
                <w:sz w:val="18"/>
                <w:szCs w:val="18"/>
                <w:b w:val="1"/>
                <w:bCs w:val="1"/>
                <w:color w:val="auto"/>
                <w:w w:val="98"/>
              </w:rPr>
              <w:t>Six Months Ended June 30,</w:t>
            </w:r>
          </w:p>
        </w:tc>
        <w:tc>
          <w:tcPr>
            <w:tcW w:w="2060" w:type="dxa"/>
            <w:vAlign w:val="bottom"/>
          </w:tcPr>
          <w:p>
            <w:pPr>
              <w:spacing w:after="0"/>
              <w:rPr>
                <w:sz w:val="20"/>
                <w:szCs w:val="20"/>
                <w:color w:val="auto"/>
              </w:rPr>
            </w:pPr>
          </w:p>
        </w:tc>
      </w:tr>
      <w:tr>
        <w:trPr>
          <w:trHeight w:val="27"/>
        </w:trPr>
        <w:tc>
          <w:tcPr>
            <w:tcW w:w="448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60" w:type="dxa"/>
            <w:vAlign w:val="bottom"/>
          </w:tcPr>
          <w:p>
            <w:pPr>
              <w:ind w:left="5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Other, Net</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second quarter and the first six months of 2016, we had a tax benefit of $102 million and $203 million, respectively, on a loss before income taxes of $664 million and $1.26 billion, respectively. Our results for the second quarter of 2016 include charges with no significant tax benefit principally related to $75 million of settlement charges, $78 million of bond tender premium, and $84 million of PDVSA note adjustment, partially offset by $52 million of Zubair project gains with no significant tax expense. Our results for the first six months of 2016 include charges with no significant tax benefit principally related to $140 million of settlement charges, $31 million of currency devaluation related to the Angolan kwanza, $78 million of bond tender premium, and $84 million of PDVSA note adjustment.</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$42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For both the second quarter and the first six months of 2015, we had a $132 million tax benefit on a loss before income taxes of $615 million and $722 million, respectively. Our results for the second quarter of 2015 includes $112 million of litigation settlements, $69 million of project losses, $16 million of devaluation of the Angolan kwanza currency, $20 million of equity investment impairment and $69 million of restructuring charges, with no significant tax benefit. Our results for the first six months of 2015 includes $112 million of litigation settlements, $27 million of project losses, $42 million of currency devaluation, $20 million of equity investment impairment and $110 million of restructuring charges, with no significant tax benefit.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six months ended June 30, 2016 and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Issuance of Exchangeable Notes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2016, we issued 115 million ordinary shares of the Company and the amount in excess of par value of $623 million is reported in the line captioned “Capital in Excess of Par Value ” on the accompanying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the line captioned “Capital in Excess of Par Value” on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six months of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for the second quarter of 2015 relates to the conversion of one of our international pension plans from a defined benefit plan to a defined contribution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w w:val="94"/>
              </w:rPr>
              <w:t>The following discloses basic and diluted weighted average shares outstanding: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7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r>
      <w:tr>
        <w:trPr>
          <w:trHeight w:val="27"/>
        </w:trPr>
        <w:tc>
          <w:tcPr>
            <w:tcW w:w="7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2015</w:t>
            </w:r>
          </w:p>
        </w:tc>
      </w:tr>
      <w:tr>
        <w:trPr>
          <w:trHeight w:val="27"/>
        </w:trPr>
        <w:tc>
          <w:tcPr>
            <w:tcW w:w="7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r>
      <w:tr>
        <w:trPr>
          <w:trHeight w:val="27"/>
        </w:trPr>
        <w:tc>
          <w:tcPr>
            <w:tcW w:w="76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basic and diluted weighted average shares outstanding for the periods presented are equivalent due to the net loss attributable to shareholders. Diluted weighted average shares outstanding for the second quarter and the first six months of 2016 and 2015 exclude potential shares for stock options, restricted shares, performance units and exchangeable notes outstanding as we have net losses for those periods, and their inclusion would be anti-dilutive.</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The following table discloses the number of anti-dilutive shares excluded: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20" w:type="dxa"/>
            <w:vAlign w:val="bottom"/>
            <w:gridSpan w:val="4"/>
          </w:tcPr>
          <w:p>
            <w:pPr>
              <w:ind w:left="66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90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99"/>
              </w:rPr>
              <w:t>43</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52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49" w:right="239" w:bottom="1440" w:gutter="0" w:footer="0" w:header="0"/>
          <w:type w:val="continuous"/>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second quarter and the first six months of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six months of 2016, we granted approximately 2.1 million performance units to certain employees, which will vest with continued employment if the Company meets certain market-based performance goals. The performance units have a weighted average grant date fair value of $5.11 per share based on the Monte Carlo simulation method. The assumptions used in the Monte Carlo simulation included a risk-free rate of 0.80%, volatility of 68% and a zero dividend yield. As of June 30, 2016, there was $15 million of unrecognized compensation expense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six months of 2016, we also granted 2.9 million restricted shares at a weighted average grant date fair value of $6.31 per share. As of June 30, 2016, there was $96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1"/>
              </w:rPr>
              <w:t>Three Months Ended June 30, 2016</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(a)</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3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$84 million to adjust a note from PDVSA to fair value and other impairments and write-offs of $70 million.</w:t>
      </w:r>
    </w:p>
    <w:p>
      <w:pPr>
        <w:spacing w:after="0" w:line="23" w:lineRule="exact"/>
        <w:rPr>
          <w:rFonts w:ascii="Arial" w:cs="Arial" w:eastAsia="Arial" w:hAnsi="Arial"/>
          <w:sz w:val="18"/>
          <w:szCs w:val="18"/>
          <w:color w:val="auto"/>
        </w:rPr>
      </w:pPr>
    </w:p>
    <w:p>
      <w:pPr>
        <w:ind w:left="500" w:hanging="330"/>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restructuring charges of $51 million: $15 million in North America, $10 million in Europe/SSA/Russia, $12 million in Latin America, $11 million in MENA/Asia Pacific, $2 million in Corporate and Research and Development, and $1 million in Land Drilling Rigs.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-431165</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3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1"/>
              </w:rPr>
              <w:t>Three Months Ended June 30, 2015</w:t>
            </w:r>
          </w:p>
        </w:tc>
        <w:tc>
          <w:tcPr>
            <w:tcW w:w="156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Income (Loss)</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8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from</w:t>
            </w:r>
          </w:p>
        </w:tc>
        <w:tc>
          <w:tcPr>
            <w:tcW w:w="380" w:type="dxa"/>
            <w:vAlign w:val="bottom"/>
          </w:tcPr>
          <w:p>
            <w:pPr>
              <w:spacing w:after="0"/>
              <w:rPr>
                <w:sz w:val="18"/>
                <w:szCs w:val="18"/>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Operations</w:t>
            </w:r>
          </w:p>
        </w:tc>
        <w:tc>
          <w:tcPr>
            <w:tcW w:w="380" w:type="dxa"/>
            <w:vAlign w:val="bottom"/>
          </w:tcPr>
          <w:p>
            <w:pPr>
              <w:spacing w:after="0"/>
              <w:rPr>
                <w:sz w:val="20"/>
                <w:szCs w:val="20"/>
                <w:color w:val="auto"/>
              </w:rPr>
            </w:pPr>
          </w:p>
        </w:tc>
        <w:tc>
          <w:tcPr>
            <w:tcW w:w="15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7"/>
        </w:trPr>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3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(c)</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Equity Investment Impairment</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Litigation Charges</w:t>
            </w: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on Sale of Businesses, Net</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Borders>
              <w:bottom w:val="single" w:sz="8" w:color="CCEEFF"/>
            </w:tcBorders>
            <w:gridSpan w:val="3"/>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7"/>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r>
      <w:tr>
        <w:trPr>
          <w:trHeight w:val="20"/>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480" w:hanging="330"/>
        <w:spacing w:after="0" w:line="250"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asset impairment charges of $124 million, pressure pumping business related charges of $37 million and supply agreement charges related to non-core business divestiture of $20 million.</w:t>
      </w:r>
    </w:p>
    <w:p>
      <w:pPr>
        <w:ind w:left="480" w:right="20" w:hanging="330"/>
        <w:spacing w:after="0" w:line="250"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restructuring charges of $69 million: $21 million in North America, $29 million in MENA/Asia Pacific, $14 million in Europe/SSA/Russia, $4 million in Latin America, and $1 million in Land Drilling Rigs.</w:t>
      </w:r>
    </w:p>
    <w:p>
      <w:pPr>
        <w:ind w:left="480" w:right="20" w:hanging="330"/>
        <w:spacing w:after="0" w:line="26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professional fees of $3 million related to the divestiture of non-core businesses, facility closure fees of $3 million, restatement related litigation, post-settlement monitor and auditor expenses and other charges of $2 million.</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gridSpan w:val="6"/>
          </w:tcPr>
          <w:p>
            <w:pPr>
              <w:jc w:val="center"/>
              <w:ind w:left="1210"/>
              <w:spacing w:after="0"/>
              <w:rPr>
                <w:sz w:val="20"/>
                <w:szCs w:val="20"/>
                <w:color w:val="auto"/>
              </w:rPr>
            </w:pPr>
            <w:r>
              <w:rPr>
                <w:rFonts w:ascii="Arial" w:cs="Arial" w:eastAsia="Arial" w:hAnsi="Arial"/>
                <w:sz w:val="18"/>
                <w:szCs w:val="18"/>
                <w:b w:val="1"/>
                <w:bCs w:val="1"/>
                <w:color w:val="auto"/>
                <w:w w:val="90"/>
              </w:rPr>
              <w:t>Six Months Ended June 30, 2016</w:t>
            </w:r>
          </w:p>
        </w:tc>
        <w:tc>
          <w:tcPr>
            <w:tcW w:w="16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 (Loss)</w:t>
            </w:r>
          </w:p>
        </w:tc>
        <w:tc>
          <w:tcPr>
            <w:tcW w:w="320" w:type="dxa"/>
            <w:vAlign w:val="bottom"/>
          </w:tcPr>
          <w:p>
            <w:pPr>
              <w:spacing w:after="0"/>
              <w:rPr>
                <w:sz w:val="18"/>
                <w:szCs w:val="18"/>
                <w:color w:val="auto"/>
              </w:rPr>
            </w:pPr>
          </w:p>
        </w:tc>
        <w:tc>
          <w:tcPr>
            <w:tcW w:w="1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5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from</w:t>
            </w:r>
          </w:p>
        </w:tc>
        <w:tc>
          <w:tcPr>
            <w:tcW w:w="320" w:type="dxa"/>
            <w:vAlign w:val="bottom"/>
          </w:tcPr>
          <w:p>
            <w:pPr>
              <w:spacing w:after="0"/>
              <w:rPr>
                <w:sz w:val="18"/>
                <w:szCs w:val="18"/>
                <w:color w:val="auto"/>
              </w:rPr>
            </w:pPr>
          </w:p>
        </w:tc>
        <w:tc>
          <w:tcPr>
            <w:tcW w:w="16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320" w:type="dxa"/>
            <w:vAlign w:val="bottom"/>
          </w:tcPr>
          <w:p>
            <w:pPr>
              <w:spacing w:after="0"/>
              <w:rPr>
                <w:sz w:val="20"/>
                <w:szCs w:val="20"/>
                <w:color w:val="auto"/>
              </w:rPr>
            </w:pPr>
          </w:p>
        </w:tc>
        <w:tc>
          <w:tcPr>
            <w:tcW w:w="1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(a)</w:t>
            </w: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3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Loss on Sale of Businesses, Net</w:t>
            </w: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ind w:left="480" w:hanging="330"/>
        <w:spacing w:after="0" w:line="250"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$84 million to adjust a note from PDVSA to fair value, $20 million in pressure pumping business related charges, $15 million in supply agreement charges related to a non-core business divestiture, and other impairments and write-offs of $92 million.</w:t>
      </w:r>
    </w:p>
    <w:p>
      <w:pPr>
        <w:ind w:left="480" w:hanging="330"/>
        <w:spacing w:after="0" w:line="261"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restructuring charges of $128 million: $39 million in North America, $25 million in Europe/SSA/Russia, $27 million in Latin America, $20 million in MENA/Asia Pacific, $12 million in Corporate and Research and Development and $5 million in Land Drilling Rigs.</w:t>
      </w:r>
    </w:p>
    <w:p>
      <w:pPr>
        <w:sectPr>
          <w:pgSz w:w="11900" w:h="16838" w:orient="portrait"/>
          <w:cols w:equalWidth="0" w:num="1">
            <w:col w:w="11400"/>
          </w:cols>
          <w:pgMar w:left="260" w:top="4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60" w:top="432" w:right="239" w:bottom="1440" w:gutter="0" w:footer="0" w:header="0"/>
          <w:type w:val="continuous"/>
        </w:sectPr>
      </w:pPr>
    </w:p>
    <w:bookmarkStart w:id="20" w:name="page21"/>
    <w:bookmarkEnd w:id="20"/>
    <w:tbl>
      <w:tblPr>
        <w:tblLayout w:type="fixed"/>
        <w:tblInd w:w="340" w:type="dxa"/>
        <w:tblCellMar>
          <w:top w:w="0" w:type="dxa"/>
          <w:left w:w="0" w:type="dxa"/>
          <w:bottom w:w="0" w:type="dxa"/>
          <w:right w:w="0" w:type="dxa"/>
        </w:tblCellMar>
      </w:tblPr>
      <w:tr>
        <w:trPr>
          <w:trHeight w:val="207"/>
        </w:trPr>
        <w:tc>
          <w:tcPr>
            <w:tcW w:w="5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42"/>
        </w:trPr>
        <w:tc>
          <w:tcPr>
            <w:tcW w:w="2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6"/>
          </w:tcPr>
          <w:p>
            <w:pPr>
              <w:jc w:val="center"/>
              <w:ind w:left="1130"/>
              <w:spacing w:after="0"/>
              <w:rPr>
                <w:sz w:val="20"/>
                <w:szCs w:val="20"/>
                <w:color w:val="auto"/>
              </w:rPr>
            </w:pPr>
            <w:r>
              <w:rPr>
                <w:rFonts w:ascii="Arial" w:cs="Arial" w:eastAsia="Arial" w:hAnsi="Arial"/>
                <w:sz w:val="18"/>
                <w:szCs w:val="18"/>
                <w:b w:val="1"/>
                <w:bCs w:val="1"/>
                <w:color w:val="auto"/>
                <w:w w:val="89"/>
              </w:rPr>
              <w:t>Six Months Ended June 30, 2015</w:t>
            </w:r>
          </w:p>
        </w:tc>
        <w:tc>
          <w:tcPr>
            <w:tcW w:w="1500" w:type="dxa"/>
            <w:vAlign w:val="bottom"/>
          </w:tcPr>
          <w:p>
            <w:pPr>
              <w:spacing w:after="0"/>
              <w:rPr>
                <w:sz w:val="24"/>
                <w:szCs w:val="24"/>
                <w:color w:val="auto"/>
              </w:rPr>
            </w:pP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 (Loss)</w:t>
            </w:r>
          </w:p>
        </w:tc>
        <w:tc>
          <w:tcPr>
            <w:tcW w:w="3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32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26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0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22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320" w:type="dxa"/>
            <w:vAlign w:val="bottom"/>
          </w:tcPr>
          <w:p>
            <w:pPr>
              <w:spacing w:after="0"/>
              <w:rPr>
                <w:sz w:val="20"/>
                <w:szCs w:val="20"/>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6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5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Write-Downs and Other Charges </w:t>
            </w:r>
            <w:r>
              <w:rPr>
                <w:rFonts w:ascii="Arial" w:cs="Arial" w:eastAsia="Arial" w:hAnsi="Arial"/>
                <w:sz w:val="25"/>
                <w:szCs w:val="25"/>
                <w:color w:val="auto"/>
                <w:vertAlign w:val="superscript"/>
              </w:rPr>
              <w:t>(c)</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Equity Investment Impairment</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50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Litigation Charges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Businesses, Net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50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r>
      <w:tr>
        <w:trPr>
          <w:trHeight w:val="257"/>
        </w:trPr>
        <w:tc>
          <w:tcPr>
            <w:tcW w:w="260" w:type="dxa"/>
            <w:vAlign w:val="bottom"/>
          </w:tcPr>
          <w:p>
            <w:pPr>
              <w:spacing w:after="0"/>
              <w:rPr>
                <w:sz w:val="22"/>
                <w:szCs w:val="22"/>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r>
      <w:tr>
        <w:trPr>
          <w:trHeight w:val="20"/>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ind w:left="500" w:hanging="330"/>
        <w:spacing w:after="0" w:line="250"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asset impairment charges of $124 million, pressure pumping business related charges of $37 million and supply agreement charges related to non-core business divestiture of $30 million.</w:t>
      </w:r>
    </w:p>
    <w:p>
      <w:pPr>
        <w:ind w:left="500" w:right="20" w:hanging="330"/>
        <w:spacing w:after="0" w:line="265" w:lineRule="auto"/>
        <w:tabs>
          <w:tab w:leader="none" w:pos="431"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restructuring charges of $110 million: $29 million in North America, $35 million in MENA/Asia Pacific, $21 million in Europe/SSA/Russia, $16 million in Latin America, $6 million in Land Drilling Rigs and $3 million in Corporate and Research and Development.</w:t>
      </w:r>
    </w:p>
    <w:p>
      <w:pPr>
        <w:ind w:left="500" w:hanging="330"/>
        <w:spacing w:after="0" w:line="261" w:lineRule="auto"/>
        <w:tabs>
          <w:tab w:leader="none" w:pos="4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professional fees of $5 million related to the divestiture of our non-core businesses, facility closure fees of $3 million, restatement related litigation, post-settlement monitor and auditor expenses and other charges of $11 million.</w:t>
      </w:r>
    </w:p>
    <w:p>
      <w:pPr>
        <w:spacing w:after="0" w:line="179" w:lineRule="exact"/>
        <w:rPr>
          <w:rFonts w:ascii="Arial" w:cs="Arial" w:eastAsia="Arial" w:hAnsi="Arial"/>
          <w:sz w:val="18"/>
          <w:szCs w:val="18"/>
          <w:color w:val="auto"/>
        </w:rPr>
      </w:pPr>
    </w:p>
    <w:p>
      <w:pPr>
        <w:ind w:left="600" w:hanging="268"/>
        <w:spacing w:after="0"/>
        <w:tabs>
          <w:tab w:leader="none" w:pos="6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That case, captioned </w:t>
      </w:r>
      <w:r>
        <w:rPr>
          <w:rFonts w:ascii="Arial" w:cs="Arial" w:eastAsia="Arial" w:hAnsi="Arial"/>
          <w:sz w:val="17"/>
          <w:szCs w:val="17"/>
          <w:i w:val="1"/>
          <w:iCs w:val="1"/>
          <w:color w:val="auto"/>
        </w:rPr>
        <w:t>Erste-Sparinvest KAG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w:t>
      </w:r>
      <w:r>
        <w:rPr>
          <w:rFonts w:ascii="Arial" w:cs="Arial" w:eastAsia="Arial" w:hAnsi="Arial"/>
          <w:sz w:val="17"/>
          <w:szCs w:val="17"/>
          <w:color w:val="auto"/>
        </w:rPr>
        <w:t>Case in September 2014. A motion to dismiss was granted May</w:t>
      </w:r>
      <w:r>
        <w:rPr>
          <w:rFonts w:ascii="Arial" w:cs="Arial" w:eastAsia="Arial" w:hAnsi="Arial"/>
          <w:sz w:val="17"/>
          <w:szCs w:val="17"/>
          <w:i w:val="1"/>
          <w:iCs w:val="1"/>
          <w:color w:val="auto"/>
        </w:rPr>
        <w:t xml:space="preserve"> </w:t>
      </w:r>
      <w:r>
        <w:rPr>
          <w:rFonts w:ascii="Arial" w:cs="Arial" w:eastAsia="Arial" w:hAnsi="Arial"/>
          <w:sz w:val="17"/>
          <w:szCs w:val="17"/>
          <w:color w:val="auto"/>
        </w:rPr>
        <w:t>15, 2015 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w:t>
      </w:r>
      <w:r>
        <w:rPr>
          <w:rFonts w:ascii="Arial" w:cs="Arial" w:eastAsia="Arial" w:hAnsi="Arial"/>
          <w:sz w:val="18"/>
          <w:szCs w:val="18"/>
          <w:color w:val="auto"/>
        </w:rPr>
        <w:t xml:space="preserve"> Case, the aggregate impact to our financial condition could be material.</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2"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4, 2015, the U.S. District Court for the Southern District of New York entered a final judgment and an order approving the settlement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shareholder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settlement, we were required to pay $120 million in 2015, which was partially funded by insurance proceeds. There was no admission of liability or fault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party in connection with the settlement. We are pursuing reimbursement from our insurance carriers and have recovered a total of $19 million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settlement amount, of which $4 million have been recovered in 2016.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previously disclosed, the SEC and the U.S. Department of Justice (“DOJ”) are also investigating the circumstances surrounding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and have been discussing a resolution with the SEC. During the first quarter 2016, after progress made in the continued discussion on potential resolutions with the SEC, we recorded a loss contingency in the amount of $65 million. In the second quarter 2016, our negotiations continued to advance, and we have increased our loss contingency to $140 million as our best estimate for the potential settlement of this matter. However, uncertainties remain pending the ultimate resolution of the investigation, and we may ultimately not reach a final settlement with the government.</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we have arrived at an agreement during the second quarter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 contractual residual value guarantee at June 30, 2016 of $28 million in the line captioned “Other Non-Current Liabilities” on the accompanying Consolidated Balance Sheets related to certain leased equipment in our North America pressure pumping business.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supply contract related minimum purchase commitments and maintain a liability at June 30, 2016 of $135 million for expected penalties to be paid, of which $29 million is recorded in current liabilities and $106 million is recorded in other non-current liabilities on our Consolidated Balance Sheets.</w:t>
      </w:r>
    </w:p>
    <w:p>
      <w:pPr>
        <w:spacing w:after="0" w:line="36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2015, the Financial Accounting Standards Board (“FASB”) issued ASU 2015-03, </w:t>
      </w:r>
      <w:r>
        <w:rPr>
          <w:rFonts w:ascii="Arial" w:cs="Arial" w:eastAsia="Arial" w:hAnsi="Arial"/>
          <w:sz w:val="18"/>
          <w:szCs w:val="18"/>
          <w:i w:val="1"/>
          <w:iCs w:val="1"/>
          <w:color w:val="auto"/>
        </w:rPr>
        <w:t>Interest - Imputation of Interest (Subtopic 835-30):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Debt Issuance Costs</w:t>
      </w:r>
      <w:r>
        <w:rPr>
          <w:rFonts w:ascii="Arial" w:cs="Arial" w:eastAsia="Arial" w:hAnsi="Arial"/>
          <w:sz w:val="18"/>
          <w:szCs w:val="18"/>
          <w:color w:val="auto"/>
        </w:rPr>
        <w:t>, which requires that debt issuance costs related to a recognized debt liability be presented in the balance sheet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 deduction from the carrying amount of that debt liability. We adopted ASU 2015-03 in the first quarter of 2016 retrospectively, which reduced Long-term debt and Other non-current assets by $27 million as of December 31,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financial assets measured at amortized cost basis to be presented at the net amount expected to be collected.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trade receivables and requires expected credit losses to be based on past events, current conditions and reasonable and supportable forecasts that affect the instrument’s collectability. The new standard will be effective for us beginning with the first quarter of 2020. Early adoption is permitted in 2019. We are evaluating the impact that this new standard will have on our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impacts certain aspects of the accounting for share-based payment transactions. This update provides various transition requirements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both prospective, modified retrospective and retrospective application guidance. The new standard will be effective for us beginning with the first quarter of 2017. Early adoption is permitted, but it must include all amendments in the same period. We are evaluating the impact that this new standard will have on our Condensed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 lessee to recognize a lease asset and lease liability for most leases, including those classified as operating leases under existing GAAP. The ASU also changes the definition of a lease and requires expanded quantitative and qualitative disclosures for both lessees and lessors. The new standard will be effective for us beginning with the first quarter of 2019. Early application is permitted. The standard requires the use of a modified retrospective transition method and permits certain practical expedients to be applied. We are evaluating the effect that ASU 2016-02 will have on our Condensed Consolidated Financial Statements.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November 2015, the FASB issued ASU 2015-17</w:t>
      </w:r>
      <w:r>
        <w:rPr>
          <w:rFonts w:ascii="Arial" w:cs="Arial" w:eastAsia="Arial" w:hAnsi="Arial"/>
          <w:sz w:val="17"/>
          <w:szCs w:val="17"/>
          <w:i w:val="1"/>
          <w:iCs w:val="1"/>
          <w:color w:val="auto"/>
        </w:rPr>
        <w:t>, Income Taxes (Topic 740): Balance Sheet Classification of Deferred Taxes,</w:t>
      </w:r>
      <w:r>
        <w:rPr>
          <w:rFonts w:ascii="Arial" w:cs="Arial" w:eastAsia="Arial" w:hAnsi="Arial"/>
          <w:sz w:val="17"/>
          <w:szCs w:val="17"/>
          <w:color w:val="auto"/>
        </w:rPr>
        <w:t xml:space="preserve"> which eliminates the current requirement to present deferred tax liabilities and assets as current and noncurrent in a classified balance sheet. Instead, all deferred tax assets and liabilities will be required to be classified as noncurrent. The new standard will be effective for us beginning with the first quarter of 2017. Early adoption is permitted. We are evaluating the impact that this new standard will have on our Condensed Consolidated Financial Statements.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us beginning with the first quarter of 2017, and will be applied prospectively. Early adoption is permitted. We do not expect the impact of our adoption to have a material effect on our Condensed Consolidated Financial Statements.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will require an entity to recognize revenue to depict the transfer of promised goods or services to customers in an amount that reflects the consideration to which the entity expects to be entitled in exchange for those goods or services. ASU 2014-09 will replace most existing revenue recognition guidance in GAAP when it becomes effective.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deferred the effective date of ASU 2014-09 to annual and interim periods in fiscal years beginning after December 15, 2017. Earlier application is permitted only as of annual and interim reporting periods in fiscal years beginning after December 15, 2016. ASU 2014-09 permits either a retrospective application or a cumulative effect transition method. We have not yet selected the application date or a transition method, and we are currently evaluating the impact our adoption of this standard would have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2016 and December 31, 2015: (1) 6.50% senior notes, (2) 6.00% senior notes, (3) 7.00% senior notes, (4) 9.625% senior notes, (5) 9.875% senior notes, (6) 5.125% senior notes, (7) 6.75% senior notes, (8) 4.50% senior notes and (9) 5.95% senior notes. At December 31, 2015, Weatherford Delaware also guaranteed the revolving credit facility and the 5.50% senior notes of Weatherford Bermuda.</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2016: (1) A&amp;R Credit Agreement, (2) Term Loan Agreement, (3) 5.875% exchangeable senior notes, (4) 7.750% senior notes and (5) 8.250% senior notes.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14,112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6,473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10,995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9,689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20,769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(32,062)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14,112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8,709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9,196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28,670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2016</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Insurance Proceeds Related to Rig Loss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Issuance of Ordinary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2015</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conduct operations globally and have service and sales locations in nearly all of the oil and natural gas producing regions in the world. Our operational performance is reviewed on a geographic basis, and we report these regions as separate, distinct reporting segments.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Services, Testing and Production Services, Re-entry and Fishing Services, Cementing, Liner Systems, Integrated Laboratory Services and Surface Logging Systems.</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related to adoption of new accounting standards. Net income and shareholders’ equity were not affected by these reclassifications. See “Note 17 – New Accounting Pronouncements” to our Condensed Consolidated Financial Statements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1" w:lineRule="exact"/>
              <w:rPr>
                <w:sz w:val="20"/>
                <w:szCs w:val="20"/>
                <w:color w:val="auto"/>
              </w:rPr>
            </w:pPr>
            <w:r>
              <w:rPr>
                <w:rFonts w:ascii="Arial" w:cs="Arial" w:eastAsia="Arial" w:hAnsi="Arial"/>
                <w:sz w:val="30"/>
                <w:szCs w:val="30"/>
                <w:b w:val="1"/>
                <w:bCs w:val="1"/>
                <w:color w:val="auto"/>
                <w:w w:val="88"/>
                <w:vertAlign w:val="subscript"/>
              </w:rPr>
              <w:t>Gas</w:t>
            </w:r>
            <w:r>
              <w:rPr>
                <w:rFonts w:ascii="Arial" w:cs="Arial" w:eastAsia="Arial" w:hAnsi="Arial"/>
                <w:sz w:val="12"/>
                <w:szCs w:val="12"/>
                <w:b w:val="1"/>
                <w:bCs w:val="1"/>
                <w:color w:val="auto"/>
                <w:w w:val="88"/>
              </w:rPr>
              <w:t xml:space="preserve"> (b)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2015</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as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Average rig count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00" w:lineRule="exact"/>
        <w:rPr>
          <w:sz w:val="20"/>
          <w:szCs w:val="20"/>
          <w:color w:val="auto"/>
        </w:rPr>
      </w:pP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six months of 2016, oil prices ranged from a high of $51.23 per barrel in early June to a low of less than of $27.00 per barrel on the New York Mercantile Exchange. Natural gas ranged from a high of $2.92 MM/BTU in late June to a low of $1.64 MM/BTU in early March.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first half of 2016 has been challenged by the continued weakness in oil prices and severe market contraction for our services, but we believe the bottom of the down cycle has been reached and that the industry is at the beginning of a modest recovery. The market weakness and contraction has materially reduced capital spending by our customers, which has reduced our revenue, both through lower activity levels and pricing. In response to the weakness in the price of crude oil and the decline in the anticipated level of exploration and production spending in 2016, we previously announced a workforce reduction of 8,000 and have substantially completed this plan as of June 30, 2016. We continue to meet our target to close nine manufacturing and service facilities during 2016 as seven closures were completed by the end of second quarter 2016. We now project to close over 70 of our operating and non-operating facilities in 2016 and have completed over 50 of those closures at the end of the second quarter.</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the weak market conditions to begin recovering on land during the second half of the year and to be concentrated in North America, MENA and Russia. We also expect pricing to stabilize in the remainder of 2016 with no further large pricing concessions and potentially, the beginning of some small increases in select markets. North America land activity is expected to begin increasing slowly, initially driven by Pressure Pumping, Artificial Lift and Completion. Internationally, we expect Latin America to be roughly flat at second quarter levels in the second half of 2016 and remain flat by the end of the year, modest growth in Europe/SSA/Russia from increases in market share and activity primarily from Russia and modest recovery in MENA/Asia Pacific from increased activity and market share primarily in the Gulf States. Over the longer term, we believe the outlook for our core businesses is favorable. As decline rates accelerate for well production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Any such debt reduction may include the repurchase of our outstanding senior notes prior to their maturity in the open market similar to the transactions from the second quarter 2016, or through a privately negotiated transaction or otherwise.</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second quarter of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394 %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Asset Write-Downs and Other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Investment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Loss on Sale of Businesses,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675"/>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six months of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55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Land Drilling Rigs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50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Asset Write-Downs and Other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Investment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5500" w:type="dxa"/>
            <w:vAlign w:val="bottom"/>
          </w:tcPr>
          <w:p>
            <w:pPr>
              <w:ind w:left="180"/>
              <w:spacing w:after="0"/>
              <w:rPr>
                <w:sz w:val="20"/>
                <w:szCs w:val="20"/>
                <w:color w:val="auto"/>
              </w:rPr>
            </w:pPr>
            <w:r>
              <w:rPr>
                <w:rFonts w:ascii="Arial" w:cs="Arial" w:eastAsia="Arial" w:hAnsi="Arial"/>
                <w:sz w:val="17"/>
                <w:szCs w:val="17"/>
                <w:color w:val="auto"/>
              </w:rPr>
              <w:t>Loss on Sale of Businesses,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Premium,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675"/>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chart contains the percentage distribution of our consolidated revenues by product service line group for the second quarter and the first six months of 2016 and 2015:</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540" w:type="dxa"/>
            <w:vAlign w:val="bottom"/>
          </w:tcPr>
          <w:p>
            <w:pPr>
              <w:spacing w:after="0"/>
              <w:rPr>
                <w:sz w:val="23"/>
                <w:szCs w:val="23"/>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r>
      <w:tr>
        <w:trPr>
          <w:trHeight w:val="27"/>
        </w:trPr>
        <w:tc>
          <w:tcPr>
            <w:tcW w:w="4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Completion and Production</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4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Consolidated revenues decreased $1.0 billion, or 41%, and $2.2 billion, or 42%, in the second quarter and the first six months of 2016 compared to the second quarter and the first six months of 2015, respectively. Revenues decreased in the second quarter of 2016 across all of our segments with declines of $407 million, or 50%, in North America, $505 million, or 36%, in our International segments and $76 million, or 41%, in Land Drilling Rigs compared to the second quarter of 2015. Revenues also decreased in the first six months of 2016 across all of our segments with declines of $1.0 billion, or 52%, in North America, $1.0 billion, or 36%, in our International segments and $152 million, or 40%, in Land Drilling Rigs compared to the first six months of 2015. International revenues represent revenues of our regional segments other than North America and the Land Drilling Rigs segments. The decline in North American revenue is consistent with the 53% decrease in North American rig count since the second quarter of 2015 with significant declines across product lines in the United States and Canada, particularly pressure pumping, artificial lift, intervention services and drilling services. The decline in the North America segment was driven by a combination of lower activity and customer pricing pressure.</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decline in revenues in our International segments was due to the 19% decrease in international rig count since the end of the second quarter of 2015 as well as declines in revenue from our Europe/Russia/SSA and Latin America segments due to pricing pressure and reduced activity from lower customer spending across our product lines. The MENA/Asia Pacific segment revenues declined due to decrease in customer activity, partly offset by an improvement from the recognition of revenue as part of the settlement agreement signed for the Zubair percentage-of-completion project in Iraq. The decline in our Land Drilling Rigs revenue is primarily attributable to the decline in drilling activity consistent with the rig count declines.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Consolidated operating loss improved $4 million, or 1%, and increased $493 million, or 119%, in the second quarter and the first six months of 2016 compared to the second quarter and the first six months of 2015, respectively. The lower operating loss in the second quarter was due to income recognized from the settlement of our Zubair percentage-of-completion project, reduced corporate expenses and research and development from our cost reduction measures and lower charges related to asset write-downs and other charges, partially offset by low customer activity levels and pricing pressure due to continued low crude oil price. The continued decline for the first six months of 2016 compared to the first six months of 2015 was due to the continued lower customer activity levels and pricing pressure that negatively impacted the segment results.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loss for the second quarter of 2016 and consolidated operating loss for the second quarter of 2015 also includes charges of $319 million and $395 million, respectively. The charges in each quarter are as follows:</w:t>
      </w:r>
    </w:p>
    <w:p>
      <w:pPr>
        <w:spacing w:after="0" w:line="279" w:lineRule="exact"/>
        <w:rPr>
          <w:sz w:val="20"/>
          <w:szCs w:val="20"/>
          <w:color w:val="auto"/>
        </w:rPr>
      </w:pPr>
    </w:p>
    <w:p>
      <w:pPr>
        <w:jc w:val="both"/>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$154 million in 2016 in asset write-downs and other charges primarily include a fair value adjustment to a note from Petroleos de Venezuela, S.A. (“PDVSA”), and other asset write-offs and impairments compared to $181 million in 2015 primarily related to the supply contract and asset base impairments of our U.S. pressure pumping business;</w:t>
      </w:r>
    </w:p>
    <w:p>
      <w:pPr>
        <w:spacing w:after="0" w:line="73"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$114 million in 2016 primarily for the increase in litigation reserves as result of significant advancement in negotiations with the ongoing restatement related litigation related to prior periods with the SEC/DOJ compared to $112 million in 2015 of litigation charges related to U.S. government investigations and other restatement related litigation;</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$51 million in 2016 compared to $69 million in 2015 of severance and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 million in 2015 related to the impairment of an equity method investment;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million in 2015 of professional and other fees, divestiture related charges, loss on sale of businesses, and other charges.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loss for the first six months of 2016 and consolidated operating loss for the first six months of 2015 also primarily includes charges of $520 million and $452 million, respectively. The charges in each six month period are as follows:</w:t>
      </w:r>
    </w:p>
    <w:p>
      <w:pPr>
        <w:spacing w:after="0" w:line="170" w:lineRule="exact"/>
        <w:rPr>
          <w:sz w:val="20"/>
          <w:szCs w:val="20"/>
          <w:color w:val="auto"/>
        </w:rPr>
      </w:pPr>
    </w:p>
    <w:p>
      <w:pPr>
        <w:jc w:val="both"/>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$211 million in 2016 in asset write-downs and other charges primarily include a fair value adjustment to our PDVSA note, other asset write-offs and impairments and pressure pumping business related charges compared to $191 million in 2015 primarily related to the supply contract and fixed asset impairments of our U.S. pressure pumping business;</w:t>
      </w:r>
    </w:p>
    <w:p>
      <w:pPr>
        <w:spacing w:after="0" w:line="73"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$181 million in 2016 primarily for the increase in litigation reserves as result of significant advancement in negotiations with the ongoing restatement related litigation related to prior periods with the SEC/DOJ compared to $112 million in 2015 of litigation charges related to U.S. government investigations and other restatement related litigation;</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$128 million in 2016 compared to $110 million in 2015 of severance and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million in 2015 related to the impairment of an equity method investment;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 million in 2015 of professional and other fees, divestiture related charges and other charges.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charges by segment, see the subsection entitled “Segment Results” and “Restructuring Charges” below.</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North America segment decreased $407 million, or 50%, in the second quarter of 2016 and $1.0 billion, or 52%, during the first six months of 2016 compared to the second quarter and the first six months of 2015, respectively. North American average rig count has decreased 53% since June 30, 2015. The decline in revenue in the second quarter and the first six months of 2016 was due to lower activity and pricing pressure that broadly impacted all product lines, particularly artificial lift, intervention services and drilling tools, pressure pumping and completions.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loss in our North America segment increased $9 million, or 10%, in the second quarter of 2016 and $127 million, or 125%, during the first six months of 2016 compared to the second quarter and the first six months of 2015, respectively. Operating loss in the second quarter and for the first six months of 2016 compared to 2015 is due to lower activity and pricing pressure impacting the profitability of artificial lift, intervention services and drilling tools, and completions, partially offset by cost savings from operating and non-operating facility closures, headcount reductions, lower depreciation and amortization due to decreased capital spending and impairments. These strong cost reduction measures helped minimize the operating losses despite the large revenue declines.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MENA/Asia Pacific segment decreased $116 million, or 22%, in the second quarter of 2016 and $288 million, or 27%, during the first six months of 2016 compared to the second quarter and the first six months of 2015, respectively. The revenue decline affected most product lines, primarily completion, tubular running services and intervention services and drilling tools. The decline was attributable to lower revenues in Saudi Arabia and Iraq and lower activity in the Asia Pacific region, particularly in Australia, China and Malaysia, partially offset by income in Iraq from the settlement agreement of our Zubair contract.</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income of $50 million in the second quarter of 2016 improved $67 million, or 394%, compared to the second quarter of 2015, which is primarily attributable to the income from the Zubair contract settlement.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$39 million to $4 million, or 91%, during the first six months of 2016 compared to the same period in 2015. The decrease in operating income is primarily attributable to lower activity across most product lines, partially offset by the profit recognition from the Zubair contract settlement.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Europe/SSA/Russia segment decreased $175 million, or 42%, in the second quarter of 2016 and $335 million, or 40% during the first six months of 2016 compared to the second quarter and the first six months of 2015, respectively. The decline in customer activity and overall lower demand impacted all product lines and was concentrated in the Europe and SSA regions, and primarily in the United Kingdom and Angola. Russia was negatively impacted by lower winter seasonal activity and a minimal seasonal recovery compared to the prior year.</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$64 million, or 98%, in the second quarter of 2016 and $136 million, or 100%, during the first six months of 2016 compared to the second quarter and the first six months of 2015, respectively. The factors contributing to the revenue decline directly impacted the operating income decline.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Latin America segment decreased $214 million, or 46%, in the second quarter of 2016 and $395 million, or 42%, during the first six months of 2016 compared to the second quarter and the first six months of 2015, respectively. The decline in revenue is primarily due to customer pricing adjustments and budget cuts as well as reduced demand broadly impacting all product lines.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Operating income decreased $75 million, or 99%, in the second quarter of 2016 and $129 million, or 74%, during the first six months of 2016 compared to the second quarter and the first six months of 2015, respectively. The decline in operating income is primarily due to customer pricing adjustments.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$76 million, or 41%, in the second quarter of 2016 and $152 million, or 40%, during the first six months of 2016 compared to the second quarter and the first six months of 2015. Operating income decreased $21 million, or 525%, in the second quarter of 2016 and $57 million, or 407%, during the first six months of 2016 compared to the second quarter and first six months of 2015. The decreases are due to the overall decrease in the international rig count, pricing pressures, reduced drilling activity and lost time due to delays in rig transport, which negatively impacted our operations primarily in MENA.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2016 and 2015, currency devaluation charges reflect the impact of the devaluation of the Angolan kwanza of $31 million and the Venezuelan bolivar of $26 million, respectively. In the second quarter of 2015, the Angolan kwanza devalued approximately 11%, and we recognized foreign exchange related charges of $16 million. The currency devaluation charges are included in current earnings in the line captioned “Currency Devaluation Charges” on the accompanying Condensed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the line captioned “Other, Net” on the accompanying Condensed Consolidated Statements of Operations are other net foreign currency losses of $5 million and net foreign currency gains of $2 million in the second quarter and the first six months of 2016, respectively, compared to losses of $14 million and $26 million in the second quarter and the first six months of 2015, respectively. The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interest expense was $119 million and $234 million for the second quarter and the first six months of 2016, respectively, compared to $117 million and $237 million for the second quarter and the first six months of 2015, respectively. The changes in interest expense for the second quarter and the first six months of 2016 were primarily due to the issuance of new notes in June, bond tender offering and lower debt balances due to the repayment of debt and the repurchase of certain senior notes in the past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second quarter and the first six months of 2016, we had a tax benefit of $102 million and $203 million, respectively, on a loss before income taxes of $664 million and $1.26 billion, respectively. Our results for the second quarter of 2016 include charges with no significant tax benefit principally related to $75 million of settlement charges, $78 million of bond tender premium, and $84 million of PDVSA note adjustment, partially offset by $52 million of Zubair project gains with no significant tax expense. Our results for the first six months of 2016 include charges with no significant tax benefit principally related to $140 million of settlement charges, $31 million of currency devaluation related to the Angolan kwanza, $78 million of bond tender premium, and $84 million of PDVSA note adjustment.</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$42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For both the second quarter and the first six months of 2015, we had a $132 million tax benefit on a loss before income taxes of $615 million and $722 million, respectively. Our results for the second quarter of 2015 includes $112 million of litigation settlements, $69 million of project losses, $16 million of devaluation of the Angolan kwanza currency, $20 million of equity investment impairment and $69 million of restructuring charges, with no significant tax benefit. Our results for the first six months of 2015 includes $112 million of litigation settlements, $27 million of project losses, $42 million of currency devaluation, $20 million of equity investment impairment and $110 million of restructuring charges, with no significant tax benefit.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continuing crude oil prices fluctuation and our anticipation of a lower level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2016 Plan, we recognized restructuring charges of $51 million and $128 million in the second quarter and the first six months of 2016, respectively, which include termination (severance) benefits of $36 million and $108 million, respectively, and other restructuring charges of $15 million and $20 million, respectively. Other restructuring charges include contract termination costs, relocation and other associated costs.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2014, we announced a cost reduction plan (the “2015 Plan”), which included a worldwide workforce reduction and other cost reduction measures. In the second quarter and the first six months of 2015, we recognized restructuring charges of $69 million and $110 million for the 2015 Plan, which include termination (severance) benefits of $19 million and $59 million, respectively, and other restructuring charges of $50 million and $51 million, respectively.</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the 2016 Plan and the 2015 Plan restructuring charges by segment for the second quarter and the first six months of 2016 and 2015.</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2016</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2015</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39</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2016</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90"/>
              </w:rPr>
              <w:t>Six Months Ended June 30, 2015</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60" w:top="432" w:right="4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2016, we had cash and cash equivalents of $452 million compared to $467 million at December 31, 2015. The following table summarizes cash flows provided by (used in) each type of activity for the first six months of 2016 and 2015:</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7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7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six months of 2016, cash used in operating activities was $344 million compared to cash provided by operating activities of $249 million in the first six months of 2015. The decline in operating cash flow in 2016 compared to 2015 was attributable to a decline in operating income due to the significant decline in oil prices and drilling activity, partially offset by improved cash flow from working capital.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$74 million and $411 million for the first six months of 2016 and 2015, respectively. The amount we spend for capital expenditures varies each year based on the type of contracts into which we enter, our asset availability and our expectations with respect to industry activity levels in the following year. The significant decline in capital expenditures is due to the continued price fluctuation of crude oil, continued weakness in demand, and lower than expected exploration and production spending.</w:t>
      </w:r>
    </w:p>
    <w:p>
      <w:pPr>
        <w:spacing w:after="0" w:line="18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the first six months of 2016, we received $30 million of insurance proceeds from the casualty loss of a rig in Kuwait. In the second quarter of 2016, we paid $20 million for final working capital adjustment payments related to the sale of our engineered chemistry and Integrity drilling fluids businesses.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six months of 2016, we received net proceeds of $623 million from the issuance of 115 million ordinary shares of the Company. Our financing activities also consisted of the borrowing and repayment of short-term and long-term debt.</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second quarter of 2016, through a series of offerings, we received proceeds, net of underwriting fees, of $3.2 billion from the issuance of our $1.265 billion, 5.875% exchangeable senior notes, $750 million, 7.75% senior notes, $750 million, 8.25% senior notes and $500 million secured term loan.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the majority of the proceeds to fund a tender offer to buy back our 6.35% senior notes, 6.00% senior notes, 9.625% senior notes and 5.125% senior notes with a principal balance of $1.867 billion and used the remaining proceeds to repay our revolving credit facility and for general corporate purposes. We recognized a cash loss of $78 million on the tender offer buyback transaction. Total long-term debt buybacks were $161 million in the first six months of 2015.</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Short-term debt repayments were $1.4 billion in the first six months of 2016 compared to short-term borrowings of $478 million in the first six months of 2015. The short-term debt repayments in the first six months of 2016 were primarily for the repayment of borrowings under our credit facility and repayment of our 5.50% senior notes with a principal balance of $350 million.</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Short-term debt buybacks in the first six months of 2015 included the repurchase of certain of our 4.50% senior notes, 5.95% senior notes, 6.50% senior notes and 6.75% senior notes with a total book value of $160 million. We recognized a cumulative gain of approximately $12 million on these transactions.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Financing activities in the second quarter of 2016 included the payment of $15 million of borrowings related to previously leased rig equipment.</w:t>
      </w:r>
    </w:p>
    <w:p>
      <w:pPr>
        <w:spacing w:after="0" w:line="200" w:lineRule="exact"/>
        <w:rPr>
          <w:sz w:val="20"/>
          <w:szCs w:val="20"/>
          <w:color w:val="auto"/>
        </w:rPr>
      </w:pPr>
    </w:p>
    <w:p>
      <w:pPr>
        <w:spacing w:after="0" w:line="28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4, 2016, we entered into an amended and restated revolving credit agreement (the “A&amp;R Credit Agreement”) and a secured term loan agreement (the “Term Loan Agreement” and collectively with the A&amp;R Credit Agreement, the “Credit Agreements”). Our Credit Agreements will require that we maintain covenants, among others, the following:</w:t>
      </w:r>
    </w:p>
    <w:p>
      <w:pPr>
        <w:spacing w:after="0" w:line="181" w:lineRule="exact"/>
        <w:rPr>
          <w:sz w:val="20"/>
          <w:szCs w:val="20"/>
          <w:color w:val="auto"/>
        </w:rPr>
      </w:pPr>
    </w:p>
    <w:p>
      <w:pPr>
        <w:jc w:val="both"/>
        <w:ind w:left="1060" w:hanging="323"/>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ratio of no greater than 3 to 1 through December 31, 2016 and 2.5 to 1 thereafter until maturity. This ratio measures our indebtedness guaranteed by subsidiaries under the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 to 1 on or before December 31, 2016 and 3.5 to 1 thereafter calculated as our indebtedness guaranteed by subsidiaries under the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coverage ratio of at least 4 to 1, which is calculated as of our asset value to indebtedness guaranteed by subsidiaries under the Credit Agreements and other guaranteed facilities; and</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described above. As of June 30, 2016, we were in compliance with these new financial covenants with a leverage ratio of approximately 0.97 to 1, a leverage and letters of credit ratio of approximately 1.98 to 1 and an asset coverage ratio of more than 19.0 to 1, each as defined in the agreement. Our Credit Agreements contain customary events of default, including our failure to comply with the financial covenants described above.</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July 19, 2016, we amended these facilities to make minor changes and amendments to certain collateral provisions, negative covenants and related definitions, and added an accordion feature to permit new and existing lenders to add up to a maximum of $250 million in additional commitments.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The following summarizes our availability under the Credit Agreements at June 30, 2016 (dollars in millions):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35"/>
        </w:trPr>
        <w:tc>
          <w:tcPr>
            <w:tcW w:w="76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50"/>
        </w:trPr>
        <w:tc>
          <w:tcPr>
            <w:tcW w:w="76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43"/>
        </w:trPr>
        <w:tc>
          <w:tcPr>
            <w:tcW w:w="760" w:type="dxa"/>
            <w:vAlign w:val="bottom"/>
          </w:tcPr>
          <w:p>
            <w:pPr>
              <w:spacing w:after="0"/>
              <w:rPr>
                <w:sz w:val="21"/>
                <w:szCs w:val="21"/>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 secured term loan and other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76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6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60" w:type="dxa"/>
            <w:vAlign w:val="bottom"/>
          </w:tcPr>
          <w:p>
            <w:pPr>
              <w:spacing w:after="0"/>
              <w:rPr>
                <w:sz w:val="22"/>
                <w:szCs w:val="22"/>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Availability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0"/>
        </w:trPr>
        <w:tc>
          <w:tcPr>
            <w:tcW w:w="7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June 30, 2016, we had $73 million in short-term borrowings under these arrangements, primarily from overdraft facility borrowings. In the first six months of 2016, we repaid $180 million borrowed under a credit agreement that matured on March 20, 2016 and June 20, 2016.</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six months of 2016, we sold approximately $77 million of accounts receivable. We received cash totaling $76 million, resulting in a loss of $0.3 million. Our factoring transactions in the six months ended June 30, 2016 qualified for sale accounting under U.S. GAAP, and the proceeds are included in operating cash flows in our Condensed Consolidated Statements of Cash Flows. We did not sell any accounts receivable during the six months ended June 30, 2015.</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trade receivables. The note has a three year term and a 6.5% stated interest rate. We may decide to sell this note in the future and have classified the note in “Other Non-Current Assets” on the accompanying Condensed Consolidated Balance Sheets. We carry the note at lower of cost or fair value and recognized a loss of $84 million to adjust the note to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May 17, 2016, Standard &amp; Poor’s Global Ratings downgraded our credit ratings on our senior unsecured debt to BB– from BB+ and affirmed our short-term rating of B with a negative outlook. On May 13, 2016, Moody’s downgraded our Corporate Family Rating to B1 from Ba3 and lowered our short-term rating to SGL-4 from SGL-3 with a continued negative outlook. On June 9, 2016, Moody’s affirmed its rating of B1 and upgraded our short-term rating to SGL-3 from SGL-4 with a continued negative outlook. On May 10, 2016, Fitch Ratings lowered its credit rating on our senior unsecured debt to B+ from</w:t>
      </w:r>
    </w:p>
    <w:p>
      <w:pPr>
        <w:spacing w:after="0" w:line="2" w:lineRule="exact"/>
        <w:rPr>
          <w:sz w:val="20"/>
          <w:szCs w:val="20"/>
          <w:color w:val="auto"/>
        </w:rPr>
      </w:pPr>
    </w:p>
    <w:p>
      <w:pPr>
        <w:ind w:right="20" w:firstLine="8"/>
        <w:spacing w:after="0" w:line="261"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maintained our short-term rating at B with a continued negative outlook. We have access and expect we will continue to have access to most credit markets.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2016, we anticipate our cash requirements will include payments for capital expenditures, repayment of debt, interest payments on our outstanding debt, severance and payments for short-term working capital needs. Our cash requirements may also include opportunistic debt repurchases, business acquisitions and amounts to settle litigation related matters. We anticipate funding these requirements from cash generated from operations, availability under our existing or additional credit facilities, and if completed, proceeds from disposals of businesses or capital assets. We anticipate that cash generated from operations will be augmented by working capital improvements driven by capital discipline including further inventory reductions. Capital expenditures for 2016 are projected to be approximately $200 million, which will be 71% lower than capital expenditures of $682 million in 2015. The amounts we ultimately spend will depend on a number of factors including the type of contracts we enter into, asset availability and our expectations with respect to industry activity levels in the following year. Expenditures are expected to be used primarily to support ongoing activities of our core businesses, and our sources of liquidity are anticipated to be sufficient to meet our needs.</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Cash and cash equivalents of $451 million at June 30, 2016 are held by subsidiaries outside of Ireland. Based on the nature of our structure, we are generally able to redeploy cash with no incremental tax. As of June 30, 2016, $127 million of our cash and cash equivalent balance was denominated in Angolan kwanza. The National Bank of Angola supervises all kwanza exchange operations and has limited U.S. Dollar conversions. Prolonged Angolan exchange limitations may limit our ability to repatriate earnings and expose us to additional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June 30, 2016 and December 31, 2015: (1) 6.35% senior notes and (2) 6.80% senior notes.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2016 and December 31, 2015: (1) 6.50% senior notes, (2) 6.00% senior notes, (3) 7.00% senior notes, (4) 9.625% senior notes, (5) 9.875% senior notes, (6) 5.125% senior notes, (7) 6.75% senior notes, (8) 4.50% senior notes and (9) 5.95% senior notes. At December 31, 2015, Weatherford Delaware also guaranteed the revolving credit facility and the 5.50% senior notes of Weatherford Bermuda.</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Bermuda were guaranteed by Weatherford Delaware at June 30, 2016: (1) A&amp;R Credit Agreement, (2) Term Loan Agreement, (3) 5.875% exchangeable senior notes, (4) 7.750% senior notes and (5) 8.250% senior notes.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guarantor financial information presented in “Note 18 – Condensed Consolidating Financial Statements” to our Condensed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June 30, 2016, we had $765 million of letters of credit and performance and bid bonds outstanding, consisting of $590 million outstanding under various uncommitted credit facilities, $26 million of letters of credit outstanding under our A&amp;R Credit Agreement and $149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10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 New Accounting Pronouncements” to our Condensed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59"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820" w:right="20" w:hanging="326"/>
        <w:spacing w:after="0" w:line="298"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charges arising out of the SEC’s and DOJ’s investigation into the circumstances surrounding the prior material weakness in our internal controls over financial reporting for income taxes and the restatements of our historical financial statements in 2011 and 2012;</w:t>
      </w: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820" w:right="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Quantitative and Qualitative Disclosures about Market Risk,” in our Annual Report on Form 10-K for the fiscal year ended December 31, 2015. Our exposure to market risk has not changed materially since December 31, 2015, except as described under the subheading “</w:t>
      </w:r>
      <w:r>
        <w:rPr>
          <w:rFonts w:ascii="Arial" w:cs="Arial" w:eastAsia="Arial" w:hAnsi="Arial"/>
          <w:sz w:val="18"/>
          <w:szCs w:val="18"/>
          <w:i w:val="1"/>
          <w:iCs w:val="1"/>
          <w:color w:val="auto"/>
        </w:rPr>
        <w:t>Currency Devaluation Charges</w:t>
      </w:r>
      <w:r>
        <w:rPr>
          <w:rFonts w:ascii="Arial" w:cs="Arial" w:eastAsia="Arial" w:hAnsi="Arial"/>
          <w:sz w:val="18"/>
          <w:szCs w:val="18"/>
          <w:color w:val="auto"/>
        </w:rPr>
        <w:t>” of “Note 1 – General” to the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2016. Based on that evaluation, our CEO and CFO concluded that our disclosure controls and procedures were effective as of June 30, 2016.</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three months ended June 30, 2016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16 – Disputes, Litigation and Contingencies” to our Condensed Consolidated Financial Statements for details regarding our ongoing disputes and litigation.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2015 the U.S. Environmental Protection Agency (“EPA”) conducted an investigation and records review regarding our pressure pumping facilities for perceived violations of the Resource Conservation and Recovery Act (“RCRA”). The EPA has alleged that we failed to meet RCRA notification requirements and failed to operate within its stated generator status. During the second quarter of 2016, we accrued $244,728 as the expected fine, which is being incorporated into the terms of a Consent Agreement and Final Order with the EPA. In addition, the EPA has given us the opportunity to self-report any other waste generation notification deficiencies involving other Weatherford facilities. We are currently reviewing our records. The outcome of future settlement discussions cannot be predicted, and although it may be likely that the resolution of this matter will result in a fine in excess of $100,000, we have not accrued for additional fines until we can reasonably estimate the probable loss.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400" w:type="dxa"/>
            <w:vAlign w:val="bottom"/>
          </w:tcPr>
          <w:p>
            <w:pPr>
              <w:spacing w:after="0"/>
              <w:rPr>
                <w:sz w:val="18"/>
                <w:szCs w:val="18"/>
                <w:color w:val="auto"/>
              </w:rPr>
            </w:pPr>
          </w:p>
        </w:tc>
      </w:tr>
      <w:tr>
        <w:trPr>
          <w:trHeight w:val="23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40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r>
        <w:trPr>
          <w:trHeight w:val="222"/>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Underwriting Agreement, dated June 1, 2016, by and among Weatherford International plc (Ireland), Weatherford International Ltd.</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(Bermuda), Weatherford International, LLC (Delaware) and RBC Capital Markets, LLC and Citigroup Global Markets Inc., on behalf of</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themselves and the several underwriters named in Schedule II to the Underwriting Agreement (incorporated by reference as Exhibit 1.1 of</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Weatherford’s Form 8-K filed June 7, 2016, File No. 1-36504).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400" w:type="dxa"/>
            <w:vAlign w:val="bottom"/>
          </w:tcPr>
          <w:p>
            <w:pPr>
              <w:ind w:left="160"/>
              <w:spacing w:after="0"/>
              <w:rPr>
                <w:sz w:val="20"/>
                <w:szCs w:val="20"/>
                <w:color w:val="auto"/>
              </w:rPr>
            </w:pPr>
            <w:r>
              <w:rPr>
                <w:rFonts w:ascii="Arial" w:cs="Arial" w:eastAsia="Arial" w:hAnsi="Arial"/>
                <w:sz w:val="18"/>
                <w:szCs w:val="18"/>
                <w:color w:val="auto"/>
                <w:w w:val="97"/>
              </w:rPr>
              <w:t>Underwriting Agreement, dated June 10, 2016, by and among Weatherford International plc (Ireland), Weatherford International Ltd.</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4"/>
              </w:rPr>
              <w:t>(Bermuda), Weatherford International, LLC (Delaware) and Deutsche Bank Securities Inc. and Wells Fargo Securities, LLC, on behalf of</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3"/>
              </w:rPr>
              <w:t>themselves and the several underwriters named in Schedule II to the Underwriting Agreement (incorporated by reference as Exhibit 1.1 of</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Weatherford’s Form 8-K filed June 15,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Memorandum and Articles of Association of Weatherford International public limited company (incorporated by reference as Exhibit 2.1 of</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 Weatherford’s Form 8-K filed April 2, 2014, File No. 1-36504).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400" w:type="dxa"/>
            <w:vAlign w:val="bottom"/>
          </w:tcPr>
          <w:p>
            <w:pPr>
              <w:ind w:left="160"/>
              <w:spacing w:after="0"/>
              <w:rPr>
                <w:sz w:val="20"/>
                <w:szCs w:val="20"/>
                <w:color w:val="auto"/>
              </w:rPr>
            </w:pPr>
            <w:r>
              <w:rPr>
                <w:rFonts w:ascii="Arial" w:cs="Arial" w:eastAsia="Arial" w:hAnsi="Arial"/>
                <w:sz w:val="18"/>
                <w:szCs w:val="18"/>
                <w:color w:val="auto"/>
                <w:w w:val="92"/>
              </w:rPr>
              <w:t>Ninth Supplemental Indenture dated June 7, 2016 among Weatherford International Ltd. (Bermuda), Weatherford International plc (Ireland),</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0"/>
              </w:rPr>
              <w:t>and Weatherford International LLC (Delaware) and Deutsche Bank Trust Company Americas, as trustee, to the indenture dated as of October</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1, 2003 (incorporated by reference as Exhibit 4.1 of Weatherford’s Form 8-K filed June 7,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of global note for 5.875% Exchangeable Senior Notes due 2021 (incorporated by reference as Exhibit A of Exhibit 4.1 of</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Weatherford’s Form 8-K filed June 7, 2016, File No. 1-36504).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400" w:type="dxa"/>
            <w:vAlign w:val="bottom"/>
          </w:tcPr>
          <w:p>
            <w:pPr>
              <w:ind w:left="160"/>
              <w:spacing w:after="0"/>
              <w:rPr>
                <w:sz w:val="20"/>
                <w:szCs w:val="20"/>
                <w:color w:val="auto"/>
              </w:rPr>
            </w:pPr>
            <w:r>
              <w:rPr>
                <w:rFonts w:ascii="Arial" w:cs="Arial" w:eastAsia="Arial" w:hAnsi="Arial"/>
                <w:sz w:val="18"/>
                <w:szCs w:val="18"/>
                <w:color w:val="auto"/>
                <w:w w:val="96"/>
              </w:rPr>
              <w:t>Tenth Supplemental Indenture, dated June 17, 2016, among Weatherford International Ltd. (Bermuda), Weatherford International plc</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1"/>
              </w:rPr>
              <w:t>(Ireland), Weatherford International, LLC, (Delaware) and Deutsche Bank Trust Company Americas, as trustee (incorporated by reference as</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Exhibit 4.1 of Weatherford’s Form 8-K filed June 17,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 of global note for 7.75% Senior Notes due 2021 (incorporated by reference as Annex A of Exhibit 4.1 of Weatherford’s Form 8-K filed</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June 17, 2016, File No. 1-36504).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400" w:type="dxa"/>
            <w:vAlign w:val="bottom"/>
          </w:tcPr>
          <w:p>
            <w:pPr>
              <w:ind w:left="160"/>
              <w:spacing w:after="0"/>
              <w:rPr>
                <w:sz w:val="20"/>
                <w:szCs w:val="20"/>
                <w:color w:val="auto"/>
              </w:rPr>
            </w:pPr>
            <w:r>
              <w:rPr>
                <w:rFonts w:ascii="Arial" w:cs="Arial" w:eastAsia="Arial" w:hAnsi="Arial"/>
                <w:sz w:val="18"/>
                <w:szCs w:val="18"/>
                <w:color w:val="auto"/>
                <w:w w:val="92"/>
              </w:rPr>
              <w:t>Form of global note for 8.25% Senior Notes due 2023 (incorporated by reference as Annex B of Exhibit 4.1 of Weatherford’s Form 8-K filed</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June 17,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Amendment and Restatement Agreement, dated May 4, 2016, by and among Weatherford International plc (Ireland), Weatherford</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International Ltd. (Bermuda), as the Borrower, Weatherford International, LLC (Delaware), the lenders party thereto and JPMorgan Chase</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Bank, N.A., as administrative agent (incorporated by reference as Exhibit 10.1 of Weatherford’s Form 8-K filed May 10, 2016, File No. 1-</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400" w:type="dxa"/>
            <w:vAlign w:val="bottom"/>
          </w:tcPr>
          <w:p>
            <w:pPr>
              <w:ind w:left="160"/>
              <w:spacing w:after="0"/>
              <w:rPr>
                <w:sz w:val="20"/>
                <w:szCs w:val="20"/>
                <w:color w:val="auto"/>
              </w:rPr>
            </w:pPr>
            <w:r>
              <w:rPr>
                <w:rFonts w:ascii="Arial" w:cs="Arial" w:eastAsia="Arial" w:hAnsi="Arial"/>
                <w:sz w:val="18"/>
                <w:szCs w:val="18"/>
                <w:color w:val="auto"/>
                <w:w w:val="99"/>
              </w:rPr>
              <w:t>Amended and Restated Credit Agreement, effective as of May 9, 2016, by and among Weatherford International Ltd. (Bermuda),</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4"/>
              </w:rPr>
              <w:t>Weatherford International plc (Ireland), the other borrowers party thereto, the lenders party thereto and JPMorgan Chase Bank, N.A., as</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9"/>
              </w:rPr>
              <w:t>administrative agent (incorporated by reference as Exhibit 10.2 of Weatherford’s Form 8-K filed May 10,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5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10.3</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Term Loan Agreement, dated May 4, 2016, by and among Weatherford International Ltd. (Bermuda), as the borrower, Weatherford</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International plc, (Ireland), the lenders party thereto and JPMorgan Chase Bank, N.A., as administrative agent for the lenders (incorporated</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10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by reference as Exhibit 10.3 of Weatherford’s Form 8-K filed May 10, 2016, File No. 1-36504)</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400" w:type="dxa"/>
            <w:vAlign w:val="bottom"/>
          </w:tcPr>
          <w:p>
            <w:pPr>
              <w:ind w:left="160"/>
              <w:spacing w:after="0"/>
              <w:rPr>
                <w:sz w:val="20"/>
                <w:szCs w:val="20"/>
                <w:color w:val="auto"/>
              </w:rPr>
            </w:pPr>
            <w:r>
              <w:rPr>
                <w:rFonts w:ascii="Arial" w:cs="Arial" w:eastAsia="Arial" w:hAnsi="Arial"/>
                <w:sz w:val="18"/>
                <w:szCs w:val="18"/>
                <w:color w:val="auto"/>
                <w:w w:val="90"/>
              </w:rPr>
              <w:t>U.S. Pledge and Security Agreement, dated as of May 9, 2016, by and among the subsidiary parties thereto and JPMorgan Chase Bank, N.A.,</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0"/>
              </w:rPr>
              <w:t>as administrative agent of the Term Loan Agreement, dated May 4, 2016 (incorporated by reference as Exhibit 10.4 of Weatherford’s Form 8-</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K filed May 10, 2016, File No. 1-36504).</w:t>
            </w:r>
          </w:p>
        </w:tc>
      </w:tr>
      <w:tr>
        <w:trPr>
          <w:trHeight w:val="486"/>
        </w:trPr>
        <w:tc>
          <w:tcPr>
            <w:tcW w:w="1020" w:type="dxa"/>
            <w:vAlign w:val="bottom"/>
          </w:tcPr>
          <w:p>
            <w:pPr>
              <w:spacing w:after="0"/>
              <w:rPr>
                <w:sz w:val="24"/>
                <w:szCs w:val="24"/>
                <w:color w:val="auto"/>
              </w:rPr>
            </w:pPr>
          </w:p>
        </w:tc>
        <w:tc>
          <w:tcPr>
            <w:tcW w:w="10400" w:type="dxa"/>
            <w:vAlign w:val="bottom"/>
          </w:tcPr>
          <w:p>
            <w:pPr>
              <w:ind w:left="476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400" w:type="dxa"/>
            <w:vAlign w:val="bottom"/>
          </w:tcPr>
          <w:p>
            <w:pPr>
              <w:spacing w:after="0"/>
              <w:rPr>
                <w:sz w:val="18"/>
                <w:szCs w:val="18"/>
                <w:color w:val="auto"/>
              </w:rPr>
            </w:pPr>
          </w:p>
        </w:tc>
      </w:tr>
      <w:tr>
        <w:trPr>
          <w:trHeight w:val="234"/>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40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r>
        <w:trPr>
          <w:trHeight w:val="24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10.5</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Guaranty Agreement, dated as of May 9, 2016, by Weatherford International plc (Ireland) and certain subsidiary parties thereto, as</w:t>
            </w:r>
          </w:p>
        </w:tc>
      </w:tr>
      <w:tr>
        <w:trPr>
          <w:trHeight w:val="216"/>
        </w:trPr>
        <w:tc>
          <w:tcPr>
            <w:tcW w:w="1020" w:type="dxa"/>
            <w:vAlign w:val="bottom"/>
            <w:shd w:val="clear" w:color="auto" w:fill="CCEEFF"/>
          </w:tcPr>
          <w:p>
            <w:pPr>
              <w:spacing w:after="0"/>
              <w:rPr>
                <w:sz w:val="18"/>
                <w:szCs w:val="18"/>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guarantors, in favor of JPMorgan Chase Bank, N.A., as administrative agent of the Amended and Restated Credit Agreement, effective as of</w:t>
            </w:r>
          </w:p>
        </w:tc>
      </w:tr>
      <w:tr>
        <w:trPr>
          <w:trHeight w:val="230"/>
        </w:trPr>
        <w:tc>
          <w:tcPr>
            <w:tcW w:w="1020" w:type="dxa"/>
            <w:vAlign w:val="bottom"/>
            <w:shd w:val="clear" w:color="auto" w:fill="CCEEFF"/>
          </w:tcPr>
          <w:p>
            <w:pPr>
              <w:spacing w:after="0"/>
              <w:rPr>
                <w:sz w:val="20"/>
                <w:szCs w:val="20"/>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9, 2016 (incorporated by reference as Exhibit 10.5 of Weatherford’s Form 8-K filed May 10, 2016, File No. 1-36504).</w:t>
            </w:r>
          </w:p>
        </w:tc>
      </w:tr>
      <w:tr>
        <w:trPr>
          <w:trHeight w:val="243"/>
        </w:trPr>
        <w:tc>
          <w:tcPr>
            <w:tcW w:w="1020" w:type="dxa"/>
            <w:vAlign w:val="bottom"/>
            <w:shd w:val="clear" w:color="auto" w:fill="CCEEFF"/>
          </w:tcPr>
          <w:p>
            <w:pPr>
              <w:spacing w:after="0"/>
              <w:rPr>
                <w:sz w:val="21"/>
                <w:szCs w:val="21"/>
                <w:color w:val="auto"/>
              </w:rPr>
            </w:pPr>
          </w:p>
        </w:tc>
        <w:tc>
          <w:tcPr>
            <w:tcW w:w="10400" w:type="dxa"/>
            <w:vAlign w:val="bottom"/>
            <w:shd w:val="clear" w:color="auto" w:fill="CCEEFF"/>
          </w:tcPr>
          <w:p>
            <w:pPr>
              <w:spacing w:after="0"/>
              <w:rPr>
                <w:sz w:val="21"/>
                <w:szCs w:val="21"/>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400" w:type="dxa"/>
            <w:vAlign w:val="bottom"/>
          </w:tcPr>
          <w:p>
            <w:pPr>
              <w:ind w:left="160"/>
              <w:spacing w:after="0"/>
              <w:rPr>
                <w:sz w:val="20"/>
                <w:szCs w:val="20"/>
                <w:color w:val="auto"/>
              </w:rPr>
            </w:pPr>
            <w:r>
              <w:rPr>
                <w:rFonts w:ascii="Arial" w:cs="Arial" w:eastAsia="Arial" w:hAnsi="Arial"/>
                <w:sz w:val="18"/>
                <w:szCs w:val="18"/>
                <w:color w:val="auto"/>
                <w:w w:val="98"/>
              </w:rPr>
              <w:t>Guaranty Agreement, dated as of May 9, 2016, by Weatherford International plc (Ireland) and certain subsidiary parties thereto, as</w:t>
            </w:r>
          </w:p>
        </w:tc>
      </w:tr>
      <w:tr>
        <w:trPr>
          <w:trHeight w:val="216"/>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7"/>
              </w:rPr>
              <w:t>guarantors, in favor of JPMorgan Chase Bank, N.A., as administrative agent of the Term Loan Agreement, dated as of May 4, 2016</w:t>
            </w:r>
          </w:p>
        </w:tc>
      </w:tr>
      <w:tr>
        <w:trPr>
          <w:trHeight w:val="230"/>
        </w:trPr>
        <w:tc>
          <w:tcPr>
            <w:tcW w:w="102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(incorporated by reference as Exhibit 10.6 of Weatherford’s Form 8-K filed May 10, 2016, File No. 1-36504).</w:t>
            </w:r>
          </w:p>
        </w:tc>
      </w:tr>
      <w:tr>
        <w:trPr>
          <w:trHeight w:val="27"/>
        </w:trPr>
        <w:tc>
          <w:tcPr>
            <w:tcW w:w="1020" w:type="dxa"/>
            <w:vAlign w:val="bottom"/>
          </w:tcPr>
          <w:p>
            <w:pPr>
              <w:spacing w:after="0"/>
              <w:rPr>
                <w:sz w:val="2"/>
                <w:szCs w:val="2"/>
                <w:color w:val="auto"/>
              </w:rPr>
            </w:pPr>
          </w:p>
        </w:tc>
        <w:tc>
          <w:tcPr>
            <w:tcW w:w="10400" w:type="dxa"/>
            <w:vAlign w:val="bottom"/>
          </w:tcPr>
          <w:p>
            <w:pPr>
              <w:spacing w:after="0"/>
              <w:rPr>
                <w:sz w:val="2"/>
                <w:szCs w:val="2"/>
                <w:color w:val="auto"/>
              </w:rPr>
            </w:pPr>
          </w:p>
        </w:tc>
      </w:tr>
      <w:tr>
        <w:trPr>
          <w:trHeight w:val="229"/>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10.7</w:t>
            </w: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Form of Change of Control Agreement, entered into by Mario Ruscev on March 25, 2016 (incorporated by reference as Exhibit 10.7 of</w:t>
            </w:r>
          </w:p>
        </w:tc>
      </w:tr>
      <w:tr>
        <w:trPr>
          <w:trHeight w:val="230"/>
        </w:trPr>
        <w:tc>
          <w:tcPr>
            <w:tcW w:w="1020" w:type="dxa"/>
            <w:vAlign w:val="bottom"/>
            <w:shd w:val="clear" w:color="auto" w:fill="CCEEFF"/>
          </w:tcPr>
          <w:p>
            <w:pPr>
              <w:spacing w:after="0"/>
              <w:rPr>
                <w:sz w:val="20"/>
                <w:szCs w:val="20"/>
                <w:color w:val="auto"/>
              </w:rPr>
            </w:pPr>
          </w:p>
        </w:tc>
        <w:tc>
          <w:tcPr>
            <w:tcW w:w="10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Weatherford’s Form 10-Q filed July 24, 2015, File No. 1-36504).</w:t>
            </w:r>
          </w:p>
        </w:tc>
      </w:tr>
      <w:tr>
        <w:trPr>
          <w:trHeight w:val="243"/>
        </w:trPr>
        <w:tc>
          <w:tcPr>
            <w:tcW w:w="1020" w:type="dxa"/>
            <w:vAlign w:val="bottom"/>
            <w:shd w:val="clear" w:color="auto" w:fill="CCEEFF"/>
          </w:tcPr>
          <w:p>
            <w:pPr>
              <w:spacing w:after="0"/>
              <w:rPr>
                <w:sz w:val="21"/>
                <w:szCs w:val="21"/>
                <w:color w:val="auto"/>
              </w:rPr>
            </w:pPr>
          </w:p>
        </w:tc>
        <w:tc>
          <w:tcPr>
            <w:tcW w:w="104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63"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Quarterly Report on Form 10-Q for the quarter ended</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June 30, 2016, formatted in XBRL (eXtensible Business Reporting Language):</w:t>
      </w:r>
    </w:p>
    <w:p>
      <w:pPr>
        <w:spacing w:after="0" w:line="9" w:lineRule="exact"/>
        <w:rPr>
          <w:sz w:val="20"/>
          <w:szCs w:val="20"/>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40" w:hanging="100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20" w:type="dxa"/>
            <w:vAlign w:val="bottom"/>
          </w:tcPr>
          <w:p>
            <w:pPr>
              <w:spacing w:after="0"/>
              <w:rPr>
                <w:sz w:val="20"/>
                <w:szCs w:val="20"/>
                <w:color w:val="auto"/>
              </w:rPr>
            </w:pPr>
            <w:r>
              <w:rPr>
                <w:rFonts w:ascii="Arial" w:cs="Arial" w:eastAsia="Arial" w:hAnsi="Arial"/>
                <w:sz w:val="18"/>
                <w:szCs w:val="18"/>
                <w:color w:val="auto"/>
              </w:rPr>
              <w:t>Date: July 29, 2016</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Bernard J. Duroc-Danner</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120" w:type="dxa"/>
            <w:vAlign w:val="bottom"/>
          </w:tcPr>
          <w:p>
            <w:pPr>
              <w:spacing w:after="0"/>
              <w:rPr>
                <w:sz w:val="20"/>
                <w:szCs w:val="20"/>
                <w:color w:val="auto"/>
              </w:rPr>
            </w:pPr>
            <w:r>
              <w:rPr>
                <w:rFonts w:ascii="Arial" w:cs="Arial" w:eastAsia="Arial" w:hAnsi="Arial"/>
                <w:sz w:val="18"/>
                <w:szCs w:val="18"/>
                <w:color w:val="auto"/>
              </w:rPr>
              <w:t>Date: July 29, 2016</w:t>
            </w:r>
          </w:p>
        </w:tc>
        <w:tc>
          <w:tcPr>
            <w:tcW w:w="6060" w:type="dxa"/>
            <w:vAlign w:val="bottom"/>
            <w:gridSpan w:val="2"/>
          </w:tcPr>
          <w:p>
            <w:pPr>
              <w:ind w:left="1720"/>
              <w:spacing w:after="0"/>
              <w:rPr>
                <w:sz w:val="20"/>
                <w:szCs w:val="20"/>
                <w:color w:val="auto"/>
              </w:rPr>
            </w:pPr>
            <w:r>
              <w:rPr>
                <w:rFonts w:ascii="Arial" w:cs="Arial" w:eastAsia="Arial" w:hAnsi="Arial"/>
                <w:sz w:val="18"/>
                <w:szCs w:val="18"/>
                <w:color w:val="auto"/>
              </w:rPr>
              <w:t>By: /s/ Krishna Shivram</w:t>
            </w:r>
          </w:p>
        </w:tc>
      </w:tr>
      <w:tr>
        <w:trPr>
          <w:trHeight w:val="27"/>
        </w:trPr>
        <w:tc>
          <w:tcPr>
            <w:tcW w:w="3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620"/>
          </w:cols>
          <w:pgMar w:left="240" w:top="449" w:right="10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July 29,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 July 29,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June 30, 2016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29, 2016</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2016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July 29, 2016</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3"/>
    </w:lvl>
    <w:lvl w:ilvl="1">
      <w:lvlJc w:val="left"/>
      <w:lvlText w:val="%2."/>
      <w:numFmt w:val="decimal"/>
      <w:start w:val="16"/>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upperLetter"/>
      <w:start w:val="28"/>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2)"/>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2019-12-29T11:44:56Z</dcterms:created>
  <dcterms:modified xsi:type="dcterms:W3CDTF">2019-12-29T11:44:56Z</dcterms:modified>
</cp:coreProperties>
</file>